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E9496" w14:textId="05BD662A" w:rsidR="00817CD9" w:rsidRPr="009F6D46" w:rsidRDefault="009F6D46" w:rsidP="007143F4">
      <w:pPr>
        <w:pStyle w:val="berschrift1"/>
        <w:spacing w:before="0" w:after="0" w:line="480" w:lineRule="auto"/>
        <w:rPr>
          <w:sz w:val="24"/>
          <w:szCs w:val="40"/>
        </w:rPr>
      </w:pPr>
      <w:bookmarkStart w:id="0" w:name="_Ref77337631"/>
      <w:r w:rsidRPr="009F6D46">
        <w:rPr>
          <w:sz w:val="24"/>
          <w:szCs w:val="40"/>
        </w:rPr>
        <w:t xml:space="preserve">Additional file </w:t>
      </w:r>
      <w:r w:rsidR="00FE5752">
        <w:rPr>
          <w:sz w:val="24"/>
          <w:szCs w:val="40"/>
        </w:rPr>
        <w:t xml:space="preserve">1. </w:t>
      </w:r>
      <w:r w:rsidR="00FB3307" w:rsidRPr="009F6D46">
        <w:rPr>
          <w:sz w:val="24"/>
          <w:szCs w:val="40"/>
        </w:rPr>
        <w:t>Definition of Baseline Characteristics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6"/>
        <w:gridCol w:w="1201"/>
        <w:gridCol w:w="16"/>
        <w:gridCol w:w="6144"/>
        <w:gridCol w:w="6"/>
      </w:tblGrid>
      <w:tr w:rsidR="00151324" w:rsidRPr="00AD0D2F" w14:paraId="13FE949A" w14:textId="77777777" w:rsidTr="007860AD">
        <w:trPr>
          <w:gridAfter w:val="1"/>
          <w:wAfter w:w="6" w:type="dxa"/>
          <w:trHeight w:val="283"/>
        </w:trPr>
        <w:tc>
          <w:tcPr>
            <w:tcW w:w="2256" w:type="dxa"/>
            <w:tcBorders>
              <w:top w:val="single" w:sz="8" w:space="0" w:color="000000"/>
              <w:left w:val="single" w:sz="8" w:space="0" w:color="000000"/>
              <w:bottom w:val="single" w:sz="8" w:space="0" w:color="000000"/>
              <w:right w:val="single" w:sz="4" w:space="0" w:color="000000"/>
            </w:tcBorders>
            <w:shd w:val="clear" w:color="auto" w:fill="auto"/>
            <w:vAlign w:val="center"/>
          </w:tcPr>
          <w:p w14:paraId="13FE9497" w14:textId="77777777" w:rsidR="00940707" w:rsidRPr="007F54D3" w:rsidRDefault="00940707" w:rsidP="007143F4">
            <w:pPr>
              <w:spacing w:before="0" w:after="0" w:line="480" w:lineRule="auto"/>
              <w:jc w:val="left"/>
              <w:rPr>
                <w:b/>
                <w:bCs/>
                <w:szCs w:val="20"/>
                <w:lang w:val="en-US"/>
              </w:rPr>
            </w:pPr>
            <w:r w:rsidRPr="007F54D3">
              <w:rPr>
                <w:b/>
                <w:bCs/>
                <w:szCs w:val="20"/>
                <w:lang w:val="en-US"/>
              </w:rPr>
              <w:t>Variable</w:t>
            </w:r>
          </w:p>
        </w:tc>
        <w:tc>
          <w:tcPr>
            <w:tcW w:w="1217" w:type="dxa"/>
            <w:gridSpan w:val="2"/>
            <w:tcBorders>
              <w:top w:val="single" w:sz="8" w:space="0" w:color="000000"/>
              <w:left w:val="single" w:sz="4" w:space="0" w:color="000000"/>
              <w:bottom w:val="single" w:sz="8" w:space="0" w:color="000000"/>
              <w:right w:val="single" w:sz="4" w:space="0" w:color="000000"/>
            </w:tcBorders>
            <w:shd w:val="clear" w:color="auto" w:fill="auto"/>
            <w:vAlign w:val="center"/>
          </w:tcPr>
          <w:p w14:paraId="13FE9498" w14:textId="77777777" w:rsidR="00940707" w:rsidRPr="007F54D3" w:rsidRDefault="00940707" w:rsidP="007143F4">
            <w:pPr>
              <w:spacing w:before="0" w:after="0" w:line="480" w:lineRule="auto"/>
              <w:jc w:val="left"/>
              <w:rPr>
                <w:b/>
                <w:bCs/>
                <w:szCs w:val="20"/>
                <w:lang w:val="en-US"/>
              </w:rPr>
            </w:pPr>
            <w:r w:rsidRPr="007F54D3">
              <w:rPr>
                <w:b/>
                <w:bCs/>
                <w:szCs w:val="20"/>
                <w:lang w:val="en-US"/>
              </w:rPr>
              <w:t>Category</w:t>
            </w:r>
          </w:p>
        </w:tc>
        <w:tc>
          <w:tcPr>
            <w:tcW w:w="6160" w:type="dxa"/>
            <w:gridSpan w:val="2"/>
            <w:tcBorders>
              <w:top w:val="single" w:sz="8" w:space="0" w:color="000000"/>
              <w:left w:val="single" w:sz="4" w:space="0" w:color="000000"/>
              <w:right w:val="single" w:sz="8" w:space="0" w:color="000000"/>
            </w:tcBorders>
            <w:shd w:val="clear" w:color="auto" w:fill="auto"/>
            <w:vAlign w:val="center"/>
          </w:tcPr>
          <w:p w14:paraId="13FE9499" w14:textId="77777777" w:rsidR="00940707" w:rsidRPr="007F54D3" w:rsidRDefault="00940707" w:rsidP="007143F4">
            <w:pPr>
              <w:spacing w:before="0" w:after="0" w:line="480" w:lineRule="auto"/>
              <w:jc w:val="left"/>
              <w:rPr>
                <w:b/>
                <w:bCs/>
                <w:szCs w:val="20"/>
                <w:lang w:val="en-US"/>
              </w:rPr>
            </w:pPr>
            <w:r w:rsidRPr="007F54D3">
              <w:rPr>
                <w:b/>
                <w:bCs/>
                <w:szCs w:val="20"/>
                <w:lang w:val="en-US"/>
              </w:rPr>
              <w:t>Operational Definition</w:t>
            </w:r>
          </w:p>
        </w:tc>
      </w:tr>
      <w:tr w:rsidR="00940707" w:rsidRPr="00AD0D2F" w14:paraId="13FE949C" w14:textId="77777777" w:rsidTr="00D0209D">
        <w:trPr>
          <w:gridAfter w:val="1"/>
          <w:wAfter w:w="6" w:type="dxa"/>
          <w:trHeight w:val="283"/>
        </w:trPr>
        <w:tc>
          <w:tcPr>
            <w:tcW w:w="9633" w:type="dxa"/>
            <w:gridSpan w:val="5"/>
            <w:tcBorders>
              <w:top w:val="single" w:sz="8" w:space="0" w:color="000000"/>
              <w:left w:val="single" w:sz="8" w:space="0" w:color="000000"/>
              <w:right w:val="single" w:sz="8" w:space="0" w:color="000000"/>
            </w:tcBorders>
            <w:vAlign w:val="center"/>
          </w:tcPr>
          <w:p w14:paraId="13FE949B" w14:textId="77777777" w:rsidR="00940707" w:rsidRPr="007F54D3" w:rsidRDefault="00940707" w:rsidP="007143F4">
            <w:pPr>
              <w:spacing w:before="0" w:after="0" w:line="480" w:lineRule="auto"/>
              <w:jc w:val="left"/>
              <w:rPr>
                <w:b/>
                <w:bCs/>
                <w:szCs w:val="20"/>
                <w:lang w:val="en-US"/>
              </w:rPr>
            </w:pPr>
            <w:r w:rsidRPr="007F54D3">
              <w:rPr>
                <w:b/>
                <w:bCs/>
                <w:szCs w:val="20"/>
                <w:lang w:val="en-US"/>
              </w:rPr>
              <w:t>Patient Demographics</w:t>
            </w:r>
          </w:p>
        </w:tc>
      </w:tr>
      <w:tr w:rsidR="00987F7E" w:rsidRPr="007860AD" w14:paraId="13FE94A2"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9D" w14:textId="77777777" w:rsidR="00940707" w:rsidRPr="007F54D3" w:rsidRDefault="00940707" w:rsidP="007143F4">
            <w:pPr>
              <w:spacing w:before="0" w:after="0" w:line="480" w:lineRule="auto"/>
              <w:jc w:val="left"/>
              <w:rPr>
                <w:szCs w:val="20"/>
                <w:lang w:val="en-US"/>
              </w:rPr>
            </w:pPr>
            <w:r w:rsidRPr="007F54D3">
              <w:rPr>
                <w:szCs w:val="20"/>
                <w:lang w:val="en-US"/>
              </w:rPr>
              <w:t>Age</w:t>
            </w:r>
          </w:p>
        </w:tc>
        <w:tc>
          <w:tcPr>
            <w:tcW w:w="1217" w:type="dxa"/>
            <w:gridSpan w:val="2"/>
            <w:tcBorders>
              <w:left w:val="single" w:sz="4" w:space="0" w:color="000000"/>
              <w:right w:val="single" w:sz="4" w:space="0" w:color="000000"/>
            </w:tcBorders>
            <w:vAlign w:val="center"/>
          </w:tcPr>
          <w:p w14:paraId="13FE949E"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right w:val="single" w:sz="8" w:space="0" w:color="000000"/>
            </w:tcBorders>
            <w:vAlign w:val="center"/>
          </w:tcPr>
          <w:p w14:paraId="13FE949F" w14:textId="77777777" w:rsidR="00940707" w:rsidRPr="007F54D3" w:rsidRDefault="00940707" w:rsidP="007143F4">
            <w:pPr>
              <w:spacing w:before="0" w:after="0" w:line="480" w:lineRule="auto"/>
              <w:rPr>
                <w:szCs w:val="20"/>
                <w:lang w:val="en-US"/>
              </w:rPr>
            </w:pPr>
            <w:r w:rsidRPr="007F54D3">
              <w:rPr>
                <w:szCs w:val="20"/>
                <w:lang w:val="en-US"/>
              </w:rPr>
              <w:t>Age was determined in the quarter of the index event for the following age groups: &lt;65, 65-74, 75-84, ≥85 years.</w:t>
            </w:r>
          </w:p>
          <w:p w14:paraId="13FE94A0" w14:textId="77777777" w:rsidR="00DE3D04" w:rsidRPr="007F54D3" w:rsidRDefault="00DE3D04" w:rsidP="007143F4">
            <w:pPr>
              <w:spacing w:before="0" w:after="0" w:line="480" w:lineRule="auto"/>
              <w:rPr>
                <w:szCs w:val="20"/>
                <w:lang w:val="en-US"/>
              </w:rPr>
            </w:pPr>
          </w:p>
          <w:p w14:paraId="13FE94A1" w14:textId="77777777" w:rsidR="00940707" w:rsidRPr="007F54D3" w:rsidRDefault="001F5BF0" w:rsidP="007143F4">
            <w:pPr>
              <w:spacing w:before="0" w:after="0" w:line="480" w:lineRule="auto"/>
              <w:rPr>
                <w:szCs w:val="20"/>
                <w:lang w:val="en-US"/>
              </w:rPr>
            </w:pPr>
            <w:r w:rsidRPr="007F54D3">
              <w:rPr>
                <w:szCs w:val="20"/>
                <w:lang w:val="en-US"/>
              </w:rPr>
              <w:t>M</w:t>
            </w:r>
            <w:r w:rsidR="00940707" w:rsidRPr="007F54D3">
              <w:rPr>
                <w:szCs w:val="20"/>
                <w:lang w:val="en-US"/>
              </w:rPr>
              <w:t>ean</w:t>
            </w:r>
            <w:r w:rsidRPr="007F54D3">
              <w:rPr>
                <w:szCs w:val="20"/>
                <w:lang w:val="en-US"/>
              </w:rPr>
              <w:t xml:space="preserve"> and</w:t>
            </w:r>
            <w:r w:rsidR="00940707" w:rsidRPr="007F54D3">
              <w:rPr>
                <w:szCs w:val="20"/>
                <w:lang w:val="en-US"/>
              </w:rPr>
              <w:t xml:space="preserve"> standard deviation (SD)</w:t>
            </w:r>
            <w:r w:rsidRPr="007F54D3">
              <w:rPr>
                <w:szCs w:val="20"/>
                <w:lang w:val="en-US"/>
              </w:rPr>
              <w:t xml:space="preserve"> of age in </w:t>
            </w:r>
            <w:r w:rsidR="00940707" w:rsidRPr="007F54D3">
              <w:rPr>
                <w:szCs w:val="20"/>
                <w:lang w:val="en-US"/>
              </w:rPr>
              <w:t>total and stratified by gender were examined.</w:t>
            </w:r>
          </w:p>
        </w:tc>
      </w:tr>
      <w:tr w:rsidR="00987F7E" w:rsidRPr="007860AD" w14:paraId="13FE94A6" w14:textId="77777777" w:rsidTr="008D76B3">
        <w:trPr>
          <w:gridAfter w:val="1"/>
          <w:wAfter w:w="6" w:type="dxa"/>
          <w:trHeight w:val="283"/>
        </w:trPr>
        <w:tc>
          <w:tcPr>
            <w:tcW w:w="2256" w:type="dxa"/>
            <w:tcBorders>
              <w:left w:val="single" w:sz="8" w:space="0" w:color="000000"/>
              <w:bottom w:val="single" w:sz="8" w:space="0" w:color="000000"/>
              <w:right w:val="single" w:sz="4" w:space="0" w:color="000000"/>
            </w:tcBorders>
            <w:vAlign w:val="center"/>
          </w:tcPr>
          <w:p w14:paraId="13FE94A3" w14:textId="77777777" w:rsidR="00940707" w:rsidRPr="007F54D3" w:rsidRDefault="00940707" w:rsidP="007143F4">
            <w:pPr>
              <w:spacing w:before="0" w:after="0" w:line="480" w:lineRule="auto"/>
              <w:jc w:val="left"/>
              <w:rPr>
                <w:szCs w:val="20"/>
                <w:lang w:val="en-US"/>
              </w:rPr>
            </w:pPr>
            <w:r w:rsidRPr="007F54D3">
              <w:rPr>
                <w:szCs w:val="20"/>
                <w:lang w:val="en-US"/>
              </w:rPr>
              <w:t>Gender</w:t>
            </w:r>
          </w:p>
        </w:tc>
        <w:tc>
          <w:tcPr>
            <w:tcW w:w="1217" w:type="dxa"/>
            <w:gridSpan w:val="2"/>
            <w:tcBorders>
              <w:left w:val="single" w:sz="4" w:space="0" w:color="000000"/>
              <w:bottom w:val="single" w:sz="8" w:space="0" w:color="000000"/>
              <w:right w:val="single" w:sz="4" w:space="0" w:color="000000"/>
            </w:tcBorders>
            <w:vAlign w:val="center"/>
          </w:tcPr>
          <w:p w14:paraId="13FE94A4"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bottom w:val="single" w:sz="8" w:space="0" w:color="000000"/>
              <w:right w:val="single" w:sz="8" w:space="0" w:color="000000"/>
            </w:tcBorders>
            <w:vAlign w:val="center"/>
          </w:tcPr>
          <w:p w14:paraId="13FE94A5" w14:textId="77777777" w:rsidR="00940707" w:rsidRPr="007F54D3" w:rsidRDefault="00940707" w:rsidP="007143F4">
            <w:pPr>
              <w:spacing w:before="0" w:after="0" w:line="480" w:lineRule="auto"/>
              <w:rPr>
                <w:szCs w:val="20"/>
                <w:lang w:val="en-US"/>
              </w:rPr>
            </w:pPr>
            <w:r w:rsidRPr="007F54D3">
              <w:rPr>
                <w:szCs w:val="20"/>
                <w:lang w:val="en-US"/>
              </w:rPr>
              <w:t>Gender was determined in the quarter of the index event and stratified by the following age groups: &lt;65, 65-74, 75-84, ≥85 years.</w:t>
            </w:r>
          </w:p>
        </w:tc>
      </w:tr>
      <w:tr w:rsidR="00940707" w:rsidRPr="00AD0D2F" w14:paraId="13FE94A8" w14:textId="77777777" w:rsidTr="00D0209D">
        <w:trPr>
          <w:gridAfter w:val="1"/>
          <w:wAfter w:w="6" w:type="dxa"/>
          <w:trHeight w:val="283"/>
        </w:trPr>
        <w:tc>
          <w:tcPr>
            <w:tcW w:w="9633" w:type="dxa"/>
            <w:gridSpan w:val="5"/>
            <w:tcBorders>
              <w:top w:val="single" w:sz="8" w:space="0" w:color="000000"/>
              <w:left w:val="single" w:sz="8" w:space="0" w:color="000000"/>
              <w:right w:val="single" w:sz="8" w:space="0" w:color="000000"/>
            </w:tcBorders>
            <w:vAlign w:val="center"/>
          </w:tcPr>
          <w:p w14:paraId="13FE94A7" w14:textId="77777777" w:rsidR="00940707" w:rsidRPr="007F54D3" w:rsidRDefault="00940707" w:rsidP="007143F4">
            <w:pPr>
              <w:spacing w:before="0" w:after="0" w:line="480" w:lineRule="auto"/>
              <w:jc w:val="left"/>
              <w:rPr>
                <w:b/>
                <w:bCs/>
                <w:szCs w:val="20"/>
                <w:lang w:val="en-US"/>
              </w:rPr>
            </w:pPr>
            <w:r w:rsidRPr="007F54D3">
              <w:rPr>
                <w:b/>
                <w:bCs/>
                <w:szCs w:val="20"/>
                <w:lang w:val="en-US"/>
              </w:rPr>
              <w:t>Healthcare Resource Utilization</w:t>
            </w:r>
          </w:p>
        </w:tc>
      </w:tr>
      <w:tr w:rsidR="00987F7E" w:rsidRPr="007860AD" w14:paraId="13FE94AE"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A9" w14:textId="77777777" w:rsidR="00940707" w:rsidRPr="007F54D3" w:rsidRDefault="00940707" w:rsidP="007143F4">
            <w:pPr>
              <w:spacing w:before="0" w:after="0" w:line="480" w:lineRule="auto"/>
              <w:jc w:val="left"/>
              <w:rPr>
                <w:szCs w:val="20"/>
                <w:lang w:val="en-US"/>
              </w:rPr>
            </w:pPr>
            <w:r w:rsidRPr="007F54D3">
              <w:rPr>
                <w:szCs w:val="20"/>
                <w:lang w:val="en-US"/>
              </w:rPr>
              <w:t>All-cause hospitalizations</w:t>
            </w:r>
          </w:p>
        </w:tc>
        <w:tc>
          <w:tcPr>
            <w:tcW w:w="1217" w:type="dxa"/>
            <w:gridSpan w:val="2"/>
            <w:tcBorders>
              <w:left w:val="single" w:sz="4" w:space="0" w:color="000000"/>
              <w:right w:val="single" w:sz="4" w:space="0" w:color="000000"/>
            </w:tcBorders>
            <w:vAlign w:val="center"/>
          </w:tcPr>
          <w:p w14:paraId="13FE94AA"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right w:val="single" w:sz="8" w:space="0" w:color="000000"/>
            </w:tcBorders>
            <w:vAlign w:val="center"/>
          </w:tcPr>
          <w:p w14:paraId="13FE94AB" w14:textId="77777777" w:rsidR="00940707" w:rsidRPr="007F54D3" w:rsidRDefault="00940707" w:rsidP="007143F4">
            <w:pPr>
              <w:spacing w:before="0" w:after="0" w:line="480" w:lineRule="auto"/>
              <w:rPr>
                <w:szCs w:val="20"/>
                <w:lang w:val="en-US"/>
              </w:rPr>
            </w:pPr>
            <w:r w:rsidRPr="007F54D3">
              <w:rPr>
                <w:szCs w:val="20"/>
                <w:lang w:val="en-US"/>
              </w:rPr>
              <w:t>Assessment of the total number and percentage of eligible patients with all-cause hospitalizations, independently of admission/discharge diagnosis and primary/secondary diagnosis during the individual pre-index period of 365 days before the index date.</w:t>
            </w:r>
          </w:p>
          <w:p w14:paraId="13FE94AC" w14:textId="77777777" w:rsidR="00151324" w:rsidRPr="007F54D3" w:rsidRDefault="00151324" w:rsidP="007143F4">
            <w:pPr>
              <w:spacing w:before="0" w:after="0" w:line="480" w:lineRule="auto"/>
              <w:rPr>
                <w:szCs w:val="20"/>
                <w:lang w:val="en-US"/>
              </w:rPr>
            </w:pPr>
          </w:p>
          <w:p w14:paraId="13FE94AD" w14:textId="2797AD1A" w:rsidR="00940707" w:rsidRPr="007F54D3" w:rsidRDefault="00940707" w:rsidP="007143F4">
            <w:pPr>
              <w:spacing w:before="0" w:after="0" w:line="480" w:lineRule="auto"/>
              <w:rPr>
                <w:szCs w:val="20"/>
                <w:lang w:val="en-US"/>
              </w:rPr>
            </w:pPr>
            <w:r w:rsidRPr="007F54D3">
              <w:rPr>
                <w:szCs w:val="20"/>
                <w:lang w:val="en-US"/>
              </w:rPr>
              <w:t xml:space="preserve">Summary measures of all-cause hospitalizations in terms of mean </w:t>
            </w:r>
            <w:r w:rsidR="001F5BF0" w:rsidRPr="007F54D3">
              <w:rPr>
                <w:szCs w:val="20"/>
                <w:lang w:val="en-US"/>
              </w:rPr>
              <w:t xml:space="preserve">and </w:t>
            </w:r>
            <w:r w:rsidRPr="007F54D3">
              <w:rPr>
                <w:szCs w:val="20"/>
                <w:lang w:val="en-US"/>
              </w:rPr>
              <w:t>SD</w:t>
            </w:r>
            <w:r w:rsidR="005D47B4" w:rsidRPr="007F54D3">
              <w:rPr>
                <w:szCs w:val="20"/>
                <w:lang w:val="en-US"/>
              </w:rPr>
              <w:t xml:space="preserve"> </w:t>
            </w:r>
            <w:r w:rsidRPr="007F54D3">
              <w:rPr>
                <w:szCs w:val="20"/>
                <w:lang w:val="en-US"/>
              </w:rPr>
              <w:t>based on the total number of patients were determined.</w:t>
            </w:r>
          </w:p>
        </w:tc>
      </w:tr>
      <w:tr w:rsidR="00987F7E" w:rsidRPr="007860AD" w14:paraId="13FE94B4"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AF" w14:textId="77777777" w:rsidR="00940707" w:rsidRPr="007F54D3" w:rsidRDefault="001F5BF0" w:rsidP="007143F4">
            <w:pPr>
              <w:spacing w:before="0" w:after="0" w:line="480" w:lineRule="auto"/>
              <w:jc w:val="left"/>
              <w:rPr>
                <w:szCs w:val="20"/>
                <w:lang w:val="en-US"/>
              </w:rPr>
            </w:pPr>
            <w:r w:rsidRPr="007F54D3">
              <w:rPr>
                <w:szCs w:val="20"/>
                <w:lang w:val="en-US"/>
              </w:rPr>
              <w:t>Number of hospital d</w:t>
            </w:r>
            <w:r w:rsidR="00940707" w:rsidRPr="007F54D3">
              <w:rPr>
                <w:szCs w:val="20"/>
                <w:lang w:val="en-US"/>
              </w:rPr>
              <w:t>ays of all-cause hospitalizations</w:t>
            </w:r>
          </w:p>
        </w:tc>
        <w:tc>
          <w:tcPr>
            <w:tcW w:w="1217" w:type="dxa"/>
            <w:gridSpan w:val="2"/>
            <w:tcBorders>
              <w:left w:val="single" w:sz="4" w:space="0" w:color="000000"/>
              <w:right w:val="single" w:sz="4" w:space="0" w:color="000000"/>
            </w:tcBorders>
            <w:vAlign w:val="center"/>
          </w:tcPr>
          <w:p w14:paraId="13FE94B0"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right w:val="single" w:sz="8" w:space="0" w:color="000000"/>
            </w:tcBorders>
            <w:vAlign w:val="center"/>
          </w:tcPr>
          <w:p w14:paraId="13FE94B1" w14:textId="49DAE07F" w:rsidR="00940707" w:rsidRPr="007F54D3" w:rsidRDefault="00940707" w:rsidP="007143F4">
            <w:pPr>
              <w:spacing w:before="0" w:after="0" w:line="480" w:lineRule="auto"/>
              <w:rPr>
                <w:szCs w:val="20"/>
                <w:lang w:val="en-US"/>
              </w:rPr>
            </w:pPr>
            <w:r w:rsidRPr="007F54D3">
              <w:rPr>
                <w:szCs w:val="20"/>
                <w:lang w:val="en-US"/>
              </w:rPr>
              <w:t>Assessment of the total number of hospital days of patients with all-cause hospitalizations, independently of admission/discharge diagnosis and primary/secondary diagnosis during the individual pre-index period of 365</w:t>
            </w:r>
            <w:r w:rsidR="001320FD">
              <w:rPr>
                <w:szCs w:val="20"/>
                <w:lang w:val="en-US"/>
              </w:rPr>
              <w:t> </w:t>
            </w:r>
            <w:r w:rsidRPr="007F54D3">
              <w:rPr>
                <w:szCs w:val="20"/>
                <w:lang w:val="en-US"/>
              </w:rPr>
              <w:t>days before the index date.</w:t>
            </w:r>
          </w:p>
          <w:p w14:paraId="13FE94B2" w14:textId="77777777" w:rsidR="00151324" w:rsidRPr="007F54D3" w:rsidRDefault="00151324" w:rsidP="007143F4">
            <w:pPr>
              <w:spacing w:before="0" w:after="0" w:line="480" w:lineRule="auto"/>
              <w:rPr>
                <w:szCs w:val="20"/>
                <w:lang w:val="en-US"/>
              </w:rPr>
            </w:pPr>
          </w:p>
          <w:p w14:paraId="13FE94B3" w14:textId="77777777" w:rsidR="00940707" w:rsidRPr="007F54D3" w:rsidRDefault="00940707" w:rsidP="007143F4">
            <w:pPr>
              <w:spacing w:before="0" w:after="0" w:line="480" w:lineRule="auto"/>
              <w:rPr>
                <w:szCs w:val="20"/>
                <w:lang w:val="en-US"/>
              </w:rPr>
            </w:pPr>
            <w:r w:rsidRPr="007F54D3">
              <w:rPr>
                <w:szCs w:val="20"/>
                <w:lang w:val="en-US"/>
              </w:rPr>
              <w:t>Summary measures of all-cause hospital days in terms of mean</w:t>
            </w:r>
            <w:r w:rsidR="001F5BF0" w:rsidRPr="007F54D3">
              <w:rPr>
                <w:szCs w:val="20"/>
                <w:lang w:val="en-US"/>
              </w:rPr>
              <w:t xml:space="preserve"> and </w:t>
            </w:r>
            <w:r w:rsidRPr="007F54D3">
              <w:rPr>
                <w:szCs w:val="20"/>
                <w:lang w:val="en-US"/>
              </w:rPr>
              <w:t>SD based on the total number of patients were determined.</w:t>
            </w:r>
          </w:p>
        </w:tc>
      </w:tr>
      <w:tr w:rsidR="00987F7E" w:rsidRPr="007860AD" w14:paraId="13FE94BA"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B5" w14:textId="77777777" w:rsidR="00940707" w:rsidRPr="007F54D3" w:rsidRDefault="00940707" w:rsidP="007143F4">
            <w:pPr>
              <w:spacing w:before="0" w:after="0" w:line="480" w:lineRule="auto"/>
              <w:jc w:val="left"/>
              <w:rPr>
                <w:szCs w:val="20"/>
                <w:lang w:val="en-US"/>
              </w:rPr>
            </w:pPr>
            <w:r w:rsidRPr="007F54D3">
              <w:rPr>
                <w:szCs w:val="20"/>
                <w:lang w:val="en-US"/>
              </w:rPr>
              <w:t>All-cause hospitalizations within 30 days before the first dispensation</w:t>
            </w:r>
          </w:p>
        </w:tc>
        <w:tc>
          <w:tcPr>
            <w:tcW w:w="1217" w:type="dxa"/>
            <w:gridSpan w:val="2"/>
            <w:tcBorders>
              <w:left w:val="single" w:sz="4" w:space="0" w:color="000000"/>
              <w:right w:val="single" w:sz="4" w:space="0" w:color="000000"/>
            </w:tcBorders>
            <w:vAlign w:val="center"/>
          </w:tcPr>
          <w:p w14:paraId="13FE94B6"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right w:val="single" w:sz="8" w:space="0" w:color="000000"/>
            </w:tcBorders>
            <w:vAlign w:val="center"/>
          </w:tcPr>
          <w:p w14:paraId="13FE94B8" w14:textId="741CCBC7" w:rsidR="00151324" w:rsidRPr="007F54D3" w:rsidRDefault="00940707" w:rsidP="007143F4">
            <w:pPr>
              <w:spacing w:before="0" w:after="0" w:line="480" w:lineRule="auto"/>
              <w:rPr>
                <w:szCs w:val="20"/>
                <w:lang w:val="en-US"/>
              </w:rPr>
            </w:pPr>
            <w:r w:rsidRPr="007F54D3">
              <w:rPr>
                <w:szCs w:val="20"/>
                <w:lang w:val="en-US"/>
              </w:rPr>
              <w:t>Assessment of the total number and percentage of eligible patients with all-cause hospitalizations, independently of admission/discharge diagnosis and primary/secondary diagnosis during the individual 30 days before the index date.</w:t>
            </w:r>
          </w:p>
          <w:p w14:paraId="13FE94B9" w14:textId="00D8996A" w:rsidR="00940707" w:rsidRPr="007F54D3" w:rsidRDefault="00940707" w:rsidP="007143F4">
            <w:pPr>
              <w:spacing w:before="0" w:after="0" w:line="480" w:lineRule="auto"/>
              <w:rPr>
                <w:szCs w:val="20"/>
                <w:lang w:val="en-US"/>
              </w:rPr>
            </w:pPr>
            <w:r w:rsidRPr="007F54D3">
              <w:rPr>
                <w:szCs w:val="20"/>
                <w:lang w:val="en-US"/>
              </w:rPr>
              <w:lastRenderedPageBreak/>
              <w:t>Summary measures of all-cause hospitalizations in terms of mean</w:t>
            </w:r>
            <w:r w:rsidR="001F5BF0" w:rsidRPr="007F54D3">
              <w:rPr>
                <w:szCs w:val="20"/>
                <w:lang w:val="en-US"/>
              </w:rPr>
              <w:t xml:space="preserve"> and</w:t>
            </w:r>
            <w:r w:rsidRPr="007F54D3">
              <w:rPr>
                <w:szCs w:val="20"/>
                <w:lang w:val="en-US"/>
              </w:rPr>
              <w:t xml:space="preserve"> SD</w:t>
            </w:r>
            <w:r w:rsidR="005D47B4" w:rsidRPr="007F54D3">
              <w:rPr>
                <w:szCs w:val="20"/>
                <w:lang w:val="en-US"/>
              </w:rPr>
              <w:t xml:space="preserve"> </w:t>
            </w:r>
            <w:r w:rsidRPr="007F54D3">
              <w:rPr>
                <w:szCs w:val="20"/>
                <w:lang w:val="en-US"/>
              </w:rPr>
              <w:t>based on the total number of patients were determined.</w:t>
            </w:r>
          </w:p>
        </w:tc>
      </w:tr>
      <w:tr w:rsidR="00987F7E" w:rsidRPr="007860AD" w14:paraId="13FE94C2"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BB" w14:textId="252CF455" w:rsidR="00940707" w:rsidRPr="007F54D3" w:rsidRDefault="00940707" w:rsidP="007143F4">
            <w:pPr>
              <w:spacing w:before="0" w:after="0" w:line="480" w:lineRule="auto"/>
              <w:jc w:val="left"/>
              <w:rPr>
                <w:szCs w:val="20"/>
                <w:lang w:val="en-US"/>
              </w:rPr>
            </w:pPr>
            <w:r w:rsidRPr="007F54D3">
              <w:rPr>
                <w:szCs w:val="20"/>
                <w:lang w:val="en-US"/>
              </w:rPr>
              <w:lastRenderedPageBreak/>
              <w:t>Hospitalizations due to stroke / SE within 30</w:t>
            </w:r>
            <w:r w:rsidR="0055651D">
              <w:rPr>
                <w:szCs w:val="20"/>
                <w:lang w:val="en-US"/>
              </w:rPr>
              <w:t> </w:t>
            </w:r>
            <w:r w:rsidRPr="007F54D3">
              <w:rPr>
                <w:szCs w:val="20"/>
                <w:lang w:val="en-US"/>
              </w:rPr>
              <w:t>days before the first dispensation</w:t>
            </w:r>
          </w:p>
        </w:tc>
        <w:tc>
          <w:tcPr>
            <w:tcW w:w="1217" w:type="dxa"/>
            <w:gridSpan w:val="2"/>
            <w:tcBorders>
              <w:left w:val="single" w:sz="4" w:space="0" w:color="000000"/>
              <w:right w:val="single" w:sz="4" w:space="0" w:color="000000"/>
            </w:tcBorders>
            <w:vAlign w:val="center"/>
          </w:tcPr>
          <w:p w14:paraId="13FE94BC"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right w:val="single" w:sz="8" w:space="0" w:color="000000"/>
            </w:tcBorders>
            <w:vAlign w:val="center"/>
          </w:tcPr>
          <w:p w14:paraId="13FE94BD" w14:textId="77777777" w:rsidR="00940707" w:rsidRPr="007F54D3" w:rsidRDefault="00940707" w:rsidP="007143F4">
            <w:pPr>
              <w:spacing w:before="0" w:after="0" w:line="480" w:lineRule="auto"/>
              <w:rPr>
                <w:szCs w:val="20"/>
                <w:lang w:val="en-US"/>
              </w:rPr>
            </w:pPr>
            <w:r w:rsidRPr="007F54D3">
              <w:rPr>
                <w:szCs w:val="20"/>
                <w:lang w:val="en-US"/>
              </w:rPr>
              <w:t>Assessment of the total number and percentage of eligible patients with hospitalizations with a primary or secondary discharge diagnosis of stroke / SE during the individual 30 days before the index date.</w:t>
            </w:r>
          </w:p>
          <w:p w14:paraId="13FE94BE" w14:textId="77777777" w:rsidR="00151324" w:rsidRPr="007F54D3" w:rsidRDefault="00151324" w:rsidP="007143F4">
            <w:pPr>
              <w:spacing w:before="0" w:after="0" w:line="480" w:lineRule="auto"/>
              <w:rPr>
                <w:szCs w:val="20"/>
                <w:lang w:val="en-US"/>
              </w:rPr>
            </w:pPr>
          </w:p>
          <w:p w14:paraId="13FE94BF" w14:textId="77777777" w:rsidR="00940707" w:rsidRPr="007F54D3" w:rsidRDefault="00940707" w:rsidP="007143F4">
            <w:pPr>
              <w:spacing w:before="0" w:after="0" w:line="480" w:lineRule="auto"/>
              <w:rPr>
                <w:szCs w:val="20"/>
                <w:lang w:val="en-US"/>
              </w:rPr>
            </w:pPr>
            <w:r w:rsidRPr="007F54D3">
              <w:rPr>
                <w:szCs w:val="20"/>
                <w:lang w:val="en-US"/>
              </w:rPr>
              <w:t>Hospitalizations due to stroke / SE were identified using the ICD-10-GM codes I61.-, I63.-, I64.- and I74.-.</w:t>
            </w:r>
          </w:p>
          <w:p w14:paraId="13FE94C0" w14:textId="77777777" w:rsidR="00151324" w:rsidRPr="007F54D3" w:rsidRDefault="00151324" w:rsidP="007143F4">
            <w:pPr>
              <w:spacing w:before="0" w:after="0" w:line="480" w:lineRule="auto"/>
              <w:rPr>
                <w:szCs w:val="20"/>
                <w:lang w:val="en-US"/>
              </w:rPr>
            </w:pPr>
          </w:p>
          <w:p w14:paraId="13FE94C1" w14:textId="77777777" w:rsidR="00940707" w:rsidRPr="007F54D3" w:rsidRDefault="00940707" w:rsidP="007143F4">
            <w:pPr>
              <w:spacing w:before="0" w:after="0" w:line="480" w:lineRule="auto"/>
              <w:rPr>
                <w:szCs w:val="20"/>
                <w:lang w:val="en-US"/>
              </w:rPr>
            </w:pPr>
            <w:r w:rsidRPr="007F54D3">
              <w:rPr>
                <w:szCs w:val="20"/>
                <w:lang w:val="en-US"/>
              </w:rPr>
              <w:t>Summary measures of stroke / SE-related hospitalizations in terms of mean</w:t>
            </w:r>
            <w:r w:rsidR="00AD0D2F" w:rsidRPr="007F54D3">
              <w:rPr>
                <w:szCs w:val="20"/>
                <w:lang w:val="en-US"/>
              </w:rPr>
              <w:t xml:space="preserve"> and</w:t>
            </w:r>
            <w:r w:rsidRPr="007F54D3">
              <w:rPr>
                <w:szCs w:val="20"/>
                <w:lang w:val="en-US"/>
              </w:rPr>
              <w:t xml:space="preserve"> SD based on the total number of patients were determined.</w:t>
            </w:r>
          </w:p>
        </w:tc>
      </w:tr>
      <w:tr w:rsidR="00987F7E" w:rsidRPr="007860AD" w14:paraId="13FE94C8"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C3" w14:textId="77777777" w:rsidR="00940707" w:rsidRPr="007F54D3" w:rsidRDefault="00940707" w:rsidP="007143F4">
            <w:pPr>
              <w:spacing w:before="0" w:after="0" w:line="480" w:lineRule="auto"/>
              <w:jc w:val="left"/>
              <w:rPr>
                <w:szCs w:val="20"/>
                <w:lang w:val="en-US"/>
              </w:rPr>
            </w:pPr>
            <w:r w:rsidRPr="007F54D3">
              <w:rPr>
                <w:szCs w:val="20"/>
                <w:lang w:val="en-US"/>
              </w:rPr>
              <w:t>Number of outpatient cases</w:t>
            </w:r>
          </w:p>
        </w:tc>
        <w:tc>
          <w:tcPr>
            <w:tcW w:w="1217" w:type="dxa"/>
            <w:gridSpan w:val="2"/>
            <w:tcBorders>
              <w:left w:val="single" w:sz="4" w:space="0" w:color="000000"/>
              <w:right w:val="single" w:sz="4" w:space="0" w:color="000000"/>
            </w:tcBorders>
            <w:vAlign w:val="center"/>
          </w:tcPr>
          <w:p w14:paraId="13FE94C4"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right w:val="single" w:sz="8" w:space="0" w:color="000000"/>
            </w:tcBorders>
            <w:vAlign w:val="center"/>
          </w:tcPr>
          <w:p w14:paraId="13FE94C5" w14:textId="77777777" w:rsidR="00940707" w:rsidRPr="007F54D3" w:rsidRDefault="00940707" w:rsidP="007143F4">
            <w:pPr>
              <w:spacing w:before="0" w:after="0" w:line="480" w:lineRule="auto"/>
              <w:rPr>
                <w:szCs w:val="20"/>
                <w:lang w:val="en-US"/>
              </w:rPr>
            </w:pPr>
            <w:r w:rsidRPr="007F54D3">
              <w:rPr>
                <w:szCs w:val="20"/>
                <w:lang w:val="en-US"/>
              </w:rPr>
              <w:t>Assessment of the total number and percentage of eligible patients with all-cause outpatient physician visits (based on unique outpatient cases), independently of the reason for the visit during the individual pre-index period of four quarters before the index date.</w:t>
            </w:r>
          </w:p>
          <w:p w14:paraId="13FE94C6" w14:textId="77777777" w:rsidR="00151324" w:rsidRPr="007F54D3" w:rsidRDefault="00151324" w:rsidP="007143F4">
            <w:pPr>
              <w:spacing w:before="0" w:after="0" w:line="480" w:lineRule="auto"/>
              <w:rPr>
                <w:szCs w:val="20"/>
                <w:lang w:val="en-US"/>
              </w:rPr>
            </w:pPr>
          </w:p>
          <w:p w14:paraId="13FE94C7" w14:textId="77777777" w:rsidR="00940707" w:rsidRPr="007F54D3" w:rsidRDefault="00940707" w:rsidP="007143F4">
            <w:pPr>
              <w:spacing w:before="0" w:after="0" w:line="480" w:lineRule="auto"/>
              <w:rPr>
                <w:szCs w:val="20"/>
                <w:lang w:val="en-US"/>
              </w:rPr>
            </w:pPr>
            <w:r w:rsidRPr="007F54D3">
              <w:rPr>
                <w:szCs w:val="20"/>
                <w:lang w:val="en-US"/>
              </w:rPr>
              <w:t>Summary measures of all-cause outpatient cases in terms of mean</w:t>
            </w:r>
            <w:r w:rsidR="00AD0D2F" w:rsidRPr="007F54D3">
              <w:rPr>
                <w:szCs w:val="20"/>
                <w:lang w:val="en-US"/>
              </w:rPr>
              <w:t xml:space="preserve"> and</w:t>
            </w:r>
            <w:r w:rsidRPr="007F54D3">
              <w:rPr>
                <w:szCs w:val="20"/>
                <w:lang w:val="en-US"/>
              </w:rPr>
              <w:t xml:space="preserve"> SD based on the total number of patients were determined.</w:t>
            </w:r>
          </w:p>
        </w:tc>
      </w:tr>
      <w:tr w:rsidR="00987F7E" w:rsidRPr="007860AD" w14:paraId="13FE94CE" w14:textId="77777777" w:rsidTr="008D76B3">
        <w:trPr>
          <w:gridAfter w:val="1"/>
          <w:wAfter w:w="6" w:type="dxa"/>
          <w:trHeight w:val="283"/>
        </w:trPr>
        <w:tc>
          <w:tcPr>
            <w:tcW w:w="2256" w:type="dxa"/>
            <w:tcBorders>
              <w:left w:val="single" w:sz="8" w:space="0" w:color="000000"/>
              <w:bottom w:val="single" w:sz="8" w:space="0" w:color="000000"/>
              <w:right w:val="single" w:sz="4" w:space="0" w:color="000000"/>
            </w:tcBorders>
            <w:vAlign w:val="center"/>
          </w:tcPr>
          <w:p w14:paraId="13FE94C9" w14:textId="77777777" w:rsidR="00940707" w:rsidRPr="007F54D3" w:rsidRDefault="00940707" w:rsidP="007143F4">
            <w:pPr>
              <w:spacing w:before="0" w:after="0" w:line="480" w:lineRule="auto"/>
              <w:jc w:val="left"/>
              <w:rPr>
                <w:szCs w:val="20"/>
                <w:lang w:val="en-US"/>
              </w:rPr>
            </w:pPr>
            <w:r w:rsidRPr="007F54D3">
              <w:rPr>
                <w:szCs w:val="20"/>
                <w:lang w:val="en-US"/>
              </w:rPr>
              <w:t>Number of unique medications</w:t>
            </w:r>
          </w:p>
        </w:tc>
        <w:tc>
          <w:tcPr>
            <w:tcW w:w="1217" w:type="dxa"/>
            <w:gridSpan w:val="2"/>
            <w:tcBorders>
              <w:left w:val="single" w:sz="4" w:space="0" w:color="000000"/>
              <w:bottom w:val="single" w:sz="8" w:space="0" w:color="000000"/>
              <w:right w:val="single" w:sz="4" w:space="0" w:color="000000"/>
            </w:tcBorders>
            <w:vAlign w:val="center"/>
          </w:tcPr>
          <w:p w14:paraId="13FE94CA"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bottom w:val="single" w:sz="8" w:space="0" w:color="000000"/>
              <w:right w:val="single" w:sz="8" w:space="0" w:color="000000"/>
            </w:tcBorders>
            <w:vAlign w:val="center"/>
          </w:tcPr>
          <w:p w14:paraId="13FE94CB" w14:textId="77777777" w:rsidR="00940707" w:rsidRPr="007F54D3" w:rsidRDefault="00940707" w:rsidP="007143F4">
            <w:pPr>
              <w:spacing w:before="0" w:after="0" w:line="480" w:lineRule="auto"/>
              <w:rPr>
                <w:szCs w:val="20"/>
                <w:lang w:val="en-US"/>
              </w:rPr>
            </w:pPr>
            <w:r w:rsidRPr="007F54D3">
              <w:rPr>
                <w:szCs w:val="20"/>
                <w:lang w:val="en-US"/>
              </w:rPr>
              <w:t>Assessment of the total number and percentage of eligible patients with prescriptions for pharmaceutical substances (based on unique ATC codes, 7 digits), during the individual pre-index period of 365 days before the index date.</w:t>
            </w:r>
          </w:p>
          <w:p w14:paraId="13FE94CC" w14:textId="77777777" w:rsidR="00151324" w:rsidRPr="007F54D3" w:rsidRDefault="00151324" w:rsidP="007143F4">
            <w:pPr>
              <w:spacing w:before="0" w:after="0" w:line="480" w:lineRule="auto"/>
              <w:rPr>
                <w:szCs w:val="20"/>
                <w:lang w:val="en-US"/>
              </w:rPr>
            </w:pPr>
          </w:p>
          <w:p w14:paraId="13FE94CD" w14:textId="77777777" w:rsidR="00940707" w:rsidRPr="007F54D3" w:rsidRDefault="00940707" w:rsidP="007143F4">
            <w:pPr>
              <w:spacing w:before="0" w:after="0" w:line="480" w:lineRule="auto"/>
              <w:rPr>
                <w:szCs w:val="20"/>
                <w:lang w:val="en-US"/>
              </w:rPr>
            </w:pPr>
            <w:r w:rsidRPr="007F54D3">
              <w:rPr>
                <w:szCs w:val="20"/>
                <w:lang w:val="en-US"/>
              </w:rPr>
              <w:t>Summary measures of unique pharmaceutical substances in terms of mean</w:t>
            </w:r>
            <w:r w:rsidR="00AD0D2F" w:rsidRPr="007F54D3">
              <w:rPr>
                <w:szCs w:val="20"/>
                <w:lang w:val="en-US"/>
              </w:rPr>
              <w:t xml:space="preserve"> and</w:t>
            </w:r>
            <w:r w:rsidRPr="007F54D3">
              <w:rPr>
                <w:szCs w:val="20"/>
                <w:lang w:val="en-US"/>
              </w:rPr>
              <w:t xml:space="preserve"> SD based on the total number of patients were determined.</w:t>
            </w:r>
          </w:p>
        </w:tc>
      </w:tr>
      <w:tr w:rsidR="00940707" w:rsidRPr="00AD0D2F" w14:paraId="13FE94D0" w14:textId="77777777" w:rsidTr="00D0209D">
        <w:trPr>
          <w:trHeight w:val="283"/>
        </w:trPr>
        <w:tc>
          <w:tcPr>
            <w:tcW w:w="9639" w:type="dxa"/>
            <w:gridSpan w:val="6"/>
            <w:tcBorders>
              <w:top w:val="single" w:sz="8" w:space="0" w:color="000000"/>
              <w:left w:val="single" w:sz="8" w:space="0" w:color="000000"/>
              <w:right w:val="single" w:sz="8" w:space="0" w:color="000000"/>
            </w:tcBorders>
            <w:vAlign w:val="center"/>
          </w:tcPr>
          <w:p w14:paraId="13FE94CF" w14:textId="77777777" w:rsidR="00940707" w:rsidRPr="007F54D3" w:rsidRDefault="00940707" w:rsidP="007143F4">
            <w:pPr>
              <w:spacing w:before="0" w:after="0" w:line="480" w:lineRule="auto"/>
              <w:jc w:val="left"/>
              <w:rPr>
                <w:szCs w:val="20"/>
                <w:lang w:val="en-US"/>
              </w:rPr>
            </w:pPr>
            <w:r w:rsidRPr="007F54D3">
              <w:rPr>
                <w:b/>
                <w:bCs/>
                <w:szCs w:val="20"/>
                <w:lang w:val="en-US"/>
              </w:rPr>
              <w:t>Risk Scores</w:t>
            </w:r>
          </w:p>
        </w:tc>
      </w:tr>
      <w:tr w:rsidR="00572E84" w:rsidRPr="007860AD" w14:paraId="13FE94DA"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D1" w14:textId="2D82182A" w:rsidR="00940707" w:rsidRPr="007F54D3" w:rsidRDefault="00940707" w:rsidP="007143F4">
            <w:pPr>
              <w:spacing w:before="0" w:after="0" w:line="480" w:lineRule="auto"/>
              <w:jc w:val="left"/>
              <w:rPr>
                <w:szCs w:val="20"/>
                <w:lang w:val="en-US"/>
              </w:rPr>
            </w:pPr>
            <w:r w:rsidRPr="007F54D3">
              <w:rPr>
                <w:szCs w:val="20"/>
                <w:lang w:val="en-US"/>
              </w:rPr>
              <w:t>CHA</w:t>
            </w:r>
            <w:r w:rsidRPr="007F54D3">
              <w:rPr>
                <w:szCs w:val="20"/>
                <w:vertAlign w:val="subscript"/>
                <w:lang w:val="en-US"/>
              </w:rPr>
              <w:t>2</w:t>
            </w:r>
            <w:r w:rsidRPr="007F54D3">
              <w:rPr>
                <w:szCs w:val="20"/>
                <w:lang w:val="en-US"/>
              </w:rPr>
              <w:t>DS</w:t>
            </w:r>
            <w:r w:rsidRPr="007F54D3">
              <w:rPr>
                <w:szCs w:val="20"/>
                <w:vertAlign w:val="subscript"/>
                <w:lang w:val="en-US"/>
              </w:rPr>
              <w:t>2</w:t>
            </w:r>
            <w:r w:rsidRPr="007F54D3">
              <w:rPr>
                <w:szCs w:val="20"/>
                <w:lang w:val="en-US"/>
              </w:rPr>
              <w:t xml:space="preserve">-VASc </w:t>
            </w:r>
            <w:r w:rsidR="00D0209D" w:rsidRPr="007F54D3">
              <w:rPr>
                <w:szCs w:val="20"/>
                <w:lang w:val="en-US"/>
              </w:rPr>
              <w:t>s</w:t>
            </w:r>
            <w:r w:rsidRPr="007F54D3">
              <w:rPr>
                <w:szCs w:val="20"/>
                <w:lang w:val="en-US"/>
              </w:rPr>
              <w:t>core</w:t>
            </w:r>
          </w:p>
        </w:tc>
        <w:tc>
          <w:tcPr>
            <w:tcW w:w="1217" w:type="dxa"/>
            <w:gridSpan w:val="2"/>
            <w:tcBorders>
              <w:left w:val="single" w:sz="4" w:space="0" w:color="000000"/>
              <w:right w:val="single" w:sz="4" w:space="0" w:color="000000"/>
            </w:tcBorders>
            <w:vAlign w:val="center"/>
          </w:tcPr>
          <w:p w14:paraId="13FE94D2"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right w:val="single" w:sz="8" w:space="0" w:color="000000"/>
            </w:tcBorders>
            <w:vAlign w:val="center"/>
          </w:tcPr>
          <w:p w14:paraId="13FE94D3" w14:textId="775CFABA" w:rsidR="00940707" w:rsidRPr="007F54D3" w:rsidRDefault="00940707" w:rsidP="007143F4">
            <w:pPr>
              <w:spacing w:before="0" w:after="0" w:line="480" w:lineRule="auto"/>
              <w:rPr>
                <w:szCs w:val="20"/>
                <w:lang w:val="en-US"/>
              </w:rPr>
            </w:pPr>
            <w:r w:rsidRPr="007F54D3">
              <w:rPr>
                <w:szCs w:val="20"/>
                <w:lang w:val="en-US"/>
              </w:rPr>
              <w:t>The CHA</w:t>
            </w:r>
            <w:r w:rsidRPr="007F54D3">
              <w:rPr>
                <w:szCs w:val="20"/>
                <w:vertAlign w:val="subscript"/>
                <w:lang w:val="en-US"/>
              </w:rPr>
              <w:t>2</w:t>
            </w:r>
            <w:r w:rsidRPr="007F54D3">
              <w:rPr>
                <w:szCs w:val="20"/>
                <w:lang w:val="en-US"/>
              </w:rPr>
              <w:t>DS</w:t>
            </w:r>
            <w:r w:rsidRPr="007F54D3">
              <w:rPr>
                <w:szCs w:val="20"/>
                <w:vertAlign w:val="subscript"/>
                <w:lang w:val="en-US"/>
              </w:rPr>
              <w:t>2</w:t>
            </w:r>
            <w:r w:rsidRPr="007F54D3">
              <w:rPr>
                <w:szCs w:val="20"/>
                <w:lang w:val="en-US"/>
              </w:rPr>
              <w:t xml:space="preserve">-VASc score was calculated for each patient in the individual pre-index period by assigning one point each for hypertension, diabetes mellitus, heart failure, vascular disease (peripheral artery disease, myocardial infarction, aortic plaque), age 65-74 years, female gender, and </w:t>
            </w:r>
            <w:r w:rsidRPr="007F54D3">
              <w:rPr>
                <w:szCs w:val="20"/>
                <w:lang w:val="en-US"/>
              </w:rPr>
              <w:lastRenderedPageBreak/>
              <w:t>two points for age ≥75 years, previous stroke or transient ischemic attack (TIA) with a total possible score of nine</w:t>
            </w:r>
            <w:r w:rsidR="002D2092">
              <w:rPr>
                <w:szCs w:val="20"/>
                <w:lang w:val="en-US"/>
              </w:rPr>
              <w:t>.</w:t>
            </w:r>
            <w:r w:rsidR="002A30BB" w:rsidRPr="007F54D3">
              <w:rPr>
                <w:szCs w:val="20"/>
                <w:lang w:val="en-US"/>
              </w:rPr>
              <w:fldChar w:fldCharType="begin"/>
            </w:r>
            <w:r w:rsidR="00030A0E">
              <w:rPr>
                <w:szCs w:val="20"/>
                <w:lang w:val="en-US"/>
              </w:rPr>
              <w:instrText xml:space="preserve"> ADDIN EN.CITE &lt;EndNote&gt;&lt;Cite&gt;&lt;Author&gt;Trappe&lt;/Author&gt;&lt;Year&gt;2012&lt;/Year&gt;&lt;RecNum&gt;55&lt;/RecNum&gt;&lt;DisplayText&gt;&lt;style face="superscript"&gt;1&lt;/style&gt;&lt;/DisplayText&gt;&lt;record&gt;&lt;rec-number&gt;55&lt;/rec-number&gt;&lt;foreign-keys&gt;&lt;key app="EN" db-id="9t2f5svvor52wdewtv3vv02ftzrv9ea29ssz" timestamp="1626684818"&gt;55&lt;/key&gt;&lt;/foreign-keys&gt;&lt;ref-type name="Journal Article"&gt;17&lt;/ref-type&gt;&lt;contributors&gt;&lt;authors&gt;&lt;author&gt;Trappe, Hans-Joachim&lt;/author&gt;&lt;/authors&gt;&lt;/contributors&gt;&lt;titles&gt;&lt;title&gt;Atrial Fibrillation&lt;/title&gt;&lt;secondary-title&gt;Dtsch Arztebl International&lt;/secondary-title&gt;&lt;/titles&gt;&lt;periodical&gt;&lt;full-title&gt;Dtsch Arztebl International&lt;/full-title&gt;&lt;/periodical&gt;&lt;pages&gt;1-7&lt;/pages&gt;&lt;volume&gt;109&lt;/volume&gt;&lt;number&gt;1-2&lt;/number&gt;&lt;dates&gt;&lt;year&gt;2012&lt;/year&gt;&lt;/dates&gt;&lt;urls&gt;&lt;related-urls&gt;&lt;url&gt;https://www.aerzteblatt.de/int/article.asp?id=118211&lt;/url&gt;&lt;/related-urls&gt;&lt;/urls&gt;&lt;electronic-resource-num&gt;https://doi.org/10.3238/arztebl.2012.0001&lt;/electronic-resource-num&gt;&lt;/record&gt;&lt;/Cite&gt;&lt;/EndNote&gt;</w:instrText>
            </w:r>
            <w:r w:rsidR="002A30BB" w:rsidRPr="007F54D3">
              <w:rPr>
                <w:szCs w:val="20"/>
                <w:lang w:val="en-US"/>
              </w:rPr>
              <w:fldChar w:fldCharType="separate"/>
            </w:r>
            <w:r w:rsidR="00030A0E" w:rsidRPr="00030A0E">
              <w:rPr>
                <w:noProof/>
                <w:szCs w:val="20"/>
                <w:vertAlign w:val="superscript"/>
                <w:lang w:val="en-US"/>
              </w:rPr>
              <w:t>1</w:t>
            </w:r>
            <w:r w:rsidR="002A30BB" w:rsidRPr="007F54D3">
              <w:rPr>
                <w:szCs w:val="20"/>
                <w:lang w:val="en-US"/>
              </w:rPr>
              <w:fldChar w:fldCharType="end"/>
            </w:r>
          </w:p>
          <w:p w14:paraId="13FE94D4" w14:textId="77777777" w:rsidR="003600BC" w:rsidRPr="007F54D3" w:rsidRDefault="003600BC" w:rsidP="007143F4">
            <w:pPr>
              <w:spacing w:before="0" w:after="0" w:line="480" w:lineRule="auto"/>
              <w:rPr>
                <w:szCs w:val="20"/>
                <w:lang w:val="en-US"/>
              </w:rPr>
            </w:pPr>
          </w:p>
          <w:p w14:paraId="13FE94D5" w14:textId="77777777" w:rsidR="00940707" w:rsidRPr="007F54D3" w:rsidRDefault="00940707" w:rsidP="007143F4">
            <w:pPr>
              <w:spacing w:before="0" w:after="0" w:line="480" w:lineRule="auto"/>
              <w:rPr>
                <w:szCs w:val="20"/>
                <w:lang w:val="en-US"/>
              </w:rPr>
            </w:pPr>
            <w:r w:rsidRPr="007F54D3">
              <w:rPr>
                <w:szCs w:val="20"/>
                <w:lang w:val="en-US"/>
              </w:rPr>
              <w:t>Age and gender were determined in the quarter of the index event.</w:t>
            </w:r>
          </w:p>
          <w:p w14:paraId="13FE94D6" w14:textId="77777777" w:rsidR="003600BC" w:rsidRPr="007F54D3" w:rsidRDefault="003600BC" w:rsidP="007143F4">
            <w:pPr>
              <w:spacing w:before="0" w:after="0" w:line="480" w:lineRule="auto"/>
              <w:rPr>
                <w:szCs w:val="20"/>
                <w:lang w:val="en-US"/>
              </w:rPr>
            </w:pPr>
          </w:p>
          <w:p w14:paraId="13FE94D7" w14:textId="746DCF35" w:rsidR="003600BC" w:rsidRPr="007F54D3" w:rsidRDefault="00940707" w:rsidP="007143F4">
            <w:pPr>
              <w:spacing w:before="0" w:after="0" w:line="480" w:lineRule="auto"/>
              <w:rPr>
                <w:szCs w:val="20"/>
                <w:lang w:val="en-US"/>
              </w:rPr>
            </w:pPr>
            <w:r w:rsidRPr="007F54D3">
              <w:rPr>
                <w:szCs w:val="20"/>
                <w:lang w:val="en-US"/>
              </w:rPr>
              <w:t>Ambulatory verified as well as primary and secondary hospital discharge diagnoses within in the four quarters /</w:t>
            </w:r>
            <w:r w:rsidR="00147645" w:rsidRPr="007F54D3">
              <w:rPr>
                <w:szCs w:val="20"/>
                <w:lang w:val="en-US"/>
              </w:rPr>
              <w:t> </w:t>
            </w:r>
            <w:r w:rsidRPr="007F54D3">
              <w:rPr>
                <w:szCs w:val="20"/>
                <w:lang w:val="en-US"/>
              </w:rPr>
              <w:t>365 days before the index date were used to assess the CHA</w:t>
            </w:r>
            <w:r w:rsidRPr="007F54D3">
              <w:rPr>
                <w:szCs w:val="20"/>
                <w:vertAlign w:val="subscript"/>
                <w:lang w:val="en-US"/>
              </w:rPr>
              <w:t>2</w:t>
            </w:r>
            <w:r w:rsidRPr="007F54D3">
              <w:rPr>
                <w:szCs w:val="20"/>
                <w:lang w:val="en-US"/>
              </w:rPr>
              <w:t>DS</w:t>
            </w:r>
            <w:r w:rsidRPr="007F54D3">
              <w:rPr>
                <w:szCs w:val="20"/>
                <w:vertAlign w:val="subscript"/>
                <w:lang w:val="en-US"/>
              </w:rPr>
              <w:t>2</w:t>
            </w:r>
            <w:r w:rsidRPr="007F54D3">
              <w:rPr>
                <w:szCs w:val="20"/>
                <w:lang w:val="en-US"/>
              </w:rPr>
              <w:t>-VASc score.</w:t>
            </w:r>
          </w:p>
          <w:p w14:paraId="13FE94D8" w14:textId="77777777" w:rsidR="003600BC" w:rsidRPr="007F54D3" w:rsidRDefault="003600BC" w:rsidP="007143F4">
            <w:pPr>
              <w:spacing w:before="0" w:after="0" w:line="480" w:lineRule="auto"/>
              <w:rPr>
                <w:szCs w:val="20"/>
                <w:lang w:val="en-US"/>
              </w:rPr>
            </w:pPr>
          </w:p>
          <w:p w14:paraId="13FE94D9" w14:textId="77777777" w:rsidR="00940707" w:rsidRPr="007F54D3" w:rsidRDefault="00487070" w:rsidP="007143F4">
            <w:pPr>
              <w:spacing w:before="0" w:after="0" w:line="480" w:lineRule="auto"/>
              <w:rPr>
                <w:szCs w:val="20"/>
                <w:lang w:val="en-US"/>
              </w:rPr>
            </w:pPr>
            <w:r w:rsidRPr="007F54D3">
              <w:rPr>
                <w:szCs w:val="20"/>
                <w:lang w:val="en-US"/>
              </w:rPr>
              <w:t>S</w:t>
            </w:r>
            <w:r w:rsidR="00940707" w:rsidRPr="007F54D3">
              <w:rPr>
                <w:szCs w:val="20"/>
                <w:lang w:val="en-US"/>
              </w:rPr>
              <w:t xml:space="preserve">ummary measures </w:t>
            </w:r>
            <w:r w:rsidRPr="007F54D3">
              <w:rPr>
                <w:szCs w:val="20"/>
                <w:lang w:val="en-US"/>
              </w:rPr>
              <w:t>of CHA</w:t>
            </w:r>
            <w:r w:rsidRPr="007F54D3">
              <w:rPr>
                <w:szCs w:val="20"/>
                <w:vertAlign w:val="subscript"/>
                <w:lang w:val="en-US"/>
              </w:rPr>
              <w:t>2</w:t>
            </w:r>
            <w:r w:rsidRPr="007F54D3">
              <w:rPr>
                <w:szCs w:val="20"/>
                <w:lang w:val="en-US"/>
              </w:rPr>
              <w:t>DS</w:t>
            </w:r>
            <w:r w:rsidRPr="007F54D3">
              <w:rPr>
                <w:szCs w:val="20"/>
                <w:vertAlign w:val="subscript"/>
                <w:lang w:val="en-US"/>
              </w:rPr>
              <w:t>2</w:t>
            </w:r>
            <w:r w:rsidRPr="007F54D3">
              <w:rPr>
                <w:szCs w:val="20"/>
                <w:lang w:val="en-US"/>
              </w:rPr>
              <w:t xml:space="preserve">-VASc score values </w:t>
            </w:r>
            <w:r w:rsidR="00940707" w:rsidRPr="007F54D3">
              <w:rPr>
                <w:szCs w:val="20"/>
                <w:lang w:val="en-US"/>
              </w:rPr>
              <w:t>in terms of mean</w:t>
            </w:r>
            <w:r w:rsidR="00A512AF" w:rsidRPr="007F54D3">
              <w:rPr>
                <w:szCs w:val="20"/>
                <w:lang w:val="en-US"/>
              </w:rPr>
              <w:t xml:space="preserve"> and</w:t>
            </w:r>
            <w:r w:rsidR="00940707" w:rsidRPr="007F54D3">
              <w:rPr>
                <w:szCs w:val="20"/>
                <w:lang w:val="en-US"/>
              </w:rPr>
              <w:t xml:space="preserve"> SD based on the total number of patients were assessed.</w:t>
            </w:r>
          </w:p>
        </w:tc>
      </w:tr>
      <w:tr w:rsidR="00572E84" w:rsidRPr="007860AD" w14:paraId="13FE94E4"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DB" w14:textId="72E5C617" w:rsidR="00940707" w:rsidRPr="007F54D3" w:rsidRDefault="00940707" w:rsidP="007143F4">
            <w:pPr>
              <w:spacing w:before="0" w:after="0" w:line="480" w:lineRule="auto"/>
              <w:jc w:val="left"/>
              <w:rPr>
                <w:szCs w:val="20"/>
                <w:lang w:val="en-US"/>
              </w:rPr>
            </w:pPr>
            <w:r w:rsidRPr="007F54D3">
              <w:rPr>
                <w:szCs w:val="20"/>
                <w:lang w:val="en-US"/>
              </w:rPr>
              <w:lastRenderedPageBreak/>
              <w:t xml:space="preserve">Modified HAS-BLED </w:t>
            </w:r>
            <w:r w:rsidR="00D0209D" w:rsidRPr="007F54D3">
              <w:rPr>
                <w:szCs w:val="20"/>
                <w:lang w:val="en-US"/>
              </w:rPr>
              <w:t>s</w:t>
            </w:r>
            <w:r w:rsidRPr="007F54D3">
              <w:rPr>
                <w:szCs w:val="20"/>
                <w:lang w:val="en-US"/>
              </w:rPr>
              <w:t>core</w:t>
            </w:r>
          </w:p>
        </w:tc>
        <w:tc>
          <w:tcPr>
            <w:tcW w:w="1217" w:type="dxa"/>
            <w:gridSpan w:val="2"/>
            <w:tcBorders>
              <w:left w:val="single" w:sz="4" w:space="0" w:color="000000"/>
              <w:right w:val="single" w:sz="4" w:space="0" w:color="000000"/>
            </w:tcBorders>
            <w:vAlign w:val="center"/>
          </w:tcPr>
          <w:p w14:paraId="13FE94DC"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right w:val="single" w:sz="8" w:space="0" w:color="000000"/>
            </w:tcBorders>
            <w:vAlign w:val="center"/>
          </w:tcPr>
          <w:p w14:paraId="13FE94DD" w14:textId="7A7E547E" w:rsidR="00940707" w:rsidRPr="007F54D3" w:rsidRDefault="00940707" w:rsidP="007143F4">
            <w:pPr>
              <w:spacing w:before="0" w:after="0" w:line="480" w:lineRule="auto"/>
              <w:rPr>
                <w:szCs w:val="20"/>
                <w:lang w:val="en-US"/>
              </w:rPr>
            </w:pPr>
            <w:r w:rsidRPr="007F54D3">
              <w:rPr>
                <w:szCs w:val="20"/>
                <w:lang w:val="en-US"/>
              </w:rPr>
              <w:t xml:space="preserve">The </w:t>
            </w:r>
            <w:r w:rsidR="003600BC" w:rsidRPr="007F54D3">
              <w:rPr>
                <w:szCs w:val="20"/>
                <w:lang w:val="en-US"/>
              </w:rPr>
              <w:t xml:space="preserve">modified </w:t>
            </w:r>
            <w:r w:rsidRPr="007F54D3">
              <w:rPr>
                <w:szCs w:val="20"/>
                <w:lang w:val="en-US"/>
              </w:rPr>
              <w:t>HAS-BLED score was calculated for each patient in the individual pre-index period by assigning one point for the following conditions: hypertension, renal disease, cirrhosis, and stroke, major bleeding event, age 65 and older, use of non-steroidal anti-inflammatory drug, intake of antiplatelet agents, and alcohol abuse with a total possible score of nine after summing up the score across all conditions.</w:t>
            </w:r>
            <w:r w:rsidR="00F1358C">
              <w:rPr>
                <w:szCs w:val="20"/>
                <w:lang w:val="en-US"/>
              </w:rPr>
              <w:fldChar w:fldCharType="begin">
                <w:fldData xml:space="preserve">PEVuZE5vdGU+PENpdGU+PEF1dGhvcj5QaXN0ZXJzPC9BdXRob3I+PFllYXI+MjAxMDwvWWVhcj48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</w:fldData>
              </w:fldChar>
            </w:r>
            <w:r w:rsidR="00F1358C">
              <w:rPr>
                <w:szCs w:val="20"/>
                <w:lang w:val="en-US"/>
              </w:rPr>
              <w:instrText xml:space="preserve"> ADDIN EN.CITE </w:instrText>
            </w:r>
            <w:r w:rsidR="00F1358C">
              <w:rPr>
                <w:szCs w:val="20"/>
                <w:lang w:val="en-US"/>
              </w:rPr>
              <w:fldChar w:fldCharType="begin">
                <w:fldData xml:space="preserve">PEVuZE5vdGU+PENpdGU+PEF1dGhvcj5QaXN0ZXJzPC9BdXRob3I+PFllYXI+MjAxMDwvWWVhcj48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</w:fldData>
              </w:fldChar>
            </w:r>
            <w:r w:rsidR="00F1358C">
              <w:rPr>
                <w:szCs w:val="20"/>
                <w:lang w:val="en-US"/>
              </w:rPr>
              <w:instrText xml:space="preserve"> ADDIN EN.CITE.DATA </w:instrText>
            </w:r>
            <w:r w:rsidR="00F1358C">
              <w:rPr>
                <w:szCs w:val="20"/>
                <w:lang w:val="en-US"/>
              </w:rPr>
            </w:r>
            <w:r w:rsidR="00F1358C">
              <w:rPr>
                <w:szCs w:val="20"/>
                <w:lang w:val="en-US"/>
              </w:rPr>
              <w:fldChar w:fldCharType="end"/>
            </w:r>
            <w:r w:rsidR="00F1358C">
              <w:rPr>
                <w:szCs w:val="20"/>
                <w:lang w:val="en-US"/>
              </w:rPr>
            </w:r>
            <w:r w:rsidR="00F1358C">
              <w:rPr>
                <w:szCs w:val="20"/>
                <w:lang w:val="en-US"/>
              </w:rPr>
              <w:fldChar w:fldCharType="separate"/>
            </w:r>
            <w:r w:rsidR="00F1358C" w:rsidRPr="00F1358C">
              <w:rPr>
                <w:noProof/>
                <w:szCs w:val="20"/>
                <w:vertAlign w:val="superscript"/>
                <w:lang w:val="en-US"/>
              </w:rPr>
              <w:t>2</w:t>
            </w:r>
            <w:r w:rsidR="00F1358C">
              <w:rPr>
                <w:szCs w:val="20"/>
                <w:lang w:val="en-US"/>
              </w:rPr>
              <w:fldChar w:fldCharType="end"/>
            </w:r>
          </w:p>
          <w:p w14:paraId="13FE94DE" w14:textId="77777777" w:rsidR="003600BC" w:rsidRPr="007F54D3" w:rsidRDefault="003600BC" w:rsidP="007143F4">
            <w:pPr>
              <w:spacing w:before="0" w:after="0" w:line="480" w:lineRule="auto"/>
              <w:rPr>
                <w:szCs w:val="20"/>
                <w:lang w:val="en-US"/>
              </w:rPr>
            </w:pPr>
          </w:p>
          <w:p w14:paraId="13FE94DF" w14:textId="77777777" w:rsidR="00940707" w:rsidRPr="007F54D3" w:rsidRDefault="00940707" w:rsidP="007143F4">
            <w:pPr>
              <w:spacing w:before="0" w:after="0" w:line="480" w:lineRule="auto"/>
              <w:rPr>
                <w:szCs w:val="20"/>
                <w:lang w:val="en-US"/>
              </w:rPr>
            </w:pPr>
            <w:r w:rsidRPr="007F54D3">
              <w:rPr>
                <w:szCs w:val="20"/>
                <w:lang w:val="en-US"/>
              </w:rPr>
              <w:t>The age was determined in the quarter of the index event.</w:t>
            </w:r>
          </w:p>
          <w:p w14:paraId="13FE94E0" w14:textId="77777777" w:rsidR="003600BC" w:rsidRPr="007F54D3" w:rsidRDefault="003600BC" w:rsidP="007143F4">
            <w:pPr>
              <w:spacing w:before="0" w:after="0" w:line="480" w:lineRule="auto"/>
              <w:rPr>
                <w:szCs w:val="20"/>
                <w:lang w:val="en-US"/>
              </w:rPr>
            </w:pPr>
          </w:p>
          <w:p w14:paraId="13FE94E1" w14:textId="05ABFD34" w:rsidR="00940707" w:rsidRPr="007F54D3" w:rsidRDefault="00940707" w:rsidP="007143F4">
            <w:pPr>
              <w:spacing w:before="0" w:after="0" w:line="480" w:lineRule="auto"/>
              <w:rPr>
                <w:szCs w:val="20"/>
                <w:lang w:val="en-US"/>
              </w:rPr>
            </w:pPr>
            <w:r w:rsidRPr="007F54D3">
              <w:rPr>
                <w:szCs w:val="20"/>
                <w:lang w:val="en-US"/>
              </w:rPr>
              <w:t>Ambulatory verified as well as primary and secondary hospital discharge diagnoses within in the four quarters /</w:t>
            </w:r>
            <w:r w:rsidR="005B2D06" w:rsidRPr="007F54D3">
              <w:rPr>
                <w:szCs w:val="20"/>
                <w:lang w:val="en-US"/>
              </w:rPr>
              <w:t> </w:t>
            </w:r>
            <w:r w:rsidRPr="007F54D3">
              <w:rPr>
                <w:szCs w:val="20"/>
                <w:lang w:val="en-US"/>
              </w:rPr>
              <w:t xml:space="preserve">365 days before the index date as well as ATC and OPS codes within in the 365 days before the index date were used to assess the </w:t>
            </w:r>
            <w:r w:rsidR="003600BC" w:rsidRPr="007F54D3">
              <w:rPr>
                <w:szCs w:val="20"/>
                <w:lang w:val="en-US"/>
              </w:rPr>
              <w:t xml:space="preserve">modified </w:t>
            </w:r>
            <w:r w:rsidRPr="007F54D3">
              <w:rPr>
                <w:szCs w:val="20"/>
                <w:lang w:val="en-US"/>
              </w:rPr>
              <w:t xml:space="preserve">HAS-BLED </w:t>
            </w:r>
            <w:r w:rsidR="003600BC" w:rsidRPr="007F54D3">
              <w:rPr>
                <w:szCs w:val="20"/>
                <w:lang w:val="en-US"/>
              </w:rPr>
              <w:t>s</w:t>
            </w:r>
            <w:r w:rsidRPr="007F54D3">
              <w:rPr>
                <w:szCs w:val="20"/>
                <w:lang w:val="en-US"/>
              </w:rPr>
              <w:t>core.</w:t>
            </w:r>
          </w:p>
          <w:p w14:paraId="13FE94E2" w14:textId="77777777" w:rsidR="003600BC" w:rsidRPr="007F54D3" w:rsidRDefault="003600BC" w:rsidP="007143F4">
            <w:pPr>
              <w:spacing w:before="0" w:after="0" w:line="480" w:lineRule="auto"/>
              <w:rPr>
                <w:szCs w:val="20"/>
                <w:lang w:val="en-US"/>
              </w:rPr>
            </w:pPr>
          </w:p>
          <w:p w14:paraId="13FE94E3" w14:textId="77777777" w:rsidR="00940707" w:rsidRPr="007F54D3" w:rsidRDefault="00487070" w:rsidP="007143F4">
            <w:pPr>
              <w:spacing w:before="0" w:after="0" w:line="480" w:lineRule="auto"/>
              <w:rPr>
                <w:szCs w:val="20"/>
                <w:lang w:val="en-US"/>
              </w:rPr>
            </w:pPr>
            <w:r w:rsidRPr="007F54D3">
              <w:rPr>
                <w:szCs w:val="20"/>
                <w:lang w:val="en-US"/>
              </w:rPr>
              <w:t>Summary measures of modified HAS-BLED score values in terms of mean and SD based on the total number of patients were assessed.</w:t>
            </w:r>
          </w:p>
        </w:tc>
      </w:tr>
      <w:tr w:rsidR="00572E84" w:rsidRPr="007860AD" w14:paraId="13FE94EC" w14:textId="77777777" w:rsidTr="008D76B3">
        <w:trPr>
          <w:gridAfter w:val="1"/>
          <w:wAfter w:w="6" w:type="dxa"/>
          <w:trHeight w:val="283"/>
        </w:trPr>
        <w:tc>
          <w:tcPr>
            <w:tcW w:w="2256" w:type="dxa"/>
            <w:tcBorders>
              <w:left w:val="single" w:sz="8" w:space="0" w:color="000000"/>
              <w:bottom w:val="single" w:sz="8" w:space="0" w:color="000000"/>
              <w:right w:val="single" w:sz="4" w:space="0" w:color="000000"/>
            </w:tcBorders>
            <w:vAlign w:val="center"/>
          </w:tcPr>
          <w:p w14:paraId="13FE94E5" w14:textId="77777777" w:rsidR="00940707" w:rsidRPr="007F54D3" w:rsidRDefault="00940707" w:rsidP="007143F4">
            <w:pPr>
              <w:spacing w:before="0" w:after="0" w:line="480" w:lineRule="auto"/>
              <w:jc w:val="left"/>
              <w:rPr>
                <w:szCs w:val="20"/>
                <w:lang w:val="en-US"/>
              </w:rPr>
            </w:pPr>
            <w:proofErr w:type="spellStart"/>
            <w:r w:rsidRPr="007F54D3">
              <w:rPr>
                <w:szCs w:val="20"/>
                <w:lang w:val="en-US"/>
              </w:rPr>
              <w:t>Charlson</w:t>
            </w:r>
            <w:proofErr w:type="spellEnd"/>
            <w:r w:rsidRPr="007F54D3">
              <w:rPr>
                <w:szCs w:val="20"/>
                <w:lang w:val="en-US"/>
              </w:rPr>
              <w:t xml:space="preserve"> Comorbidity Index</w:t>
            </w:r>
          </w:p>
        </w:tc>
        <w:tc>
          <w:tcPr>
            <w:tcW w:w="1217" w:type="dxa"/>
            <w:gridSpan w:val="2"/>
            <w:tcBorders>
              <w:left w:val="single" w:sz="4" w:space="0" w:color="000000"/>
              <w:bottom w:val="single" w:sz="8" w:space="0" w:color="000000"/>
              <w:right w:val="single" w:sz="4" w:space="0" w:color="000000"/>
            </w:tcBorders>
            <w:vAlign w:val="center"/>
          </w:tcPr>
          <w:p w14:paraId="13FE94E6" w14:textId="77777777" w:rsidR="00940707" w:rsidRPr="007F54D3" w:rsidRDefault="00940707" w:rsidP="007143F4">
            <w:pPr>
              <w:spacing w:before="0" w:after="0" w:line="480" w:lineRule="auto"/>
              <w:jc w:val="left"/>
              <w:rPr>
                <w:szCs w:val="20"/>
                <w:lang w:val="en-US"/>
              </w:rPr>
            </w:pPr>
            <w:r w:rsidRPr="007F54D3">
              <w:rPr>
                <w:szCs w:val="20"/>
                <w:lang w:val="en-US"/>
              </w:rPr>
              <w:t>Continuous</w:t>
            </w:r>
          </w:p>
        </w:tc>
        <w:tc>
          <w:tcPr>
            <w:tcW w:w="6160" w:type="dxa"/>
            <w:gridSpan w:val="2"/>
            <w:tcBorders>
              <w:left w:val="single" w:sz="4" w:space="0" w:color="000000"/>
              <w:bottom w:val="single" w:sz="8" w:space="0" w:color="000000"/>
              <w:right w:val="single" w:sz="8" w:space="0" w:color="000000"/>
            </w:tcBorders>
            <w:vAlign w:val="center"/>
          </w:tcPr>
          <w:p w14:paraId="13FE94E8" w14:textId="2BC7B8F9" w:rsidR="003600BC" w:rsidRPr="007F54D3" w:rsidRDefault="00940707" w:rsidP="007143F4">
            <w:pPr>
              <w:spacing w:before="0" w:after="0" w:line="480" w:lineRule="auto"/>
              <w:rPr>
                <w:szCs w:val="20"/>
                <w:lang w:val="en-US"/>
              </w:rPr>
            </w:pPr>
            <w:r w:rsidRPr="007F54D3">
              <w:rPr>
                <w:szCs w:val="20"/>
                <w:lang w:val="en-US"/>
              </w:rPr>
              <w:t xml:space="preserve">The </w:t>
            </w:r>
            <w:proofErr w:type="spellStart"/>
            <w:r w:rsidRPr="007F54D3">
              <w:rPr>
                <w:szCs w:val="20"/>
                <w:lang w:val="en-US"/>
              </w:rPr>
              <w:t>Charlson</w:t>
            </w:r>
            <w:proofErr w:type="spellEnd"/>
            <w:r w:rsidRPr="007F54D3">
              <w:rPr>
                <w:szCs w:val="20"/>
                <w:lang w:val="en-US"/>
              </w:rPr>
              <w:t xml:space="preserve"> Comorbidity Index (CCI) was used to weigh comorbidities in the pre-index period depending on their severity</w:t>
            </w:r>
            <w:r w:rsidR="002D2092">
              <w:rPr>
                <w:szCs w:val="20"/>
                <w:lang w:val="en-US"/>
              </w:rPr>
              <w:t>.</w:t>
            </w:r>
            <w:r w:rsidR="002A30BB" w:rsidRPr="007F54D3">
              <w:rPr>
                <w:szCs w:val="20"/>
                <w:lang w:val="en-US"/>
              </w:rPr>
              <w:fldChar w:fldCharType="begin">
                <w:fldData xml:space="preserve">PEVuZE5vdGU+PENpdGU+PEF1dGhvcj5DaGFybHNvbjwvQXV0aG9yPjxZZWFyPjE5ODc8L1llYXI+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</w:fldData>
              </w:fldChar>
            </w:r>
            <w:r w:rsidR="00F1358C">
              <w:rPr>
                <w:szCs w:val="20"/>
                <w:lang w:val="en-US"/>
              </w:rPr>
              <w:instrText xml:space="preserve"> ADDIN EN.CITE </w:instrText>
            </w:r>
            <w:r w:rsidR="00F1358C">
              <w:rPr>
                <w:szCs w:val="20"/>
                <w:lang w:val="en-US"/>
              </w:rPr>
              <w:fldChar w:fldCharType="begin">
                <w:fldData xml:space="preserve">PEVuZE5vdGU+PENpdGU+PEF1dGhvcj5DaGFybHNvbjwvQXV0aG9yPjxZZWFyPjE5ODc8L1llYXI+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</w:fldData>
              </w:fldChar>
            </w:r>
            <w:r w:rsidR="00F1358C">
              <w:rPr>
                <w:szCs w:val="20"/>
                <w:lang w:val="en-US"/>
              </w:rPr>
              <w:instrText xml:space="preserve"> ADDIN EN.CITE.DATA </w:instrText>
            </w:r>
            <w:r w:rsidR="00F1358C">
              <w:rPr>
                <w:szCs w:val="20"/>
                <w:lang w:val="en-US"/>
              </w:rPr>
            </w:r>
            <w:r w:rsidR="00F1358C">
              <w:rPr>
                <w:szCs w:val="20"/>
                <w:lang w:val="en-US"/>
              </w:rPr>
              <w:fldChar w:fldCharType="end"/>
            </w:r>
            <w:r w:rsidR="002A30BB" w:rsidRPr="007F54D3">
              <w:rPr>
                <w:szCs w:val="20"/>
                <w:lang w:val="en-US"/>
              </w:rPr>
            </w:r>
            <w:r w:rsidR="002A30BB" w:rsidRPr="007F54D3">
              <w:rPr>
                <w:szCs w:val="20"/>
                <w:lang w:val="en-US"/>
              </w:rPr>
              <w:fldChar w:fldCharType="separate"/>
            </w:r>
            <w:r w:rsidR="00F1358C" w:rsidRPr="00F1358C">
              <w:rPr>
                <w:noProof/>
                <w:szCs w:val="20"/>
                <w:vertAlign w:val="superscript"/>
                <w:lang w:val="en-US"/>
              </w:rPr>
              <w:t>3-5</w:t>
            </w:r>
            <w:r w:rsidR="002A30BB" w:rsidRPr="007F54D3">
              <w:rPr>
                <w:szCs w:val="20"/>
                <w:lang w:val="en-US"/>
              </w:rPr>
              <w:fldChar w:fldCharType="end"/>
            </w:r>
          </w:p>
          <w:p w14:paraId="13FE94E9" w14:textId="2CEDF481" w:rsidR="00940707" w:rsidRPr="007F54D3" w:rsidRDefault="00940707" w:rsidP="007143F4">
            <w:pPr>
              <w:spacing w:before="0" w:after="0" w:line="480" w:lineRule="auto"/>
              <w:rPr>
                <w:szCs w:val="20"/>
                <w:lang w:val="en-US"/>
              </w:rPr>
            </w:pPr>
            <w:r w:rsidRPr="007F54D3">
              <w:rPr>
                <w:szCs w:val="20"/>
                <w:lang w:val="en-US"/>
              </w:rPr>
              <w:lastRenderedPageBreak/>
              <w:t>Ambulatory verified as well as primary and secondary hospital discharge diagnoses within the four quarters /</w:t>
            </w:r>
            <w:r w:rsidR="005B2D06" w:rsidRPr="007F54D3">
              <w:rPr>
                <w:szCs w:val="20"/>
                <w:lang w:val="en-US"/>
              </w:rPr>
              <w:t> </w:t>
            </w:r>
            <w:r w:rsidRPr="007F54D3">
              <w:rPr>
                <w:szCs w:val="20"/>
                <w:lang w:val="en-US"/>
              </w:rPr>
              <w:t>365 days before the index date were used to calculate the CCI score.</w:t>
            </w:r>
          </w:p>
          <w:p w14:paraId="13FE94EA" w14:textId="77777777" w:rsidR="003600BC" w:rsidRPr="007F54D3" w:rsidRDefault="003600BC" w:rsidP="007143F4">
            <w:pPr>
              <w:spacing w:before="0" w:after="0" w:line="480" w:lineRule="auto"/>
              <w:rPr>
                <w:szCs w:val="20"/>
                <w:lang w:val="en-US"/>
              </w:rPr>
            </w:pPr>
          </w:p>
          <w:p w14:paraId="13FE94EB" w14:textId="77777777" w:rsidR="00940707" w:rsidRPr="007F54D3" w:rsidRDefault="00487070" w:rsidP="007143F4">
            <w:pPr>
              <w:spacing w:before="0" w:after="0" w:line="480" w:lineRule="auto"/>
              <w:rPr>
                <w:szCs w:val="20"/>
                <w:lang w:val="en-US"/>
              </w:rPr>
            </w:pPr>
            <w:r w:rsidRPr="007F54D3">
              <w:rPr>
                <w:szCs w:val="20"/>
                <w:lang w:val="en-US"/>
              </w:rPr>
              <w:t>Summary measures of CCI score values in terms of mean and SD based on the total number of patients were assessed.</w:t>
            </w:r>
          </w:p>
        </w:tc>
      </w:tr>
      <w:tr w:rsidR="00940707" w:rsidRPr="00AD0D2F" w14:paraId="13FE94EE" w14:textId="77777777" w:rsidTr="00D0209D">
        <w:trPr>
          <w:trHeight w:val="283"/>
        </w:trPr>
        <w:tc>
          <w:tcPr>
            <w:tcW w:w="9639" w:type="dxa"/>
            <w:gridSpan w:val="6"/>
            <w:tcBorders>
              <w:top w:val="single" w:sz="8" w:space="0" w:color="000000"/>
              <w:left w:val="single" w:sz="8" w:space="0" w:color="000000"/>
              <w:right w:val="single" w:sz="8" w:space="0" w:color="000000"/>
            </w:tcBorders>
            <w:vAlign w:val="center"/>
          </w:tcPr>
          <w:p w14:paraId="13FE94ED" w14:textId="77777777" w:rsidR="00940707" w:rsidRPr="007F54D3" w:rsidRDefault="00940707" w:rsidP="007143F4">
            <w:pPr>
              <w:spacing w:before="0" w:after="0" w:line="480" w:lineRule="auto"/>
              <w:jc w:val="left"/>
              <w:rPr>
                <w:b/>
                <w:bCs/>
                <w:szCs w:val="20"/>
                <w:lang w:val="en-US"/>
              </w:rPr>
            </w:pPr>
            <w:r w:rsidRPr="007F54D3">
              <w:rPr>
                <w:b/>
                <w:bCs/>
                <w:szCs w:val="20"/>
                <w:lang w:val="en-US"/>
              </w:rPr>
              <w:lastRenderedPageBreak/>
              <w:t>Comorbidities</w:t>
            </w:r>
          </w:p>
        </w:tc>
      </w:tr>
      <w:tr w:rsidR="00987F7E" w:rsidRPr="007860AD" w14:paraId="13FE94F4"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EF" w14:textId="279CD8DC" w:rsidR="00940707" w:rsidRPr="007F54D3" w:rsidRDefault="00940707" w:rsidP="007143F4">
            <w:pPr>
              <w:spacing w:before="0" w:after="0" w:line="480" w:lineRule="auto"/>
              <w:jc w:val="left"/>
              <w:rPr>
                <w:szCs w:val="20"/>
                <w:lang w:val="en-US"/>
              </w:rPr>
            </w:pPr>
            <w:r w:rsidRPr="007F54D3">
              <w:rPr>
                <w:szCs w:val="20"/>
                <w:lang w:val="en-US"/>
              </w:rPr>
              <w:t xml:space="preserve">Ischemic stroke or </w:t>
            </w:r>
            <w:r w:rsidR="0027788A">
              <w:rPr>
                <w:szCs w:val="20"/>
                <w:lang w:val="en-US"/>
              </w:rPr>
              <w:t>TIA</w:t>
            </w:r>
          </w:p>
        </w:tc>
        <w:tc>
          <w:tcPr>
            <w:tcW w:w="1217" w:type="dxa"/>
            <w:gridSpan w:val="2"/>
            <w:tcBorders>
              <w:left w:val="single" w:sz="4" w:space="0" w:color="000000"/>
              <w:right w:val="single" w:sz="4" w:space="0" w:color="000000"/>
            </w:tcBorders>
            <w:vAlign w:val="center"/>
          </w:tcPr>
          <w:p w14:paraId="13FE94F0"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4F1" w14:textId="73F4D999" w:rsidR="00940707" w:rsidRPr="007F54D3" w:rsidRDefault="00940707" w:rsidP="007143F4">
            <w:pPr>
              <w:spacing w:before="0" w:after="0" w:line="480" w:lineRule="auto"/>
              <w:rPr>
                <w:szCs w:val="20"/>
                <w:lang w:val="en-US"/>
              </w:rPr>
            </w:pPr>
            <w:r w:rsidRPr="007F54D3">
              <w:rPr>
                <w:szCs w:val="20"/>
                <w:lang w:val="en-US"/>
              </w:rPr>
              <w:t xml:space="preserve">Ambulatory verified diagnoses in the four quarters prior to the index quarter as well as primary and secondary hospital discharge diagnoses within the 365 days before the index date were used to assess the number and percentage of patients suffering from ischemic stroke or </w:t>
            </w:r>
            <w:r w:rsidR="00487070" w:rsidRPr="007F54D3">
              <w:rPr>
                <w:szCs w:val="20"/>
                <w:lang w:val="en-US"/>
              </w:rPr>
              <w:t>TIA</w:t>
            </w:r>
            <w:r w:rsidRPr="007F54D3">
              <w:rPr>
                <w:szCs w:val="20"/>
                <w:lang w:val="en-US"/>
              </w:rPr>
              <w:t>.</w:t>
            </w:r>
          </w:p>
          <w:p w14:paraId="13FE94F2" w14:textId="77777777" w:rsidR="00487070" w:rsidRPr="007F54D3" w:rsidRDefault="00487070" w:rsidP="007143F4">
            <w:pPr>
              <w:spacing w:before="0" w:after="0" w:line="480" w:lineRule="auto"/>
              <w:rPr>
                <w:szCs w:val="20"/>
                <w:lang w:val="en-US"/>
              </w:rPr>
            </w:pPr>
          </w:p>
          <w:p w14:paraId="13FE94F3" w14:textId="77777777" w:rsidR="00940707" w:rsidRPr="007F54D3" w:rsidRDefault="00940707" w:rsidP="007143F4">
            <w:pPr>
              <w:spacing w:before="0" w:after="0" w:line="480" w:lineRule="auto"/>
              <w:rPr>
                <w:szCs w:val="20"/>
                <w:lang w:val="en-US"/>
              </w:rPr>
            </w:pPr>
            <w:r w:rsidRPr="007F54D3">
              <w:rPr>
                <w:szCs w:val="20"/>
                <w:lang w:val="en-US"/>
              </w:rPr>
              <w:t>Ischemic stroke or TIA were defined using the ICD-10-GM codes I63.-, I64.-, G45.8, and G45.9.</w:t>
            </w:r>
          </w:p>
        </w:tc>
      </w:tr>
      <w:tr w:rsidR="00987F7E" w:rsidRPr="007860AD" w14:paraId="13FE94FA"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F5" w14:textId="77777777" w:rsidR="00940707" w:rsidRPr="007F54D3" w:rsidRDefault="00940707" w:rsidP="007143F4">
            <w:pPr>
              <w:spacing w:before="0" w:after="0" w:line="480" w:lineRule="auto"/>
              <w:jc w:val="left"/>
              <w:rPr>
                <w:szCs w:val="20"/>
                <w:lang w:val="en-US"/>
              </w:rPr>
            </w:pPr>
            <w:r w:rsidRPr="007F54D3">
              <w:rPr>
                <w:szCs w:val="20"/>
                <w:lang w:val="en-US"/>
              </w:rPr>
              <w:t>Myocardial infarction</w:t>
            </w:r>
          </w:p>
        </w:tc>
        <w:tc>
          <w:tcPr>
            <w:tcW w:w="1217" w:type="dxa"/>
            <w:gridSpan w:val="2"/>
            <w:tcBorders>
              <w:left w:val="single" w:sz="4" w:space="0" w:color="000000"/>
              <w:right w:val="single" w:sz="4" w:space="0" w:color="000000"/>
            </w:tcBorders>
            <w:vAlign w:val="center"/>
          </w:tcPr>
          <w:p w14:paraId="13FE94F6"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4F7" w14:textId="77777777" w:rsidR="00940707" w:rsidRPr="007F54D3" w:rsidRDefault="00940707" w:rsidP="007143F4">
            <w:pPr>
              <w:spacing w:before="0" w:after="0" w:line="480" w:lineRule="auto"/>
              <w:rPr>
                <w:szCs w:val="20"/>
                <w:lang w:val="en-US"/>
              </w:rPr>
            </w:pPr>
            <w:r w:rsidRPr="007F54D3">
              <w:rPr>
                <w:szCs w:val="20"/>
                <w:lang w:val="en-US"/>
              </w:rPr>
              <w:t>Ambulatory verified diagnoses in the four quarters prior to the index quarter as well as primary and secondary hospital discharge diagnoses within the 365 days before the index date were used to assess the number and percentage of patients suffering from myocardial infarction.</w:t>
            </w:r>
          </w:p>
          <w:p w14:paraId="13FE94F8" w14:textId="77777777" w:rsidR="00487070" w:rsidRPr="007F54D3" w:rsidRDefault="00487070" w:rsidP="007143F4">
            <w:pPr>
              <w:spacing w:before="0" w:after="0" w:line="480" w:lineRule="auto"/>
              <w:rPr>
                <w:szCs w:val="20"/>
                <w:lang w:val="en-US"/>
              </w:rPr>
            </w:pPr>
          </w:p>
          <w:p w14:paraId="13FE94F9" w14:textId="77777777" w:rsidR="00940707" w:rsidRPr="007F54D3" w:rsidRDefault="00940707" w:rsidP="007143F4">
            <w:pPr>
              <w:spacing w:before="0" w:after="0" w:line="480" w:lineRule="auto"/>
              <w:rPr>
                <w:szCs w:val="20"/>
                <w:lang w:val="en-US"/>
              </w:rPr>
            </w:pPr>
            <w:r w:rsidRPr="007F54D3">
              <w:rPr>
                <w:szCs w:val="20"/>
                <w:lang w:val="en-US"/>
              </w:rPr>
              <w:t>Myocardial infarction was defined using the ICD-10-GM codes I21.- and I22.-.</w:t>
            </w:r>
          </w:p>
        </w:tc>
      </w:tr>
      <w:tr w:rsidR="00987F7E" w:rsidRPr="007860AD" w14:paraId="13FE9500"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4FB" w14:textId="77777777" w:rsidR="00940707" w:rsidRPr="007F54D3" w:rsidRDefault="00940707" w:rsidP="007143F4">
            <w:pPr>
              <w:spacing w:before="0" w:after="0" w:line="480" w:lineRule="auto"/>
              <w:jc w:val="left"/>
              <w:rPr>
                <w:szCs w:val="20"/>
                <w:lang w:val="en-US"/>
              </w:rPr>
            </w:pPr>
            <w:r w:rsidRPr="007F54D3">
              <w:rPr>
                <w:szCs w:val="20"/>
                <w:lang w:val="en-US"/>
              </w:rPr>
              <w:t>Renal insufficiency</w:t>
            </w:r>
          </w:p>
        </w:tc>
        <w:tc>
          <w:tcPr>
            <w:tcW w:w="1217" w:type="dxa"/>
            <w:gridSpan w:val="2"/>
            <w:tcBorders>
              <w:left w:val="single" w:sz="4" w:space="0" w:color="000000"/>
              <w:right w:val="single" w:sz="4" w:space="0" w:color="000000"/>
            </w:tcBorders>
            <w:vAlign w:val="center"/>
          </w:tcPr>
          <w:p w14:paraId="13FE94FC"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4FD" w14:textId="77777777" w:rsidR="00940707" w:rsidRPr="007F54D3" w:rsidRDefault="00940707" w:rsidP="007143F4">
            <w:pPr>
              <w:spacing w:before="0" w:after="0" w:line="480" w:lineRule="auto"/>
              <w:rPr>
                <w:szCs w:val="20"/>
                <w:lang w:val="en-US"/>
              </w:rPr>
            </w:pPr>
            <w:r w:rsidRPr="007F54D3">
              <w:rPr>
                <w:szCs w:val="20"/>
                <w:lang w:val="en-US"/>
              </w:rPr>
              <w:t>Ambulatory verified diagnoses in the four quarters prior to the index quarter as well as primary and secondary hospital discharge diagnoses within the 365 days before the index date were used to assess the number and percentage of patients suffering from renal insufficiency.</w:t>
            </w:r>
          </w:p>
          <w:p w14:paraId="13FE94FE" w14:textId="77777777" w:rsidR="00487070" w:rsidRPr="007F54D3" w:rsidRDefault="00487070" w:rsidP="007143F4">
            <w:pPr>
              <w:spacing w:before="0" w:after="0" w:line="480" w:lineRule="auto"/>
              <w:rPr>
                <w:szCs w:val="20"/>
                <w:lang w:val="en-US"/>
              </w:rPr>
            </w:pPr>
          </w:p>
          <w:p w14:paraId="13FE94FF" w14:textId="77777777" w:rsidR="00940707" w:rsidRPr="007F54D3" w:rsidRDefault="00940707" w:rsidP="007143F4">
            <w:pPr>
              <w:spacing w:before="0" w:after="0" w:line="480" w:lineRule="auto"/>
              <w:rPr>
                <w:szCs w:val="20"/>
                <w:lang w:val="en-US"/>
              </w:rPr>
            </w:pPr>
            <w:r w:rsidRPr="007F54D3">
              <w:rPr>
                <w:szCs w:val="20"/>
                <w:lang w:val="en-US"/>
              </w:rPr>
              <w:t>Renal insufficiency was defined using the ICD-10-GM code N18.-.</w:t>
            </w:r>
          </w:p>
        </w:tc>
      </w:tr>
      <w:tr w:rsidR="00987F7E" w:rsidRPr="00AD0D2F" w14:paraId="13FE9506"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501" w14:textId="77777777" w:rsidR="00940707" w:rsidRPr="007F54D3" w:rsidRDefault="00940707" w:rsidP="007143F4">
            <w:pPr>
              <w:spacing w:before="0" w:after="0" w:line="480" w:lineRule="auto"/>
              <w:jc w:val="left"/>
              <w:rPr>
                <w:szCs w:val="20"/>
                <w:lang w:val="en-US"/>
              </w:rPr>
            </w:pPr>
            <w:r w:rsidRPr="007F54D3">
              <w:rPr>
                <w:szCs w:val="20"/>
                <w:lang w:val="en-US"/>
              </w:rPr>
              <w:t>Diabetes mellitus</w:t>
            </w:r>
          </w:p>
        </w:tc>
        <w:tc>
          <w:tcPr>
            <w:tcW w:w="1217" w:type="dxa"/>
            <w:gridSpan w:val="2"/>
            <w:tcBorders>
              <w:left w:val="single" w:sz="4" w:space="0" w:color="000000"/>
              <w:right w:val="single" w:sz="4" w:space="0" w:color="000000"/>
            </w:tcBorders>
            <w:vAlign w:val="center"/>
          </w:tcPr>
          <w:p w14:paraId="13FE9502"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503" w14:textId="77777777" w:rsidR="00940707" w:rsidRPr="007F54D3" w:rsidRDefault="00940707" w:rsidP="007143F4">
            <w:pPr>
              <w:spacing w:before="0" w:after="0" w:line="480" w:lineRule="auto"/>
              <w:rPr>
                <w:szCs w:val="20"/>
                <w:lang w:val="en-US"/>
              </w:rPr>
            </w:pPr>
            <w:r w:rsidRPr="007F54D3">
              <w:rPr>
                <w:szCs w:val="20"/>
                <w:lang w:val="en-US"/>
              </w:rPr>
              <w:t xml:space="preserve">Ambulatory verified diagnoses in the four quarters prior to the index quarter as well as primary and secondary hospital discharge diagnoses </w:t>
            </w:r>
            <w:r w:rsidRPr="007F54D3">
              <w:rPr>
                <w:szCs w:val="20"/>
                <w:lang w:val="en-US"/>
              </w:rPr>
              <w:lastRenderedPageBreak/>
              <w:t>within the 365 days before the index date were used to assess the number and percentage of patients suffering from diabetes mellitus.</w:t>
            </w:r>
          </w:p>
          <w:p w14:paraId="13FE9504" w14:textId="77777777" w:rsidR="00487070" w:rsidRPr="007F54D3" w:rsidRDefault="00487070" w:rsidP="007143F4">
            <w:pPr>
              <w:spacing w:before="0" w:after="0" w:line="480" w:lineRule="auto"/>
              <w:rPr>
                <w:szCs w:val="20"/>
                <w:lang w:val="en-US"/>
              </w:rPr>
            </w:pPr>
          </w:p>
          <w:p w14:paraId="13FE9505" w14:textId="77777777" w:rsidR="00940707" w:rsidRPr="007F54D3" w:rsidRDefault="00940707" w:rsidP="007143F4">
            <w:pPr>
              <w:spacing w:before="0" w:after="0" w:line="480" w:lineRule="auto"/>
              <w:rPr>
                <w:szCs w:val="20"/>
                <w:lang w:val="en-US"/>
              </w:rPr>
            </w:pPr>
            <w:r w:rsidRPr="007F54D3">
              <w:rPr>
                <w:szCs w:val="20"/>
                <w:lang w:val="en-US"/>
              </w:rPr>
              <w:t>Diabetes mellitus was defined using the ICD-10-GM codes E10.-, E11.-, E12.-, E13.-, and E14.-.</w:t>
            </w:r>
          </w:p>
        </w:tc>
      </w:tr>
      <w:tr w:rsidR="00987F7E" w:rsidRPr="007860AD" w14:paraId="13FE950C"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507" w14:textId="77777777" w:rsidR="00940707" w:rsidRPr="007F54D3" w:rsidRDefault="00940707" w:rsidP="007143F4">
            <w:pPr>
              <w:spacing w:before="0" w:after="0" w:line="480" w:lineRule="auto"/>
              <w:jc w:val="left"/>
              <w:rPr>
                <w:szCs w:val="20"/>
                <w:lang w:val="en-US"/>
              </w:rPr>
            </w:pPr>
            <w:r w:rsidRPr="007F54D3">
              <w:rPr>
                <w:szCs w:val="20"/>
                <w:lang w:val="en-US"/>
              </w:rPr>
              <w:lastRenderedPageBreak/>
              <w:t>Hypertension</w:t>
            </w:r>
          </w:p>
        </w:tc>
        <w:tc>
          <w:tcPr>
            <w:tcW w:w="1217" w:type="dxa"/>
            <w:gridSpan w:val="2"/>
            <w:tcBorders>
              <w:left w:val="single" w:sz="4" w:space="0" w:color="000000"/>
              <w:right w:val="single" w:sz="4" w:space="0" w:color="000000"/>
            </w:tcBorders>
            <w:vAlign w:val="center"/>
          </w:tcPr>
          <w:p w14:paraId="13FE9508"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509" w14:textId="77777777" w:rsidR="00940707" w:rsidRPr="007F54D3" w:rsidRDefault="00940707" w:rsidP="007143F4">
            <w:pPr>
              <w:spacing w:before="0" w:after="0" w:line="480" w:lineRule="auto"/>
              <w:rPr>
                <w:szCs w:val="20"/>
                <w:lang w:val="en-US"/>
              </w:rPr>
            </w:pPr>
            <w:r w:rsidRPr="007F54D3">
              <w:rPr>
                <w:szCs w:val="20"/>
                <w:lang w:val="en-US"/>
              </w:rPr>
              <w:t>Ambulatory verified diagnoses in the four quarters prior to the index quarter as well as primary and secondary hospital discharge diagnoses within the 365 days before the index date were used to assess the number and percentage of patients suffering from hypertension.</w:t>
            </w:r>
          </w:p>
          <w:p w14:paraId="13FE950A" w14:textId="77777777" w:rsidR="00487070" w:rsidRPr="007F54D3" w:rsidRDefault="00487070" w:rsidP="007143F4">
            <w:pPr>
              <w:spacing w:before="0" w:after="0" w:line="480" w:lineRule="auto"/>
              <w:rPr>
                <w:szCs w:val="20"/>
                <w:lang w:val="en-US"/>
              </w:rPr>
            </w:pPr>
          </w:p>
          <w:p w14:paraId="13FE950B" w14:textId="77777777" w:rsidR="00940707" w:rsidRPr="007F54D3" w:rsidRDefault="00940707" w:rsidP="007143F4">
            <w:pPr>
              <w:spacing w:before="0" w:after="0" w:line="480" w:lineRule="auto"/>
              <w:rPr>
                <w:szCs w:val="20"/>
                <w:lang w:val="en-US"/>
              </w:rPr>
            </w:pPr>
            <w:r w:rsidRPr="007F54D3">
              <w:rPr>
                <w:szCs w:val="20"/>
                <w:lang w:val="en-US"/>
              </w:rPr>
              <w:t>Hypertension was defined using the ICD-10-GM code I10.-.</w:t>
            </w:r>
          </w:p>
        </w:tc>
      </w:tr>
      <w:tr w:rsidR="00987F7E" w:rsidRPr="007860AD" w14:paraId="13FE9512"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50D" w14:textId="77777777" w:rsidR="00940707" w:rsidRPr="007F54D3" w:rsidRDefault="00940707" w:rsidP="007143F4">
            <w:pPr>
              <w:spacing w:before="0" w:after="0" w:line="480" w:lineRule="auto"/>
              <w:jc w:val="left"/>
              <w:rPr>
                <w:szCs w:val="20"/>
                <w:lang w:val="en-US"/>
              </w:rPr>
            </w:pPr>
            <w:r w:rsidRPr="007F54D3">
              <w:rPr>
                <w:szCs w:val="20"/>
                <w:lang w:val="en-US"/>
              </w:rPr>
              <w:t>Congestive heart failure</w:t>
            </w:r>
          </w:p>
        </w:tc>
        <w:tc>
          <w:tcPr>
            <w:tcW w:w="1217" w:type="dxa"/>
            <w:gridSpan w:val="2"/>
            <w:tcBorders>
              <w:left w:val="single" w:sz="4" w:space="0" w:color="000000"/>
              <w:right w:val="single" w:sz="4" w:space="0" w:color="000000"/>
            </w:tcBorders>
            <w:vAlign w:val="center"/>
          </w:tcPr>
          <w:p w14:paraId="13FE950E"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50F" w14:textId="77777777" w:rsidR="00940707" w:rsidRPr="007F54D3" w:rsidRDefault="00940707" w:rsidP="007143F4">
            <w:pPr>
              <w:spacing w:before="0" w:after="0" w:line="480" w:lineRule="auto"/>
              <w:rPr>
                <w:szCs w:val="20"/>
                <w:lang w:val="en-US"/>
              </w:rPr>
            </w:pPr>
            <w:r w:rsidRPr="007F54D3">
              <w:rPr>
                <w:szCs w:val="20"/>
                <w:lang w:val="en-US"/>
              </w:rPr>
              <w:t>Ambulatory verified diagnoses in the four quarters prior to the index quarter as well as primary and secondary hospital discharge diagnoses within the 365 days before the index date were used to assess the number and percentage of patients suffering from congestive heart failure.</w:t>
            </w:r>
          </w:p>
          <w:p w14:paraId="13FE9510" w14:textId="77777777" w:rsidR="00487070" w:rsidRPr="007F54D3" w:rsidRDefault="00487070" w:rsidP="007143F4">
            <w:pPr>
              <w:spacing w:before="0" w:after="0" w:line="480" w:lineRule="auto"/>
              <w:rPr>
                <w:szCs w:val="20"/>
                <w:lang w:val="en-US"/>
              </w:rPr>
            </w:pPr>
          </w:p>
          <w:p w14:paraId="13FE9511" w14:textId="77777777" w:rsidR="00940707" w:rsidRPr="007F54D3" w:rsidRDefault="00940707" w:rsidP="007143F4">
            <w:pPr>
              <w:spacing w:before="0" w:after="0" w:line="480" w:lineRule="auto"/>
              <w:rPr>
                <w:szCs w:val="20"/>
                <w:lang w:val="en-US"/>
              </w:rPr>
            </w:pPr>
            <w:r w:rsidRPr="007F54D3">
              <w:rPr>
                <w:szCs w:val="20"/>
                <w:lang w:val="en-US"/>
              </w:rPr>
              <w:t>Congestive heart failure was defined using the ICD-10-GM code I50.-.</w:t>
            </w:r>
          </w:p>
        </w:tc>
      </w:tr>
      <w:tr w:rsidR="00987F7E" w:rsidRPr="007860AD" w14:paraId="13FE9518"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513" w14:textId="77777777" w:rsidR="00940707" w:rsidRPr="007F54D3" w:rsidRDefault="00940707" w:rsidP="007143F4">
            <w:pPr>
              <w:spacing w:before="0" w:after="0" w:line="480" w:lineRule="auto"/>
              <w:jc w:val="left"/>
              <w:rPr>
                <w:szCs w:val="20"/>
                <w:lang w:val="en-US"/>
              </w:rPr>
            </w:pPr>
            <w:r w:rsidRPr="007F54D3">
              <w:rPr>
                <w:szCs w:val="20"/>
                <w:lang w:val="en-US"/>
              </w:rPr>
              <w:t>Coronary heart disease</w:t>
            </w:r>
          </w:p>
        </w:tc>
        <w:tc>
          <w:tcPr>
            <w:tcW w:w="1217" w:type="dxa"/>
            <w:gridSpan w:val="2"/>
            <w:tcBorders>
              <w:left w:val="single" w:sz="4" w:space="0" w:color="000000"/>
              <w:right w:val="single" w:sz="4" w:space="0" w:color="000000"/>
            </w:tcBorders>
            <w:vAlign w:val="center"/>
          </w:tcPr>
          <w:p w14:paraId="13FE9514"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515" w14:textId="77777777" w:rsidR="00940707" w:rsidRPr="007F54D3" w:rsidRDefault="00940707" w:rsidP="007143F4">
            <w:pPr>
              <w:spacing w:before="0" w:after="0" w:line="480" w:lineRule="auto"/>
              <w:rPr>
                <w:szCs w:val="20"/>
                <w:lang w:val="en-US"/>
              </w:rPr>
            </w:pPr>
            <w:r w:rsidRPr="007F54D3">
              <w:rPr>
                <w:szCs w:val="20"/>
                <w:lang w:val="en-US"/>
              </w:rPr>
              <w:t>Ambulatory verified diagnoses in the four quarters prior to the index quarter as well as primary and secondary hospital discharge diagnoses within the 365 days before the index date were used to assess the number and percentage of patients suffering from coronary heart disease.</w:t>
            </w:r>
          </w:p>
          <w:p w14:paraId="13FE9516" w14:textId="77777777" w:rsidR="00487070" w:rsidRPr="007F54D3" w:rsidRDefault="00487070" w:rsidP="007143F4">
            <w:pPr>
              <w:spacing w:before="0" w:after="0" w:line="480" w:lineRule="auto"/>
              <w:rPr>
                <w:szCs w:val="20"/>
                <w:lang w:val="en-US"/>
              </w:rPr>
            </w:pPr>
          </w:p>
          <w:p w14:paraId="13FE9517" w14:textId="77777777" w:rsidR="00940707" w:rsidRPr="007F54D3" w:rsidRDefault="00940707" w:rsidP="007143F4">
            <w:pPr>
              <w:spacing w:before="0" w:after="0" w:line="480" w:lineRule="auto"/>
              <w:rPr>
                <w:szCs w:val="20"/>
                <w:lang w:val="en-US"/>
              </w:rPr>
            </w:pPr>
            <w:r w:rsidRPr="007F54D3">
              <w:rPr>
                <w:szCs w:val="20"/>
                <w:lang w:val="en-US"/>
              </w:rPr>
              <w:t>Coronary heart disease was defined using the ICD-10-GM codes I20.-, I24.-, and I25.-.</w:t>
            </w:r>
          </w:p>
        </w:tc>
      </w:tr>
      <w:tr w:rsidR="00987F7E" w:rsidRPr="007860AD" w14:paraId="13FE951E" w14:textId="77777777" w:rsidTr="008D76B3">
        <w:trPr>
          <w:gridAfter w:val="1"/>
          <w:wAfter w:w="6" w:type="dxa"/>
          <w:trHeight w:val="283"/>
        </w:trPr>
        <w:tc>
          <w:tcPr>
            <w:tcW w:w="2256" w:type="dxa"/>
            <w:tcBorders>
              <w:left w:val="single" w:sz="8" w:space="0" w:color="000000"/>
              <w:right w:val="single" w:sz="4" w:space="0" w:color="000000"/>
            </w:tcBorders>
            <w:vAlign w:val="center"/>
          </w:tcPr>
          <w:p w14:paraId="13FE9519" w14:textId="77777777" w:rsidR="00940707" w:rsidRPr="007F54D3" w:rsidRDefault="00940707" w:rsidP="007143F4">
            <w:pPr>
              <w:spacing w:before="0" w:after="0" w:line="480" w:lineRule="auto"/>
              <w:jc w:val="left"/>
              <w:rPr>
                <w:szCs w:val="20"/>
                <w:lang w:val="en-US"/>
              </w:rPr>
            </w:pPr>
            <w:r w:rsidRPr="007F54D3">
              <w:rPr>
                <w:szCs w:val="20"/>
                <w:lang w:val="en-US"/>
              </w:rPr>
              <w:t>Any bleeding event</w:t>
            </w:r>
          </w:p>
        </w:tc>
        <w:tc>
          <w:tcPr>
            <w:tcW w:w="1217" w:type="dxa"/>
            <w:gridSpan w:val="2"/>
            <w:tcBorders>
              <w:left w:val="single" w:sz="4" w:space="0" w:color="000000"/>
              <w:right w:val="single" w:sz="4" w:space="0" w:color="000000"/>
            </w:tcBorders>
            <w:vAlign w:val="center"/>
          </w:tcPr>
          <w:p w14:paraId="13FE951A"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51B" w14:textId="77777777" w:rsidR="00940707" w:rsidRPr="007F54D3" w:rsidRDefault="00940707" w:rsidP="007143F4">
            <w:pPr>
              <w:spacing w:before="0" w:after="0" w:line="480" w:lineRule="auto"/>
              <w:rPr>
                <w:szCs w:val="20"/>
                <w:lang w:val="en-US"/>
              </w:rPr>
            </w:pPr>
            <w:r w:rsidRPr="007F54D3">
              <w:rPr>
                <w:szCs w:val="20"/>
                <w:lang w:val="en-US"/>
              </w:rPr>
              <w:t>Primary and secondary hospital discharge diagnoses within the 365</w:t>
            </w:r>
            <w:r w:rsidR="00487070" w:rsidRPr="007F54D3">
              <w:rPr>
                <w:szCs w:val="20"/>
                <w:lang w:val="en-US"/>
              </w:rPr>
              <w:t> </w:t>
            </w:r>
            <w:r w:rsidRPr="007F54D3">
              <w:rPr>
                <w:szCs w:val="20"/>
                <w:lang w:val="en-US"/>
              </w:rPr>
              <w:t>days before the index date were used to assess the number and percentage of patients suffering from any bleeding event.</w:t>
            </w:r>
          </w:p>
          <w:p w14:paraId="13FE951C" w14:textId="77777777" w:rsidR="00487070" w:rsidRPr="007F54D3" w:rsidRDefault="00487070" w:rsidP="007143F4">
            <w:pPr>
              <w:spacing w:before="0" w:after="0" w:line="480" w:lineRule="auto"/>
              <w:rPr>
                <w:szCs w:val="20"/>
                <w:lang w:val="en-US"/>
              </w:rPr>
            </w:pPr>
          </w:p>
          <w:p w14:paraId="13FE951D" w14:textId="2CFF7DA6" w:rsidR="00940707" w:rsidRPr="007F54D3" w:rsidRDefault="00940707" w:rsidP="007143F4">
            <w:pPr>
              <w:spacing w:before="0" w:after="0" w:line="480" w:lineRule="auto"/>
              <w:rPr>
                <w:szCs w:val="20"/>
                <w:lang w:val="en-US"/>
              </w:rPr>
            </w:pPr>
            <w:r w:rsidRPr="007F54D3">
              <w:rPr>
                <w:szCs w:val="20"/>
                <w:lang w:val="en-US"/>
              </w:rPr>
              <w:t>For a complete list of all ICD-10-GM codes and OPS codes which were used to identify any bleeding events please refer to</w:t>
            </w:r>
            <w:r w:rsidR="00FE775B" w:rsidRPr="007F54D3">
              <w:rPr>
                <w:szCs w:val="20"/>
                <w:lang w:val="en-US"/>
              </w:rPr>
              <w:t xml:space="preserve"> </w:t>
            </w:r>
            <w:r w:rsidR="00FE775B" w:rsidRPr="007F54D3">
              <w:rPr>
                <w:b/>
                <w:bCs/>
                <w:szCs w:val="20"/>
                <w:lang w:val="en-US"/>
              </w:rPr>
              <w:fldChar w:fldCharType="begin"/>
            </w:r>
            <w:r w:rsidR="00FE775B" w:rsidRPr="007F54D3">
              <w:rPr>
                <w:b/>
                <w:bCs/>
                <w:szCs w:val="20"/>
                <w:lang w:val="en-US"/>
              </w:rPr>
              <w:instrText xml:space="preserve"> REF _Ref87532793 \h  \* MERGEFORMAT </w:instrText>
            </w:r>
            <w:r w:rsidR="00FE775B" w:rsidRPr="007F54D3">
              <w:rPr>
                <w:b/>
                <w:bCs/>
                <w:szCs w:val="20"/>
                <w:lang w:val="en-US"/>
              </w:rPr>
            </w:r>
            <w:r w:rsidR="00FE775B" w:rsidRPr="007F54D3">
              <w:rPr>
                <w:b/>
                <w:bCs/>
                <w:szCs w:val="20"/>
                <w:lang w:val="en-US"/>
              </w:rPr>
              <w:fldChar w:fldCharType="separate"/>
            </w:r>
            <w:r w:rsidR="00FE775B" w:rsidRPr="007F54D3">
              <w:rPr>
                <w:b/>
                <w:bCs/>
                <w:szCs w:val="20"/>
                <w:lang w:val="en-US"/>
              </w:rPr>
              <w:t>Table S</w:t>
            </w:r>
            <w:r w:rsidR="00FE775B" w:rsidRPr="007F54D3">
              <w:rPr>
                <w:b/>
                <w:bCs/>
                <w:noProof/>
                <w:szCs w:val="20"/>
                <w:lang w:val="en-US"/>
              </w:rPr>
              <w:t>3</w:t>
            </w:r>
            <w:r w:rsidR="00FE775B" w:rsidRPr="007F54D3">
              <w:rPr>
                <w:b/>
                <w:bCs/>
                <w:szCs w:val="20"/>
                <w:lang w:val="en-US"/>
              </w:rPr>
              <w:fldChar w:fldCharType="end"/>
            </w:r>
            <w:r w:rsidRPr="007F54D3">
              <w:rPr>
                <w:szCs w:val="20"/>
                <w:lang w:val="en-US"/>
              </w:rPr>
              <w:t>.</w:t>
            </w:r>
          </w:p>
        </w:tc>
      </w:tr>
      <w:tr w:rsidR="00572E84" w:rsidRPr="007860AD" w14:paraId="13FE952B" w14:textId="77777777" w:rsidTr="008D76B3">
        <w:trPr>
          <w:gridAfter w:val="1"/>
          <w:wAfter w:w="6" w:type="dxa"/>
          <w:trHeight w:val="283"/>
        </w:trPr>
        <w:tc>
          <w:tcPr>
            <w:tcW w:w="2256" w:type="dxa"/>
            <w:tcBorders>
              <w:left w:val="single" w:sz="8" w:space="0" w:color="000000"/>
              <w:bottom w:val="single" w:sz="8" w:space="0" w:color="000000"/>
              <w:right w:val="single" w:sz="4" w:space="0" w:color="000000"/>
            </w:tcBorders>
            <w:vAlign w:val="center"/>
          </w:tcPr>
          <w:p w14:paraId="13FE951F" w14:textId="77777777" w:rsidR="00940707" w:rsidRPr="007F54D3" w:rsidRDefault="00940707" w:rsidP="007143F4">
            <w:pPr>
              <w:spacing w:before="0" w:after="0" w:line="480" w:lineRule="auto"/>
              <w:jc w:val="left"/>
              <w:rPr>
                <w:szCs w:val="20"/>
                <w:lang w:val="en-US"/>
              </w:rPr>
            </w:pPr>
            <w:r w:rsidRPr="007F54D3">
              <w:rPr>
                <w:szCs w:val="20"/>
                <w:lang w:val="en-US"/>
              </w:rPr>
              <w:lastRenderedPageBreak/>
              <w:t>Major bleeding event</w:t>
            </w:r>
          </w:p>
        </w:tc>
        <w:tc>
          <w:tcPr>
            <w:tcW w:w="1217" w:type="dxa"/>
            <w:gridSpan w:val="2"/>
            <w:tcBorders>
              <w:left w:val="single" w:sz="4" w:space="0" w:color="000000"/>
              <w:bottom w:val="single" w:sz="8" w:space="0" w:color="000000"/>
              <w:right w:val="single" w:sz="4" w:space="0" w:color="000000"/>
            </w:tcBorders>
            <w:vAlign w:val="center"/>
          </w:tcPr>
          <w:p w14:paraId="13FE9520"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60" w:type="dxa"/>
            <w:gridSpan w:val="2"/>
            <w:tcBorders>
              <w:left w:val="single" w:sz="4" w:space="0" w:color="000000"/>
              <w:right w:val="single" w:sz="8" w:space="0" w:color="000000"/>
            </w:tcBorders>
            <w:vAlign w:val="center"/>
          </w:tcPr>
          <w:p w14:paraId="13FE9521" w14:textId="77777777" w:rsidR="00940707" w:rsidRPr="007F54D3" w:rsidRDefault="00940707" w:rsidP="007143F4">
            <w:pPr>
              <w:spacing w:before="0" w:after="0" w:line="480" w:lineRule="auto"/>
              <w:rPr>
                <w:szCs w:val="20"/>
                <w:lang w:val="en-US"/>
              </w:rPr>
            </w:pPr>
            <w:r w:rsidRPr="007F54D3">
              <w:rPr>
                <w:szCs w:val="20"/>
                <w:lang w:val="en-US"/>
              </w:rPr>
              <w:t>Primary and secondary hospital discharge diagnoses within the 365</w:t>
            </w:r>
            <w:r w:rsidR="00487070" w:rsidRPr="007F54D3">
              <w:rPr>
                <w:szCs w:val="20"/>
                <w:lang w:val="en-US"/>
              </w:rPr>
              <w:t> </w:t>
            </w:r>
            <w:r w:rsidRPr="007F54D3">
              <w:rPr>
                <w:szCs w:val="20"/>
                <w:lang w:val="en-US"/>
              </w:rPr>
              <w:t>days before the index date were used to assess the number and percentage of patients suffering from a major bleeding event.</w:t>
            </w:r>
          </w:p>
          <w:p w14:paraId="13FE9522" w14:textId="77777777" w:rsidR="00940707" w:rsidRPr="007F54D3" w:rsidRDefault="00940707" w:rsidP="007143F4">
            <w:pPr>
              <w:spacing w:before="0" w:after="0" w:line="480" w:lineRule="auto"/>
              <w:rPr>
                <w:szCs w:val="20"/>
                <w:lang w:val="en-US"/>
              </w:rPr>
            </w:pPr>
            <w:r w:rsidRPr="007F54D3">
              <w:rPr>
                <w:szCs w:val="20"/>
                <w:lang w:val="en-US"/>
              </w:rPr>
              <w:t>Major bleeding events were defined as</w:t>
            </w:r>
          </w:p>
          <w:p w14:paraId="13FE9523" w14:textId="698E7072" w:rsidR="00940707" w:rsidRPr="007F54D3" w:rsidRDefault="00940707" w:rsidP="007143F4">
            <w:pPr>
              <w:pStyle w:val="Fuzeile"/>
              <w:numPr>
                <w:ilvl w:val="0"/>
                <w:numId w:val="22"/>
              </w:numPr>
              <w:spacing w:line="480" w:lineRule="auto"/>
              <w:rPr>
                <w:szCs w:val="20"/>
                <w:lang w:val="en-US"/>
              </w:rPr>
            </w:pPr>
            <w:r w:rsidRPr="007F54D3">
              <w:rPr>
                <w:szCs w:val="20"/>
                <w:lang w:val="en-US"/>
              </w:rPr>
              <w:t xml:space="preserve">Cases with documented primary and secondary hospital discharge diagnoses of major bleeding event in accordance with ICD-10-GM codes classified as major or intracranial bleeding from </w:t>
            </w:r>
            <w:r w:rsidR="00FE775B" w:rsidRPr="007F54D3">
              <w:rPr>
                <w:b/>
                <w:bCs/>
                <w:szCs w:val="20"/>
                <w:lang w:val="en-US"/>
              </w:rPr>
              <w:fldChar w:fldCharType="begin"/>
            </w:r>
            <w:r w:rsidR="00FE775B" w:rsidRPr="007F54D3">
              <w:rPr>
                <w:b/>
                <w:bCs/>
                <w:szCs w:val="20"/>
                <w:lang w:val="en-US"/>
              </w:rPr>
              <w:instrText xml:space="preserve"> REF _Ref87532793 \h  \* MERGEFORMAT </w:instrText>
            </w:r>
            <w:r w:rsidR="00FE775B" w:rsidRPr="007F54D3">
              <w:rPr>
                <w:b/>
                <w:bCs/>
                <w:szCs w:val="20"/>
                <w:lang w:val="en-US"/>
              </w:rPr>
            </w:r>
            <w:r w:rsidR="00FE775B" w:rsidRPr="007F54D3">
              <w:rPr>
                <w:b/>
                <w:bCs/>
                <w:szCs w:val="20"/>
                <w:lang w:val="en-US"/>
              </w:rPr>
              <w:fldChar w:fldCharType="separate"/>
            </w:r>
            <w:r w:rsidR="00FE775B" w:rsidRPr="007F54D3">
              <w:rPr>
                <w:b/>
                <w:bCs/>
                <w:szCs w:val="20"/>
                <w:lang w:val="en-US"/>
              </w:rPr>
              <w:t>Table</w:t>
            </w:r>
            <w:r w:rsidR="00C90648">
              <w:rPr>
                <w:b/>
                <w:bCs/>
                <w:szCs w:val="20"/>
                <w:lang w:val="en-US"/>
              </w:rPr>
              <w:t> </w:t>
            </w:r>
            <w:r w:rsidR="00FE775B" w:rsidRPr="007F54D3">
              <w:rPr>
                <w:b/>
                <w:bCs/>
                <w:szCs w:val="20"/>
                <w:lang w:val="en-US"/>
              </w:rPr>
              <w:t>S</w:t>
            </w:r>
            <w:r w:rsidR="00FE775B" w:rsidRPr="007F54D3">
              <w:rPr>
                <w:b/>
                <w:bCs/>
                <w:noProof/>
                <w:szCs w:val="20"/>
                <w:lang w:val="en-US"/>
              </w:rPr>
              <w:t>3</w:t>
            </w:r>
            <w:r w:rsidR="00FE775B" w:rsidRPr="007F54D3">
              <w:rPr>
                <w:b/>
                <w:bCs/>
                <w:szCs w:val="20"/>
                <w:lang w:val="en-US"/>
              </w:rPr>
              <w:fldChar w:fldCharType="end"/>
            </w:r>
            <w:r w:rsidRPr="007F54D3">
              <w:rPr>
                <w:szCs w:val="20"/>
                <w:lang w:val="en-US"/>
              </w:rPr>
              <w:t>.</w:t>
            </w:r>
          </w:p>
          <w:p w14:paraId="13FE9524" w14:textId="77777777" w:rsidR="00940707" w:rsidRPr="007F54D3" w:rsidRDefault="00940707" w:rsidP="007143F4">
            <w:pPr>
              <w:spacing w:before="0" w:after="0" w:line="480" w:lineRule="auto"/>
              <w:rPr>
                <w:b/>
                <w:bCs/>
                <w:szCs w:val="20"/>
                <w:lang w:val="en-US"/>
              </w:rPr>
            </w:pPr>
            <w:r w:rsidRPr="007F54D3">
              <w:rPr>
                <w:b/>
                <w:bCs/>
                <w:szCs w:val="20"/>
                <w:lang w:val="en-US"/>
              </w:rPr>
              <w:t>OR</w:t>
            </w:r>
          </w:p>
          <w:p w14:paraId="13FE9525" w14:textId="77777777" w:rsidR="00940707" w:rsidRPr="007F54D3" w:rsidRDefault="00940707" w:rsidP="007143F4">
            <w:pPr>
              <w:pStyle w:val="Fuzeile"/>
              <w:numPr>
                <w:ilvl w:val="0"/>
                <w:numId w:val="22"/>
              </w:numPr>
              <w:spacing w:line="480" w:lineRule="auto"/>
              <w:rPr>
                <w:szCs w:val="20"/>
                <w:lang w:val="en-US"/>
              </w:rPr>
            </w:pPr>
            <w:r w:rsidRPr="007F54D3">
              <w:rPr>
                <w:szCs w:val="20"/>
                <w:lang w:val="en-US"/>
              </w:rPr>
              <w:t>Hospital cases in which the:</w:t>
            </w:r>
          </w:p>
          <w:p w14:paraId="13FE9526" w14:textId="77777777" w:rsidR="00940707" w:rsidRPr="007F54D3" w:rsidRDefault="00940707" w:rsidP="007143F4">
            <w:pPr>
              <w:pStyle w:val="Fuzeile"/>
              <w:numPr>
                <w:ilvl w:val="1"/>
                <w:numId w:val="22"/>
              </w:numPr>
              <w:spacing w:line="480" w:lineRule="auto"/>
              <w:rPr>
                <w:szCs w:val="20"/>
                <w:lang w:val="en-US"/>
              </w:rPr>
            </w:pPr>
            <w:r w:rsidRPr="007F54D3">
              <w:rPr>
                <w:szCs w:val="20"/>
                <w:lang w:val="en-US"/>
              </w:rPr>
              <w:t>Hospital admission was labelled as emergency admission</w:t>
            </w:r>
          </w:p>
          <w:p w14:paraId="13FE9527" w14:textId="77777777" w:rsidR="00940707" w:rsidRPr="007F54D3" w:rsidRDefault="00940707" w:rsidP="007143F4">
            <w:pPr>
              <w:spacing w:before="0" w:after="0" w:line="480" w:lineRule="auto"/>
              <w:ind w:left="1080"/>
              <w:rPr>
                <w:b/>
                <w:bCs/>
                <w:szCs w:val="20"/>
                <w:lang w:val="en-US"/>
              </w:rPr>
            </w:pPr>
            <w:r w:rsidRPr="007F54D3">
              <w:rPr>
                <w:b/>
                <w:bCs/>
                <w:szCs w:val="20"/>
                <w:lang w:val="en-US"/>
              </w:rPr>
              <w:t>AND</w:t>
            </w:r>
          </w:p>
          <w:p w14:paraId="13FE9528" w14:textId="2860D6FB" w:rsidR="00940707" w:rsidRPr="007F54D3" w:rsidRDefault="00940707" w:rsidP="007143F4">
            <w:pPr>
              <w:pStyle w:val="Fuzeile"/>
              <w:numPr>
                <w:ilvl w:val="1"/>
                <w:numId w:val="22"/>
              </w:numPr>
              <w:spacing w:line="480" w:lineRule="auto"/>
              <w:rPr>
                <w:szCs w:val="20"/>
                <w:lang w:val="en-US"/>
              </w:rPr>
            </w:pPr>
            <w:r w:rsidRPr="007F54D3">
              <w:rPr>
                <w:szCs w:val="20"/>
                <w:lang w:val="en-US"/>
              </w:rPr>
              <w:t xml:space="preserve">An any bleeding (except D62.-) or gastrointestinal bleeding event was coded in accordance with ICD-10-GM codes classified as any or gastrointestinal bleeding from </w:t>
            </w:r>
            <w:r w:rsidR="00FE775B" w:rsidRPr="007F54D3">
              <w:rPr>
                <w:b/>
                <w:bCs/>
                <w:szCs w:val="20"/>
                <w:lang w:val="en-US"/>
              </w:rPr>
              <w:fldChar w:fldCharType="begin"/>
            </w:r>
            <w:r w:rsidR="00FE775B" w:rsidRPr="007F54D3">
              <w:rPr>
                <w:b/>
                <w:bCs/>
                <w:szCs w:val="20"/>
                <w:lang w:val="en-US"/>
              </w:rPr>
              <w:instrText xml:space="preserve"> REF _Ref87532793 \h  \* MERGEFORMAT </w:instrText>
            </w:r>
            <w:r w:rsidR="00FE775B" w:rsidRPr="007F54D3">
              <w:rPr>
                <w:b/>
                <w:bCs/>
                <w:szCs w:val="20"/>
                <w:lang w:val="en-US"/>
              </w:rPr>
            </w:r>
            <w:r w:rsidR="00FE775B" w:rsidRPr="007F54D3">
              <w:rPr>
                <w:b/>
                <w:bCs/>
                <w:szCs w:val="20"/>
                <w:lang w:val="en-US"/>
              </w:rPr>
              <w:fldChar w:fldCharType="separate"/>
            </w:r>
            <w:r w:rsidR="00FE775B" w:rsidRPr="007F54D3">
              <w:rPr>
                <w:b/>
                <w:bCs/>
                <w:szCs w:val="20"/>
                <w:lang w:val="en-US"/>
              </w:rPr>
              <w:t>Table S</w:t>
            </w:r>
            <w:r w:rsidR="00FE775B" w:rsidRPr="007F54D3">
              <w:rPr>
                <w:b/>
                <w:bCs/>
                <w:noProof/>
                <w:szCs w:val="20"/>
                <w:lang w:val="en-US"/>
              </w:rPr>
              <w:t>3</w:t>
            </w:r>
            <w:r w:rsidR="00FE775B" w:rsidRPr="007F54D3">
              <w:rPr>
                <w:b/>
                <w:bCs/>
                <w:szCs w:val="20"/>
                <w:lang w:val="en-US"/>
              </w:rPr>
              <w:fldChar w:fldCharType="end"/>
            </w:r>
            <w:r w:rsidR="005D47B4" w:rsidRPr="007F54D3">
              <w:rPr>
                <w:szCs w:val="20"/>
                <w:lang w:val="en-US"/>
              </w:rPr>
              <w:t xml:space="preserve"> </w:t>
            </w:r>
            <w:r w:rsidRPr="007F54D3">
              <w:rPr>
                <w:szCs w:val="20"/>
                <w:lang w:val="en-US"/>
              </w:rPr>
              <w:t>and validated by the documentation of the OPS code 8-800 or the ICD-10-GM code D62.</w:t>
            </w:r>
          </w:p>
          <w:p w14:paraId="13FE9529" w14:textId="77777777" w:rsidR="00487070" w:rsidRPr="007F54D3" w:rsidRDefault="00487070" w:rsidP="007143F4">
            <w:pPr>
              <w:spacing w:before="0" w:after="0" w:line="480" w:lineRule="auto"/>
              <w:rPr>
                <w:szCs w:val="20"/>
                <w:lang w:val="en-US"/>
              </w:rPr>
            </w:pPr>
          </w:p>
          <w:p w14:paraId="13FE952A" w14:textId="512AD15E" w:rsidR="00940707" w:rsidRPr="007F54D3" w:rsidRDefault="00940707" w:rsidP="007143F4">
            <w:pPr>
              <w:spacing w:before="0" w:after="0" w:line="480" w:lineRule="auto"/>
              <w:rPr>
                <w:szCs w:val="20"/>
                <w:lang w:val="en-US"/>
              </w:rPr>
            </w:pPr>
            <w:r w:rsidRPr="007F54D3">
              <w:rPr>
                <w:szCs w:val="20"/>
                <w:lang w:val="en-US"/>
              </w:rPr>
              <w:t xml:space="preserve">For a complete list of all ICD-10-GM codes and OPS codes and their operationalization which were used to identify major bleeding events please refer to </w:t>
            </w:r>
            <w:r w:rsidR="00FE775B" w:rsidRPr="007F54D3">
              <w:rPr>
                <w:b/>
                <w:bCs/>
                <w:szCs w:val="20"/>
                <w:lang w:val="en-US"/>
              </w:rPr>
              <w:fldChar w:fldCharType="begin"/>
            </w:r>
            <w:r w:rsidR="00FE775B" w:rsidRPr="007F54D3">
              <w:rPr>
                <w:b/>
                <w:bCs/>
                <w:szCs w:val="20"/>
                <w:lang w:val="en-US"/>
              </w:rPr>
              <w:instrText xml:space="preserve"> REF _Ref87532793 \h  \* MERGEFORMAT </w:instrText>
            </w:r>
            <w:r w:rsidR="00FE775B" w:rsidRPr="007F54D3">
              <w:rPr>
                <w:b/>
                <w:bCs/>
                <w:szCs w:val="20"/>
                <w:lang w:val="en-US"/>
              </w:rPr>
            </w:r>
            <w:r w:rsidR="00FE775B" w:rsidRPr="007F54D3">
              <w:rPr>
                <w:b/>
                <w:bCs/>
                <w:szCs w:val="20"/>
                <w:lang w:val="en-US"/>
              </w:rPr>
              <w:fldChar w:fldCharType="separate"/>
            </w:r>
            <w:r w:rsidR="00FE775B" w:rsidRPr="007F54D3">
              <w:rPr>
                <w:b/>
                <w:bCs/>
                <w:szCs w:val="20"/>
                <w:lang w:val="en-US"/>
              </w:rPr>
              <w:t>Table S</w:t>
            </w:r>
            <w:r w:rsidR="00FE775B" w:rsidRPr="007F54D3">
              <w:rPr>
                <w:b/>
                <w:bCs/>
                <w:noProof/>
                <w:szCs w:val="20"/>
                <w:lang w:val="en-US"/>
              </w:rPr>
              <w:t>3</w:t>
            </w:r>
            <w:r w:rsidR="00FE775B" w:rsidRPr="007F54D3">
              <w:rPr>
                <w:b/>
                <w:bCs/>
                <w:szCs w:val="20"/>
                <w:lang w:val="en-US"/>
              </w:rPr>
              <w:fldChar w:fldCharType="end"/>
            </w:r>
            <w:r w:rsidRPr="007F54D3">
              <w:rPr>
                <w:szCs w:val="20"/>
                <w:lang w:val="en-US"/>
              </w:rPr>
              <w:t>.</w:t>
            </w:r>
          </w:p>
        </w:tc>
      </w:tr>
      <w:tr w:rsidR="00940707" w:rsidRPr="00AD0D2F" w14:paraId="13FE952D" w14:textId="77777777" w:rsidTr="00D0209D">
        <w:trPr>
          <w:trHeight w:val="283"/>
        </w:trPr>
        <w:tc>
          <w:tcPr>
            <w:tcW w:w="9639" w:type="dxa"/>
            <w:gridSpan w:val="6"/>
            <w:tcBorders>
              <w:top w:val="single" w:sz="8" w:space="0" w:color="000000"/>
              <w:left w:val="single" w:sz="8" w:space="0" w:color="000000"/>
              <w:right w:val="single" w:sz="8" w:space="0" w:color="000000"/>
            </w:tcBorders>
            <w:vAlign w:val="center"/>
          </w:tcPr>
          <w:p w14:paraId="13FE952C" w14:textId="77777777" w:rsidR="00940707" w:rsidRPr="007F54D3" w:rsidRDefault="00940707" w:rsidP="007143F4">
            <w:pPr>
              <w:spacing w:before="0" w:after="0" w:line="480" w:lineRule="auto"/>
              <w:jc w:val="left"/>
              <w:rPr>
                <w:b/>
                <w:bCs/>
                <w:szCs w:val="20"/>
                <w:lang w:val="en-US"/>
              </w:rPr>
            </w:pPr>
            <w:r w:rsidRPr="007F54D3">
              <w:rPr>
                <w:b/>
                <w:bCs/>
                <w:szCs w:val="20"/>
                <w:lang w:val="en-US"/>
              </w:rPr>
              <w:t>Concomitant Medication</w:t>
            </w:r>
          </w:p>
        </w:tc>
      </w:tr>
      <w:tr w:rsidR="00987F7E" w:rsidRPr="007860AD" w14:paraId="13FE9533" w14:textId="77777777" w:rsidTr="008D76B3">
        <w:trPr>
          <w:trHeight w:val="283"/>
        </w:trPr>
        <w:tc>
          <w:tcPr>
            <w:tcW w:w="2272" w:type="dxa"/>
            <w:gridSpan w:val="2"/>
            <w:tcBorders>
              <w:left w:val="single" w:sz="8" w:space="0" w:color="000000"/>
              <w:right w:val="single" w:sz="4" w:space="0" w:color="000000"/>
            </w:tcBorders>
            <w:vAlign w:val="center"/>
          </w:tcPr>
          <w:p w14:paraId="13FE952E" w14:textId="77777777" w:rsidR="00940707" w:rsidRPr="007F54D3" w:rsidRDefault="00940707" w:rsidP="007143F4">
            <w:pPr>
              <w:spacing w:before="0" w:after="0" w:line="480" w:lineRule="auto"/>
              <w:jc w:val="left"/>
              <w:rPr>
                <w:szCs w:val="20"/>
                <w:lang w:val="en-US"/>
              </w:rPr>
            </w:pPr>
            <w:r w:rsidRPr="007F54D3">
              <w:rPr>
                <w:szCs w:val="20"/>
                <w:lang w:val="en-US"/>
              </w:rPr>
              <w:t>Antiplatelet drugs</w:t>
            </w:r>
          </w:p>
        </w:tc>
        <w:tc>
          <w:tcPr>
            <w:tcW w:w="1217" w:type="dxa"/>
            <w:gridSpan w:val="2"/>
            <w:tcBorders>
              <w:left w:val="single" w:sz="4" w:space="0" w:color="000000"/>
              <w:right w:val="single" w:sz="4" w:space="0" w:color="000000"/>
            </w:tcBorders>
            <w:vAlign w:val="center"/>
          </w:tcPr>
          <w:p w14:paraId="13FE952F"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50" w:type="dxa"/>
            <w:gridSpan w:val="2"/>
            <w:tcBorders>
              <w:left w:val="single" w:sz="4" w:space="0" w:color="000000"/>
              <w:right w:val="single" w:sz="8" w:space="0" w:color="000000"/>
            </w:tcBorders>
            <w:vAlign w:val="center"/>
          </w:tcPr>
          <w:p w14:paraId="13FE9530" w14:textId="77777777" w:rsidR="00940707" w:rsidRPr="007F54D3" w:rsidRDefault="00940707" w:rsidP="007143F4">
            <w:pPr>
              <w:spacing w:before="0" w:after="0" w:line="480" w:lineRule="auto"/>
              <w:rPr>
                <w:szCs w:val="20"/>
                <w:lang w:val="en-US"/>
              </w:rPr>
            </w:pPr>
            <w:r w:rsidRPr="007F54D3">
              <w:rPr>
                <w:szCs w:val="20"/>
                <w:lang w:val="en-US"/>
              </w:rPr>
              <w:t>Assessment of the number and percentage of patients receiving at least one prescription for antiplatelet medications in the 365 days before or on the index date.</w:t>
            </w:r>
          </w:p>
          <w:p w14:paraId="13FE9531" w14:textId="77777777" w:rsidR="00881FDB" w:rsidRPr="007F54D3" w:rsidRDefault="00881FDB" w:rsidP="007143F4">
            <w:pPr>
              <w:spacing w:before="0" w:after="0" w:line="480" w:lineRule="auto"/>
              <w:rPr>
                <w:szCs w:val="20"/>
                <w:lang w:val="en-US"/>
              </w:rPr>
            </w:pPr>
          </w:p>
          <w:p w14:paraId="13FE9532" w14:textId="77777777" w:rsidR="00940707" w:rsidRPr="007F54D3" w:rsidRDefault="00940707" w:rsidP="007143F4">
            <w:pPr>
              <w:spacing w:before="0" w:after="0" w:line="480" w:lineRule="auto"/>
              <w:rPr>
                <w:szCs w:val="20"/>
                <w:lang w:val="en-US"/>
              </w:rPr>
            </w:pPr>
            <w:r w:rsidRPr="007F54D3">
              <w:rPr>
                <w:szCs w:val="20"/>
                <w:lang w:val="en-US"/>
              </w:rPr>
              <w:t>Prescriptions of antiplatelet drugs were identified using ATC code B01AC.</w:t>
            </w:r>
          </w:p>
        </w:tc>
      </w:tr>
      <w:tr w:rsidR="00987F7E" w:rsidRPr="007860AD" w14:paraId="13FE9539" w14:textId="77777777" w:rsidTr="008D76B3">
        <w:trPr>
          <w:trHeight w:val="283"/>
        </w:trPr>
        <w:tc>
          <w:tcPr>
            <w:tcW w:w="2272" w:type="dxa"/>
            <w:gridSpan w:val="2"/>
            <w:tcBorders>
              <w:left w:val="single" w:sz="8" w:space="0" w:color="000000"/>
              <w:right w:val="single" w:sz="4" w:space="0" w:color="000000"/>
            </w:tcBorders>
            <w:vAlign w:val="center"/>
          </w:tcPr>
          <w:p w14:paraId="13FE9534" w14:textId="77777777" w:rsidR="00940707" w:rsidRPr="007F54D3" w:rsidRDefault="00940707" w:rsidP="007143F4">
            <w:pPr>
              <w:spacing w:before="0" w:after="0" w:line="480" w:lineRule="auto"/>
              <w:jc w:val="left"/>
              <w:rPr>
                <w:szCs w:val="20"/>
                <w:lang w:val="en-US"/>
              </w:rPr>
            </w:pPr>
            <w:r w:rsidRPr="007F54D3">
              <w:rPr>
                <w:szCs w:val="20"/>
                <w:lang w:val="en-US"/>
              </w:rPr>
              <w:lastRenderedPageBreak/>
              <w:t>Acetylsalicylic acid</w:t>
            </w:r>
          </w:p>
        </w:tc>
        <w:tc>
          <w:tcPr>
            <w:tcW w:w="1217" w:type="dxa"/>
            <w:gridSpan w:val="2"/>
            <w:tcBorders>
              <w:left w:val="single" w:sz="4" w:space="0" w:color="000000"/>
              <w:right w:val="single" w:sz="4" w:space="0" w:color="000000"/>
            </w:tcBorders>
            <w:vAlign w:val="center"/>
          </w:tcPr>
          <w:p w14:paraId="13FE9535"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50" w:type="dxa"/>
            <w:gridSpan w:val="2"/>
            <w:tcBorders>
              <w:left w:val="single" w:sz="4" w:space="0" w:color="000000"/>
              <w:right w:val="single" w:sz="8" w:space="0" w:color="000000"/>
            </w:tcBorders>
            <w:vAlign w:val="center"/>
          </w:tcPr>
          <w:p w14:paraId="13FE9536" w14:textId="77777777" w:rsidR="00940707" w:rsidRPr="007F54D3" w:rsidRDefault="00940707" w:rsidP="007143F4">
            <w:pPr>
              <w:spacing w:before="0" w:after="0" w:line="480" w:lineRule="auto"/>
              <w:rPr>
                <w:szCs w:val="20"/>
                <w:lang w:val="en-US"/>
              </w:rPr>
            </w:pPr>
            <w:r w:rsidRPr="007F54D3">
              <w:rPr>
                <w:szCs w:val="20"/>
                <w:lang w:val="en-US"/>
              </w:rPr>
              <w:t>Assessment of the number and percentage of patients receiving at least one prescription for acetylsalicylic acid (ASA) medications in the 365 days before or on the index date.</w:t>
            </w:r>
          </w:p>
          <w:p w14:paraId="13FE9537" w14:textId="77777777" w:rsidR="00881FDB" w:rsidRPr="007F54D3" w:rsidRDefault="00881FDB" w:rsidP="007143F4">
            <w:pPr>
              <w:spacing w:before="0" w:after="0" w:line="480" w:lineRule="auto"/>
              <w:rPr>
                <w:szCs w:val="20"/>
                <w:lang w:val="en-US"/>
              </w:rPr>
            </w:pPr>
          </w:p>
          <w:p w14:paraId="13FE9538" w14:textId="77777777" w:rsidR="00940707" w:rsidRPr="007F54D3" w:rsidRDefault="00940707" w:rsidP="007143F4">
            <w:pPr>
              <w:spacing w:before="0" w:after="0" w:line="480" w:lineRule="auto"/>
              <w:rPr>
                <w:szCs w:val="20"/>
                <w:lang w:val="en-US"/>
              </w:rPr>
            </w:pPr>
            <w:r w:rsidRPr="007F54D3">
              <w:rPr>
                <w:szCs w:val="20"/>
                <w:lang w:val="en-US"/>
              </w:rPr>
              <w:t>Prescriptions of ASA were identified using ATC code B01AC06.</w:t>
            </w:r>
          </w:p>
        </w:tc>
      </w:tr>
      <w:tr w:rsidR="00987F7E" w:rsidRPr="007860AD" w14:paraId="13FE953F" w14:textId="77777777" w:rsidTr="008D76B3">
        <w:trPr>
          <w:trHeight w:val="283"/>
        </w:trPr>
        <w:tc>
          <w:tcPr>
            <w:tcW w:w="2272" w:type="dxa"/>
            <w:gridSpan w:val="2"/>
            <w:tcBorders>
              <w:left w:val="single" w:sz="8" w:space="0" w:color="000000"/>
              <w:right w:val="single" w:sz="4" w:space="0" w:color="000000"/>
            </w:tcBorders>
            <w:vAlign w:val="center"/>
          </w:tcPr>
          <w:p w14:paraId="13FE953A" w14:textId="77777777" w:rsidR="00940707" w:rsidRPr="007F54D3" w:rsidRDefault="00940707" w:rsidP="007143F4">
            <w:pPr>
              <w:spacing w:before="0" w:after="0" w:line="480" w:lineRule="auto"/>
              <w:jc w:val="left"/>
              <w:rPr>
                <w:szCs w:val="20"/>
                <w:lang w:val="en-US"/>
              </w:rPr>
            </w:pPr>
            <w:r w:rsidRPr="007F54D3">
              <w:rPr>
                <w:szCs w:val="20"/>
                <w:lang w:val="en-US"/>
              </w:rPr>
              <w:t>Nonsteroidal anti-inflammatory drugs</w:t>
            </w:r>
          </w:p>
        </w:tc>
        <w:tc>
          <w:tcPr>
            <w:tcW w:w="1217" w:type="dxa"/>
            <w:gridSpan w:val="2"/>
            <w:tcBorders>
              <w:left w:val="single" w:sz="4" w:space="0" w:color="000000"/>
              <w:right w:val="single" w:sz="4" w:space="0" w:color="000000"/>
            </w:tcBorders>
            <w:vAlign w:val="center"/>
          </w:tcPr>
          <w:p w14:paraId="13FE953B"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50" w:type="dxa"/>
            <w:gridSpan w:val="2"/>
            <w:tcBorders>
              <w:left w:val="single" w:sz="4" w:space="0" w:color="000000"/>
              <w:right w:val="single" w:sz="8" w:space="0" w:color="000000"/>
            </w:tcBorders>
            <w:vAlign w:val="center"/>
          </w:tcPr>
          <w:p w14:paraId="13FE953C" w14:textId="05BEAFB0" w:rsidR="00940707" w:rsidRPr="007F54D3" w:rsidRDefault="00940707" w:rsidP="007143F4">
            <w:pPr>
              <w:spacing w:before="0" w:after="0" w:line="480" w:lineRule="auto"/>
              <w:rPr>
                <w:szCs w:val="20"/>
                <w:lang w:val="en-US"/>
              </w:rPr>
            </w:pPr>
            <w:r w:rsidRPr="007F54D3">
              <w:rPr>
                <w:szCs w:val="20"/>
                <w:lang w:val="en-US"/>
              </w:rPr>
              <w:t>Assessment of the number and percentage of patients receiving at least one prescription for nonsteroidal anti-inflammatory drugs (NSAIDs) in the 365</w:t>
            </w:r>
            <w:r w:rsidR="00C90648">
              <w:rPr>
                <w:szCs w:val="20"/>
                <w:lang w:val="en-US"/>
              </w:rPr>
              <w:t> </w:t>
            </w:r>
            <w:r w:rsidRPr="007F54D3">
              <w:rPr>
                <w:szCs w:val="20"/>
                <w:lang w:val="en-US"/>
              </w:rPr>
              <w:t>days before or on the index date.</w:t>
            </w:r>
          </w:p>
          <w:p w14:paraId="13FE953D" w14:textId="77777777" w:rsidR="00881FDB" w:rsidRPr="007F54D3" w:rsidRDefault="00881FDB" w:rsidP="007143F4">
            <w:pPr>
              <w:spacing w:before="0" w:after="0" w:line="480" w:lineRule="auto"/>
              <w:rPr>
                <w:szCs w:val="20"/>
                <w:lang w:val="en-US"/>
              </w:rPr>
            </w:pPr>
          </w:p>
          <w:p w14:paraId="13FE953E" w14:textId="77777777" w:rsidR="00940707" w:rsidRPr="007F54D3" w:rsidRDefault="00940707" w:rsidP="007143F4">
            <w:pPr>
              <w:spacing w:before="0" w:after="0" w:line="480" w:lineRule="auto"/>
              <w:rPr>
                <w:szCs w:val="20"/>
                <w:lang w:val="en-US"/>
              </w:rPr>
            </w:pPr>
            <w:r w:rsidRPr="007F54D3">
              <w:rPr>
                <w:szCs w:val="20"/>
                <w:lang w:val="en-US"/>
              </w:rPr>
              <w:t>Prescriptions of NSAIDs were identified using ATC code M01A.</w:t>
            </w:r>
          </w:p>
        </w:tc>
      </w:tr>
      <w:tr w:rsidR="00987F7E" w:rsidRPr="007860AD" w14:paraId="13FE9545" w14:textId="77777777" w:rsidTr="008D76B3">
        <w:trPr>
          <w:trHeight w:val="283"/>
        </w:trPr>
        <w:tc>
          <w:tcPr>
            <w:tcW w:w="2272" w:type="dxa"/>
            <w:gridSpan w:val="2"/>
            <w:tcBorders>
              <w:left w:val="single" w:sz="8" w:space="0" w:color="000000"/>
              <w:right w:val="single" w:sz="4" w:space="0" w:color="000000"/>
            </w:tcBorders>
            <w:vAlign w:val="center"/>
          </w:tcPr>
          <w:p w14:paraId="13FE9540" w14:textId="73ED6174" w:rsidR="00940707" w:rsidRPr="007F54D3" w:rsidRDefault="00940707" w:rsidP="007143F4">
            <w:pPr>
              <w:spacing w:before="0" w:after="0" w:line="480" w:lineRule="auto"/>
              <w:jc w:val="left"/>
              <w:rPr>
                <w:szCs w:val="20"/>
                <w:lang w:val="en-US"/>
              </w:rPr>
            </w:pPr>
            <w:r w:rsidRPr="007F54D3">
              <w:rPr>
                <w:szCs w:val="20"/>
                <w:lang w:val="en-US"/>
              </w:rPr>
              <w:t>ß-</w:t>
            </w:r>
            <w:r w:rsidR="00D0209D" w:rsidRPr="007F54D3">
              <w:rPr>
                <w:szCs w:val="20"/>
                <w:lang w:val="en-US"/>
              </w:rPr>
              <w:t>b</w:t>
            </w:r>
            <w:r w:rsidRPr="007F54D3">
              <w:rPr>
                <w:szCs w:val="20"/>
                <w:lang w:val="en-US"/>
              </w:rPr>
              <w:t>locker</w:t>
            </w:r>
          </w:p>
        </w:tc>
        <w:tc>
          <w:tcPr>
            <w:tcW w:w="1217" w:type="dxa"/>
            <w:gridSpan w:val="2"/>
            <w:tcBorders>
              <w:left w:val="single" w:sz="4" w:space="0" w:color="000000"/>
              <w:right w:val="single" w:sz="4" w:space="0" w:color="000000"/>
            </w:tcBorders>
            <w:vAlign w:val="center"/>
          </w:tcPr>
          <w:p w14:paraId="13FE9541" w14:textId="77777777" w:rsidR="00940707" w:rsidRPr="007F54D3" w:rsidRDefault="00940707" w:rsidP="007143F4">
            <w:pPr>
              <w:spacing w:before="0" w:after="0" w:line="480" w:lineRule="auto"/>
              <w:jc w:val="left"/>
              <w:rPr>
                <w:szCs w:val="20"/>
                <w:lang w:val="en-US"/>
              </w:rPr>
            </w:pPr>
            <w:r w:rsidRPr="007F54D3">
              <w:rPr>
                <w:szCs w:val="20"/>
                <w:lang w:val="en-US"/>
              </w:rPr>
              <w:t>Categorical</w:t>
            </w:r>
          </w:p>
        </w:tc>
        <w:tc>
          <w:tcPr>
            <w:tcW w:w="6150" w:type="dxa"/>
            <w:gridSpan w:val="2"/>
            <w:tcBorders>
              <w:left w:val="single" w:sz="4" w:space="0" w:color="000000"/>
              <w:right w:val="single" w:sz="8" w:space="0" w:color="000000"/>
            </w:tcBorders>
            <w:vAlign w:val="center"/>
          </w:tcPr>
          <w:p w14:paraId="13FE9542" w14:textId="74C09E24" w:rsidR="00940707" w:rsidRPr="007F54D3" w:rsidRDefault="00940707" w:rsidP="007143F4">
            <w:pPr>
              <w:spacing w:before="0" w:after="0" w:line="480" w:lineRule="auto"/>
              <w:rPr>
                <w:szCs w:val="20"/>
                <w:lang w:val="en-US"/>
              </w:rPr>
            </w:pPr>
            <w:r w:rsidRPr="007F54D3">
              <w:rPr>
                <w:szCs w:val="20"/>
                <w:lang w:val="en-US"/>
              </w:rPr>
              <w:t>Assessment of the number and percentage of patients receiving at least one prescription for ß-</w:t>
            </w:r>
            <w:r w:rsidR="00D0209D" w:rsidRPr="007F54D3">
              <w:rPr>
                <w:szCs w:val="20"/>
                <w:lang w:val="en-US"/>
              </w:rPr>
              <w:t>b</w:t>
            </w:r>
            <w:r w:rsidRPr="007F54D3">
              <w:rPr>
                <w:szCs w:val="20"/>
                <w:lang w:val="en-US"/>
              </w:rPr>
              <w:t>locker in the 365 days before or on the index date.</w:t>
            </w:r>
          </w:p>
          <w:p w14:paraId="13FE9543" w14:textId="77777777" w:rsidR="00881FDB" w:rsidRPr="007F54D3" w:rsidRDefault="00881FDB" w:rsidP="007143F4">
            <w:pPr>
              <w:spacing w:before="0" w:after="0" w:line="480" w:lineRule="auto"/>
              <w:rPr>
                <w:szCs w:val="20"/>
                <w:lang w:val="en-US"/>
              </w:rPr>
            </w:pPr>
          </w:p>
          <w:p w14:paraId="13FE9544" w14:textId="1C7FC6CA" w:rsidR="00940707" w:rsidRPr="007F54D3" w:rsidRDefault="00940707" w:rsidP="007143F4">
            <w:pPr>
              <w:spacing w:before="0" w:after="0" w:line="480" w:lineRule="auto"/>
              <w:rPr>
                <w:szCs w:val="20"/>
                <w:lang w:val="en-US"/>
              </w:rPr>
            </w:pPr>
            <w:r w:rsidRPr="007F54D3">
              <w:rPr>
                <w:szCs w:val="20"/>
                <w:lang w:val="en-US"/>
              </w:rPr>
              <w:t>Prescriptions of ß-</w:t>
            </w:r>
            <w:r w:rsidR="00D0209D" w:rsidRPr="007F54D3">
              <w:rPr>
                <w:szCs w:val="20"/>
                <w:lang w:val="en-US"/>
              </w:rPr>
              <w:t>b</w:t>
            </w:r>
            <w:r w:rsidRPr="007F54D3">
              <w:rPr>
                <w:szCs w:val="20"/>
                <w:lang w:val="en-US"/>
              </w:rPr>
              <w:t>locker were identified using ATC code C07.</w:t>
            </w:r>
          </w:p>
        </w:tc>
      </w:tr>
      <w:tr w:rsidR="00D0209D" w:rsidRPr="007860AD" w14:paraId="283F9DB5" w14:textId="77777777" w:rsidTr="008D76B3">
        <w:trPr>
          <w:trHeight w:val="283"/>
        </w:trPr>
        <w:tc>
          <w:tcPr>
            <w:tcW w:w="2272" w:type="dxa"/>
            <w:gridSpan w:val="2"/>
            <w:tcBorders>
              <w:left w:val="single" w:sz="8" w:space="0" w:color="000000"/>
              <w:bottom w:val="single" w:sz="8" w:space="0" w:color="000000"/>
              <w:right w:val="single" w:sz="4" w:space="0" w:color="000000"/>
            </w:tcBorders>
            <w:vAlign w:val="center"/>
          </w:tcPr>
          <w:p w14:paraId="5A3321CF" w14:textId="20DB4F01" w:rsidR="00D0209D" w:rsidRPr="007F54D3" w:rsidRDefault="00D0209D" w:rsidP="007143F4">
            <w:pPr>
              <w:spacing w:before="0" w:after="0" w:line="480" w:lineRule="auto"/>
              <w:jc w:val="left"/>
              <w:rPr>
                <w:szCs w:val="20"/>
                <w:lang w:val="en-US"/>
              </w:rPr>
            </w:pPr>
            <w:r w:rsidRPr="007F54D3">
              <w:rPr>
                <w:szCs w:val="20"/>
                <w:lang w:val="en-US"/>
              </w:rPr>
              <w:t>Proton-pump inhibitors</w:t>
            </w:r>
          </w:p>
        </w:tc>
        <w:tc>
          <w:tcPr>
            <w:tcW w:w="1217" w:type="dxa"/>
            <w:gridSpan w:val="2"/>
            <w:tcBorders>
              <w:left w:val="single" w:sz="4" w:space="0" w:color="000000"/>
              <w:bottom w:val="single" w:sz="8" w:space="0" w:color="000000"/>
              <w:right w:val="single" w:sz="4" w:space="0" w:color="000000"/>
            </w:tcBorders>
            <w:vAlign w:val="center"/>
          </w:tcPr>
          <w:p w14:paraId="76A4F2AA" w14:textId="413C8ADA" w:rsidR="00D0209D" w:rsidRPr="007F54D3" w:rsidRDefault="00D0209D" w:rsidP="007143F4">
            <w:pPr>
              <w:spacing w:before="0" w:after="0" w:line="480" w:lineRule="auto"/>
              <w:jc w:val="left"/>
              <w:rPr>
                <w:szCs w:val="20"/>
                <w:lang w:val="en-US"/>
              </w:rPr>
            </w:pPr>
            <w:r w:rsidRPr="007F54D3">
              <w:rPr>
                <w:szCs w:val="20"/>
                <w:lang w:val="en-US"/>
              </w:rPr>
              <w:t>Categorical</w:t>
            </w:r>
          </w:p>
        </w:tc>
        <w:tc>
          <w:tcPr>
            <w:tcW w:w="6150" w:type="dxa"/>
            <w:gridSpan w:val="2"/>
            <w:tcBorders>
              <w:left w:val="single" w:sz="4" w:space="0" w:color="000000"/>
              <w:bottom w:val="single" w:sz="8" w:space="0" w:color="000000"/>
              <w:right w:val="single" w:sz="8" w:space="0" w:color="000000"/>
            </w:tcBorders>
            <w:vAlign w:val="center"/>
          </w:tcPr>
          <w:p w14:paraId="28A4FC8F" w14:textId="6CF9E2A9" w:rsidR="001C1F5A" w:rsidRPr="007F54D3" w:rsidRDefault="00D0209D" w:rsidP="007143F4">
            <w:pPr>
              <w:spacing w:before="0" w:after="0" w:line="480" w:lineRule="auto"/>
              <w:rPr>
                <w:szCs w:val="20"/>
                <w:lang w:val="en-US"/>
              </w:rPr>
            </w:pPr>
            <w:r w:rsidRPr="007F54D3">
              <w:rPr>
                <w:szCs w:val="20"/>
                <w:lang w:val="en-US"/>
              </w:rPr>
              <w:t>Assessment of the number and percentage of patients receiving at least one prescription for proton-pump inhibitors in the 365 days before or on the index date.</w:t>
            </w:r>
          </w:p>
          <w:p w14:paraId="7797D46E" w14:textId="77777777" w:rsidR="00902F0C" w:rsidRPr="007F54D3" w:rsidRDefault="00902F0C" w:rsidP="007143F4">
            <w:pPr>
              <w:spacing w:before="0" w:after="0" w:line="480" w:lineRule="auto"/>
              <w:rPr>
                <w:szCs w:val="20"/>
                <w:lang w:val="en-US"/>
              </w:rPr>
            </w:pPr>
          </w:p>
          <w:p w14:paraId="30FE5640" w14:textId="524AF49B" w:rsidR="00D0209D" w:rsidRPr="007F54D3" w:rsidRDefault="00D0209D" w:rsidP="007143F4">
            <w:pPr>
              <w:spacing w:before="0" w:after="0" w:line="480" w:lineRule="auto"/>
              <w:rPr>
                <w:szCs w:val="20"/>
                <w:lang w:val="en-US"/>
              </w:rPr>
            </w:pPr>
            <w:r w:rsidRPr="007F54D3">
              <w:rPr>
                <w:szCs w:val="20"/>
                <w:lang w:val="en-US"/>
              </w:rPr>
              <w:t>Prescriptions of proton-pump inhibitors were identified using ATC codes A02BC01, A02BC02, A02BC03, A02BC04, A02BC05, A02BC06, A02BC07, A02BC53, and A02BC54.</w:t>
            </w:r>
          </w:p>
        </w:tc>
      </w:tr>
    </w:tbl>
    <w:p w14:paraId="13FE9547" w14:textId="6A3CAE07" w:rsidR="0070642C" w:rsidRDefault="001320FD" w:rsidP="007143F4">
      <w:pPr>
        <w:tabs>
          <w:tab w:val="left" w:pos="1791"/>
        </w:tabs>
        <w:spacing w:before="0" w:after="0" w:line="480" w:lineRule="auto"/>
        <w:rPr>
          <w:lang w:val="en-US"/>
        </w:rPr>
      </w:pPr>
      <w:r>
        <w:rPr>
          <w:lang w:val="en-US"/>
        </w:rPr>
        <w:t>Abbreviations:</w:t>
      </w:r>
      <w:r w:rsidR="001670DD">
        <w:rPr>
          <w:lang w:val="en-US"/>
        </w:rPr>
        <w:t xml:space="preserve"> </w:t>
      </w:r>
      <w:r w:rsidR="00026343">
        <w:rPr>
          <w:lang w:val="en-US"/>
        </w:rPr>
        <w:t xml:space="preserve">ASA, </w:t>
      </w:r>
      <w:r w:rsidR="00026343" w:rsidRPr="00083C76">
        <w:rPr>
          <w:szCs w:val="20"/>
          <w:lang w:val="en-US"/>
        </w:rPr>
        <w:t xml:space="preserve">acetylsalicylic acid; </w:t>
      </w:r>
      <w:r w:rsidR="001670DD" w:rsidRPr="00083C76">
        <w:rPr>
          <w:lang w:val="en-US"/>
        </w:rPr>
        <w:t xml:space="preserve">ATC, </w:t>
      </w:r>
      <w:r w:rsidR="002B5EA9" w:rsidRPr="00083C76">
        <w:rPr>
          <w:lang w:val="en-US"/>
        </w:rPr>
        <w:t xml:space="preserve">Anatomical Therapeutic Chemical Classification System; </w:t>
      </w:r>
      <w:r w:rsidR="00043202" w:rsidRPr="00083C76">
        <w:rPr>
          <w:lang w:val="en-US"/>
        </w:rPr>
        <w:t xml:space="preserve">CCI, </w:t>
      </w:r>
      <w:proofErr w:type="spellStart"/>
      <w:r w:rsidR="00043202" w:rsidRPr="00083C76">
        <w:rPr>
          <w:szCs w:val="20"/>
          <w:lang w:val="en-US"/>
        </w:rPr>
        <w:t>Charlson</w:t>
      </w:r>
      <w:proofErr w:type="spellEnd"/>
      <w:r w:rsidR="00043202" w:rsidRPr="00083C76">
        <w:rPr>
          <w:szCs w:val="20"/>
          <w:lang w:val="en-US"/>
        </w:rPr>
        <w:t xml:space="preserve"> Comorbidity Index</w:t>
      </w:r>
      <w:r w:rsidR="00043202" w:rsidRPr="00083C76">
        <w:rPr>
          <w:lang w:val="en-US"/>
        </w:rPr>
        <w:t xml:space="preserve">; </w:t>
      </w:r>
      <w:r w:rsidR="002B5EA9" w:rsidRPr="00083C76">
        <w:rPr>
          <w:lang w:val="en-US"/>
        </w:rPr>
        <w:t>ICD</w:t>
      </w:r>
      <w:r w:rsidR="0055651D" w:rsidRPr="00083C76">
        <w:rPr>
          <w:lang w:val="en-US"/>
        </w:rPr>
        <w:t>-10-GM, International Classification of Diseases, 10</w:t>
      </w:r>
      <w:r w:rsidR="0055651D" w:rsidRPr="00083C76">
        <w:rPr>
          <w:vertAlign w:val="superscript"/>
          <w:lang w:val="en-US"/>
        </w:rPr>
        <w:t>th</w:t>
      </w:r>
      <w:r w:rsidR="0055651D" w:rsidRPr="00083C76">
        <w:rPr>
          <w:lang w:val="en-US"/>
        </w:rPr>
        <w:t xml:space="preserve"> Revision, German Modification;</w:t>
      </w:r>
      <w:r w:rsidR="00ED6E6C" w:rsidRPr="00083C76">
        <w:rPr>
          <w:lang w:val="en-US"/>
        </w:rPr>
        <w:t xml:space="preserve"> </w:t>
      </w:r>
      <w:r w:rsidR="00026343">
        <w:rPr>
          <w:szCs w:val="20"/>
          <w:lang w:val="en-US"/>
        </w:rPr>
        <w:t xml:space="preserve">NSAIDs, </w:t>
      </w:r>
      <w:r w:rsidR="00026343" w:rsidRPr="007F54D3">
        <w:rPr>
          <w:szCs w:val="20"/>
          <w:lang w:val="en-US"/>
        </w:rPr>
        <w:t>nonsteroidal anti-inflammatory drugs</w:t>
      </w:r>
      <w:r w:rsidR="00026343">
        <w:rPr>
          <w:szCs w:val="20"/>
          <w:lang w:val="en-US"/>
        </w:rPr>
        <w:t>;</w:t>
      </w:r>
      <w:r>
        <w:rPr>
          <w:lang w:val="en-US"/>
        </w:rPr>
        <w:t xml:space="preserve"> </w:t>
      </w:r>
      <w:r w:rsidR="00083C76" w:rsidRPr="00083C76">
        <w:rPr>
          <w:lang w:val="en-US"/>
        </w:rPr>
        <w:t xml:space="preserve">OPS, </w:t>
      </w:r>
      <w:r w:rsidR="00083C76" w:rsidRPr="00083C76">
        <w:rPr>
          <w:szCs w:val="20"/>
          <w:lang w:val="en-US"/>
        </w:rPr>
        <w:t>Key of Operations</w:t>
      </w:r>
      <w:r w:rsidR="00083C76" w:rsidRPr="00A4597A">
        <w:rPr>
          <w:szCs w:val="20"/>
          <w:lang w:val="en-US"/>
        </w:rPr>
        <w:t xml:space="preserve"> and Procedures</w:t>
      </w:r>
      <w:r w:rsidR="00083C76">
        <w:rPr>
          <w:szCs w:val="20"/>
          <w:lang w:val="en-US"/>
        </w:rPr>
        <w:t xml:space="preserve">; </w:t>
      </w:r>
      <w:r>
        <w:rPr>
          <w:lang w:val="en-US"/>
        </w:rPr>
        <w:t xml:space="preserve">SD, standard deviation; </w:t>
      </w:r>
      <w:bookmarkStart w:id="1" w:name="_Hlk97631835"/>
      <w:r>
        <w:rPr>
          <w:lang w:val="en-US"/>
        </w:rPr>
        <w:t>SE, systemic embolism</w:t>
      </w:r>
      <w:bookmarkEnd w:id="1"/>
      <w:r w:rsidR="00043202">
        <w:rPr>
          <w:lang w:val="en-US"/>
        </w:rPr>
        <w:t>; TIA, t</w:t>
      </w:r>
      <w:r w:rsidR="00043202" w:rsidRPr="00043202">
        <w:rPr>
          <w:lang w:val="en-US"/>
        </w:rPr>
        <w:t>ransient ischemic attack</w:t>
      </w:r>
      <w:r w:rsidR="0070642C">
        <w:rPr>
          <w:lang w:val="en-US"/>
        </w:rPr>
        <w:br w:type="page"/>
      </w:r>
    </w:p>
    <w:bookmarkEnd w:id="0"/>
    <w:p w14:paraId="022A119D" w14:textId="2B7EEF40" w:rsidR="00A00FA7" w:rsidRPr="00030A0E" w:rsidRDefault="00A00FA7" w:rsidP="007143F4">
      <w:pPr>
        <w:pStyle w:val="berschrift2"/>
        <w:spacing w:before="0" w:line="480" w:lineRule="auto"/>
        <w:rPr>
          <w:sz w:val="24"/>
          <w:szCs w:val="32"/>
        </w:rPr>
      </w:pPr>
      <w:r w:rsidRPr="00030A0E">
        <w:rPr>
          <w:sz w:val="24"/>
          <w:szCs w:val="32"/>
        </w:rPr>
        <w:lastRenderedPageBreak/>
        <w:t>References</w:t>
      </w:r>
    </w:p>
    <w:p w14:paraId="5FA321F1" w14:textId="77777777" w:rsidR="009F6D46" w:rsidRPr="009F6D46" w:rsidRDefault="00A00FA7" w:rsidP="007143F4">
      <w:pPr>
        <w:pStyle w:val="EndNoteBibliography"/>
        <w:spacing w:before="0" w:after="0"/>
        <w:ind w:left="560" w:hanging="560"/>
      </w:pPr>
      <w:r>
        <w:rPr>
          <w:szCs w:val="20"/>
        </w:rPr>
        <w:fldChar w:fldCharType="begin"/>
      </w:r>
      <w:r>
        <w:rPr>
          <w:szCs w:val="20"/>
        </w:rPr>
        <w:instrText xml:space="preserve"> ADDIN EN.REFLIST </w:instrText>
      </w:r>
      <w:r>
        <w:rPr>
          <w:szCs w:val="20"/>
        </w:rPr>
        <w:fldChar w:fldCharType="separate"/>
      </w:r>
      <w:r w:rsidR="009F6D46" w:rsidRPr="009F6D46">
        <w:t>1.</w:t>
      </w:r>
      <w:r w:rsidR="009F6D46" w:rsidRPr="009F6D46">
        <w:tab/>
        <w:t>Trappe H-J. Atrial Fibrillation. Dtsch Arztebl International 2012;109:1-7</w:t>
      </w:r>
    </w:p>
    <w:p w14:paraId="0D74E3EE" w14:textId="77777777" w:rsidR="009F6D46" w:rsidRPr="009F6D46" w:rsidRDefault="009F6D46" w:rsidP="007143F4">
      <w:pPr>
        <w:pStyle w:val="EndNoteBibliography"/>
        <w:spacing w:before="0" w:after="0"/>
        <w:ind w:left="560" w:hanging="560"/>
      </w:pPr>
      <w:r w:rsidRPr="009F6D46">
        <w:t>2.</w:t>
      </w:r>
      <w:r w:rsidRPr="009F6D46">
        <w:tab/>
        <w:t>Pisters R, Lane DA, Nieuwlaat R, de Vos CB, Crijns HJ, Lip GY. A novel user-friendly score (HAS-BLED) to assess 1-year risk of major bleeding in patients with atrial fibrillation: the Euro Heart Survey. Chest 2010;138:1093-1100</w:t>
      </w:r>
    </w:p>
    <w:p w14:paraId="656ED005" w14:textId="77777777" w:rsidR="009F6D46" w:rsidRPr="009F6D46" w:rsidRDefault="009F6D46" w:rsidP="007143F4">
      <w:pPr>
        <w:pStyle w:val="EndNoteBibliography"/>
        <w:spacing w:before="0" w:after="0"/>
        <w:ind w:left="560" w:hanging="560"/>
      </w:pPr>
      <w:r w:rsidRPr="009F6D46">
        <w:t>3.</w:t>
      </w:r>
      <w:r w:rsidRPr="009F6D46">
        <w:tab/>
        <w:t>Charlson ME, Pompei P, Ales KL, MacKenzie CR. A new method of classifying prognostic comorbidity in longitudinal studies: development and validation. J Chronic Dis 1987;40:373-383</w:t>
      </w:r>
    </w:p>
    <w:p w14:paraId="5AA251EC" w14:textId="77777777" w:rsidR="009F6D46" w:rsidRPr="009F6D46" w:rsidRDefault="009F6D46" w:rsidP="007143F4">
      <w:pPr>
        <w:pStyle w:val="EndNoteBibliography"/>
        <w:spacing w:before="0" w:after="0"/>
        <w:ind w:left="560" w:hanging="560"/>
      </w:pPr>
      <w:r w:rsidRPr="009F6D46">
        <w:t>4.</w:t>
      </w:r>
      <w:r w:rsidRPr="009F6D46">
        <w:tab/>
        <w:t>Deyo RA, Cherkin DC, Ciol MA. Adapting a clinical comorbidity index for use with ICD-9-CM administrative databases. Journal of clinical epidemiology 1992;45:613-619</w:t>
      </w:r>
    </w:p>
    <w:p w14:paraId="13FE97F9" w14:textId="1D3FC258" w:rsidR="00561774" w:rsidRPr="005F6766" w:rsidRDefault="009F6D46" w:rsidP="007143F4">
      <w:pPr>
        <w:pStyle w:val="EndNoteBibliography"/>
        <w:spacing w:before="0" w:after="0"/>
        <w:ind w:left="560" w:hanging="560"/>
        <w:rPr>
          <w:szCs w:val="20"/>
        </w:rPr>
      </w:pPr>
      <w:r w:rsidRPr="009F6D46">
        <w:t>5.</w:t>
      </w:r>
      <w:r w:rsidRPr="009F6D46">
        <w:tab/>
        <w:t>Quan H, Sundararajan V, Halfon P et al. Coding algorithms for defining comorbidities in ICD-9-CM and ICD-10 administrative data. Med Care 2005;43:1130-1139</w:t>
      </w:r>
      <w:r w:rsidR="00A00FA7">
        <w:rPr>
          <w:szCs w:val="20"/>
        </w:rPr>
        <w:fldChar w:fldCharType="end"/>
      </w:r>
    </w:p>
    <w:sectPr w:rsidR="00561774" w:rsidRPr="005F6766" w:rsidSect="002A30BB">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433B9" w14:textId="77777777" w:rsidR="00F65E3B" w:rsidRDefault="00F65E3B" w:rsidP="0064351F">
      <w:pPr>
        <w:spacing w:before="0" w:after="0" w:line="240" w:lineRule="auto"/>
      </w:pPr>
      <w:r>
        <w:separator/>
      </w:r>
    </w:p>
  </w:endnote>
  <w:endnote w:type="continuationSeparator" w:id="0">
    <w:p w14:paraId="587D41CE" w14:textId="77777777" w:rsidR="00F65E3B" w:rsidRDefault="00F65E3B" w:rsidP="006435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2354909"/>
      <w:docPartObj>
        <w:docPartGallery w:val="Page Numbers (Bottom of Page)"/>
        <w:docPartUnique/>
      </w:docPartObj>
    </w:sdtPr>
    <w:sdtEndPr/>
    <w:sdtContent>
      <w:p w14:paraId="13FE9835" w14:textId="77777777" w:rsidR="00247CE4" w:rsidRDefault="00247CE4">
        <w:pPr>
          <w:pStyle w:val="Kopfzeile"/>
          <w:jc w:val="right"/>
        </w:pPr>
        <w:r>
          <w:fldChar w:fldCharType="begin"/>
        </w:r>
        <w:r>
          <w:instrText>PAGE   \* MERGEFORMAT</w:instrText>
        </w:r>
        <w:r>
          <w:fldChar w:fldCharType="separate"/>
        </w:r>
        <w:r>
          <w:rPr>
            <w:noProof/>
          </w:rPr>
          <w:t>13</w:t>
        </w:r>
        <w:r>
          <w:rPr>
            <w:noProof/>
          </w:rPr>
          <w:fldChar w:fldCharType="end"/>
        </w:r>
      </w:p>
    </w:sdtContent>
  </w:sdt>
  <w:p w14:paraId="13FE9836" w14:textId="77777777" w:rsidR="00247CE4" w:rsidRDefault="00247CE4">
    <w:pPr>
      <w:pStyle w:val="Kopf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597F7" w14:textId="77777777" w:rsidR="00F65E3B" w:rsidRDefault="00F65E3B" w:rsidP="0064351F">
      <w:pPr>
        <w:spacing w:before="0" w:after="0" w:line="240" w:lineRule="auto"/>
      </w:pPr>
      <w:r>
        <w:separator/>
      </w:r>
    </w:p>
  </w:footnote>
  <w:footnote w:type="continuationSeparator" w:id="0">
    <w:p w14:paraId="5E1D57F5" w14:textId="77777777" w:rsidR="00F65E3B" w:rsidRDefault="00F65E3B" w:rsidP="0064351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8BC"/>
    <w:multiLevelType w:val="hybridMultilevel"/>
    <w:tmpl w:val="DEEA68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02B11A6"/>
    <w:multiLevelType w:val="hybridMultilevel"/>
    <w:tmpl w:val="5B2C1C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9E5D37"/>
    <w:multiLevelType w:val="hybridMultilevel"/>
    <w:tmpl w:val="B754BBF0"/>
    <w:lvl w:ilvl="0" w:tplc="7EF616C2">
      <w:start w:val="1"/>
      <w:numFmt w:val="bullet"/>
      <w:lvlText w:val="•"/>
      <w:lvlJc w:val="left"/>
      <w:pPr>
        <w:tabs>
          <w:tab w:val="num" w:pos="720"/>
        </w:tabs>
        <w:ind w:left="720" w:hanging="360"/>
      </w:pPr>
      <w:rPr>
        <w:rFonts w:ascii="Arial" w:hAnsi="Arial" w:hint="default"/>
      </w:rPr>
    </w:lvl>
    <w:lvl w:ilvl="1" w:tplc="5CB05CBA">
      <w:numFmt w:val="bullet"/>
      <w:lvlText w:val="-"/>
      <w:lvlJc w:val="left"/>
      <w:pPr>
        <w:tabs>
          <w:tab w:val="num" w:pos="1440"/>
        </w:tabs>
        <w:ind w:left="1440" w:hanging="360"/>
      </w:pPr>
      <w:rPr>
        <w:rFonts w:ascii="Times New Roman" w:hAnsi="Times New Roman" w:hint="default"/>
      </w:rPr>
    </w:lvl>
    <w:lvl w:ilvl="2" w:tplc="D86EA18A" w:tentative="1">
      <w:start w:val="1"/>
      <w:numFmt w:val="bullet"/>
      <w:lvlText w:val="•"/>
      <w:lvlJc w:val="left"/>
      <w:pPr>
        <w:tabs>
          <w:tab w:val="num" w:pos="2160"/>
        </w:tabs>
        <w:ind w:left="2160" w:hanging="360"/>
      </w:pPr>
      <w:rPr>
        <w:rFonts w:ascii="Arial" w:hAnsi="Arial" w:hint="default"/>
      </w:rPr>
    </w:lvl>
    <w:lvl w:ilvl="3" w:tplc="DDAC9F24" w:tentative="1">
      <w:start w:val="1"/>
      <w:numFmt w:val="bullet"/>
      <w:lvlText w:val="•"/>
      <w:lvlJc w:val="left"/>
      <w:pPr>
        <w:tabs>
          <w:tab w:val="num" w:pos="2880"/>
        </w:tabs>
        <w:ind w:left="2880" w:hanging="360"/>
      </w:pPr>
      <w:rPr>
        <w:rFonts w:ascii="Arial" w:hAnsi="Arial" w:hint="default"/>
      </w:rPr>
    </w:lvl>
    <w:lvl w:ilvl="4" w:tplc="CD04A19A" w:tentative="1">
      <w:start w:val="1"/>
      <w:numFmt w:val="bullet"/>
      <w:lvlText w:val="•"/>
      <w:lvlJc w:val="left"/>
      <w:pPr>
        <w:tabs>
          <w:tab w:val="num" w:pos="3600"/>
        </w:tabs>
        <w:ind w:left="3600" w:hanging="360"/>
      </w:pPr>
      <w:rPr>
        <w:rFonts w:ascii="Arial" w:hAnsi="Arial" w:hint="default"/>
      </w:rPr>
    </w:lvl>
    <w:lvl w:ilvl="5" w:tplc="0D2CC1D2" w:tentative="1">
      <w:start w:val="1"/>
      <w:numFmt w:val="bullet"/>
      <w:lvlText w:val="•"/>
      <w:lvlJc w:val="left"/>
      <w:pPr>
        <w:tabs>
          <w:tab w:val="num" w:pos="4320"/>
        </w:tabs>
        <w:ind w:left="4320" w:hanging="360"/>
      </w:pPr>
      <w:rPr>
        <w:rFonts w:ascii="Arial" w:hAnsi="Arial" w:hint="default"/>
      </w:rPr>
    </w:lvl>
    <w:lvl w:ilvl="6" w:tplc="3F0C0090" w:tentative="1">
      <w:start w:val="1"/>
      <w:numFmt w:val="bullet"/>
      <w:lvlText w:val="•"/>
      <w:lvlJc w:val="left"/>
      <w:pPr>
        <w:tabs>
          <w:tab w:val="num" w:pos="5040"/>
        </w:tabs>
        <w:ind w:left="5040" w:hanging="360"/>
      </w:pPr>
      <w:rPr>
        <w:rFonts w:ascii="Arial" w:hAnsi="Arial" w:hint="default"/>
      </w:rPr>
    </w:lvl>
    <w:lvl w:ilvl="7" w:tplc="0D0AA922" w:tentative="1">
      <w:start w:val="1"/>
      <w:numFmt w:val="bullet"/>
      <w:lvlText w:val="•"/>
      <w:lvlJc w:val="left"/>
      <w:pPr>
        <w:tabs>
          <w:tab w:val="num" w:pos="5760"/>
        </w:tabs>
        <w:ind w:left="5760" w:hanging="360"/>
      </w:pPr>
      <w:rPr>
        <w:rFonts w:ascii="Arial" w:hAnsi="Arial" w:hint="default"/>
      </w:rPr>
    </w:lvl>
    <w:lvl w:ilvl="8" w:tplc="143222A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C550E1E"/>
    <w:multiLevelType w:val="hybridMultilevel"/>
    <w:tmpl w:val="9C8C1E60"/>
    <w:lvl w:ilvl="0" w:tplc="C14E58BE">
      <w:start w:val="1"/>
      <w:numFmt w:val="bullet"/>
      <w:lvlText w:val="•"/>
      <w:lvlJc w:val="left"/>
      <w:pPr>
        <w:tabs>
          <w:tab w:val="num" w:pos="720"/>
        </w:tabs>
        <w:ind w:left="720" w:hanging="360"/>
      </w:pPr>
      <w:rPr>
        <w:rFonts w:ascii="Arial" w:hAnsi="Arial" w:hint="default"/>
      </w:rPr>
    </w:lvl>
    <w:lvl w:ilvl="1" w:tplc="C366BC7C" w:tentative="1">
      <w:start w:val="1"/>
      <w:numFmt w:val="bullet"/>
      <w:lvlText w:val="•"/>
      <w:lvlJc w:val="left"/>
      <w:pPr>
        <w:tabs>
          <w:tab w:val="num" w:pos="1440"/>
        </w:tabs>
        <w:ind w:left="1440" w:hanging="360"/>
      </w:pPr>
      <w:rPr>
        <w:rFonts w:ascii="Arial" w:hAnsi="Arial" w:hint="default"/>
      </w:rPr>
    </w:lvl>
    <w:lvl w:ilvl="2" w:tplc="6860A9C6" w:tentative="1">
      <w:start w:val="1"/>
      <w:numFmt w:val="bullet"/>
      <w:lvlText w:val="•"/>
      <w:lvlJc w:val="left"/>
      <w:pPr>
        <w:tabs>
          <w:tab w:val="num" w:pos="2160"/>
        </w:tabs>
        <w:ind w:left="2160" w:hanging="360"/>
      </w:pPr>
      <w:rPr>
        <w:rFonts w:ascii="Arial" w:hAnsi="Arial" w:hint="default"/>
      </w:rPr>
    </w:lvl>
    <w:lvl w:ilvl="3" w:tplc="7AF6950C" w:tentative="1">
      <w:start w:val="1"/>
      <w:numFmt w:val="bullet"/>
      <w:lvlText w:val="•"/>
      <w:lvlJc w:val="left"/>
      <w:pPr>
        <w:tabs>
          <w:tab w:val="num" w:pos="2880"/>
        </w:tabs>
        <w:ind w:left="2880" w:hanging="360"/>
      </w:pPr>
      <w:rPr>
        <w:rFonts w:ascii="Arial" w:hAnsi="Arial" w:hint="default"/>
      </w:rPr>
    </w:lvl>
    <w:lvl w:ilvl="4" w:tplc="94BC99B6" w:tentative="1">
      <w:start w:val="1"/>
      <w:numFmt w:val="bullet"/>
      <w:lvlText w:val="•"/>
      <w:lvlJc w:val="left"/>
      <w:pPr>
        <w:tabs>
          <w:tab w:val="num" w:pos="3600"/>
        </w:tabs>
        <w:ind w:left="3600" w:hanging="360"/>
      </w:pPr>
      <w:rPr>
        <w:rFonts w:ascii="Arial" w:hAnsi="Arial" w:hint="default"/>
      </w:rPr>
    </w:lvl>
    <w:lvl w:ilvl="5" w:tplc="6C5471E6" w:tentative="1">
      <w:start w:val="1"/>
      <w:numFmt w:val="bullet"/>
      <w:lvlText w:val="•"/>
      <w:lvlJc w:val="left"/>
      <w:pPr>
        <w:tabs>
          <w:tab w:val="num" w:pos="4320"/>
        </w:tabs>
        <w:ind w:left="4320" w:hanging="360"/>
      </w:pPr>
      <w:rPr>
        <w:rFonts w:ascii="Arial" w:hAnsi="Arial" w:hint="default"/>
      </w:rPr>
    </w:lvl>
    <w:lvl w:ilvl="6" w:tplc="F8F22782" w:tentative="1">
      <w:start w:val="1"/>
      <w:numFmt w:val="bullet"/>
      <w:lvlText w:val="•"/>
      <w:lvlJc w:val="left"/>
      <w:pPr>
        <w:tabs>
          <w:tab w:val="num" w:pos="5040"/>
        </w:tabs>
        <w:ind w:left="5040" w:hanging="360"/>
      </w:pPr>
      <w:rPr>
        <w:rFonts w:ascii="Arial" w:hAnsi="Arial" w:hint="default"/>
      </w:rPr>
    </w:lvl>
    <w:lvl w:ilvl="7" w:tplc="16F62E24" w:tentative="1">
      <w:start w:val="1"/>
      <w:numFmt w:val="bullet"/>
      <w:lvlText w:val="•"/>
      <w:lvlJc w:val="left"/>
      <w:pPr>
        <w:tabs>
          <w:tab w:val="num" w:pos="5760"/>
        </w:tabs>
        <w:ind w:left="5760" w:hanging="360"/>
      </w:pPr>
      <w:rPr>
        <w:rFonts w:ascii="Arial" w:hAnsi="Arial" w:hint="default"/>
      </w:rPr>
    </w:lvl>
    <w:lvl w:ilvl="8" w:tplc="9426EB7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E4D1F30"/>
    <w:multiLevelType w:val="hybridMultilevel"/>
    <w:tmpl w:val="6D6895A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5" w15:restartNumberingAfterBreak="0">
    <w:nsid w:val="213C355C"/>
    <w:multiLevelType w:val="hybridMultilevel"/>
    <w:tmpl w:val="58B8F4FC"/>
    <w:lvl w:ilvl="0" w:tplc="3082442E">
      <w:start w:val="1"/>
      <w:numFmt w:val="bullet"/>
      <w:lvlText w:val=""/>
      <w:lvlJc w:val="left"/>
      <w:pPr>
        <w:tabs>
          <w:tab w:val="num" w:pos="720"/>
        </w:tabs>
        <w:ind w:left="720" w:hanging="360"/>
      </w:pPr>
      <w:rPr>
        <w:rFonts w:ascii="Wingdings" w:hAnsi="Wingdings" w:hint="default"/>
      </w:rPr>
    </w:lvl>
    <w:lvl w:ilvl="1" w:tplc="7C0A22BC" w:tentative="1">
      <w:start w:val="1"/>
      <w:numFmt w:val="bullet"/>
      <w:lvlText w:val=""/>
      <w:lvlJc w:val="left"/>
      <w:pPr>
        <w:tabs>
          <w:tab w:val="num" w:pos="1440"/>
        </w:tabs>
        <w:ind w:left="1440" w:hanging="360"/>
      </w:pPr>
      <w:rPr>
        <w:rFonts w:ascii="Wingdings" w:hAnsi="Wingdings" w:hint="default"/>
      </w:rPr>
    </w:lvl>
    <w:lvl w:ilvl="2" w:tplc="E370C48E" w:tentative="1">
      <w:start w:val="1"/>
      <w:numFmt w:val="bullet"/>
      <w:lvlText w:val=""/>
      <w:lvlJc w:val="left"/>
      <w:pPr>
        <w:tabs>
          <w:tab w:val="num" w:pos="2160"/>
        </w:tabs>
        <w:ind w:left="2160" w:hanging="360"/>
      </w:pPr>
      <w:rPr>
        <w:rFonts w:ascii="Wingdings" w:hAnsi="Wingdings" w:hint="default"/>
      </w:rPr>
    </w:lvl>
    <w:lvl w:ilvl="3" w:tplc="F80EDDBC" w:tentative="1">
      <w:start w:val="1"/>
      <w:numFmt w:val="bullet"/>
      <w:lvlText w:val=""/>
      <w:lvlJc w:val="left"/>
      <w:pPr>
        <w:tabs>
          <w:tab w:val="num" w:pos="2880"/>
        </w:tabs>
        <w:ind w:left="2880" w:hanging="360"/>
      </w:pPr>
      <w:rPr>
        <w:rFonts w:ascii="Wingdings" w:hAnsi="Wingdings" w:hint="default"/>
      </w:rPr>
    </w:lvl>
    <w:lvl w:ilvl="4" w:tplc="17465FC0" w:tentative="1">
      <w:start w:val="1"/>
      <w:numFmt w:val="bullet"/>
      <w:lvlText w:val=""/>
      <w:lvlJc w:val="left"/>
      <w:pPr>
        <w:tabs>
          <w:tab w:val="num" w:pos="3600"/>
        </w:tabs>
        <w:ind w:left="3600" w:hanging="360"/>
      </w:pPr>
      <w:rPr>
        <w:rFonts w:ascii="Wingdings" w:hAnsi="Wingdings" w:hint="default"/>
      </w:rPr>
    </w:lvl>
    <w:lvl w:ilvl="5" w:tplc="DE2E3580" w:tentative="1">
      <w:start w:val="1"/>
      <w:numFmt w:val="bullet"/>
      <w:lvlText w:val=""/>
      <w:lvlJc w:val="left"/>
      <w:pPr>
        <w:tabs>
          <w:tab w:val="num" w:pos="4320"/>
        </w:tabs>
        <w:ind w:left="4320" w:hanging="360"/>
      </w:pPr>
      <w:rPr>
        <w:rFonts w:ascii="Wingdings" w:hAnsi="Wingdings" w:hint="default"/>
      </w:rPr>
    </w:lvl>
    <w:lvl w:ilvl="6" w:tplc="CD5605AA" w:tentative="1">
      <w:start w:val="1"/>
      <w:numFmt w:val="bullet"/>
      <w:lvlText w:val=""/>
      <w:lvlJc w:val="left"/>
      <w:pPr>
        <w:tabs>
          <w:tab w:val="num" w:pos="5040"/>
        </w:tabs>
        <w:ind w:left="5040" w:hanging="360"/>
      </w:pPr>
      <w:rPr>
        <w:rFonts w:ascii="Wingdings" w:hAnsi="Wingdings" w:hint="default"/>
      </w:rPr>
    </w:lvl>
    <w:lvl w:ilvl="7" w:tplc="9C34F650" w:tentative="1">
      <w:start w:val="1"/>
      <w:numFmt w:val="bullet"/>
      <w:lvlText w:val=""/>
      <w:lvlJc w:val="left"/>
      <w:pPr>
        <w:tabs>
          <w:tab w:val="num" w:pos="5760"/>
        </w:tabs>
        <w:ind w:left="5760" w:hanging="360"/>
      </w:pPr>
      <w:rPr>
        <w:rFonts w:ascii="Wingdings" w:hAnsi="Wingdings" w:hint="default"/>
      </w:rPr>
    </w:lvl>
    <w:lvl w:ilvl="8" w:tplc="02B08E0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A45739"/>
    <w:multiLevelType w:val="hybridMultilevel"/>
    <w:tmpl w:val="F2D2EB54"/>
    <w:lvl w:ilvl="0" w:tplc="BC6036B0">
      <w:start w:val="1"/>
      <w:numFmt w:val="bullet"/>
      <w:lvlText w:val="•"/>
      <w:lvlJc w:val="left"/>
      <w:pPr>
        <w:tabs>
          <w:tab w:val="num" w:pos="720"/>
        </w:tabs>
        <w:ind w:left="720" w:hanging="360"/>
      </w:pPr>
      <w:rPr>
        <w:rFonts w:ascii="Arial" w:hAnsi="Arial" w:hint="default"/>
      </w:rPr>
    </w:lvl>
    <w:lvl w:ilvl="1" w:tplc="720215C8">
      <w:numFmt w:val="bullet"/>
      <w:lvlText w:val="-"/>
      <w:lvlJc w:val="left"/>
      <w:pPr>
        <w:tabs>
          <w:tab w:val="num" w:pos="1440"/>
        </w:tabs>
        <w:ind w:left="1440" w:hanging="360"/>
      </w:pPr>
      <w:rPr>
        <w:rFonts w:ascii="Times New Roman" w:hAnsi="Times New Roman" w:hint="default"/>
      </w:rPr>
    </w:lvl>
    <w:lvl w:ilvl="2" w:tplc="E0C233A8" w:tentative="1">
      <w:start w:val="1"/>
      <w:numFmt w:val="bullet"/>
      <w:lvlText w:val="•"/>
      <w:lvlJc w:val="left"/>
      <w:pPr>
        <w:tabs>
          <w:tab w:val="num" w:pos="2160"/>
        </w:tabs>
        <w:ind w:left="2160" w:hanging="360"/>
      </w:pPr>
      <w:rPr>
        <w:rFonts w:ascii="Arial" w:hAnsi="Arial" w:hint="default"/>
      </w:rPr>
    </w:lvl>
    <w:lvl w:ilvl="3" w:tplc="17A8DE62" w:tentative="1">
      <w:start w:val="1"/>
      <w:numFmt w:val="bullet"/>
      <w:lvlText w:val="•"/>
      <w:lvlJc w:val="left"/>
      <w:pPr>
        <w:tabs>
          <w:tab w:val="num" w:pos="2880"/>
        </w:tabs>
        <w:ind w:left="2880" w:hanging="360"/>
      </w:pPr>
      <w:rPr>
        <w:rFonts w:ascii="Arial" w:hAnsi="Arial" w:hint="default"/>
      </w:rPr>
    </w:lvl>
    <w:lvl w:ilvl="4" w:tplc="D9620DB0" w:tentative="1">
      <w:start w:val="1"/>
      <w:numFmt w:val="bullet"/>
      <w:lvlText w:val="•"/>
      <w:lvlJc w:val="left"/>
      <w:pPr>
        <w:tabs>
          <w:tab w:val="num" w:pos="3600"/>
        </w:tabs>
        <w:ind w:left="3600" w:hanging="360"/>
      </w:pPr>
      <w:rPr>
        <w:rFonts w:ascii="Arial" w:hAnsi="Arial" w:hint="default"/>
      </w:rPr>
    </w:lvl>
    <w:lvl w:ilvl="5" w:tplc="6FA224EC" w:tentative="1">
      <w:start w:val="1"/>
      <w:numFmt w:val="bullet"/>
      <w:lvlText w:val="•"/>
      <w:lvlJc w:val="left"/>
      <w:pPr>
        <w:tabs>
          <w:tab w:val="num" w:pos="4320"/>
        </w:tabs>
        <w:ind w:left="4320" w:hanging="360"/>
      </w:pPr>
      <w:rPr>
        <w:rFonts w:ascii="Arial" w:hAnsi="Arial" w:hint="default"/>
      </w:rPr>
    </w:lvl>
    <w:lvl w:ilvl="6" w:tplc="FC225A4A" w:tentative="1">
      <w:start w:val="1"/>
      <w:numFmt w:val="bullet"/>
      <w:lvlText w:val="•"/>
      <w:lvlJc w:val="left"/>
      <w:pPr>
        <w:tabs>
          <w:tab w:val="num" w:pos="5040"/>
        </w:tabs>
        <w:ind w:left="5040" w:hanging="360"/>
      </w:pPr>
      <w:rPr>
        <w:rFonts w:ascii="Arial" w:hAnsi="Arial" w:hint="default"/>
      </w:rPr>
    </w:lvl>
    <w:lvl w:ilvl="7" w:tplc="5EB238A2" w:tentative="1">
      <w:start w:val="1"/>
      <w:numFmt w:val="bullet"/>
      <w:lvlText w:val="•"/>
      <w:lvlJc w:val="left"/>
      <w:pPr>
        <w:tabs>
          <w:tab w:val="num" w:pos="5760"/>
        </w:tabs>
        <w:ind w:left="5760" w:hanging="360"/>
      </w:pPr>
      <w:rPr>
        <w:rFonts w:ascii="Arial" w:hAnsi="Arial" w:hint="default"/>
      </w:rPr>
    </w:lvl>
    <w:lvl w:ilvl="8" w:tplc="177EC4C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1A85983"/>
    <w:multiLevelType w:val="hybridMultilevel"/>
    <w:tmpl w:val="59F43E04"/>
    <w:lvl w:ilvl="0" w:tplc="04070001">
      <w:start w:val="1"/>
      <w:numFmt w:val="bullet"/>
      <w:lvlText w:val=""/>
      <w:lvlJc w:val="left"/>
      <w:pPr>
        <w:ind w:left="720" w:hanging="360"/>
      </w:pPr>
      <w:rPr>
        <w:rFonts w:ascii="Symbol" w:hAnsi="Symbol" w:hint="default"/>
      </w:rPr>
    </w:lvl>
    <w:lvl w:ilvl="1" w:tplc="A3347556">
      <w:numFmt w:val="bullet"/>
      <w:lvlText w:val="-"/>
      <w:lvlJc w:val="left"/>
      <w:pPr>
        <w:ind w:left="1440" w:hanging="360"/>
      </w:pPr>
      <w:rPr>
        <w:rFonts w:ascii="Arial" w:eastAsia="Calibri" w:hAnsi="Arial" w:cs="Arial"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27A539E"/>
    <w:multiLevelType w:val="hybridMultilevel"/>
    <w:tmpl w:val="4C0A8CE8"/>
    <w:lvl w:ilvl="0" w:tplc="0407000F">
      <w:start w:val="1"/>
      <w:numFmt w:val="decimal"/>
      <w:lvlText w:val="%1."/>
      <w:lvlJc w:val="left"/>
      <w:pPr>
        <w:ind w:left="720" w:hanging="360"/>
      </w:pPr>
      <w:rPr>
        <w:rFonts w:hint="default"/>
      </w:rPr>
    </w:lvl>
    <w:lvl w:ilvl="1" w:tplc="D5EA1D3E">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8AC0A69"/>
    <w:multiLevelType w:val="hybridMultilevel"/>
    <w:tmpl w:val="B6E26E1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AE3089B"/>
    <w:multiLevelType w:val="hybridMultilevel"/>
    <w:tmpl w:val="B860D5E8"/>
    <w:lvl w:ilvl="0" w:tplc="AAF400C0">
      <w:start w:val="6"/>
      <w:numFmt w:val="decimal"/>
      <w:lvlText w:val="(%1)"/>
      <w:lvlJc w:val="left"/>
      <w:pPr>
        <w:tabs>
          <w:tab w:val="num" w:pos="720"/>
        </w:tabs>
        <w:ind w:left="720" w:hanging="360"/>
      </w:pPr>
    </w:lvl>
    <w:lvl w:ilvl="1" w:tplc="2DCEB8BC" w:tentative="1">
      <w:start w:val="1"/>
      <w:numFmt w:val="decimal"/>
      <w:lvlText w:val="(%2)"/>
      <w:lvlJc w:val="left"/>
      <w:pPr>
        <w:tabs>
          <w:tab w:val="num" w:pos="1440"/>
        </w:tabs>
        <w:ind w:left="1440" w:hanging="360"/>
      </w:pPr>
    </w:lvl>
    <w:lvl w:ilvl="2" w:tplc="8A44F782" w:tentative="1">
      <w:start w:val="1"/>
      <w:numFmt w:val="decimal"/>
      <w:lvlText w:val="(%3)"/>
      <w:lvlJc w:val="left"/>
      <w:pPr>
        <w:tabs>
          <w:tab w:val="num" w:pos="2160"/>
        </w:tabs>
        <w:ind w:left="2160" w:hanging="360"/>
      </w:pPr>
    </w:lvl>
    <w:lvl w:ilvl="3" w:tplc="D9ECE8DA" w:tentative="1">
      <w:start w:val="1"/>
      <w:numFmt w:val="decimal"/>
      <w:lvlText w:val="(%4)"/>
      <w:lvlJc w:val="left"/>
      <w:pPr>
        <w:tabs>
          <w:tab w:val="num" w:pos="2880"/>
        </w:tabs>
        <w:ind w:left="2880" w:hanging="360"/>
      </w:pPr>
    </w:lvl>
    <w:lvl w:ilvl="4" w:tplc="9A24F9C0" w:tentative="1">
      <w:start w:val="1"/>
      <w:numFmt w:val="decimal"/>
      <w:lvlText w:val="(%5)"/>
      <w:lvlJc w:val="left"/>
      <w:pPr>
        <w:tabs>
          <w:tab w:val="num" w:pos="3600"/>
        </w:tabs>
        <w:ind w:left="3600" w:hanging="360"/>
      </w:pPr>
    </w:lvl>
    <w:lvl w:ilvl="5" w:tplc="022E097E" w:tentative="1">
      <w:start w:val="1"/>
      <w:numFmt w:val="decimal"/>
      <w:lvlText w:val="(%6)"/>
      <w:lvlJc w:val="left"/>
      <w:pPr>
        <w:tabs>
          <w:tab w:val="num" w:pos="4320"/>
        </w:tabs>
        <w:ind w:left="4320" w:hanging="360"/>
      </w:pPr>
    </w:lvl>
    <w:lvl w:ilvl="6" w:tplc="8A044E74" w:tentative="1">
      <w:start w:val="1"/>
      <w:numFmt w:val="decimal"/>
      <w:lvlText w:val="(%7)"/>
      <w:lvlJc w:val="left"/>
      <w:pPr>
        <w:tabs>
          <w:tab w:val="num" w:pos="5040"/>
        </w:tabs>
        <w:ind w:left="5040" w:hanging="360"/>
      </w:pPr>
    </w:lvl>
    <w:lvl w:ilvl="7" w:tplc="0C50DC90" w:tentative="1">
      <w:start w:val="1"/>
      <w:numFmt w:val="decimal"/>
      <w:lvlText w:val="(%8)"/>
      <w:lvlJc w:val="left"/>
      <w:pPr>
        <w:tabs>
          <w:tab w:val="num" w:pos="5760"/>
        </w:tabs>
        <w:ind w:left="5760" w:hanging="360"/>
      </w:pPr>
    </w:lvl>
    <w:lvl w:ilvl="8" w:tplc="0DEC9660" w:tentative="1">
      <w:start w:val="1"/>
      <w:numFmt w:val="decimal"/>
      <w:lvlText w:val="(%9)"/>
      <w:lvlJc w:val="left"/>
      <w:pPr>
        <w:tabs>
          <w:tab w:val="num" w:pos="6480"/>
        </w:tabs>
        <w:ind w:left="6480" w:hanging="360"/>
      </w:pPr>
    </w:lvl>
  </w:abstractNum>
  <w:abstractNum w:abstractNumId="11" w15:restartNumberingAfterBreak="0">
    <w:nsid w:val="30503CB8"/>
    <w:multiLevelType w:val="hybridMultilevel"/>
    <w:tmpl w:val="BD4A4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0545246"/>
    <w:multiLevelType w:val="hybridMultilevel"/>
    <w:tmpl w:val="337CA75E"/>
    <w:lvl w:ilvl="0" w:tplc="38AA369C">
      <w:start w:val="1"/>
      <w:numFmt w:val="bullet"/>
      <w:lvlText w:val=""/>
      <w:lvlJc w:val="left"/>
      <w:pPr>
        <w:tabs>
          <w:tab w:val="num" w:pos="720"/>
        </w:tabs>
        <w:ind w:left="720" w:hanging="360"/>
      </w:pPr>
      <w:rPr>
        <w:rFonts w:ascii="Wingdings" w:hAnsi="Wingdings" w:hint="default"/>
      </w:rPr>
    </w:lvl>
    <w:lvl w:ilvl="1" w:tplc="5F269EF6">
      <w:numFmt w:val="bullet"/>
      <w:lvlText w:val="–"/>
      <w:lvlJc w:val="left"/>
      <w:pPr>
        <w:tabs>
          <w:tab w:val="num" w:pos="1440"/>
        </w:tabs>
        <w:ind w:left="1440" w:hanging="360"/>
      </w:pPr>
      <w:rPr>
        <w:rFonts w:ascii="Times New Roman" w:hAnsi="Times New Roman" w:hint="default"/>
      </w:rPr>
    </w:lvl>
    <w:lvl w:ilvl="2" w:tplc="D12ADE3A" w:tentative="1">
      <w:start w:val="1"/>
      <w:numFmt w:val="bullet"/>
      <w:lvlText w:val=""/>
      <w:lvlJc w:val="left"/>
      <w:pPr>
        <w:tabs>
          <w:tab w:val="num" w:pos="2160"/>
        </w:tabs>
        <w:ind w:left="2160" w:hanging="360"/>
      </w:pPr>
      <w:rPr>
        <w:rFonts w:ascii="Wingdings" w:hAnsi="Wingdings" w:hint="default"/>
      </w:rPr>
    </w:lvl>
    <w:lvl w:ilvl="3" w:tplc="DDA21E3E" w:tentative="1">
      <w:start w:val="1"/>
      <w:numFmt w:val="bullet"/>
      <w:lvlText w:val=""/>
      <w:lvlJc w:val="left"/>
      <w:pPr>
        <w:tabs>
          <w:tab w:val="num" w:pos="2880"/>
        </w:tabs>
        <w:ind w:left="2880" w:hanging="360"/>
      </w:pPr>
      <w:rPr>
        <w:rFonts w:ascii="Wingdings" w:hAnsi="Wingdings" w:hint="default"/>
      </w:rPr>
    </w:lvl>
    <w:lvl w:ilvl="4" w:tplc="94C0EE10" w:tentative="1">
      <w:start w:val="1"/>
      <w:numFmt w:val="bullet"/>
      <w:lvlText w:val=""/>
      <w:lvlJc w:val="left"/>
      <w:pPr>
        <w:tabs>
          <w:tab w:val="num" w:pos="3600"/>
        </w:tabs>
        <w:ind w:left="3600" w:hanging="360"/>
      </w:pPr>
      <w:rPr>
        <w:rFonts w:ascii="Wingdings" w:hAnsi="Wingdings" w:hint="default"/>
      </w:rPr>
    </w:lvl>
    <w:lvl w:ilvl="5" w:tplc="75688574" w:tentative="1">
      <w:start w:val="1"/>
      <w:numFmt w:val="bullet"/>
      <w:lvlText w:val=""/>
      <w:lvlJc w:val="left"/>
      <w:pPr>
        <w:tabs>
          <w:tab w:val="num" w:pos="4320"/>
        </w:tabs>
        <w:ind w:left="4320" w:hanging="360"/>
      </w:pPr>
      <w:rPr>
        <w:rFonts w:ascii="Wingdings" w:hAnsi="Wingdings" w:hint="default"/>
      </w:rPr>
    </w:lvl>
    <w:lvl w:ilvl="6" w:tplc="12AE1FEA" w:tentative="1">
      <w:start w:val="1"/>
      <w:numFmt w:val="bullet"/>
      <w:lvlText w:val=""/>
      <w:lvlJc w:val="left"/>
      <w:pPr>
        <w:tabs>
          <w:tab w:val="num" w:pos="5040"/>
        </w:tabs>
        <w:ind w:left="5040" w:hanging="360"/>
      </w:pPr>
      <w:rPr>
        <w:rFonts w:ascii="Wingdings" w:hAnsi="Wingdings" w:hint="default"/>
      </w:rPr>
    </w:lvl>
    <w:lvl w:ilvl="7" w:tplc="DD6049F8" w:tentative="1">
      <w:start w:val="1"/>
      <w:numFmt w:val="bullet"/>
      <w:lvlText w:val=""/>
      <w:lvlJc w:val="left"/>
      <w:pPr>
        <w:tabs>
          <w:tab w:val="num" w:pos="5760"/>
        </w:tabs>
        <w:ind w:left="5760" w:hanging="360"/>
      </w:pPr>
      <w:rPr>
        <w:rFonts w:ascii="Wingdings" w:hAnsi="Wingdings" w:hint="default"/>
      </w:rPr>
    </w:lvl>
    <w:lvl w:ilvl="8" w:tplc="445A8D1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B80C9F"/>
    <w:multiLevelType w:val="hybridMultilevel"/>
    <w:tmpl w:val="E5687658"/>
    <w:lvl w:ilvl="0" w:tplc="88720236">
      <w:start w:val="1"/>
      <w:numFmt w:val="bullet"/>
      <w:lvlText w:val=""/>
      <w:lvlJc w:val="left"/>
      <w:pPr>
        <w:tabs>
          <w:tab w:val="num" w:pos="720"/>
        </w:tabs>
        <w:ind w:left="720" w:hanging="360"/>
      </w:pPr>
      <w:rPr>
        <w:rFonts w:ascii="Wingdings" w:hAnsi="Wingdings" w:hint="default"/>
      </w:rPr>
    </w:lvl>
    <w:lvl w:ilvl="1" w:tplc="28D2865A" w:tentative="1">
      <w:start w:val="1"/>
      <w:numFmt w:val="bullet"/>
      <w:lvlText w:val=""/>
      <w:lvlJc w:val="left"/>
      <w:pPr>
        <w:tabs>
          <w:tab w:val="num" w:pos="1440"/>
        </w:tabs>
        <w:ind w:left="1440" w:hanging="360"/>
      </w:pPr>
      <w:rPr>
        <w:rFonts w:ascii="Wingdings" w:hAnsi="Wingdings" w:hint="default"/>
      </w:rPr>
    </w:lvl>
    <w:lvl w:ilvl="2" w:tplc="AF305726" w:tentative="1">
      <w:start w:val="1"/>
      <w:numFmt w:val="bullet"/>
      <w:lvlText w:val=""/>
      <w:lvlJc w:val="left"/>
      <w:pPr>
        <w:tabs>
          <w:tab w:val="num" w:pos="2160"/>
        </w:tabs>
        <w:ind w:left="2160" w:hanging="360"/>
      </w:pPr>
      <w:rPr>
        <w:rFonts w:ascii="Wingdings" w:hAnsi="Wingdings" w:hint="default"/>
      </w:rPr>
    </w:lvl>
    <w:lvl w:ilvl="3" w:tplc="DF5A38F4" w:tentative="1">
      <w:start w:val="1"/>
      <w:numFmt w:val="bullet"/>
      <w:lvlText w:val=""/>
      <w:lvlJc w:val="left"/>
      <w:pPr>
        <w:tabs>
          <w:tab w:val="num" w:pos="2880"/>
        </w:tabs>
        <w:ind w:left="2880" w:hanging="360"/>
      </w:pPr>
      <w:rPr>
        <w:rFonts w:ascii="Wingdings" w:hAnsi="Wingdings" w:hint="default"/>
      </w:rPr>
    </w:lvl>
    <w:lvl w:ilvl="4" w:tplc="7B8C4AA6" w:tentative="1">
      <w:start w:val="1"/>
      <w:numFmt w:val="bullet"/>
      <w:lvlText w:val=""/>
      <w:lvlJc w:val="left"/>
      <w:pPr>
        <w:tabs>
          <w:tab w:val="num" w:pos="3600"/>
        </w:tabs>
        <w:ind w:left="3600" w:hanging="360"/>
      </w:pPr>
      <w:rPr>
        <w:rFonts w:ascii="Wingdings" w:hAnsi="Wingdings" w:hint="default"/>
      </w:rPr>
    </w:lvl>
    <w:lvl w:ilvl="5" w:tplc="4DE6FCC4" w:tentative="1">
      <w:start w:val="1"/>
      <w:numFmt w:val="bullet"/>
      <w:lvlText w:val=""/>
      <w:lvlJc w:val="left"/>
      <w:pPr>
        <w:tabs>
          <w:tab w:val="num" w:pos="4320"/>
        </w:tabs>
        <w:ind w:left="4320" w:hanging="360"/>
      </w:pPr>
      <w:rPr>
        <w:rFonts w:ascii="Wingdings" w:hAnsi="Wingdings" w:hint="default"/>
      </w:rPr>
    </w:lvl>
    <w:lvl w:ilvl="6" w:tplc="AFEA1C0A" w:tentative="1">
      <w:start w:val="1"/>
      <w:numFmt w:val="bullet"/>
      <w:lvlText w:val=""/>
      <w:lvlJc w:val="left"/>
      <w:pPr>
        <w:tabs>
          <w:tab w:val="num" w:pos="5040"/>
        </w:tabs>
        <w:ind w:left="5040" w:hanging="360"/>
      </w:pPr>
      <w:rPr>
        <w:rFonts w:ascii="Wingdings" w:hAnsi="Wingdings" w:hint="default"/>
      </w:rPr>
    </w:lvl>
    <w:lvl w:ilvl="7" w:tplc="F9A010B2" w:tentative="1">
      <w:start w:val="1"/>
      <w:numFmt w:val="bullet"/>
      <w:lvlText w:val=""/>
      <w:lvlJc w:val="left"/>
      <w:pPr>
        <w:tabs>
          <w:tab w:val="num" w:pos="5760"/>
        </w:tabs>
        <w:ind w:left="5760" w:hanging="360"/>
      </w:pPr>
      <w:rPr>
        <w:rFonts w:ascii="Wingdings" w:hAnsi="Wingdings" w:hint="default"/>
      </w:rPr>
    </w:lvl>
    <w:lvl w:ilvl="8" w:tplc="EA80CBB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8253FF"/>
    <w:multiLevelType w:val="hybridMultilevel"/>
    <w:tmpl w:val="194A87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3EE35566"/>
    <w:multiLevelType w:val="hybridMultilevel"/>
    <w:tmpl w:val="C7C46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BCD4B0A"/>
    <w:multiLevelType w:val="hybridMultilevel"/>
    <w:tmpl w:val="2BA48226"/>
    <w:lvl w:ilvl="0" w:tplc="4F526A3C">
      <w:start w:val="1"/>
      <w:numFmt w:val="bullet"/>
      <w:lvlText w:val=""/>
      <w:lvlJc w:val="left"/>
      <w:pPr>
        <w:tabs>
          <w:tab w:val="num" w:pos="720"/>
        </w:tabs>
        <w:ind w:left="720" w:hanging="360"/>
      </w:pPr>
      <w:rPr>
        <w:rFonts w:ascii="Wingdings" w:hAnsi="Wingdings" w:hint="default"/>
      </w:rPr>
    </w:lvl>
    <w:lvl w:ilvl="1" w:tplc="0EAADC1E" w:tentative="1">
      <w:start w:val="1"/>
      <w:numFmt w:val="bullet"/>
      <w:lvlText w:val=""/>
      <w:lvlJc w:val="left"/>
      <w:pPr>
        <w:tabs>
          <w:tab w:val="num" w:pos="1440"/>
        </w:tabs>
        <w:ind w:left="1440" w:hanging="360"/>
      </w:pPr>
      <w:rPr>
        <w:rFonts w:ascii="Wingdings" w:hAnsi="Wingdings" w:hint="default"/>
      </w:rPr>
    </w:lvl>
    <w:lvl w:ilvl="2" w:tplc="F5A20228" w:tentative="1">
      <w:start w:val="1"/>
      <w:numFmt w:val="bullet"/>
      <w:lvlText w:val=""/>
      <w:lvlJc w:val="left"/>
      <w:pPr>
        <w:tabs>
          <w:tab w:val="num" w:pos="2160"/>
        </w:tabs>
        <w:ind w:left="2160" w:hanging="360"/>
      </w:pPr>
      <w:rPr>
        <w:rFonts w:ascii="Wingdings" w:hAnsi="Wingdings" w:hint="default"/>
      </w:rPr>
    </w:lvl>
    <w:lvl w:ilvl="3" w:tplc="0FC4346A" w:tentative="1">
      <w:start w:val="1"/>
      <w:numFmt w:val="bullet"/>
      <w:lvlText w:val=""/>
      <w:lvlJc w:val="left"/>
      <w:pPr>
        <w:tabs>
          <w:tab w:val="num" w:pos="2880"/>
        </w:tabs>
        <w:ind w:left="2880" w:hanging="360"/>
      </w:pPr>
      <w:rPr>
        <w:rFonts w:ascii="Wingdings" w:hAnsi="Wingdings" w:hint="default"/>
      </w:rPr>
    </w:lvl>
    <w:lvl w:ilvl="4" w:tplc="56B4A9D2" w:tentative="1">
      <w:start w:val="1"/>
      <w:numFmt w:val="bullet"/>
      <w:lvlText w:val=""/>
      <w:lvlJc w:val="left"/>
      <w:pPr>
        <w:tabs>
          <w:tab w:val="num" w:pos="3600"/>
        </w:tabs>
        <w:ind w:left="3600" w:hanging="360"/>
      </w:pPr>
      <w:rPr>
        <w:rFonts w:ascii="Wingdings" w:hAnsi="Wingdings" w:hint="default"/>
      </w:rPr>
    </w:lvl>
    <w:lvl w:ilvl="5" w:tplc="9138743E" w:tentative="1">
      <w:start w:val="1"/>
      <w:numFmt w:val="bullet"/>
      <w:lvlText w:val=""/>
      <w:lvlJc w:val="left"/>
      <w:pPr>
        <w:tabs>
          <w:tab w:val="num" w:pos="4320"/>
        </w:tabs>
        <w:ind w:left="4320" w:hanging="360"/>
      </w:pPr>
      <w:rPr>
        <w:rFonts w:ascii="Wingdings" w:hAnsi="Wingdings" w:hint="default"/>
      </w:rPr>
    </w:lvl>
    <w:lvl w:ilvl="6" w:tplc="CDD4E3A4" w:tentative="1">
      <w:start w:val="1"/>
      <w:numFmt w:val="bullet"/>
      <w:lvlText w:val=""/>
      <w:lvlJc w:val="left"/>
      <w:pPr>
        <w:tabs>
          <w:tab w:val="num" w:pos="5040"/>
        </w:tabs>
        <w:ind w:left="5040" w:hanging="360"/>
      </w:pPr>
      <w:rPr>
        <w:rFonts w:ascii="Wingdings" w:hAnsi="Wingdings" w:hint="default"/>
      </w:rPr>
    </w:lvl>
    <w:lvl w:ilvl="7" w:tplc="89EC92EA" w:tentative="1">
      <w:start w:val="1"/>
      <w:numFmt w:val="bullet"/>
      <w:lvlText w:val=""/>
      <w:lvlJc w:val="left"/>
      <w:pPr>
        <w:tabs>
          <w:tab w:val="num" w:pos="5760"/>
        </w:tabs>
        <w:ind w:left="5760" w:hanging="360"/>
      </w:pPr>
      <w:rPr>
        <w:rFonts w:ascii="Wingdings" w:hAnsi="Wingdings" w:hint="default"/>
      </w:rPr>
    </w:lvl>
    <w:lvl w:ilvl="8" w:tplc="7F2E66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FD01F7"/>
    <w:multiLevelType w:val="hybridMultilevel"/>
    <w:tmpl w:val="23B2D93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22A272E"/>
    <w:multiLevelType w:val="hybridMultilevel"/>
    <w:tmpl w:val="AD8424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5DD1C80"/>
    <w:multiLevelType w:val="hybridMultilevel"/>
    <w:tmpl w:val="03EA76D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B0F7B20"/>
    <w:multiLevelType w:val="hybridMultilevel"/>
    <w:tmpl w:val="9778697E"/>
    <w:lvl w:ilvl="0" w:tplc="749AA692">
      <w:start w:val="1"/>
      <w:numFmt w:val="bullet"/>
      <w:lvlText w:val=""/>
      <w:lvlJc w:val="left"/>
      <w:pPr>
        <w:tabs>
          <w:tab w:val="num" w:pos="720"/>
        </w:tabs>
        <w:ind w:left="720" w:hanging="360"/>
      </w:pPr>
      <w:rPr>
        <w:rFonts w:ascii="Wingdings" w:hAnsi="Wingdings" w:hint="default"/>
      </w:rPr>
    </w:lvl>
    <w:lvl w:ilvl="1" w:tplc="C08EAF3E">
      <w:numFmt w:val="bullet"/>
      <w:lvlText w:val=""/>
      <w:lvlJc w:val="left"/>
      <w:pPr>
        <w:tabs>
          <w:tab w:val="num" w:pos="1440"/>
        </w:tabs>
        <w:ind w:left="1440" w:hanging="360"/>
      </w:pPr>
      <w:rPr>
        <w:rFonts w:ascii="Symbol" w:hAnsi="Symbol" w:hint="default"/>
      </w:rPr>
    </w:lvl>
    <w:lvl w:ilvl="2" w:tplc="7848F8A6" w:tentative="1">
      <w:start w:val="1"/>
      <w:numFmt w:val="bullet"/>
      <w:lvlText w:val=""/>
      <w:lvlJc w:val="left"/>
      <w:pPr>
        <w:tabs>
          <w:tab w:val="num" w:pos="2160"/>
        </w:tabs>
        <w:ind w:left="2160" w:hanging="360"/>
      </w:pPr>
      <w:rPr>
        <w:rFonts w:ascii="Wingdings" w:hAnsi="Wingdings" w:hint="default"/>
      </w:rPr>
    </w:lvl>
    <w:lvl w:ilvl="3" w:tplc="A8D22BAC" w:tentative="1">
      <w:start w:val="1"/>
      <w:numFmt w:val="bullet"/>
      <w:lvlText w:val=""/>
      <w:lvlJc w:val="left"/>
      <w:pPr>
        <w:tabs>
          <w:tab w:val="num" w:pos="2880"/>
        </w:tabs>
        <w:ind w:left="2880" w:hanging="360"/>
      </w:pPr>
      <w:rPr>
        <w:rFonts w:ascii="Wingdings" w:hAnsi="Wingdings" w:hint="default"/>
      </w:rPr>
    </w:lvl>
    <w:lvl w:ilvl="4" w:tplc="E6B8DF90" w:tentative="1">
      <w:start w:val="1"/>
      <w:numFmt w:val="bullet"/>
      <w:lvlText w:val=""/>
      <w:lvlJc w:val="left"/>
      <w:pPr>
        <w:tabs>
          <w:tab w:val="num" w:pos="3600"/>
        </w:tabs>
        <w:ind w:left="3600" w:hanging="360"/>
      </w:pPr>
      <w:rPr>
        <w:rFonts w:ascii="Wingdings" w:hAnsi="Wingdings" w:hint="default"/>
      </w:rPr>
    </w:lvl>
    <w:lvl w:ilvl="5" w:tplc="5504CA10" w:tentative="1">
      <w:start w:val="1"/>
      <w:numFmt w:val="bullet"/>
      <w:lvlText w:val=""/>
      <w:lvlJc w:val="left"/>
      <w:pPr>
        <w:tabs>
          <w:tab w:val="num" w:pos="4320"/>
        </w:tabs>
        <w:ind w:left="4320" w:hanging="360"/>
      </w:pPr>
      <w:rPr>
        <w:rFonts w:ascii="Wingdings" w:hAnsi="Wingdings" w:hint="default"/>
      </w:rPr>
    </w:lvl>
    <w:lvl w:ilvl="6" w:tplc="7F74E746" w:tentative="1">
      <w:start w:val="1"/>
      <w:numFmt w:val="bullet"/>
      <w:lvlText w:val=""/>
      <w:lvlJc w:val="left"/>
      <w:pPr>
        <w:tabs>
          <w:tab w:val="num" w:pos="5040"/>
        </w:tabs>
        <w:ind w:left="5040" w:hanging="360"/>
      </w:pPr>
      <w:rPr>
        <w:rFonts w:ascii="Wingdings" w:hAnsi="Wingdings" w:hint="default"/>
      </w:rPr>
    </w:lvl>
    <w:lvl w:ilvl="7" w:tplc="263C4324" w:tentative="1">
      <w:start w:val="1"/>
      <w:numFmt w:val="bullet"/>
      <w:lvlText w:val=""/>
      <w:lvlJc w:val="left"/>
      <w:pPr>
        <w:tabs>
          <w:tab w:val="num" w:pos="5760"/>
        </w:tabs>
        <w:ind w:left="5760" w:hanging="360"/>
      </w:pPr>
      <w:rPr>
        <w:rFonts w:ascii="Wingdings" w:hAnsi="Wingdings" w:hint="default"/>
      </w:rPr>
    </w:lvl>
    <w:lvl w:ilvl="8" w:tplc="50B24EC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9BA37FB"/>
    <w:multiLevelType w:val="hybridMultilevel"/>
    <w:tmpl w:val="A29E210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7AED31DE"/>
    <w:multiLevelType w:val="hybridMultilevel"/>
    <w:tmpl w:val="7C261A42"/>
    <w:lvl w:ilvl="0" w:tplc="2DB26DD8">
      <w:start w:val="1"/>
      <w:numFmt w:val="bullet"/>
      <w:lvlText w:val=""/>
      <w:lvlJc w:val="left"/>
      <w:pPr>
        <w:tabs>
          <w:tab w:val="num" w:pos="360"/>
        </w:tabs>
        <w:ind w:left="360" w:hanging="360"/>
      </w:pPr>
      <w:rPr>
        <w:rFonts w:ascii="Wingdings" w:hAnsi="Wingdings" w:hint="default"/>
      </w:rPr>
    </w:lvl>
    <w:lvl w:ilvl="1" w:tplc="6FCC70FA" w:tentative="1">
      <w:start w:val="1"/>
      <w:numFmt w:val="bullet"/>
      <w:lvlText w:val=""/>
      <w:lvlJc w:val="left"/>
      <w:pPr>
        <w:tabs>
          <w:tab w:val="num" w:pos="1080"/>
        </w:tabs>
        <w:ind w:left="1080" w:hanging="360"/>
      </w:pPr>
      <w:rPr>
        <w:rFonts w:ascii="Wingdings" w:hAnsi="Wingdings" w:hint="default"/>
      </w:rPr>
    </w:lvl>
    <w:lvl w:ilvl="2" w:tplc="B6C4FF42" w:tentative="1">
      <w:start w:val="1"/>
      <w:numFmt w:val="bullet"/>
      <w:lvlText w:val=""/>
      <w:lvlJc w:val="left"/>
      <w:pPr>
        <w:tabs>
          <w:tab w:val="num" w:pos="1800"/>
        </w:tabs>
        <w:ind w:left="1800" w:hanging="360"/>
      </w:pPr>
      <w:rPr>
        <w:rFonts w:ascii="Wingdings" w:hAnsi="Wingdings" w:hint="default"/>
      </w:rPr>
    </w:lvl>
    <w:lvl w:ilvl="3" w:tplc="2CEE3094" w:tentative="1">
      <w:start w:val="1"/>
      <w:numFmt w:val="bullet"/>
      <w:lvlText w:val=""/>
      <w:lvlJc w:val="left"/>
      <w:pPr>
        <w:tabs>
          <w:tab w:val="num" w:pos="2520"/>
        </w:tabs>
        <w:ind w:left="2520" w:hanging="360"/>
      </w:pPr>
      <w:rPr>
        <w:rFonts w:ascii="Wingdings" w:hAnsi="Wingdings" w:hint="default"/>
      </w:rPr>
    </w:lvl>
    <w:lvl w:ilvl="4" w:tplc="18C6BD40" w:tentative="1">
      <w:start w:val="1"/>
      <w:numFmt w:val="bullet"/>
      <w:lvlText w:val=""/>
      <w:lvlJc w:val="left"/>
      <w:pPr>
        <w:tabs>
          <w:tab w:val="num" w:pos="3240"/>
        </w:tabs>
        <w:ind w:left="3240" w:hanging="360"/>
      </w:pPr>
      <w:rPr>
        <w:rFonts w:ascii="Wingdings" w:hAnsi="Wingdings" w:hint="default"/>
      </w:rPr>
    </w:lvl>
    <w:lvl w:ilvl="5" w:tplc="BCB01B18" w:tentative="1">
      <w:start w:val="1"/>
      <w:numFmt w:val="bullet"/>
      <w:lvlText w:val=""/>
      <w:lvlJc w:val="left"/>
      <w:pPr>
        <w:tabs>
          <w:tab w:val="num" w:pos="3960"/>
        </w:tabs>
        <w:ind w:left="3960" w:hanging="360"/>
      </w:pPr>
      <w:rPr>
        <w:rFonts w:ascii="Wingdings" w:hAnsi="Wingdings" w:hint="default"/>
      </w:rPr>
    </w:lvl>
    <w:lvl w:ilvl="6" w:tplc="B6405468" w:tentative="1">
      <w:start w:val="1"/>
      <w:numFmt w:val="bullet"/>
      <w:lvlText w:val=""/>
      <w:lvlJc w:val="left"/>
      <w:pPr>
        <w:tabs>
          <w:tab w:val="num" w:pos="4680"/>
        </w:tabs>
        <w:ind w:left="4680" w:hanging="360"/>
      </w:pPr>
      <w:rPr>
        <w:rFonts w:ascii="Wingdings" w:hAnsi="Wingdings" w:hint="default"/>
      </w:rPr>
    </w:lvl>
    <w:lvl w:ilvl="7" w:tplc="97C632E8" w:tentative="1">
      <w:start w:val="1"/>
      <w:numFmt w:val="bullet"/>
      <w:lvlText w:val=""/>
      <w:lvlJc w:val="left"/>
      <w:pPr>
        <w:tabs>
          <w:tab w:val="num" w:pos="5400"/>
        </w:tabs>
        <w:ind w:left="5400" w:hanging="360"/>
      </w:pPr>
      <w:rPr>
        <w:rFonts w:ascii="Wingdings" w:hAnsi="Wingdings" w:hint="default"/>
      </w:rPr>
    </w:lvl>
    <w:lvl w:ilvl="8" w:tplc="6F5A47B2"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F3B53A4"/>
    <w:multiLevelType w:val="hybridMultilevel"/>
    <w:tmpl w:val="1242D7BC"/>
    <w:lvl w:ilvl="0" w:tplc="0407000F">
      <w:start w:val="1"/>
      <w:numFmt w:val="decimal"/>
      <w:lvlText w:val="%1."/>
      <w:lvlJc w:val="left"/>
      <w:pPr>
        <w:ind w:left="720" w:hanging="360"/>
      </w:p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10"/>
  </w:num>
  <w:num w:numId="4">
    <w:abstractNumId w:val="20"/>
  </w:num>
  <w:num w:numId="5">
    <w:abstractNumId w:val="12"/>
  </w:num>
  <w:num w:numId="6">
    <w:abstractNumId w:val="11"/>
  </w:num>
  <w:num w:numId="7">
    <w:abstractNumId w:val="1"/>
  </w:num>
  <w:num w:numId="8">
    <w:abstractNumId w:val="3"/>
  </w:num>
  <w:num w:numId="9">
    <w:abstractNumId w:val="2"/>
  </w:num>
  <w:num w:numId="10">
    <w:abstractNumId w:val="6"/>
  </w:num>
  <w:num w:numId="11">
    <w:abstractNumId w:val="13"/>
  </w:num>
  <w:num w:numId="12">
    <w:abstractNumId w:val="22"/>
  </w:num>
  <w:num w:numId="13">
    <w:abstractNumId w:val="19"/>
  </w:num>
  <w:num w:numId="14">
    <w:abstractNumId w:val="14"/>
  </w:num>
  <w:num w:numId="15">
    <w:abstractNumId w:val="23"/>
    <w:lvlOverride w:ilvl="0">
      <w:startOverride w:val="1"/>
    </w:lvlOverride>
    <w:lvlOverride w:ilvl="1"/>
    <w:lvlOverride w:ilvl="2"/>
    <w:lvlOverride w:ilvl="3"/>
    <w:lvlOverride w:ilvl="4"/>
    <w:lvlOverride w:ilvl="5"/>
    <w:lvlOverride w:ilvl="6"/>
    <w:lvlOverride w:ilvl="7"/>
    <w:lvlOverride w:ilvl="8"/>
  </w:num>
  <w:num w:numId="16">
    <w:abstractNumId w:val="23"/>
  </w:num>
  <w:num w:numId="17">
    <w:abstractNumId w:val="7"/>
  </w:num>
  <w:num w:numId="18">
    <w:abstractNumId w:val="0"/>
  </w:num>
  <w:num w:numId="19">
    <w:abstractNumId w:val="4"/>
  </w:num>
  <w:num w:numId="20">
    <w:abstractNumId w:val="15"/>
  </w:num>
  <w:num w:numId="21">
    <w:abstractNumId w:val="18"/>
  </w:num>
  <w:num w:numId="22">
    <w:abstractNumId w:val="8"/>
  </w:num>
  <w:num w:numId="23">
    <w:abstractNumId w:val="9"/>
  </w:num>
  <w:num w:numId="24">
    <w:abstractNumId w:val="21"/>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Thrombosis Haemostasis&lt;/Style&gt;&lt;LeftDelim&gt;{&lt;/LeftDelim&gt;&lt;RightDelim&gt;}&lt;/RightDelim&gt;&lt;FontName&gt;Times New Roman&lt;/FontName&gt;&lt;FontSize&gt;12&lt;/FontSize&gt;&lt;ReflistTitle&gt;&lt;/ReflistTitle&gt;&lt;StartingRefnum&gt;1&lt;/StartingRefnum&gt;&lt;FirstLineIndent&gt;0&lt;/FirstLineIndent&gt;&lt;HangingIndent&gt;566&lt;/HangingIndent&gt;&lt;LineSpacing&gt;2&lt;/LineSpacing&gt;&lt;SpaceAfter&gt;3&lt;/SpaceAfter&gt;&lt;HyperlinksEnabled&gt;0&lt;/HyperlinksEnabled&gt;&lt;HyperlinksVisible&gt;0&lt;/HyperlinksVisible&gt;&lt;EnableBibliographyCategories&gt;0&lt;/EnableBibliographyCategories&gt;&lt;/ENLayout&gt;"/>
    <w:docVar w:name="EN.Libraries" w:val="&lt;Libraries&gt;&lt;item db-id=&quot;9t2f5svvor52wdewtv3vv02ftzrv9ea29ssz&quot;&gt;2021-07-15_EndNote_Daiichi_Manuskript&lt;record-ids&gt;&lt;item&gt;27&lt;/item&gt;&lt;item&gt;28&lt;/item&gt;&lt;item&gt;54&lt;/item&gt;&lt;item&gt;55&lt;/item&gt;&lt;item&gt;56&lt;/item&gt;&lt;/record-ids&gt;&lt;/item&gt;&lt;/Libraries&gt;"/>
  </w:docVars>
  <w:rsids>
    <w:rsidRoot w:val="001A0731"/>
    <w:rsid w:val="00005A38"/>
    <w:rsid w:val="0000668C"/>
    <w:rsid w:val="00006CFA"/>
    <w:rsid w:val="0000722C"/>
    <w:rsid w:val="0000751C"/>
    <w:rsid w:val="00012513"/>
    <w:rsid w:val="0001304A"/>
    <w:rsid w:val="00014766"/>
    <w:rsid w:val="00014A50"/>
    <w:rsid w:val="00020603"/>
    <w:rsid w:val="00022D0A"/>
    <w:rsid w:val="00023C3E"/>
    <w:rsid w:val="00023E51"/>
    <w:rsid w:val="000246A3"/>
    <w:rsid w:val="00026343"/>
    <w:rsid w:val="00026F8D"/>
    <w:rsid w:val="00030A0E"/>
    <w:rsid w:val="0003111C"/>
    <w:rsid w:val="000325D0"/>
    <w:rsid w:val="0003283A"/>
    <w:rsid w:val="00032F5C"/>
    <w:rsid w:val="000340A5"/>
    <w:rsid w:val="0003418F"/>
    <w:rsid w:val="00034D73"/>
    <w:rsid w:val="00035DC5"/>
    <w:rsid w:val="00036DF4"/>
    <w:rsid w:val="00043202"/>
    <w:rsid w:val="00045A5D"/>
    <w:rsid w:val="0004675C"/>
    <w:rsid w:val="00046CF9"/>
    <w:rsid w:val="00053980"/>
    <w:rsid w:val="00053FDA"/>
    <w:rsid w:val="00054A5B"/>
    <w:rsid w:val="00054B01"/>
    <w:rsid w:val="00055668"/>
    <w:rsid w:val="00055DEF"/>
    <w:rsid w:val="0005677A"/>
    <w:rsid w:val="00056F6A"/>
    <w:rsid w:val="00060ABF"/>
    <w:rsid w:val="00060CDB"/>
    <w:rsid w:val="000617A5"/>
    <w:rsid w:val="0006308A"/>
    <w:rsid w:val="000631FB"/>
    <w:rsid w:val="000679BE"/>
    <w:rsid w:val="00067C1D"/>
    <w:rsid w:val="00067EFE"/>
    <w:rsid w:val="00070E80"/>
    <w:rsid w:val="00071069"/>
    <w:rsid w:val="00073243"/>
    <w:rsid w:val="00075910"/>
    <w:rsid w:val="00075FB8"/>
    <w:rsid w:val="00083788"/>
    <w:rsid w:val="00083C76"/>
    <w:rsid w:val="00085FAC"/>
    <w:rsid w:val="00090517"/>
    <w:rsid w:val="00093152"/>
    <w:rsid w:val="00094193"/>
    <w:rsid w:val="00094384"/>
    <w:rsid w:val="00095973"/>
    <w:rsid w:val="00096BF0"/>
    <w:rsid w:val="000A0555"/>
    <w:rsid w:val="000A0BBE"/>
    <w:rsid w:val="000A2DBD"/>
    <w:rsid w:val="000A488C"/>
    <w:rsid w:val="000A7F4B"/>
    <w:rsid w:val="000B03A7"/>
    <w:rsid w:val="000B1426"/>
    <w:rsid w:val="000B2B34"/>
    <w:rsid w:val="000B3BB8"/>
    <w:rsid w:val="000B6005"/>
    <w:rsid w:val="000B6B4B"/>
    <w:rsid w:val="000C07EC"/>
    <w:rsid w:val="000C1B20"/>
    <w:rsid w:val="000C1DE8"/>
    <w:rsid w:val="000C3233"/>
    <w:rsid w:val="000C5151"/>
    <w:rsid w:val="000C692D"/>
    <w:rsid w:val="000D102D"/>
    <w:rsid w:val="000D151A"/>
    <w:rsid w:val="000D281E"/>
    <w:rsid w:val="000D33B2"/>
    <w:rsid w:val="000D3A42"/>
    <w:rsid w:val="000D4676"/>
    <w:rsid w:val="000E06FD"/>
    <w:rsid w:val="000E0A98"/>
    <w:rsid w:val="000E7D1E"/>
    <w:rsid w:val="000F280A"/>
    <w:rsid w:val="000F2AB4"/>
    <w:rsid w:val="000F461E"/>
    <w:rsid w:val="000F4C2B"/>
    <w:rsid w:val="000F6822"/>
    <w:rsid w:val="000F6D7E"/>
    <w:rsid w:val="000F6E14"/>
    <w:rsid w:val="000F7BEC"/>
    <w:rsid w:val="00100978"/>
    <w:rsid w:val="00100CBA"/>
    <w:rsid w:val="00100D30"/>
    <w:rsid w:val="00101380"/>
    <w:rsid w:val="00101CC7"/>
    <w:rsid w:val="00101DA6"/>
    <w:rsid w:val="00102FE5"/>
    <w:rsid w:val="001043F0"/>
    <w:rsid w:val="00104FE1"/>
    <w:rsid w:val="00105502"/>
    <w:rsid w:val="00105538"/>
    <w:rsid w:val="001067C8"/>
    <w:rsid w:val="00107273"/>
    <w:rsid w:val="0010750F"/>
    <w:rsid w:val="00107B93"/>
    <w:rsid w:val="00110AE5"/>
    <w:rsid w:val="001125A6"/>
    <w:rsid w:val="00113D24"/>
    <w:rsid w:val="00114A1A"/>
    <w:rsid w:val="0012091B"/>
    <w:rsid w:val="001214CB"/>
    <w:rsid w:val="00122670"/>
    <w:rsid w:val="00122E6E"/>
    <w:rsid w:val="00125B76"/>
    <w:rsid w:val="001273C3"/>
    <w:rsid w:val="00127469"/>
    <w:rsid w:val="001320FD"/>
    <w:rsid w:val="001326C3"/>
    <w:rsid w:val="001337D1"/>
    <w:rsid w:val="00134C61"/>
    <w:rsid w:val="00135CD8"/>
    <w:rsid w:val="00142A84"/>
    <w:rsid w:val="00143CF6"/>
    <w:rsid w:val="00143E6E"/>
    <w:rsid w:val="001445D9"/>
    <w:rsid w:val="00145194"/>
    <w:rsid w:val="001452A1"/>
    <w:rsid w:val="00145428"/>
    <w:rsid w:val="00145DC8"/>
    <w:rsid w:val="00147645"/>
    <w:rsid w:val="00151324"/>
    <w:rsid w:val="00153279"/>
    <w:rsid w:val="001537AA"/>
    <w:rsid w:val="00156272"/>
    <w:rsid w:val="001571E3"/>
    <w:rsid w:val="0015762F"/>
    <w:rsid w:val="001605F3"/>
    <w:rsid w:val="00161A52"/>
    <w:rsid w:val="00163B62"/>
    <w:rsid w:val="00163D1A"/>
    <w:rsid w:val="00165DA4"/>
    <w:rsid w:val="001665B8"/>
    <w:rsid w:val="001670DD"/>
    <w:rsid w:val="00167D19"/>
    <w:rsid w:val="00170EC0"/>
    <w:rsid w:val="0017263F"/>
    <w:rsid w:val="00172805"/>
    <w:rsid w:val="0017375B"/>
    <w:rsid w:val="0017388B"/>
    <w:rsid w:val="001758E0"/>
    <w:rsid w:val="00182344"/>
    <w:rsid w:val="00182DBD"/>
    <w:rsid w:val="00183735"/>
    <w:rsid w:val="001837F1"/>
    <w:rsid w:val="00183962"/>
    <w:rsid w:val="0018449C"/>
    <w:rsid w:val="00190B2B"/>
    <w:rsid w:val="001926F1"/>
    <w:rsid w:val="00195571"/>
    <w:rsid w:val="00195910"/>
    <w:rsid w:val="0019693D"/>
    <w:rsid w:val="00196C2C"/>
    <w:rsid w:val="00196D16"/>
    <w:rsid w:val="00197025"/>
    <w:rsid w:val="00197B65"/>
    <w:rsid w:val="001A0731"/>
    <w:rsid w:val="001A219B"/>
    <w:rsid w:val="001A2591"/>
    <w:rsid w:val="001A2C5C"/>
    <w:rsid w:val="001A32D5"/>
    <w:rsid w:val="001A3C38"/>
    <w:rsid w:val="001A5F2E"/>
    <w:rsid w:val="001A7570"/>
    <w:rsid w:val="001B1418"/>
    <w:rsid w:val="001B220D"/>
    <w:rsid w:val="001B229E"/>
    <w:rsid w:val="001B4119"/>
    <w:rsid w:val="001B4F15"/>
    <w:rsid w:val="001B6AAC"/>
    <w:rsid w:val="001B6F4A"/>
    <w:rsid w:val="001C033D"/>
    <w:rsid w:val="001C1F5A"/>
    <w:rsid w:val="001C2E22"/>
    <w:rsid w:val="001C6193"/>
    <w:rsid w:val="001C68D6"/>
    <w:rsid w:val="001C7F9B"/>
    <w:rsid w:val="001D018E"/>
    <w:rsid w:val="001D3AEB"/>
    <w:rsid w:val="001D67E9"/>
    <w:rsid w:val="001E10C5"/>
    <w:rsid w:val="001E3E23"/>
    <w:rsid w:val="001E444E"/>
    <w:rsid w:val="001E62C0"/>
    <w:rsid w:val="001E779D"/>
    <w:rsid w:val="001E7DD1"/>
    <w:rsid w:val="001F5BF0"/>
    <w:rsid w:val="001F6067"/>
    <w:rsid w:val="001F67C8"/>
    <w:rsid w:val="001F6EA0"/>
    <w:rsid w:val="001F6F8F"/>
    <w:rsid w:val="00201B30"/>
    <w:rsid w:val="00202C26"/>
    <w:rsid w:val="0021389B"/>
    <w:rsid w:val="00216AA6"/>
    <w:rsid w:val="00217AFC"/>
    <w:rsid w:val="00217E4D"/>
    <w:rsid w:val="00220063"/>
    <w:rsid w:val="00220F8D"/>
    <w:rsid w:val="00222C5E"/>
    <w:rsid w:val="00223637"/>
    <w:rsid w:val="002236DB"/>
    <w:rsid w:val="002246A1"/>
    <w:rsid w:val="00227F70"/>
    <w:rsid w:val="002302B0"/>
    <w:rsid w:val="00230358"/>
    <w:rsid w:val="00232147"/>
    <w:rsid w:val="00235120"/>
    <w:rsid w:val="00237BDF"/>
    <w:rsid w:val="002449AA"/>
    <w:rsid w:val="00245702"/>
    <w:rsid w:val="0024622F"/>
    <w:rsid w:val="00247CE4"/>
    <w:rsid w:val="002505D2"/>
    <w:rsid w:val="002515DF"/>
    <w:rsid w:val="00252D69"/>
    <w:rsid w:val="002546C1"/>
    <w:rsid w:val="00255217"/>
    <w:rsid w:val="0025684D"/>
    <w:rsid w:val="002600A2"/>
    <w:rsid w:val="002606E3"/>
    <w:rsid w:val="0026254C"/>
    <w:rsid w:val="0027025A"/>
    <w:rsid w:val="00272F77"/>
    <w:rsid w:val="00275C87"/>
    <w:rsid w:val="002763B2"/>
    <w:rsid w:val="0027686A"/>
    <w:rsid w:val="00276AA7"/>
    <w:rsid w:val="00276E50"/>
    <w:rsid w:val="0027788A"/>
    <w:rsid w:val="002809A9"/>
    <w:rsid w:val="002810B9"/>
    <w:rsid w:val="00282695"/>
    <w:rsid w:val="00284DFB"/>
    <w:rsid w:val="00286751"/>
    <w:rsid w:val="002911E0"/>
    <w:rsid w:val="0029233C"/>
    <w:rsid w:val="0029250E"/>
    <w:rsid w:val="00292519"/>
    <w:rsid w:val="00292B62"/>
    <w:rsid w:val="00293432"/>
    <w:rsid w:val="0029760A"/>
    <w:rsid w:val="002A0367"/>
    <w:rsid w:val="002A082B"/>
    <w:rsid w:val="002A30BB"/>
    <w:rsid w:val="002A4094"/>
    <w:rsid w:val="002A485C"/>
    <w:rsid w:val="002A4993"/>
    <w:rsid w:val="002A4AF2"/>
    <w:rsid w:val="002A6B57"/>
    <w:rsid w:val="002A7305"/>
    <w:rsid w:val="002A7474"/>
    <w:rsid w:val="002B0D2D"/>
    <w:rsid w:val="002B11C6"/>
    <w:rsid w:val="002B1B97"/>
    <w:rsid w:val="002B2537"/>
    <w:rsid w:val="002B34AD"/>
    <w:rsid w:val="002B3D76"/>
    <w:rsid w:val="002B44D6"/>
    <w:rsid w:val="002B4E64"/>
    <w:rsid w:val="002B52F4"/>
    <w:rsid w:val="002B5EA9"/>
    <w:rsid w:val="002B6898"/>
    <w:rsid w:val="002C124D"/>
    <w:rsid w:val="002C1F03"/>
    <w:rsid w:val="002C2950"/>
    <w:rsid w:val="002C3181"/>
    <w:rsid w:val="002C338C"/>
    <w:rsid w:val="002C3717"/>
    <w:rsid w:val="002C3D2F"/>
    <w:rsid w:val="002C4394"/>
    <w:rsid w:val="002D08B7"/>
    <w:rsid w:val="002D1081"/>
    <w:rsid w:val="002D2092"/>
    <w:rsid w:val="002D25DC"/>
    <w:rsid w:val="002D274B"/>
    <w:rsid w:val="002D3CBF"/>
    <w:rsid w:val="002D3E12"/>
    <w:rsid w:val="002D457D"/>
    <w:rsid w:val="002D6246"/>
    <w:rsid w:val="002D62E0"/>
    <w:rsid w:val="002D6645"/>
    <w:rsid w:val="002D7A78"/>
    <w:rsid w:val="002D7C3D"/>
    <w:rsid w:val="002E043C"/>
    <w:rsid w:val="002E1459"/>
    <w:rsid w:val="002E19C2"/>
    <w:rsid w:val="002E1EB2"/>
    <w:rsid w:val="002E5769"/>
    <w:rsid w:val="002E6EDB"/>
    <w:rsid w:val="002F0A16"/>
    <w:rsid w:val="002F0F3E"/>
    <w:rsid w:val="002F277B"/>
    <w:rsid w:val="002F317F"/>
    <w:rsid w:val="002F4160"/>
    <w:rsid w:val="002F4756"/>
    <w:rsid w:val="002F510F"/>
    <w:rsid w:val="002F6124"/>
    <w:rsid w:val="002F6D49"/>
    <w:rsid w:val="002F7435"/>
    <w:rsid w:val="002F75CE"/>
    <w:rsid w:val="002F78BF"/>
    <w:rsid w:val="002F7E19"/>
    <w:rsid w:val="002F7ED3"/>
    <w:rsid w:val="00307759"/>
    <w:rsid w:val="00311116"/>
    <w:rsid w:val="00312FA8"/>
    <w:rsid w:val="00313FE6"/>
    <w:rsid w:val="00314B3F"/>
    <w:rsid w:val="00323E59"/>
    <w:rsid w:val="00324915"/>
    <w:rsid w:val="003253DC"/>
    <w:rsid w:val="00327862"/>
    <w:rsid w:val="00331AC1"/>
    <w:rsid w:val="0033220E"/>
    <w:rsid w:val="003347E3"/>
    <w:rsid w:val="00336AD1"/>
    <w:rsid w:val="0034258C"/>
    <w:rsid w:val="0034561B"/>
    <w:rsid w:val="00347DC8"/>
    <w:rsid w:val="003514B3"/>
    <w:rsid w:val="003531C6"/>
    <w:rsid w:val="0035505A"/>
    <w:rsid w:val="00355117"/>
    <w:rsid w:val="003560D8"/>
    <w:rsid w:val="00357912"/>
    <w:rsid w:val="003600BC"/>
    <w:rsid w:val="00360806"/>
    <w:rsid w:val="003644B9"/>
    <w:rsid w:val="003657EF"/>
    <w:rsid w:val="0036639A"/>
    <w:rsid w:val="00371A81"/>
    <w:rsid w:val="00372838"/>
    <w:rsid w:val="003730F1"/>
    <w:rsid w:val="0037339F"/>
    <w:rsid w:val="00373DD9"/>
    <w:rsid w:val="00374BAA"/>
    <w:rsid w:val="00374EA3"/>
    <w:rsid w:val="00376611"/>
    <w:rsid w:val="003770C8"/>
    <w:rsid w:val="00383EE5"/>
    <w:rsid w:val="00384D83"/>
    <w:rsid w:val="003852AD"/>
    <w:rsid w:val="003861F8"/>
    <w:rsid w:val="00386B2F"/>
    <w:rsid w:val="003875C2"/>
    <w:rsid w:val="00392205"/>
    <w:rsid w:val="003946CC"/>
    <w:rsid w:val="00394B5C"/>
    <w:rsid w:val="00396A08"/>
    <w:rsid w:val="00397212"/>
    <w:rsid w:val="003A01BD"/>
    <w:rsid w:val="003A33F4"/>
    <w:rsid w:val="003A350A"/>
    <w:rsid w:val="003A41FD"/>
    <w:rsid w:val="003A43E8"/>
    <w:rsid w:val="003A4F4D"/>
    <w:rsid w:val="003A6DE9"/>
    <w:rsid w:val="003B02B3"/>
    <w:rsid w:val="003B7404"/>
    <w:rsid w:val="003B7D10"/>
    <w:rsid w:val="003B7F4B"/>
    <w:rsid w:val="003C0F3B"/>
    <w:rsid w:val="003C219B"/>
    <w:rsid w:val="003C369F"/>
    <w:rsid w:val="003C5124"/>
    <w:rsid w:val="003C6FEE"/>
    <w:rsid w:val="003D094C"/>
    <w:rsid w:val="003D2D40"/>
    <w:rsid w:val="003D2FA1"/>
    <w:rsid w:val="003D51DE"/>
    <w:rsid w:val="003E0FF8"/>
    <w:rsid w:val="003E1730"/>
    <w:rsid w:val="003E203F"/>
    <w:rsid w:val="003E2282"/>
    <w:rsid w:val="003E44C7"/>
    <w:rsid w:val="003E5667"/>
    <w:rsid w:val="003E5CE8"/>
    <w:rsid w:val="003E6D15"/>
    <w:rsid w:val="003E71C0"/>
    <w:rsid w:val="003F32F2"/>
    <w:rsid w:val="003F37ED"/>
    <w:rsid w:val="003F5BEF"/>
    <w:rsid w:val="003F6D96"/>
    <w:rsid w:val="004003B3"/>
    <w:rsid w:val="00403AB5"/>
    <w:rsid w:val="00403C9B"/>
    <w:rsid w:val="00403FBC"/>
    <w:rsid w:val="00405388"/>
    <w:rsid w:val="00413052"/>
    <w:rsid w:val="00413863"/>
    <w:rsid w:val="00422963"/>
    <w:rsid w:val="00423E1B"/>
    <w:rsid w:val="004247A6"/>
    <w:rsid w:val="00426B8F"/>
    <w:rsid w:val="00426CA8"/>
    <w:rsid w:val="00430064"/>
    <w:rsid w:val="00430B57"/>
    <w:rsid w:val="004326C9"/>
    <w:rsid w:val="004327D7"/>
    <w:rsid w:val="00432A77"/>
    <w:rsid w:val="00432C7E"/>
    <w:rsid w:val="00433C55"/>
    <w:rsid w:val="00434929"/>
    <w:rsid w:val="00434C3C"/>
    <w:rsid w:val="00436230"/>
    <w:rsid w:val="00436BAE"/>
    <w:rsid w:val="00443D59"/>
    <w:rsid w:val="004456CD"/>
    <w:rsid w:val="004459EF"/>
    <w:rsid w:val="004476A5"/>
    <w:rsid w:val="0045008F"/>
    <w:rsid w:val="004532B7"/>
    <w:rsid w:val="00453679"/>
    <w:rsid w:val="00453B99"/>
    <w:rsid w:val="0046063A"/>
    <w:rsid w:val="00463674"/>
    <w:rsid w:val="00463CCE"/>
    <w:rsid w:val="00464026"/>
    <w:rsid w:val="004669F0"/>
    <w:rsid w:val="004671DE"/>
    <w:rsid w:val="0046780F"/>
    <w:rsid w:val="00467A81"/>
    <w:rsid w:val="0047028D"/>
    <w:rsid w:val="00471E27"/>
    <w:rsid w:val="00471E84"/>
    <w:rsid w:val="00472098"/>
    <w:rsid w:val="00472441"/>
    <w:rsid w:val="0047399C"/>
    <w:rsid w:val="004742E8"/>
    <w:rsid w:val="0047433D"/>
    <w:rsid w:val="00474CEE"/>
    <w:rsid w:val="00475740"/>
    <w:rsid w:val="00480AFC"/>
    <w:rsid w:val="00480F10"/>
    <w:rsid w:val="004816F8"/>
    <w:rsid w:val="00481AA1"/>
    <w:rsid w:val="0048203B"/>
    <w:rsid w:val="00484225"/>
    <w:rsid w:val="00484B46"/>
    <w:rsid w:val="00486107"/>
    <w:rsid w:val="00487070"/>
    <w:rsid w:val="00490651"/>
    <w:rsid w:val="00490FFC"/>
    <w:rsid w:val="004920EE"/>
    <w:rsid w:val="00493601"/>
    <w:rsid w:val="00494AC7"/>
    <w:rsid w:val="004952D5"/>
    <w:rsid w:val="00496FCB"/>
    <w:rsid w:val="00497095"/>
    <w:rsid w:val="0049717C"/>
    <w:rsid w:val="004973AF"/>
    <w:rsid w:val="00497E3D"/>
    <w:rsid w:val="004A21CB"/>
    <w:rsid w:val="004A234D"/>
    <w:rsid w:val="004A2FCE"/>
    <w:rsid w:val="004A437E"/>
    <w:rsid w:val="004A5892"/>
    <w:rsid w:val="004A6FED"/>
    <w:rsid w:val="004A7E04"/>
    <w:rsid w:val="004B0B57"/>
    <w:rsid w:val="004B1914"/>
    <w:rsid w:val="004B2583"/>
    <w:rsid w:val="004B3ACA"/>
    <w:rsid w:val="004B3F02"/>
    <w:rsid w:val="004B455A"/>
    <w:rsid w:val="004C1D91"/>
    <w:rsid w:val="004C267B"/>
    <w:rsid w:val="004C4807"/>
    <w:rsid w:val="004C62F2"/>
    <w:rsid w:val="004C7207"/>
    <w:rsid w:val="004D230C"/>
    <w:rsid w:val="004D4A39"/>
    <w:rsid w:val="004E13DB"/>
    <w:rsid w:val="004E3F9B"/>
    <w:rsid w:val="004E6FA7"/>
    <w:rsid w:val="004E7924"/>
    <w:rsid w:val="004F13ED"/>
    <w:rsid w:val="004F4ED3"/>
    <w:rsid w:val="004F59C9"/>
    <w:rsid w:val="004F6977"/>
    <w:rsid w:val="00502A16"/>
    <w:rsid w:val="00502FF4"/>
    <w:rsid w:val="005047B2"/>
    <w:rsid w:val="005056A0"/>
    <w:rsid w:val="00506603"/>
    <w:rsid w:val="005124D0"/>
    <w:rsid w:val="00512D49"/>
    <w:rsid w:val="00517DB7"/>
    <w:rsid w:val="005204FE"/>
    <w:rsid w:val="00524C08"/>
    <w:rsid w:val="005251ED"/>
    <w:rsid w:val="00525D05"/>
    <w:rsid w:val="00525EB2"/>
    <w:rsid w:val="005261A6"/>
    <w:rsid w:val="00526451"/>
    <w:rsid w:val="005264F6"/>
    <w:rsid w:val="00526507"/>
    <w:rsid w:val="00527CCD"/>
    <w:rsid w:val="0053275E"/>
    <w:rsid w:val="00532CF8"/>
    <w:rsid w:val="005370FB"/>
    <w:rsid w:val="005412DE"/>
    <w:rsid w:val="00541E64"/>
    <w:rsid w:val="00541E9C"/>
    <w:rsid w:val="0054395D"/>
    <w:rsid w:val="00544715"/>
    <w:rsid w:val="005465EA"/>
    <w:rsid w:val="005475DF"/>
    <w:rsid w:val="005477B1"/>
    <w:rsid w:val="005503E2"/>
    <w:rsid w:val="00554FB0"/>
    <w:rsid w:val="0055651D"/>
    <w:rsid w:val="00556A12"/>
    <w:rsid w:val="005570FA"/>
    <w:rsid w:val="005609FF"/>
    <w:rsid w:val="0056121B"/>
    <w:rsid w:val="00561774"/>
    <w:rsid w:val="00562360"/>
    <w:rsid w:val="0056462E"/>
    <w:rsid w:val="005647DB"/>
    <w:rsid w:val="005654C9"/>
    <w:rsid w:val="005658FB"/>
    <w:rsid w:val="00566B9B"/>
    <w:rsid w:val="00567297"/>
    <w:rsid w:val="0057016F"/>
    <w:rsid w:val="00570D97"/>
    <w:rsid w:val="00572156"/>
    <w:rsid w:val="00572C25"/>
    <w:rsid w:val="00572D58"/>
    <w:rsid w:val="00572E84"/>
    <w:rsid w:val="00574CDC"/>
    <w:rsid w:val="00576A71"/>
    <w:rsid w:val="00576E7A"/>
    <w:rsid w:val="00577F38"/>
    <w:rsid w:val="00581E80"/>
    <w:rsid w:val="00582F83"/>
    <w:rsid w:val="00583893"/>
    <w:rsid w:val="00583AB2"/>
    <w:rsid w:val="00585086"/>
    <w:rsid w:val="00586068"/>
    <w:rsid w:val="00587B2E"/>
    <w:rsid w:val="00587C2C"/>
    <w:rsid w:val="00590478"/>
    <w:rsid w:val="005910D2"/>
    <w:rsid w:val="00594E72"/>
    <w:rsid w:val="00595011"/>
    <w:rsid w:val="005959FC"/>
    <w:rsid w:val="005A223B"/>
    <w:rsid w:val="005A5F91"/>
    <w:rsid w:val="005A61F0"/>
    <w:rsid w:val="005A701E"/>
    <w:rsid w:val="005B0E38"/>
    <w:rsid w:val="005B1656"/>
    <w:rsid w:val="005B2D06"/>
    <w:rsid w:val="005B2F35"/>
    <w:rsid w:val="005B3799"/>
    <w:rsid w:val="005B44C7"/>
    <w:rsid w:val="005B5C68"/>
    <w:rsid w:val="005B5E62"/>
    <w:rsid w:val="005B70F5"/>
    <w:rsid w:val="005B71A6"/>
    <w:rsid w:val="005B7822"/>
    <w:rsid w:val="005C0321"/>
    <w:rsid w:val="005C0FAE"/>
    <w:rsid w:val="005C461D"/>
    <w:rsid w:val="005C59BE"/>
    <w:rsid w:val="005C6303"/>
    <w:rsid w:val="005C73C5"/>
    <w:rsid w:val="005D0427"/>
    <w:rsid w:val="005D1AF5"/>
    <w:rsid w:val="005D419F"/>
    <w:rsid w:val="005D4617"/>
    <w:rsid w:val="005D47B4"/>
    <w:rsid w:val="005D60BF"/>
    <w:rsid w:val="005D745B"/>
    <w:rsid w:val="005E0FCC"/>
    <w:rsid w:val="005E1137"/>
    <w:rsid w:val="005E19F3"/>
    <w:rsid w:val="005E3B15"/>
    <w:rsid w:val="005E4401"/>
    <w:rsid w:val="005F1D53"/>
    <w:rsid w:val="005F3806"/>
    <w:rsid w:val="005F5BEA"/>
    <w:rsid w:val="005F66DD"/>
    <w:rsid w:val="005F6766"/>
    <w:rsid w:val="0060004E"/>
    <w:rsid w:val="00600B07"/>
    <w:rsid w:val="00602F1D"/>
    <w:rsid w:val="00603BDC"/>
    <w:rsid w:val="00604C3B"/>
    <w:rsid w:val="006056A0"/>
    <w:rsid w:val="00606279"/>
    <w:rsid w:val="0060746B"/>
    <w:rsid w:val="00610568"/>
    <w:rsid w:val="006112D7"/>
    <w:rsid w:val="0061138C"/>
    <w:rsid w:val="00611922"/>
    <w:rsid w:val="00612907"/>
    <w:rsid w:val="0061298E"/>
    <w:rsid w:val="00613085"/>
    <w:rsid w:val="0061652A"/>
    <w:rsid w:val="00620070"/>
    <w:rsid w:val="00620850"/>
    <w:rsid w:val="00621344"/>
    <w:rsid w:val="00627F62"/>
    <w:rsid w:val="00631877"/>
    <w:rsid w:val="00633663"/>
    <w:rsid w:val="00635064"/>
    <w:rsid w:val="006353FA"/>
    <w:rsid w:val="0063767B"/>
    <w:rsid w:val="00637F5F"/>
    <w:rsid w:val="00641244"/>
    <w:rsid w:val="0064210D"/>
    <w:rsid w:val="0064351F"/>
    <w:rsid w:val="00645462"/>
    <w:rsid w:val="0064724B"/>
    <w:rsid w:val="0064736E"/>
    <w:rsid w:val="00651544"/>
    <w:rsid w:val="00653236"/>
    <w:rsid w:val="00653C6A"/>
    <w:rsid w:val="00653D9A"/>
    <w:rsid w:val="00654BF9"/>
    <w:rsid w:val="0065526B"/>
    <w:rsid w:val="0065631E"/>
    <w:rsid w:val="00656A66"/>
    <w:rsid w:val="006601E5"/>
    <w:rsid w:val="00661412"/>
    <w:rsid w:val="006626FE"/>
    <w:rsid w:val="00662DF8"/>
    <w:rsid w:val="006656C0"/>
    <w:rsid w:val="00667428"/>
    <w:rsid w:val="006706A0"/>
    <w:rsid w:val="0067148D"/>
    <w:rsid w:val="00671DF7"/>
    <w:rsid w:val="00672C8D"/>
    <w:rsid w:val="00672D70"/>
    <w:rsid w:val="006753E0"/>
    <w:rsid w:val="00675544"/>
    <w:rsid w:val="006768CF"/>
    <w:rsid w:val="006769D2"/>
    <w:rsid w:val="00676B18"/>
    <w:rsid w:val="00677B4D"/>
    <w:rsid w:val="00690CFE"/>
    <w:rsid w:val="006928B5"/>
    <w:rsid w:val="006A028A"/>
    <w:rsid w:val="006A0BFE"/>
    <w:rsid w:val="006A2315"/>
    <w:rsid w:val="006A2890"/>
    <w:rsid w:val="006A4C6F"/>
    <w:rsid w:val="006A6063"/>
    <w:rsid w:val="006A63E5"/>
    <w:rsid w:val="006B0210"/>
    <w:rsid w:val="006B1D65"/>
    <w:rsid w:val="006B2D68"/>
    <w:rsid w:val="006B33E4"/>
    <w:rsid w:val="006B6126"/>
    <w:rsid w:val="006B7C7C"/>
    <w:rsid w:val="006C1ED9"/>
    <w:rsid w:val="006C4818"/>
    <w:rsid w:val="006C5A8D"/>
    <w:rsid w:val="006C6B6F"/>
    <w:rsid w:val="006D044D"/>
    <w:rsid w:val="006D0A41"/>
    <w:rsid w:val="006D105A"/>
    <w:rsid w:val="006D39E1"/>
    <w:rsid w:val="006D41FF"/>
    <w:rsid w:val="006D6152"/>
    <w:rsid w:val="006D6763"/>
    <w:rsid w:val="006D75EF"/>
    <w:rsid w:val="006E0CAE"/>
    <w:rsid w:val="006E3B19"/>
    <w:rsid w:val="006E5421"/>
    <w:rsid w:val="006E554A"/>
    <w:rsid w:val="006E68CF"/>
    <w:rsid w:val="006E721A"/>
    <w:rsid w:val="006F62DC"/>
    <w:rsid w:val="00701E60"/>
    <w:rsid w:val="007031B3"/>
    <w:rsid w:val="00706043"/>
    <w:rsid w:val="0070642C"/>
    <w:rsid w:val="007143F4"/>
    <w:rsid w:val="0071598C"/>
    <w:rsid w:val="00715A93"/>
    <w:rsid w:val="007165F9"/>
    <w:rsid w:val="00723D1D"/>
    <w:rsid w:val="00726DBA"/>
    <w:rsid w:val="0072747F"/>
    <w:rsid w:val="00727F59"/>
    <w:rsid w:val="00732B18"/>
    <w:rsid w:val="00734102"/>
    <w:rsid w:val="00736CDC"/>
    <w:rsid w:val="0073757D"/>
    <w:rsid w:val="007379E9"/>
    <w:rsid w:val="00737F21"/>
    <w:rsid w:val="00740449"/>
    <w:rsid w:val="007413CB"/>
    <w:rsid w:val="00741859"/>
    <w:rsid w:val="00745DFF"/>
    <w:rsid w:val="00753071"/>
    <w:rsid w:val="007538E3"/>
    <w:rsid w:val="00754439"/>
    <w:rsid w:val="00754C2B"/>
    <w:rsid w:val="00754CAE"/>
    <w:rsid w:val="0075678D"/>
    <w:rsid w:val="007569B4"/>
    <w:rsid w:val="00756BCB"/>
    <w:rsid w:val="0076010D"/>
    <w:rsid w:val="00762B18"/>
    <w:rsid w:val="007641CE"/>
    <w:rsid w:val="007654A4"/>
    <w:rsid w:val="00775F14"/>
    <w:rsid w:val="007807C7"/>
    <w:rsid w:val="00782784"/>
    <w:rsid w:val="007860AD"/>
    <w:rsid w:val="007923ED"/>
    <w:rsid w:val="007927F8"/>
    <w:rsid w:val="00793C58"/>
    <w:rsid w:val="00793D47"/>
    <w:rsid w:val="00795528"/>
    <w:rsid w:val="00795667"/>
    <w:rsid w:val="00797FF3"/>
    <w:rsid w:val="007A0694"/>
    <w:rsid w:val="007A15DC"/>
    <w:rsid w:val="007A2261"/>
    <w:rsid w:val="007A2AE9"/>
    <w:rsid w:val="007A3AED"/>
    <w:rsid w:val="007A453C"/>
    <w:rsid w:val="007A4681"/>
    <w:rsid w:val="007A54E3"/>
    <w:rsid w:val="007A7CF7"/>
    <w:rsid w:val="007A7E2E"/>
    <w:rsid w:val="007B0545"/>
    <w:rsid w:val="007B0E47"/>
    <w:rsid w:val="007B1AA8"/>
    <w:rsid w:val="007B5687"/>
    <w:rsid w:val="007C0218"/>
    <w:rsid w:val="007C0361"/>
    <w:rsid w:val="007C11BB"/>
    <w:rsid w:val="007C1DAC"/>
    <w:rsid w:val="007C2FD7"/>
    <w:rsid w:val="007C570C"/>
    <w:rsid w:val="007C66AE"/>
    <w:rsid w:val="007C6C89"/>
    <w:rsid w:val="007D2ED7"/>
    <w:rsid w:val="007D44AE"/>
    <w:rsid w:val="007D4800"/>
    <w:rsid w:val="007D57CE"/>
    <w:rsid w:val="007D7033"/>
    <w:rsid w:val="007E0535"/>
    <w:rsid w:val="007E0C1B"/>
    <w:rsid w:val="007E12A4"/>
    <w:rsid w:val="007E1499"/>
    <w:rsid w:val="007E1CA5"/>
    <w:rsid w:val="007E27EE"/>
    <w:rsid w:val="007E335E"/>
    <w:rsid w:val="007E3D8C"/>
    <w:rsid w:val="007E6717"/>
    <w:rsid w:val="007E741B"/>
    <w:rsid w:val="007F1B67"/>
    <w:rsid w:val="007F320F"/>
    <w:rsid w:val="007F41FD"/>
    <w:rsid w:val="007F42B2"/>
    <w:rsid w:val="007F5084"/>
    <w:rsid w:val="007F54D3"/>
    <w:rsid w:val="007F7033"/>
    <w:rsid w:val="00800344"/>
    <w:rsid w:val="00800632"/>
    <w:rsid w:val="00800B8A"/>
    <w:rsid w:val="00801620"/>
    <w:rsid w:val="008016C7"/>
    <w:rsid w:val="0080253C"/>
    <w:rsid w:val="008037EC"/>
    <w:rsid w:val="00804313"/>
    <w:rsid w:val="00804F3F"/>
    <w:rsid w:val="008058B9"/>
    <w:rsid w:val="008079B3"/>
    <w:rsid w:val="00811CD7"/>
    <w:rsid w:val="00817CD9"/>
    <w:rsid w:val="00822091"/>
    <w:rsid w:val="0082386A"/>
    <w:rsid w:val="00823AA5"/>
    <w:rsid w:val="00825988"/>
    <w:rsid w:val="00827849"/>
    <w:rsid w:val="00827B9F"/>
    <w:rsid w:val="00827E6F"/>
    <w:rsid w:val="0083021E"/>
    <w:rsid w:val="00830B2A"/>
    <w:rsid w:val="00830BAC"/>
    <w:rsid w:val="00830DD8"/>
    <w:rsid w:val="008332ED"/>
    <w:rsid w:val="008338E7"/>
    <w:rsid w:val="00834196"/>
    <w:rsid w:val="008350F0"/>
    <w:rsid w:val="00837E82"/>
    <w:rsid w:val="00840C98"/>
    <w:rsid w:val="00841A18"/>
    <w:rsid w:val="00842F84"/>
    <w:rsid w:val="00844F36"/>
    <w:rsid w:val="0084510E"/>
    <w:rsid w:val="00846107"/>
    <w:rsid w:val="008503C6"/>
    <w:rsid w:val="00850B6C"/>
    <w:rsid w:val="008512B6"/>
    <w:rsid w:val="00853A5B"/>
    <w:rsid w:val="00853CB5"/>
    <w:rsid w:val="00854FB5"/>
    <w:rsid w:val="008552D6"/>
    <w:rsid w:val="00855857"/>
    <w:rsid w:val="0085673D"/>
    <w:rsid w:val="00861173"/>
    <w:rsid w:val="008612F9"/>
    <w:rsid w:val="00861CFE"/>
    <w:rsid w:val="00862718"/>
    <w:rsid w:val="00863DA8"/>
    <w:rsid w:val="008654C1"/>
    <w:rsid w:val="00872460"/>
    <w:rsid w:val="00872C4E"/>
    <w:rsid w:val="00873A5B"/>
    <w:rsid w:val="00874B53"/>
    <w:rsid w:val="00874B6A"/>
    <w:rsid w:val="008761CF"/>
    <w:rsid w:val="00877E95"/>
    <w:rsid w:val="008803F7"/>
    <w:rsid w:val="00881755"/>
    <w:rsid w:val="00881D0D"/>
    <w:rsid w:val="00881FDB"/>
    <w:rsid w:val="00883510"/>
    <w:rsid w:val="00883C67"/>
    <w:rsid w:val="00884127"/>
    <w:rsid w:val="00885A00"/>
    <w:rsid w:val="00885BD8"/>
    <w:rsid w:val="00887583"/>
    <w:rsid w:val="00887FD3"/>
    <w:rsid w:val="00887FEF"/>
    <w:rsid w:val="008910E3"/>
    <w:rsid w:val="008917DA"/>
    <w:rsid w:val="00893297"/>
    <w:rsid w:val="00895A03"/>
    <w:rsid w:val="00895D09"/>
    <w:rsid w:val="008A02B4"/>
    <w:rsid w:val="008A14D4"/>
    <w:rsid w:val="008A3893"/>
    <w:rsid w:val="008A5648"/>
    <w:rsid w:val="008A5E73"/>
    <w:rsid w:val="008B03F6"/>
    <w:rsid w:val="008B0AEA"/>
    <w:rsid w:val="008B0B23"/>
    <w:rsid w:val="008B24A0"/>
    <w:rsid w:val="008B34B9"/>
    <w:rsid w:val="008B7F73"/>
    <w:rsid w:val="008C11AD"/>
    <w:rsid w:val="008C5970"/>
    <w:rsid w:val="008C6EFF"/>
    <w:rsid w:val="008D26E6"/>
    <w:rsid w:val="008D3491"/>
    <w:rsid w:val="008D464F"/>
    <w:rsid w:val="008D4EFF"/>
    <w:rsid w:val="008D76B3"/>
    <w:rsid w:val="008D7E30"/>
    <w:rsid w:val="008E285D"/>
    <w:rsid w:val="008E3D33"/>
    <w:rsid w:val="008E4D1B"/>
    <w:rsid w:val="008F003D"/>
    <w:rsid w:val="008F020E"/>
    <w:rsid w:val="008F33C4"/>
    <w:rsid w:val="008F5C6A"/>
    <w:rsid w:val="008F6E4F"/>
    <w:rsid w:val="00900C69"/>
    <w:rsid w:val="009028A5"/>
    <w:rsid w:val="00902F0C"/>
    <w:rsid w:val="00902FED"/>
    <w:rsid w:val="00903293"/>
    <w:rsid w:val="00905D32"/>
    <w:rsid w:val="00905E98"/>
    <w:rsid w:val="009079E3"/>
    <w:rsid w:val="00907A05"/>
    <w:rsid w:val="009128FE"/>
    <w:rsid w:val="00914AD8"/>
    <w:rsid w:val="00916567"/>
    <w:rsid w:val="0091695C"/>
    <w:rsid w:val="00917C9C"/>
    <w:rsid w:val="0092220D"/>
    <w:rsid w:val="00922D9B"/>
    <w:rsid w:val="0092379E"/>
    <w:rsid w:val="00925352"/>
    <w:rsid w:val="00925AB8"/>
    <w:rsid w:val="00926DA3"/>
    <w:rsid w:val="00927BE7"/>
    <w:rsid w:val="0093211C"/>
    <w:rsid w:val="0093241B"/>
    <w:rsid w:val="00932ECA"/>
    <w:rsid w:val="009334DD"/>
    <w:rsid w:val="00934EEC"/>
    <w:rsid w:val="009365F2"/>
    <w:rsid w:val="00940707"/>
    <w:rsid w:val="0094074C"/>
    <w:rsid w:val="00942001"/>
    <w:rsid w:val="009440D4"/>
    <w:rsid w:val="00946C16"/>
    <w:rsid w:val="00946D7A"/>
    <w:rsid w:val="00950A9F"/>
    <w:rsid w:val="00950F6B"/>
    <w:rsid w:val="009662E0"/>
    <w:rsid w:val="0096648F"/>
    <w:rsid w:val="00971A94"/>
    <w:rsid w:val="00971AEA"/>
    <w:rsid w:val="00971FEB"/>
    <w:rsid w:val="00972559"/>
    <w:rsid w:val="00972981"/>
    <w:rsid w:val="00975043"/>
    <w:rsid w:val="009763FD"/>
    <w:rsid w:val="009776C0"/>
    <w:rsid w:val="00977F64"/>
    <w:rsid w:val="00980A39"/>
    <w:rsid w:val="0098109A"/>
    <w:rsid w:val="00982803"/>
    <w:rsid w:val="00982FA5"/>
    <w:rsid w:val="00984072"/>
    <w:rsid w:val="00984A4A"/>
    <w:rsid w:val="009857E7"/>
    <w:rsid w:val="00986A43"/>
    <w:rsid w:val="0098783E"/>
    <w:rsid w:val="00987F7E"/>
    <w:rsid w:val="009913E5"/>
    <w:rsid w:val="009938C8"/>
    <w:rsid w:val="0099482E"/>
    <w:rsid w:val="00995470"/>
    <w:rsid w:val="0099638F"/>
    <w:rsid w:val="00996BE8"/>
    <w:rsid w:val="009A061A"/>
    <w:rsid w:val="009A08A9"/>
    <w:rsid w:val="009A20FE"/>
    <w:rsid w:val="009A30D5"/>
    <w:rsid w:val="009A4E41"/>
    <w:rsid w:val="009A5E89"/>
    <w:rsid w:val="009A6E65"/>
    <w:rsid w:val="009B11F6"/>
    <w:rsid w:val="009B2C2C"/>
    <w:rsid w:val="009B5159"/>
    <w:rsid w:val="009B53D0"/>
    <w:rsid w:val="009B572A"/>
    <w:rsid w:val="009B6479"/>
    <w:rsid w:val="009B647B"/>
    <w:rsid w:val="009B790C"/>
    <w:rsid w:val="009C4C0B"/>
    <w:rsid w:val="009C5DCD"/>
    <w:rsid w:val="009D144A"/>
    <w:rsid w:val="009D48B6"/>
    <w:rsid w:val="009D56B7"/>
    <w:rsid w:val="009D726D"/>
    <w:rsid w:val="009D7BBC"/>
    <w:rsid w:val="009E0446"/>
    <w:rsid w:val="009E06F7"/>
    <w:rsid w:val="009E2659"/>
    <w:rsid w:val="009E2A49"/>
    <w:rsid w:val="009E2DB0"/>
    <w:rsid w:val="009E3AED"/>
    <w:rsid w:val="009E3E00"/>
    <w:rsid w:val="009E49A3"/>
    <w:rsid w:val="009E50E1"/>
    <w:rsid w:val="009E7550"/>
    <w:rsid w:val="009E7C5C"/>
    <w:rsid w:val="009E7E30"/>
    <w:rsid w:val="009F411E"/>
    <w:rsid w:val="009F553C"/>
    <w:rsid w:val="009F5757"/>
    <w:rsid w:val="009F6D32"/>
    <w:rsid w:val="009F6D46"/>
    <w:rsid w:val="009F7518"/>
    <w:rsid w:val="00A00A2D"/>
    <w:rsid w:val="00A00E76"/>
    <w:rsid w:val="00A00FA7"/>
    <w:rsid w:val="00A01FA7"/>
    <w:rsid w:val="00A07358"/>
    <w:rsid w:val="00A07A6D"/>
    <w:rsid w:val="00A07E0C"/>
    <w:rsid w:val="00A13C9B"/>
    <w:rsid w:val="00A1408B"/>
    <w:rsid w:val="00A14A2D"/>
    <w:rsid w:val="00A15A47"/>
    <w:rsid w:val="00A15F93"/>
    <w:rsid w:val="00A16A7F"/>
    <w:rsid w:val="00A17C96"/>
    <w:rsid w:val="00A17D3B"/>
    <w:rsid w:val="00A2219B"/>
    <w:rsid w:val="00A2427C"/>
    <w:rsid w:val="00A242F6"/>
    <w:rsid w:val="00A24FD7"/>
    <w:rsid w:val="00A27548"/>
    <w:rsid w:val="00A304D8"/>
    <w:rsid w:val="00A30C36"/>
    <w:rsid w:val="00A312D0"/>
    <w:rsid w:val="00A326E3"/>
    <w:rsid w:val="00A33CAB"/>
    <w:rsid w:val="00A340A2"/>
    <w:rsid w:val="00A3433F"/>
    <w:rsid w:val="00A358B1"/>
    <w:rsid w:val="00A37215"/>
    <w:rsid w:val="00A42BD1"/>
    <w:rsid w:val="00A42F3D"/>
    <w:rsid w:val="00A45339"/>
    <w:rsid w:val="00A45700"/>
    <w:rsid w:val="00A4597A"/>
    <w:rsid w:val="00A46123"/>
    <w:rsid w:val="00A46D70"/>
    <w:rsid w:val="00A50D1A"/>
    <w:rsid w:val="00A512AF"/>
    <w:rsid w:val="00A51548"/>
    <w:rsid w:val="00A53128"/>
    <w:rsid w:val="00A549B4"/>
    <w:rsid w:val="00A56277"/>
    <w:rsid w:val="00A572B7"/>
    <w:rsid w:val="00A60C83"/>
    <w:rsid w:val="00A60E88"/>
    <w:rsid w:val="00A621E7"/>
    <w:rsid w:val="00A630BE"/>
    <w:rsid w:val="00A658DF"/>
    <w:rsid w:val="00A665AA"/>
    <w:rsid w:val="00A6681B"/>
    <w:rsid w:val="00A70E0A"/>
    <w:rsid w:val="00A714A1"/>
    <w:rsid w:val="00A72855"/>
    <w:rsid w:val="00A73295"/>
    <w:rsid w:val="00A77408"/>
    <w:rsid w:val="00A77B55"/>
    <w:rsid w:val="00A77F21"/>
    <w:rsid w:val="00A80301"/>
    <w:rsid w:val="00A828F5"/>
    <w:rsid w:val="00A84063"/>
    <w:rsid w:val="00A8663C"/>
    <w:rsid w:val="00A91E04"/>
    <w:rsid w:val="00A9364C"/>
    <w:rsid w:val="00A946E7"/>
    <w:rsid w:val="00A96348"/>
    <w:rsid w:val="00A96F3E"/>
    <w:rsid w:val="00AA1B8F"/>
    <w:rsid w:val="00AA2585"/>
    <w:rsid w:val="00AA2F68"/>
    <w:rsid w:val="00AA4B78"/>
    <w:rsid w:val="00AA4D1B"/>
    <w:rsid w:val="00AA6EB2"/>
    <w:rsid w:val="00AA747A"/>
    <w:rsid w:val="00AA78F5"/>
    <w:rsid w:val="00AA7E8A"/>
    <w:rsid w:val="00AB25E2"/>
    <w:rsid w:val="00AB5E56"/>
    <w:rsid w:val="00AB6353"/>
    <w:rsid w:val="00AB639E"/>
    <w:rsid w:val="00AC0F32"/>
    <w:rsid w:val="00AC3437"/>
    <w:rsid w:val="00AC5D25"/>
    <w:rsid w:val="00AC64BF"/>
    <w:rsid w:val="00AC79EA"/>
    <w:rsid w:val="00AD02CA"/>
    <w:rsid w:val="00AD035B"/>
    <w:rsid w:val="00AD0AA9"/>
    <w:rsid w:val="00AD0D2F"/>
    <w:rsid w:val="00AD1FE7"/>
    <w:rsid w:val="00AD2464"/>
    <w:rsid w:val="00AD2473"/>
    <w:rsid w:val="00AD2A9B"/>
    <w:rsid w:val="00AE040F"/>
    <w:rsid w:val="00AE2A96"/>
    <w:rsid w:val="00AE4451"/>
    <w:rsid w:val="00AE7953"/>
    <w:rsid w:val="00AF0F9A"/>
    <w:rsid w:val="00AF1DEC"/>
    <w:rsid w:val="00AF3C5B"/>
    <w:rsid w:val="00AF5105"/>
    <w:rsid w:val="00AF6F22"/>
    <w:rsid w:val="00B01F1E"/>
    <w:rsid w:val="00B05E96"/>
    <w:rsid w:val="00B0658E"/>
    <w:rsid w:val="00B07580"/>
    <w:rsid w:val="00B07776"/>
    <w:rsid w:val="00B07CE5"/>
    <w:rsid w:val="00B10B17"/>
    <w:rsid w:val="00B11694"/>
    <w:rsid w:val="00B126F5"/>
    <w:rsid w:val="00B1410B"/>
    <w:rsid w:val="00B16295"/>
    <w:rsid w:val="00B1697F"/>
    <w:rsid w:val="00B170C2"/>
    <w:rsid w:val="00B2056C"/>
    <w:rsid w:val="00B21BD8"/>
    <w:rsid w:val="00B221AD"/>
    <w:rsid w:val="00B22DBA"/>
    <w:rsid w:val="00B22EBE"/>
    <w:rsid w:val="00B23D4E"/>
    <w:rsid w:val="00B24E36"/>
    <w:rsid w:val="00B25ED1"/>
    <w:rsid w:val="00B26012"/>
    <w:rsid w:val="00B27820"/>
    <w:rsid w:val="00B31260"/>
    <w:rsid w:val="00B36710"/>
    <w:rsid w:val="00B37504"/>
    <w:rsid w:val="00B3783D"/>
    <w:rsid w:val="00B40F1E"/>
    <w:rsid w:val="00B420B8"/>
    <w:rsid w:val="00B425C6"/>
    <w:rsid w:val="00B43343"/>
    <w:rsid w:val="00B45AC7"/>
    <w:rsid w:val="00B5013D"/>
    <w:rsid w:val="00B51907"/>
    <w:rsid w:val="00B52029"/>
    <w:rsid w:val="00B52642"/>
    <w:rsid w:val="00B53471"/>
    <w:rsid w:val="00B549CD"/>
    <w:rsid w:val="00B54B2B"/>
    <w:rsid w:val="00B5527C"/>
    <w:rsid w:val="00B571F1"/>
    <w:rsid w:val="00B61222"/>
    <w:rsid w:val="00B63FA7"/>
    <w:rsid w:val="00B70893"/>
    <w:rsid w:val="00B70E10"/>
    <w:rsid w:val="00B713E3"/>
    <w:rsid w:val="00B71A4B"/>
    <w:rsid w:val="00B723AC"/>
    <w:rsid w:val="00B74CDB"/>
    <w:rsid w:val="00B75265"/>
    <w:rsid w:val="00B75B2C"/>
    <w:rsid w:val="00B76B56"/>
    <w:rsid w:val="00B77FEB"/>
    <w:rsid w:val="00B80FBD"/>
    <w:rsid w:val="00B8127E"/>
    <w:rsid w:val="00B81CBF"/>
    <w:rsid w:val="00B840AB"/>
    <w:rsid w:val="00B8606F"/>
    <w:rsid w:val="00B90AAA"/>
    <w:rsid w:val="00B91630"/>
    <w:rsid w:val="00B91B6F"/>
    <w:rsid w:val="00B92189"/>
    <w:rsid w:val="00B9272D"/>
    <w:rsid w:val="00B97007"/>
    <w:rsid w:val="00BA021B"/>
    <w:rsid w:val="00BA2EB7"/>
    <w:rsid w:val="00BA4180"/>
    <w:rsid w:val="00BA5402"/>
    <w:rsid w:val="00BA5527"/>
    <w:rsid w:val="00BA5D54"/>
    <w:rsid w:val="00BA6494"/>
    <w:rsid w:val="00BA7B42"/>
    <w:rsid w:val="00BA7B81"/>
    <w:rsid w:val="00BB0A40"/>
    <w:rsid w:val="00BB1F69"/>
    <w:rsid w:val="00BB2253"/>
    <w:rsid w:val="00BB2287"/>
    <w:rsid w:val="00BB2DBA"/>
    <w:rsid w:val="00BB41B6"/>
    <w:rsid w:val="00BB4AA2"/>
    <w:rsid w:val="00BB7BE9"/>
    <w:rsid w:val="00BC0706"/>
    <w:rsid w:val="00BC190D"/>
    <w:rsid w:val="00BC3018"/>
    <w:rsid w:val="00BC416B"/>
    <w:rsid w:val="00BC5E7E"/>
    <w:rsid w:val="00BC67B1"/>
    <w:rsid w:val="00BC6C4A"/>
    <w:rsid w:val="00BC7607"/>
    <w:rsid w:val="00BD0503"/>
    <w:rsid w:val="00BD0842"/>
    <w:rsid w:val="00BD3528"/>
    <w:rsid w:val="00BD396C"/>
    <w:rsid w:val="00BD7233"/>
    <w:rsid w:val="00BD7690"/>
    <w:rsid w:val="00BD7A38"/>
    <w:rsid w:val="00BE1B52"/>
    <w:rsid w:val="00BE31E1"/>
    <w:rsid w:val="00BE3F2A"/>
    <w:rsid w:val="00BE558C"/>
    <w:rsid w:val="00BE5F05"/>
    <w:rsid w:val="00BE61FF"/>
    <w:rsid w:val="00BF3726"/>
    <w:rsid w:val="00BF3D4E"/>
    <w:rsid w:val="00BF44F1"/>
    <w:rsid w:val="00BF551F"/>
    <w:rsid w:val="00C01F8C"/>
    <w:rsid w:val="00C0281B"/>
    <w:rsid w:val="00C029B9"/>
    <w:rsid w:val="00C06828"/>
    <w:rsid w:val="00C0683B"/>
    <w:rsid w:val="00C101E1"/>
    <w:rsid w:val="00C10380"/>
    <w:rsid w:val="00C10529"/>
    <w:rsid w:val="00C11549"/>
    <w:rsid w:val="00C119D9"/>
    <w:rsid w:val="00C1488F"/>
    <w:rsid w:val="00C167BD"/>
    <w:rsid w:val="00C217FB"/>
    <w:rsid w:val="00C21DD1"/>
    <w:rsid w:val="00C363EB"/>
    <w:rsid w:val="00C36BAD"/>
    <w:rsid w:val="00C40D23"/>
    <w:rsid w:val="00C42DD9"/>
    <w:rsid w:val="00C43129"/>
    <w:rsid w:val="00C51929"/>
    <w:rsid w:val="00C560F6"/>
    <w:rsid w:val="00C611BF"/>
    <w:rsid w:val="00C61AA9"/>
    <w:rsid w:val="00C6334A"/>
    <w:rsid w:val="00C6472B"/>
    <w:rsid w:val="00C65D46"/>
    <w:rsid w:val="00C66A62"/>
    <w:rsid w:val="00C70D57"/>
    <w:rsid w:val="00C72560"/>
    <w:rsid w:val="00C72E97"/>
    <w:rsid w:val="00C73855"/>
    <w:rsid w:val="00C74DBE"/>
    <w:rsid w:val="00C7597E"/>
    <w:rsid w:val="00C75FE9"/>
    <w:rsid w:val="00C77E84"/>
    <w:rsid w:val="00C8334C"/>
    <w:rsid w:val="00C839B4"/>
    <w:rsid w:val="00C84458"/>
    <w:rsid w:val="00C85D03"/>
    <w:rsid w:val="00C85E58"/>
    <w:rsid w:val="00C8638A"/>
    <w:rsid w:val="00C90593"/>
    <w:rsid w:val="00C90648"/>
    <w:rsid w:val="00C90836"/>
    <w:rsid w:val="00C90903"/>
    <w:rsid w:val="00C92CBA"/>
    <w:rsid w:val="00C941F2"/>
    <w:rsid w:val="00C947C4"/>
    <w:rsid w:val="00C9538F"/>
    <w:rsid w:val="00C9692B"/>
    <w:rsid w:val="00C96F47"/>
    <w:rsid w:val="00CA3656"/>
    <w:rsid w:val="00CA43E2"/>
    <w:rsid w:val="00CA6533"/>
    <w:rsid w:val="00CB0782"/>
    <w:rsid w:val="00CB15DD"/>
    <w:rsid w:val="00CB3E59"/>
    <w:rsid w:val="00CB4639"/>
    <w:rsid w:val="00CB4B82"/>
    <w:rsid w:val="00CB50CA"/>
    <w:rsid w:val="00CB578E"/>
    <w:rsid w:val="00CB6DD3"/>
    <w:rsid w:val="00CB786A"/>
    <w:rsid w:val="00CC235C"/>
    <w:rsid w:val="00CC4449"/>
    <w:rsid w:val="00CC7A7C"/>
    <w:rsid w:val="00CD0224"/>
    <w:rsid w:val="00CD0427"/>
    <w:rsid w:val="00CD14DF"/>
    <w:rsid w:val="00CD1994"/>
    <w:rsid w:val="00CD248C"/>
    <w:rsid w:val="00CD4A08"/>
    <w:rsid w:val="00CD79B7"/>
    <w:rsid w:val="00CE16BB"/>
    <w:rsid w:val="00CE282D"/>
    <w:rsid w:val="00CE47EC"/>
    <w:rsid w:val="00CE4C48"/>
    <w:rsid w:val="00CE583D"/>
    <w:rsid w:val="00CE6575"/>
    <w:rsid w:val="00CE7579"/>
    <w:rsid w:val="00CF0C67"/>
    <w:rsid w:val="00CF156F"/>
    <w:rsid w:val="00CF4187"/>
    <w:rsid w:val="00CF6C39"/>
    <w:rsid w:val="00CF7159"/>
    <w:rsid w:val="00D0025F"/>
    <w:rsid w:val="00D002CA"/>
    <w:rsid w:val="00D006EA"/>
    <w:rsid w:val="00D00EB7"/>
    <w:rsid w:val="00D0209D"/>
    <w:rsid w:val="00D02B1A"/>
    <w:rsid w:val="00D0337A"/>
    <w:rsid w:val="00D03B7E"/>
    <w:rsid w:val="00D03FA5"/>
    <w:rsid w:val="00D055D3"/>
    <w:rsid w:val="00D06296"/>
    <w:rsid w:val="00D06D5C"/>
    <w:rsid w:val="00D077D6"/>
    <w:rsid w:val="00D12079"/>
    <w:rsid w:val="00D130B4"/>
    <w:rsid w:val="00D1595A"/>
    <w:rsid w:val="00D170CB"/>
    <w:rsid w:val="00D17642"/>
    <w:rsid w:val="00D2241F"/>
    <w:rsid w:val="00D22CBD"/>
    <w:rsid w:val="00D22D31"/>
    <w:rsid w:val="00D23A1C"/>
    <w:rsid w:val="00D25AA3"/>
    <w:rsid w:val="00D2643D"/>
    <w:rsid w:val="00D30E1B"/>
    <w:rsid w:val="00D311C8"/>
    <w:rsid w:val="00D32807"/>
    <w:rsid w:val="00D32BE2"/>
    <w:rsid w:val="00D37743"/>
    <w:rsid w:val="00D41D62"/>
    <w:rsid w:val="00D4220C"/>
    <w:rsid w:val="00D42DD6"/>
    <w:rsid w:val="00D4448F"/>
    <w:rsid w:val="00D44AF1"/>
    <w:rsid w:val="00D46AD3"/>
    <w:rsid w:val="00D47B83"/>
    <w:rsid w:val="00D51C17"/>
    <w:rsid w:val="00D51CF9"/>
    <w:rsid w:val="00D523F2"/>
    <w:rsid w:val="00D52BE7"/>
    <w:rsid w:val="00D53A9F"/>
    <w:rsid w:val="00D5632D"/>
    <w:rsid w:val="00D569DE"/>
    <w:rsid w:val="00D56D73"/>
    <w:rsid w:val="00D62DB4"/>
    <w:rsid w:val="00D6370A"/>
    <w:rsid w:val="00D64B95"/>
    <w:rsid w:val="00D65A82"/>
    <w:rsid w:val="00D67CF7"/>
    <w:rsid w:val="00D7106E"/>
    <w:rsid w:val="00D7321C"/>
    <w:rsid w:val="00D7377F"/>
    <w:rsid w:val="00D7394C"/>
    <w:rsid w:val="00D74517"/>
    <w:rsid w:val="00D75B0E"/>
    <w:rsid w:val="00D7667B"/>
    <w:rsid w:val="00D76D95"/>
    <w:rsid w:val="00D76ED7"/>
    <w:rsid w:val="00D76FDA"/>
    <w:rsid w:val="00D80421"/>
    <w:rsid w:val="00D81F55"/>
    <w:rsid w:val="00D83EEB"/>
    <w:rsid w:val="00D84631"/>
    <w:rsid w:val="00D860CE"/>
    <w:rsid w:val="00D87949"/>
    <w:rsid w:val="00D908CC"/>
    <w:rsid w:val="00D9156A"/>
    <w:rsid w:val="00D91A93"/>
    <w:rsid w:val="00D92654"/>
    <w:rsid w:val="00D92E15"/>
    <w:rsid w:val="00D93F09"/>
    <w:rsid w:val="00D95B07"/>
    <w:rsid w:val="00D96680"/>
    <w:rsid w:val="00D975B8"/>
    <w:rsid w:val="00DA2D74"/>
    <w:rsid w:val="00DA49E2"/>
    <w:rsid w:val="00DA55BD"/>
    <w:rsid w:val="00DA7A51"/>
    <w:rsid w:val="00DA7D56"/>
    <w:rsid w:val="00DB261A"/>
    <w:rsid w:val="00DB2D3C"/>
    <w:rsid w:val="00DB2E3D"/>
    <w:rsid w:val="00DB34A9"/>
    <w:rsid w:val="00DB529A"/>
    <w:rsid w:val="00DC0E41"/>
    <w:rsid w:val="00DC1623"/>
    <w:rsid w:val="00DC41C4"/>
    <w:rsid w:val="00DC7A41"/>
    <w:rsid w:val="00DC7D47"/>
    <w:rsid w:val="00DD2FA1"/>
    <w:rsid w:val="00DD31DE"/>
    <w:rsid w:val="00DD45AC"/>
    <w:rsid w:val="00DD7290"/>
    <w:rsid w:val="00DE03FE"/>
    <w:rsid w:val="00DE1735"/>
    <w:rsid w:val="00DE189E"/>
    <w:rsid w:val="00DE18F6"/>
    <w:rsid w:val="00DE1AAA"/>
    <w:rsid w:val="00DE3D04"/>
    <w:rsid w:val="00DE7B3C"/>
    <w:rsid w:val="00DF3576"/>
    <w:rsid w:val="00DF433F"/>
    <w:rsid w:val="00DF66C9"/>
    <w:rsid w:val="00DF6EB5"/>
    <w:rsid w:val="00E03554"/>
    <w:rsid w:val="00E056CB"/>
    <w:rsid w:val="00E0619F"/>
    <w:rsid w:val="00E07212"/>
    <w:rsid w:val="00E102E6"/>
    <w:rsid w:val="00E12504"/>
    <w:rsid w:val="00E130AC"/>
    <w:rsid w:val="00E14467"/>
    <w:rsid w:val="00E163A7"/>
    <w:rsid w:val="00E16A1C"/>
    <w:rsid w:val="00E178A2"/>
    <w:rsid w:val="00E20FB3"/>
    <w:rsid w:val="00E219AB"/>
    <w:rsid w:val="00E21E0C"/>
    <w:rsid w:val="00E22ADB"/>
    <w:rsid w:val="00E238F0"/>
    <w:rsid w:val="00E2464D"/>
    <w:rsid w:val="00E24D02"/>
    <w:rsid w:val="00E258D5"/>
    <w:rsid w:val="00E2699A"/>
    <w:rsid w:val="00E26EA2"/>
    <w:rsid w:val="00E2793B"/>
    <w:rsid w:val="00E309FD"/>
    <w:rsid w:val="00E30F80"/>
    <w:rsid w:val="00E33CFD"/>
    <w:rsid w:val="00E36A13"/>
    <w:rsid w:val="00E37517"/>
    <w:rsid w:val="00E37A74"/>
    <w:rsid w:val="00E40424"/>
    <w:rsid w:val="00E408B5"/>
    <w:rsid w:val="00E41018"/>
    <w:rsid w:val="00E41879"/>
    <w:rsid w:val="00E41992"/>
    <w:rsid w:val="00E43284"/>
    <w:rsid w:val="00E477C4"/>
    <w:rsid w:val="00E54FA4"/>
    <w:rsid w:val="00E57671"/>
    <w:rsid w:val="00E57BCE"/>
    <w:rsid w:val="00E641B1"/>
    <w:rsid w:val="00E64324"/>
    <w:rsid w:val="00E6509E"/>
    <w:rsid w:val="00E70B39"/>
    <w:rsid w:val="00E72769"/>
    <w:rsid w:val="00E72CC8"/>
    <w:rsid w:val="00E73319"/>
    <w:rsid w:val="00E75968"/>
    <w:rsid w:val="00E76F95"/>
    <w:rsid w:val="00E77D92"/>
    <w:rsid w:val="00E81278"/>
    <w:rsid w:val="00E82641"/>
    <w:rsid w:val="00E82942"/>
    <w:rsid w:val="00E84A42"/>
    <w:rsid w:val="00E87251"/>
    <w:rsid w:val="00E87F57"/>
    <w:rsid w:val="00E90652"/>
    <w:rsid w:val="00E910B5"/>
    <w:rsid w:val="00E915F9"/>
    <w:rsid w:val="00E91CC8"/>
    <w:rsid w:val="00E9386B"/>
    <w:rsid w:val="00E9538D"/>
    <w:rsid w:val="00E9635B"/>
    <w:rsid w:val="00E97AAE"/>
    <w:rsid w:val="00EA0BB1"/>
    <w:rsid w:val="00EA2424"/>
    <w:rsid w:val="00EA2802"/>
    <w:rsid w:val="00EA465D"/>
    <w:rsid w:val="00EA49D3"/>
    <w:rsid w:val="00EA56EE"/>
    <w:rsid w:val="00EA596B"/>
    <w:rsid w:val="00EA7F12"/>
    <w:rsid w:val="00EB0DD5"/>
    <w:rsid w:val="00EB105D"/>
    <w:rsid w:val="00EB180F"/>
    <w:rsid w:val="00EB4092"/>
    <w:rsid w:val="00EC0B35"/>
    <w:rsid w:val="00EC1C3C"/>
    <w:rsid w:val="00EC467D"/>
    <w:rsid w:val="00EC48BA"/>
    <w:rsid w:val="00EC6496"/>
    <w:rsid w:val="00ED2F7F"/>
    <w:rsid w:val="00ED4407"/>
    <w:rsid w:val="00ED4B15"/>
    <w:rsid w:val="00ED53B8"/>
    <w:rsid w:val="00ED6E6C"/>
    <w:rsid w:val="00ED703A"/>
    <w:rsid w:val="00EE2323"/>
    <w:rsid w:val="00EE2A72"/>
    <w:rsid w:val="00EE2DE3"/>
    <w:rsid w:val="00EE3F9C"/>
    <w:rsid w:val="00EE5378"/>
    <w:rsid w:val="00EE5613"/>
    <w:rsid w:val="00EE6BEE"/>
    <w:rsid w:val="00EE7905"/>
    <w:rsid w:val="00EF0560"/>
    <w:rsid w:val="00EF0AA7"/>
    <w:rsid w:val="00EF27E7"/>
    <w:rsid w:val="00EF2CF9"/>
    <w:rsid w:val="00EF3278"/>
    <w:rsid w:val="00EF6895"/>
    <w:rsid w:val="00F02F36"/>
    <w:rsid w:val="00F0447E"/>
    <w:rsid w:val="00F05B7B"/>
    <w:rsid w:val="00F10D0D"/>
    <w:rsid w:val="00F10F4E"/>
    <w:rsid w:val="00F11610"/>
    <w:rsid w:val="00F119C3"/>
    <w:rsid w:val="00F1341F"/>
    <w:rsid w:val="00F1358C"/>
    <w:rsid w:val="00F15F7F"/>
    <w:rsid w:val="00F17A33"/>
    <w:rsid w:val="00F205A4"/>
    <w:rsid w:val="00F235B7"/>
    <w:rsid w:val="00F23757"/>
    <w:rsid w:val="00F25B05"/>
    <w:rsid w:val="00F2659F"/>
    <w:rsid w:val="00F279B9"/>
    <w:rsid w:val="00F33ED0"/>
    <w:rsid w:val="00F346DD"/>
    <w:rsid w:val="00F3518B"/>
    <w:rsid w:val="00F35978"/>
    <w:rsid w:val="00F35C34"/>
    <w:rsid w:val="00F40D27"/>
    <w:rsid w:val="00F41545"/>
    <w:rsid w:val="00F41769"/>
    <w:rsid w:val="00F42632"/>
    <w:rsid w:val="00F43C48"/>
    <w:rsid w:val="00F4436C"/>
    <w:rsid w:val="00F44565"/>
    <w:rsid w:val="00F4749E"/>
    <w:rsid w:val="00F47925"/>
    <w:rsid w:val="00F5024D"/>
    <w:rsid w:val="00F51D96"/>
    <w:rsid w:val="00F520BA"/>
    <w:rsid w:val="00F53E17"/>
    <w:rsid w:val="00F57629"/>
    <w:rsid w:val="00F57DDC"/>
    <w:rsid w:val="00F6059A"/>
    <w:rsid w:val="00F62140"/>
    <w:rsid w:val="00F62E31"/>
    <w:rsid w:val="00F639E9"/>
    <w:rsid w:val="00F64C42"/>
    <w:rsid w:val="00F65E3B"/>
    <w:rsid w:val="00F66380"/>
    <w:rsid w:val="00F663CA"/>
    <w:rsid w:val="00F706FB"/>
    <w:rsid w:val="00F70CC1"/>
    <w:rsid w:val="00F73950"/>
    <w:rsid w:val="00F73ED5"/>
    <w:rsid w:val="00F7434E"/>
    <w:rsid w:val="00F74580"/>
    <w:rsid w:val="00F74D2D"/>
    <w:rsid w:val="00F805D0"/>
    <w:rsid w:val="00F81790"/>
    <w:rsid w:val="00F84B7A"/>
    <w:rsid w:val="00F84D49"/>
    <w:rsid w:val="00F87436"/>
    <w:rsid w:val="00F876FF"/>
    <w:rsid w:val="00F90491"/>
    <w:rsid w:val="00F90648"/>
    <w:rsid w:val="00F90D80"/>
    <w:rsid w:val="00F92730"/>
    <w:rsid w:val="00F9301D"/>
    <w:rsid w:val="00F97831"/>
    <w:rsid w:val="00F97F20"/>
    <w:rsid w:val="00FA1813"/>
    <w:rsid w:val="00FA1AAE"/>
    <w:rsid w:val="00FA3A00"/>
    <w:rsid w:val="00FA3C9C"/>
    <w:rsid w:val="00FB0497"/>
    <w:rsid w:val="00FB0F3B"/>
    <w:rsid w:val="00FB12EE"/>
    <w:rsid w:val="00FB2F7F"/>
    <w:rsid w:val="00FB3307"/>
    <w:rsid w:val="00FB3BA9"/>
    <w:rsid w:val="00FB45F1"/>
    <w:rsid w:val="00FC340E"/>
    <w:rsid w:val="00FC35ED"/>
    <w:rsid w:val="00FC7936"/>
    <w:rsid w:val="00FD0DF0"/>
    <w:rsid w:val="00FD1F82"/>
    <w:rsid w:val="00FD371D"/>
    <w:rsid w:val="00FD3ABD"/>
    <w:rsid w:val="00FD3EC8"/>
    <w:rsid w:val="00FD432F"/>
    <w:rsid w:val="00FD49C6"/>
    <w:rsid w:val="00FD5F64"/>
    <w:rsid w:val="00FD6D2D"/>
    <w:rsid w:val="00FE069B"/>
    <w:rsid w:val="00FE5752"/>
    <w:rsid w:val="00FE64CC"/>
    <w:rsid w:val="00FE775B"/>
    <w:rsid w:val="00FF0DEB"/>
    <w:rsid w:val="00FF3A45"/>
    <w:rsid w:val="00FF4E69"/>
    <w:rsid w:val="00FF50B7"/>
    <w:rsid w:val="00FF647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3FE928D"/>
  <w15:docId w15:val="{7622C149-9688-4C4D-805D-0F23379D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13FE6"/>
    <w:pPr>
      <w:spacing w:before="60" w:after="120" w:line="276" w:lineRule="auto"/>
      <w:jc w:val="both"/>
    </w:pPr>
    <w:rPr>
      <w:rFonts w:ascii="Times New Roman" w:eastAsia="Times New Roman" w:hAnsi="Times New Roman" w:cs="Times New Roman"/>
      <w:sz w:val="20"/>
    </w:rPr>
  </w:style>
  <w:style w:type="paragraph" w:styleId="berschrift1">
    <w:name w:val="heading 1"/>
    <w:basedOn w:val="Standard"/>
    <w:next w:val="Standard"/>
    <w:link w:val="berschrift1Zchn"/>
    <w:uiPriority w:val="9"/>
    <w:qFormat/>
    <w:rsid w:val="004E6FA7"/>
    <w:pPr>
      <w:keepNext/>
      <w:keepLines/>
      <w:spacing w:before="240"/>
      <w:outlineLvl w:val="0"/>
    </w:pPr>
    <w:rPr>
      <w:rFonts w:eastAsiaTheme="majorEastAsia" w:cstheme="majorBidi"/>
      <w:b/>
      <w:szCs w:val="32"/>
      <w:lang w:val="en-US"/>
    </w:rPr>
  </w:style>
  <w:style w:type="paragraph" w:styleId="berschrift2">
    <w:name w:val="heading 2"/>
    <w:basedOn w:val="Standard"/>
    <w:next w:val="Standard"/>
    <w:link w:val="berschrift2Zchn"/>
    <w:uiPriority w:val="9"/>
    <w:unhideWhenUsed/>
    <w:qFormat/>
    <w:rsid w:val="001926F1"/>
    <w:pPr>
      <w:keepNext/>
      <w:keepLines/>
      <w:spacing w:before="240" w:after="0"/>
      <w:outlineLvl w:val="1"/>
    </w:pPr>
    <w:rPr>
      <w:rFonts w:eastAsiaTheme="majorEastAsia" w:cstheme="majorBidi"/>
      <w:b/>
      <w:szCs w:val="26"/>
      <w:lang w:val="en-US"/>
    </w:rPr>
  </w:style>
  <w:style w:type="paragraph" w:styleId="berschrift3">
    <w:name w:val="heading 3"/>
    <w:basedOn w:val="Standard"/>
    <w:next w:val="Standard"/>
    <w:link w:val="berschrift3Zchn"/>
    <w:uiPriority w:val="9"/>
    <w:unhideWhenUsed/>
    <w:qFormat/>
    <w:rsid w:val="001926F1"/>
    <w:pPr>
      <w:keepNext/>
      <w:keepLines/>
      <w:spacing w:before="40" w:after="0"/>
      <w:outlineLvl w:val="2"/>
    </w:pPr>
    <w:rPr>
      <w:rFonts w:eastAsiaTheme="majorEastAsia" w:cstheme="majorBidi"/>
      <w:i/>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E6FA7"/>
    <w:rPr>
      <w:rFonts w:ascii="Times New Roman" w:eastAsiaTheme="majorEastAsia" w:hAnsi="Times New Roman" w:cstheme="majorBidi"/>
      <w:b/>
      <w:szCs w:val="32"/>
      <w:lang w:val="en-US"/>
    </w:rPr>
  </w:style>
  <w:style w:type="character" w:customStyle="1" w:styleId="berschrift2Zchn">
    <w:name w:val="Überschrift 2 Zchn"/>
    <w:basedOn w:val="Absatz-Standardschriftart"/>
    <w:link w:val="berschrift2"/>
    <w:uiPriority w:val="9"/>
    <w:rsid w:val="001926F1"/>
    <w:rPr>
      <w:rFonts w:ascii="Times New Roman" w:eastAsiaTheme="majorEastAsia" w:hAnsi="Times New Roman" w:cstheme="majorBidi"/>
      <w:b/>
      <w:sz w:val="20"/>
      <w:szCs w:val="26"/>
      <w:lang w:val="en-US"/>
    </w:rPr>
  </w:style>
  <w:style w:type="character" w:customStyle="1" w:styleId="berschrift3Zchn">
    <w:name w:val="Überschrift 3 Zchn"/>
    <w:basedOn w:val="Absatz-Standardschriftart"/>
    <w:link w:val="berschrift3"/>
    <w:uiPriority w:val="9"/>
    <w:rsid w:val="001926F1"/>
    <w:rPr>
      <w:rFonts w:ascii="Times New Roman" w:eastAsiaTheme="majorEastAsia" w:hAnsi="Times New Roman" w:cstheme="majorBidi"/>
      <w:i/>
      <w:sz w:val="20"/>
      <w:szCs w:val="24"/>
      <w:lang w:val="en-US"/>
    </w:rPr>
  </w:style>
  <w:style w:type="character" w:styleId="Hyperlink">
    <w:name w:val="Hyperlink"/>
    <w:uiPriority w:val="99"/>
    <w:rsid w:val="001A0731"/>
    <w:rPr>
      <w:rFonts w:cs="Times New Roman"/>
      <w:color w:val="0000FF"/>
      <w:u w:val="single"/>
    </w:rPr>
  </w:style>
  <w:style w:type="paragraph" w:customStyle="1" w:styleId="HerStandard12">
    <w:name w:val="HerStandard12"/>
    <w:basedOn w:val="Standard"/>
    <w:link w:val="HerStandard12Zchn"/>
    <w:qFormat/>
    <w:rsid w:val="001A0731"/>
    <w:pPr>
      <w:framePr w:hSpace="142" w:wrap="around" w:vAnchor="text" w:hAnchor="text" w:y="1"/>
      <w:spacing w:before="120"/>
    </w:pPr>
    <w:rPr>
      <w:rFonts w:cs="Arial"/>
      <w:b/>
      <w:szCs w:val="24"/>
      <w:lang w:val="en-GB"/>
    </w:rPr>
  </w:style>
  <w:style w:type="character" w:customStyle="1" w:styleId="HerStandard12Zchn">
    <w:name w:val="HerStandard12 Zchn"/>
    <w:basedOn w:val="Absatz-Standardschriftart"/>
    <w:link w:val="HerStandard12"/>
    <w:rsid w:val="001A0731"/>
    <w:rPr>
      <w:rFonts w:ascii="Arial" w:eastAsia="Times New Roman" w:hAnsi="Arial" w:cs="Arial"/>
      <w:b/>
      <w:szCs w:val="24"/>
      <w:lang w:val="en-GB"/>
    </w:rPr>
  </w:style>
  <w:style w:type="paragraph" w:customStyle="1" w:styleId="tabletext">
    <w:name w:val="table:text"/>
    <w:basedOn w:val="Standard"/>
    <w:rsid w:val="001A0731"/>
    <w:pPr>
      <w:spacing w:before="120" w:line="240" w:lineRule="auto"/>
    </w:pPr>
    <w:rPr>
      <w:rFonts w:ascii="Arial Narrow" w:hAnsi="Arial Narrow" w:cs="Arial Narrow"/>
      <w:sz w:val="24"/>
      <w:szCs w:val="24"/>
      <w:lang w:val="en-GB"/>
    </w:rPr>
  </w:style>
  <w:style w:type="character" w:styleId="Kommentarzeichen">
    <w:name w:val="annotation reference"/>
    <w:basedOn w:val="Absatz-Standardschriftart"/>
    <w:uiPriority w:val="99"/>
    <w:unhideWhenUsed/>
    <w:rsid w:val="001A0731"/>
    <w:rPr>
      <w:sz w:val="16"/>
      <w:szCs w:val="16"/>
    </w:rPr>
  </w:style>
  <w:style w:type="paragraph" w:styleId="Kommentartext">
    <w:name w:val="annotation text"/>
    <w:basedOn w:val="Standard"/>
    <w:link w:val="KommentartextZchn"/>
    <w:uiPriority w:val="99"/>
    <w:unhideWhenUsed/>
    <w:rsid w:val="001A0731"/>
    <w:pPr>
      <w:spacing w:line="240" w:lineRule="auto"/>
    </w:pPr>
    <w:rPr>
      <w:szCs w:val="20"/>
    </w:rPr>
  </w:style>
  <w:style w:type="character" w:customStyle="1" w:styleId="KommentartextZchn">
    <w:name w:val="Kommentartext Zchn"/>
    <w:basedOn w:val="Absatz-Standardschriftart"/>
    <w:link w:val="Kommentartext"/>
    <w:uiPriority w:val="99"/>
    <w:rsid w:val="001A0731"/>
    <w:rPr>
      <w:rFonts w:ascii="Arial" w:eastAsia="Times New Roman" w:hAnsi="Arial" w:cs="Times New Roman"/>
      <w:sz w:val="20"/>
      <w:szCs w:val="20"/>
    </w:rPr>
  </w:style>
  <w:style w:type="paragraph" w:styleId="Kommentarthema">
    <w:name w:val="annotation subject"/>
    <w:basedOn w:val="Kommentartext"/>
    <w:next w:val="Kommentartext"/>
    <w:link w:val="KommentarthemaZchn"/>
    <w:uiPriority w:val="99"/>
    <w:semiHidden/>
    <w:unhideWhenUsed/>
    <w:rsid w:val="001A0731"/>
    <w:rPr>
      <w:b/>
      <w:bCs/>
    </w:rPr>
  </w:style>
  <w:style w:type="character" w:customStyle="1" w:styleId="KommentarthemaZchn">
    <w:name w:val="Kommentarthema Zchn"/>
    <w:basedOn w:val="KommentartextZchn"/>
    <w:link w:val="Kommentarthema"/>
    <w:uiPriority w:val="99"/>
    <w:semiHidden/>
    <w:rsid w:val="001A0731"/>
    <w:rPr>
      <w:rFonts w:ascii="Arial" w:eastAsia="Times New Roman" w:hAnsi="Arial" w:cs="Times New Roman"/>
      <w:b/>
      <w:bCs/>
      <w:sz w:val="20"/>
      <w:szCs w:val="20"/>
    </w:rPr>
  </w:style>
  <w:style w:type="character" w:customStyle="1" w:styleId="NichtaufgelsteErwhnung1">
    <w:name w:val="Nicht aufgelöste Erwähnung1"/>
    <w:basedOn w:val="Absatz-Standardschriftart"/>
    <w:uiPriority w:val="99"/>
    <w:unhideWhenUsed/>
    <w:rsid w:val="00282695"/>
    <w:rPr>
      <w:color w:val="605E5C"/>
      <w:shd w:val="clear" w:color="auto" w:fill="E1DFDD"/>
    </w:rPr>
  </w:style>
  <w:style w:type="character" w:styleId="BesuchterLink">
    <w:name w:val="FollowedHyperlink"/>
    <w:basedOn w:val="Absatz-Standardschriftart"/>
    <w:uiPriority w:val="99"/>
    <w:semiHidden/>
    <w:unhideWhenUsed/>
    <w:rsid w:val="002911E0"/>
    <w:rPr>
      <w:color w:val="954F72" w:themeColor="followedHyperlink"/>
      <w:u w:val="single"/>
    </w:rPr>
  </w:style>
  <w:style w:type="paragraph" w:styleId="Kopfzeile">
    <w:name w:val="header"/>
    <w:basedOn w:val="Standard"/>
    <w:link w:val="KopfzeileZchn"/>
    <w:uiPriority w:val="99"/>
    <w:unhideWhenUsed/>
    <w:rsid w:val="0064351F"/>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64351F"/>
    <w:rPr>
      <w:rFonts w:ascii="Arial" w:eastAsia="Times New Roman" w:hAnsi="Arial" w:cs="Times New Roman"/>
    </w:rPr>
  </w:style>
  <w:style w:type="paragraph" w:styleId="Fuzeile">
    <w:name w:val="footer"/>
    <w:basedOn w:val="Standard"/>
    <w:link w:val="FuzeileZchn"/>
    <w:uiPriority w:val="99"/>
    <w:unhideWhenUsed/>
    <w:rsid w:val="0064351F"/>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64351F"/>
    <w:rPr>
      <w:rFonts w:ascii="Arial" w:eastAsia="Times New Roman" w:hAnsi="Arial" w:cs="Times New Roman"/>
    </w:rPr>
  </w:style>
  <w:style w:type="paragraph" w:styleId="Listenabsatz">
    <w:name w:val="List Paragraph"/>
    <w:basedOn w:val="Standard"/>
    <w:link w:val="ListenabsatzZchn"/>
    <w:uiPriority w:val="34"/>
    <w:qFormat/>
    <w:rsid w:val="005475DF"/>
    <w:pPr>
      <w:ind w:left="720"/>
      <w:contextualSpacing/>
    </w:pPr>
  </w:style>
  <w:style w:type="character" w:customStyle="1" w:styleId="ListenabsatzZchn">
    <w:name w:val="Listenabsatz Zchn"/>
    <w:basedOn w:val="Absatz-Standardschriftart"/>
    <w:link w:val="Listenabsatz"/>
    <w:uiPriority w:val="34"/>
    <w:locked/>
    <w:rsid w:val="00D32807"/>
    <w:rPr>
      <w:rFonts w:ascii="Arial" w:eastAsia="Times New Roman" w:hAnsi="Arial" w:cs="Times New Roman"/>
    </w:rPr>
  </w:style>
  <w:style w:type="paragraph" w:styleId="KeinLeerraum">
    <w:name w:val="No Spacing"/>
    <w:uiPriority w:val="1"/>
    <w:qFormat/>
    <w:rsid w:val="007A7CF7"/>
    <w:pPr>
      <w:spacing w:after="0" w:line="240" w:lineRule="auto"/>
      <w:jc w:val="both"/>
    </w:pPr>
    <w:rPr>
      <w:rFonts w:ascii="Arial" w:eastAsia="Times New Roman" w:hAnsi="Arial" w:cs="Times New Roman"/>
    </w:rPr>
  </w:style>
  <w:style w:type="paragraph" w:styleId="Beschriftung">
    <w:name w:val="caption"/>
    <w:basedOn w:val="Standard"/>
    <w:next w:val="Standard"/>
    <w:uiPriority w:val="35"/>
    <w:unhideWhenUsed/>
    <w:qFormat/>
    <w:rsid w:val="00371A81"/>
    <w:pPr>
      <w:spacing w:before="0" w:after="200" w:line="240" w:lineRule="auto"/>
    </w:pPr>
    <w:rPr>
      <w:b/>
      <w:iCs/>
      <w:szCs w:val="18"/>
      <w:lang w:val="en-US"/>
    </w:rPr>
  </w:style>
  <w:style w:type="character" w:customStyle="1" w:styleId="HerStandardZchn">
    <w:name w:val="HerStandard Zchn"/>
    <w:basedOn w:val="Absatz-Standardschriftart"/>
    <w:link w:val="HerStandard"/>
    <w:locked/>
    <w:rsid w:val="000C3233"/>
    <w:rPr>
      <w:rFonts w:ascii="Arial" w:eastAsia="Calibri" w:hAnsi="Arial" w:cs="Times New Roman"/>
      <w:szCs w:val="24"/>
      <w:lang w:val="en-US" w:eastAsia="de-DE"/>
    </w:rPr>
  </w:style>
  <w:style w:type="paragraph" w:customStyle="1" w:styleId="HerStandard">
    <w:name w:val="HerStandard"/>
    <w:basedOn w:val="Standard"/>
    <w:link w:val="HerStandardZchn"/>
    <w:qFormat/>
    <w:rsid w:val="000C3233"/>
    <w:pPr>
      <w:spacing w:before="120" w:after="240" w:line="360" w:lineRule="auto"/>
    </w:pPr>
    <w:rPr>
      <w:rFonts w:eastAsia="Calibri"/>
      <w:szCs w:val="24"/>
      <w:lang w:val="en-US" w:eastAsia="de-DE"/>
    </w:rPr>
  </w:style>
  <w:style w:type="character" w:customStyle="1" w:styleId="contentitalic1">
    <w:name w:val="content_italic1"/>
    <w:rsid w:val="00F84B7A"/>
    <w:rPr>
      <w:rFonts w:ascii="Times New Roman" w:hAnsi="Times New Roman" w:cs="Times New Roman" w:hint="default"/>
      <w:i/>
      <w:iCs/>
    </w:rPr>
  </w:style>
  <w:style w:type="table" w:styleId="Tabellenraster">
    <w:name w:val="Table Grid"/>
    <w:basedOn w:val="NormaleTabelle"/>
    <w:uiPriority w:val="59"/>
    <w:rsid w:val="00BA2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1hell1">
    <w:name w:val="Gitternetztabelle 1 hell1"/>
    <w:basedOn w:val="NormaleTabelle"/>
    <w:uiPriority w:val="46"/>
    <w:rsid w:val="00C725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Standard"/>
    <w:link w:val="EndNoteBibliographyTitleZchn"/>
    <w:rsid w:val="00E64324"/>
    <w:pPr>
      <w:spacing w:after="0"/>
      <w:jc w:val="center"/>
    </w:pPr>
    <w:rPr>
      <w:noProof/>
      <w:sz w:val="24"/>
      <w:lang w:val="en-US"/>
    </w:rPr>
  </w:style>
  <w:style w:type="character" w:customStyle="1" w:styleId="EndNoteBibliographyTitleZchn">
    <w:name w:val="EndNote Bibliography Title Zchn"/>
    <w:basedOn w:val="Absatz-Standardschriftart"/>
    <w:link w:val="EndNoteBibliographyTitle"/>
    <w:rsid w:val="00E64324"/>
    <w:rPr>
      <w:rFonts w:ascii="Times New Roman" w:eastAsia="Times New Roman" w:hAnsi="Times New Roman" w:cs="Times New Roman"/>
      <w:noProof/>
      <w:sz w:val="24"/>
      <w:lang w:val="en-US"/>
    </w:rPr>
  </w:style>
  <w:style w:type="paragraph" w:customStyle="1" w:styleId="EndNoteBibliography">
    <w:name w:val="EndNote Bibliography"/>
    <w:basedOn w:val="Standard"/>
    <w:link w:val="EndNoteBibliographyZchn"/>
    <w:rsid w:val="00C947C4"/>
    <w:pPr>
      <w:spacing w:line="480" w:lineRule="auto"/>
      <w:ind w:left="227" w:hanging="227"/>
    </w:pPr>
    <w:rPr>
      <w:noProof/>
      <w:sz w:val="24"/>
      <w:lang w:val="en-US"/>
    </w:rPr>
  </w:style>
  <w:style w:type="character" w:customStyle="1" w:styleId="EndNoteBibliographyZchn">
    <w:name w:val="EndNote Bibliography Zchn"/>
    <w:basedOn w:val="Absatz-Standardschriftart"/>
    <w:link w:val="EndNoteBibliography"/>
    <w:rsid w:val="00C947C4"/>
    <w:rPr>
      <w:rFonts w:ascii="Times New Roman" w:eastAsia="Times New Roman" w:hAnsi="Times New Roman" w:cs="Times New Roman"/>
      <w:noProof/>
      <w:sz w:val="24"/>
      <w:lang w:val="en-US"/>
    </w:rPr>
  </w:style>
  <w:style w:type="paragraph" w:styleId="Funotentext">
    <w:name w:val="footnote text"/>
    <w:basedOn w:val="Standard"/>
    <w:link w:val="FunotentextZchn"/>
    <w:uiPriority w:val="99"/>
    <w:semiHidden/>
    <w:unhideWhenUsed/>
    <w:rsid w:val="00FF4E69"/>
    <w:pPr>
      <w:spacing w:before="0" w:after="0" w:line="240" w:lineRule="auto"/>
    </w:pPr>
    <w:rPr>
      <w:szCs w:val="20"/>
    </w:rPr>
  </w:style>
  <w:style w:type="character" w:customStyle="1" w:styleId="FunotentextZchn">
    <w:name w:val="Fußnotentext Zchn"/>
    <w:basedOn w:val="Absatz-Standardschriftart"/>
    <w:link w:val="Funotentext"/>
    <w:uiPriority w:val="99"/>
    <w:semiHidden/>
    <w:rsid w:val="00FF4E69"/>
    <w:rPr>
      <w:rFonts w:ascii="Arial" w:eastAsia="Times New Roman" w:hAnsi="Arial" w:cs="Times New Roman"/>
      <w:sz w:val="20"/>
      <w:szCs w:val="20"/>
    </w:rPr>
  </w:style>
  <w:style w:type="character" w:styleId="Funotenzeichen">
    <w:name w:val="footnote reference"/>
    <w:basedOn w:val="Absatz-Standardschriftart"/>
    <w:uiPriority w:val="99"/>
    <w:semiHidden/>
    <w:unhideWhenUsed/>
    <w:rsid w:val="00FF4E69"/>
    <w:rPr>
      <w:vertAlign w:val="superscript"/>
    </w:rPr>
  </w:style>
  <w:style w:type="paragraph" w:styleId="Abbildungsverzeichnis">
    <w:name w:val="table of figures"/>
    <w:basedOn w:val="Standard"/>
    <w:next w:val="Standard"/>
    <w:uiPriority w:val="99"/>
    <w:unhideWhenUsed/>
    <w:rsid w:val="00D65A82"/>
    <w:pPr>
      <w:spacing w:after="0"/>
    </w:pPr>
  </w:style>
  <w:style w:type="paragraph" w:styleId="berarbeitung">
    <w:name w:val="Revision"/>
    <w:hidden/>
    <w:uiPriority w:val="99"/>
    <w:semiHidden/>
    <w:rsid w:val="001F5BF0"/>
    <w:pPr>
      <w:spacing w:after="0" w:line="240" w:lineRule="auto"/>
    </w:pPr>
    <w:rPr>
      <w:rFonts w:ascii="Times New Roman" w:eastAsia="Times New Roman" w:hAnsi="Times New Roman" w:cs="Times New Roman"/>
      <w:sz w:val="20"/>
    </w:rPr>
  </w:style>
  <w:style w:type="paragraph" w:styleId="Sprechblasentext">
    <w:name w:val="Balloon Text"/>
    <w:basedOn w:val="Standard"/>
    <w:link w:val="SprechblasentextZchn"/>
    <w:uiPriority w:val="99"/>
    <w:semiHidden/>
    <w:unhideWhenUsed/>
    <w:rsid w:val="002F7E19"/>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F7E19"/>
    <w:rPr>
      <w:rFonts w:ascii="Tahoma" w:eastAsia="Times New Roman" w:hAnsi="Tahoma" w:cs="Tahoma"/>
      <w:sz w:val="16"/>
      <w:szCs w:val="16"/>
    </w:rPr>
  </w:style>
  <w:style w:type="character" w:styleId="NichtaufgelsteErwhnung">
    <w:name w:val="Unresolved Mention"/>
    <w:basedOn w:val="Absatz-Standardschriftart"/>
    <w:uiPriority w:val="99"/>
    <w:semiHidden/>
    <w:unhideWhenUsed/>
    <w:rsid w:val="00547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0487">
      <w:bodyDiv w:val="1"/>
      <w:marLeft w:val="0"/>
      <w:marRight w:val="0"/>
      <w:marTop w:val="0"/>
      <w:marBottom w:val="0"/>
      <w:divBdr>
        <w:top w:val="none" w:sz="0" w:space="0" w:color="auto"/>
        <w:left w:val="none" w:sz="0" w:space="0" w:color="auto"/>
        <w:bottom w:val="none" w:sz="0" w:space="0" w:color="auto"/>
        <w:right w:val="none" w:sz="0" w:space="0" w:color="auto"/>
      </w:divBdr>
    </w:div>
    <w:div w:id="48001344">
      <w:bodyDiv w:val="1"/>
      <w:marLeft w:val="0"/>
      <w:marRight w:val="0"/>
      <w:marTop w:val="0"/>
      <w:marBottom w:val="0"/>
      <w:divBdr>
        <w:top w:val="none" w:sz="0" w:space="0" w:color="auto"/>
        <w:left w:val="none" w:sz="0" w:space="0" w:color="auto"/>
        <w:bottom w:val="none" w:sz="0" w:space="0" w:color="auto"/>
        <w:right w:val="none" w:sz="0" w:space="0" w:color="auto"/>
      </w:divBdr>
    </w:div>
    <w:div w:id="61678559">
      <w:bodyDiv w:val="1"/>
      <w:marLeft w:val="0"/>
      <w:marRight w:val="0"/>
      <w:marTop w:val="0"/>
      <w:marBottom w:val="0"/>
      <w:divBdr>
        <w:top w:val="none" w:sz="0" w:space="0" w:color="auto"/>
        <w:left w:val="none" w:sz="0" w:space="0" w:color="auto"/>
        <w:bottom w:val="none" w:sz="0" w:space="0" w:color="auto"/>
        <w:right w:val="none" w:sz="0" w:space="0" w:color="auto"/>
      </w:divBdr>
      <w:divsChild>
        <w:div w:id="1734280284">
          <w:marLeft w:val="274"/>
          <w:marRight w:val="0"/>
          <w:marTop w:val="86"/>
          <w:marBottom w:val="120"/>
          <w:divBdr>
            <w:top w:val="none" w:sz="0" w:space="0" w:color="auto"/>
            <w:left w:val="none" w:sz="0" w:space="0" w:color="auto"/>
            <w:bottom w:val="none" w:sz="0" w:space="0" w:color="auto"/>
            <w:right w:val="none" w:sz="0" w:space="0" w:color="auto"/>
          </w:divBdr>
        </w:div>
        <w:div w:id="2043283332">
          <w:marLeft w:val="274"/>
          <w:marRight w:val="0"/>
          <w:marTop w:val="86"/>
          <w:marBottom w:val="60"/>
          <w:divBdr>
            <w:top w:val="none" w:sz="0" w:space="0" w:color="auto"/>
            <w:left w:val="none" w:sz="0" w:space="0" w:color="auto"/>
            <w:bottom w:val="none" w:sz="0" w:space="0" w:color="auto"/>
            <w:right w:val="none" w:sz="0" w:space="0" w:color="auto"/>
          </w:divBdr>
        </w:div>
        <w:div w:id="367224215">
          <w:marLeft w:val="994"/>
          <w:marRight w:val="0"/>
          <w:marTop w:val="79"/>
          <w:marBottom w:val="120"/>
          <w:divBdr>
            <w:top w:val="none" w:sz="0" w:space="0" w:color="auto"/>
            <w:left w:val="none" w:sz="0" w:space="0" w:color="auto"/>
            <w:bottom w:val="none" w:sz="0" w:space="0" w:color="auto"/>
            <w:right w:val="none" w:sz="0" w:space="0" w:color="auto"/>
          </w:divBdr>
        </w:div>
        <w:div w:id="105123866">
          <w:marLeft w:val="274"/>
          <w:marRight w:val="0"/>
          <w:marTop w:val="86"/>
          <w:marBottom w:val="60"/>
          <w:divBdr>
            <w:top w:val="none" w:sz="0" w:space="0" w:color="auto"/>
            <w:left w:val="none" w:sz="0" w:space="0" w:color="auto"/>
            <w:bottom w:val="none" w:sz="0" w:space="0" w:color="auto"/>
            <w:right w:val="none" w:sz="0" w:space="0" w:color="auto"/>
          </w:divBdr>
        </w:div>
        <w:div w:id="175537368">
          <w:marLeft w:val="994"/>
          <w:marRight w:val="0"/>
          <w:marTop w:val="79"/>
          <w:marBottom w:val="120"/>
          <w:divBdr>
            <w:top w:val="none" w:sz="0" w:space="0" w:color="auto"/>
            <w:left w:val="none" w:sz="0" w:space="0" w:color="auto"/>
            <w:bottom w:val="none" w:sz="0" w:space="0" w:color="auto"/>
            <w:right w:val="none" w:sz="0" w:space="0" w:color="auto"/>
          </w:divBdr>
        </w:div>
        <w:div w:id="1960259055">
          <w:marLeft w:val="274"/>
          <w:marRight w:val="0"/>
          <w:marTop w:val="86"/>
          <w:marBottom w:val="120"/>
          <w:divBdr>
            <w:top w:val="none" w:sz="0" w:space="0" w:color="auto"/>
            <w:left w:val="none" w:sz="0" w:space="0" w:color="auto"/>
            <w:bottom w:val="none" w:sz="0" w:space="0" w:color="auto"/>
            <w:right w:val="none" w:sz="0" w:space="0" w:color="auto"/>
          </w:divBdr>
        </w:div>
        <w:div w:id="1921864210">
          <w:marLeft w:val="274"/>
          <w:marRight w:val="0"/>
          <w:marTop w:val="86"/>
          <w:marBottom w:val="120"/>
          <w:divBdr>
            <w:top w:val="none" w:sz="0" w:space="0" w:color="auto"/>
            <w:left w:val="none" w:sz="0" w:space="0" w:color="auto"/>
            <w:bottom w:val="none" w:sz="0" w:space="0" w:color="auto"/>
            <w:right w:val="none" w:sz="0" w:space="0" w:color="auto"/>
          </w:divBdr>
        </w:div>
        <w:div w:id="1839080127">
          <w:marLeft w:val="274"/>
          <w:marRight w:val="0"/>
          <w:marTop w:val="86"/>
          <w:marBottom w:val="120"/>
          <w:divBdr>
            <w:top w:val="none" w:sz="0" w:space="0" w:color="auto"/>
            <w:left w:val="none" w:sz="0" w:space="0" w:color="auto"/>
            <w:bottom w:val="none" w:sz="0" w:space="0" w:color="auto"/>
            <w:right w:val="none" w:sz="0" w:space="0" w:color="auto"/>
          </w:divBdr>
        </w:div>
      </w:divsChild>
    </w:div>
    <w:div w:id="63187122">
      <w:bodyDiv w:val="1"/>
      <w:marLeft w:val="0"/>
      <w:marRight w:val="0"/>
      <w:marTop w:val="0"/>
      <w:marBottom w:val="0"/>
      <w:divBdr>
        <w:top w:val="none" w:sz="0" w:space="0" w:color="auto"/>
        <w:left w:val="none" w:sz="0" w:space="0" w:color="auto"/>
        <w:bottom w:val="none" w:sz="0" w:space="0" w:color="auto"/>
        <w:right w:val="none" w:sz="0" w:space="0" w:color="auto"/>
      </w:divBdr>
    </w:div>
    <w:div w:id="111440851">
      <w:bodyDiv w:val="1"/>
      <w:marLeft w:val="0"/>
      <w:marRight w:val="0"/>
      <w:marTop w:val="0"/>
      <w:marBottom w:val="0"/>
      <w:divBdr>
        <w:top w:val="none" w:sz="0" w:space="0" w:color="auto"/>
        <w:left w:val="none" w:sz="0" w:space="0" w:color="auto"/>
        <w:bottom w:val="none" w:sz="0" w:space="0" w:color="auto"/>
        <w:right w:val="none" w:sz="0" w:space="0" w:color="auto"/>
      </w:divBdr>
    </w:div>
    <w:div w:id="148131948">
      <w:bodyDiv w:val="1"/>
      <w:marLeft w:val="0"/>
      <w:marRight w:val="0"/>
      <w:marTop w:val="0"/>
      <w:marBottom w:val="0"/>
      <w:divBdr>
        <w:top w:val="none" w:sz="0" w:space="0" w:color="auto"/>
        <w:left w:val="none" w:sz="0" w:space="0" w:color="auto"/>
        <w:bottom w:val="none" w:sz="0" w:space="0" w:color="auto"/>
        <w:right w:val="none" w:sz="0" w:space="0" w:color="auto"/>
      </w:divBdr>
    </w:div>
    <w:div w:id="162864103">
      <w:bodyDiv w:val="1"/>
      <w:marLeft w:val="0"/>
      <w:marRight w:val="0"/>
      <w:marTop w:val="0"/>
      <w:marBottom w:val="0"/>
      <w:divBdr>
        <w:top w:val="none" w:sz="0" w:space="0" w:color="auto"/>
        <w:left w:val="none" w:sz="0" w:space="0" w:color="auto"/>
        <w:bottom w:val="none" w:sz="0" w:space="0" w:color="auto"/>
        <w:right w:val="none" w:sz="0" w:space="0" w:color="auto"/>
      </w:divBdr>
    </w:div>
    <w:div w:id="167141750">
      <w:bodyDiv w:val="1"/>
      <w:marLeft w:val="0"/>
      <w:marRight w:val="0"/>
      <w:marTop w:val="0"/>
      <w:marBottom w:val="0"/>
      <w:divBdr>
        <w:top w:val="none" w:sz="0" w:space="0" w:color="auto"/>
        <w:left w:val="none" w:sz="0" w:space="0" w:color="auto"/>
        <w:bottom w:val="none" w:sz="0" w:space="0" w:color="auto"/>
        <w:right w:val="none" w:sz="0" w:space="0" w:color="auto"/>
      </w:divBdr>
    </w:div>
    <w:div w:id="178782290">
      <w:bodyDiv w:val="1"/>
      <w:marLeft w:val="0"/>
      <w:marRight w:val="0"/>
      <w:marTop w:val="0"/>
      <w:marBottom w:val="0"/>
      <w:divBdr>
        <w:top w:val="none" w:sz="0" w:space="0" w:color="auto"/>
        <w:left w:val="none" w:sz="0" w:space="0" w:color="auto"/>
        <w:bottom w:val="none" w:sz="0" w:space="0" w:color="auto"/>
        <w:right w:val="none" w:sz="0" w:space="0" w:color="auto"/>
      </w:divBdr>
    </w:div>
    <w:div w:id="181404129">
      <w:bodyDiv w:val="1"/>
      <w:marLeft w:val="0"/>
      <w:marRight w:val="0"/>
      <w:marTop w:val="0"/>
      <w:marBottom w:val="0"/>
      <w:divBdr>
        <w:top w:val="none" w:sz="0" w:space="0" w:color="auto"/>
        <w:left w:val="none" w:sz="0" w:space="0" w:color="auto"/>
        <w:bottom w:val="none" w:sz="0" w:space="0" w:color="auto"/>
        <w:right w:val="none" w:sz="0" w:space="0" w:color="auto"/>
      </w:divBdr>
    </w:div>
    <w:div w:id="194974945">
      <w:bodyDiv w:val="1"/>
      <w:marLeft w:val="0"/>
      <w:marRight w:val="0"/>
      <w:marTop w:val="0"/>
      <w:marBottom w:val="0"/>
      <w:divBdr>
        <w:top w:val="none" w:sz="0" w:space="0" w:color="auto"/>
        <w:left w:val="none" w:sz="0" w:space="0" w:color="auto"/>
        <w:bottom w:val="none" w:sz="0" w:space="0" w:color="auto"/>
        <w:right w:val="none" w:sz="0" w:space="0" w:color="auto"/>
      </w:divBdr>
      <w:divsChild>
        <w:div w:id="1449471504">
          <w:marLeft w:val="274"/>
          <w:marRight w:val="0"/>
          <w:marTop w:val="86"/>
          <w:marBottom w:val="120"/>
          <w:divBdr>
            <w:top w:val="none" w:sz="0" w:space="0" w:color="auto"/>
            <w:left w:val="none" w:sz="0" w:space="0" w:color="auto"/>
            <w:bottom w:val="none" w:sz="0" w:space="0" w:color="auto"/>
            <w:right w:val="none" w:sz="0" w:space="0" w:color="auto"/>
          </w:divBdr>
        </w:div>
        <w:div w:id="1419206544">
          <w:marLeft w:val="274"/>
          <w:marRight w:val="0"/>
          <w:marTop w:val="86"/>
          <w:marBottom w:val="60"/>
          <w:divBdr>
            <w:top w:val="none" w:sz="0" w:space="0" w:color="auto"/>
            <w:left w:val="none" w:sz="0" w:space="0" w:color="auto"/>
            <w:bottom w:val="none" w:sz="0" w:space="0" w:color="auto"/>
            <w:right w:val="none" w:sz="0" w:space="0" w:color="auto"/>
          </w:divBdr>
        </w:div>
        <w:div w:id="1026172799">
          <w:marLeft w:val="994"/>
          <w:marRight w:val="0"/>
          <w:marTop w:val="79"/>
          <w:marBottom w:val="120"/>
          <w:divBdr>
            <w:top w:val="none" w:sz="0" w:space="0" w:color="auto"/>
            <w:left w:val="none" w:sz="0" w:space="0" w:color="auto"/>
            <w:bottom w:val="none" w:sz="0" w:space="0" w:color="auto"/>
            <w:right w:val="none" w:sz="0" w:space="0" w:color="auto"/>
          </w:divBdr>
        </w:div>
        <w:div w:id="1314799939">
          <w:marLeft w:val="274"/>
          <w:marRight w:val="0"/>
          <w:marTop w:val="86"/>
          <w:marBottom w:val="60"/>
          <w:divBdr>
            <w:top w:val="none" w:sz="0" w:space="0" w:color="auto"/>
            <w:left w:val="none" w:sz="0" w:space="0" w:color="auto"/>
            <w:bottom w:val="none" w:sz="0" w:space="0" w:color="auto"/>
            <w:right w:val="none" w:sz="0" w:space="0" w:color="auto"/>
          </w:divBdr>
        </w:div>
        <w:div w:id="1844975424">
          <w:marLeft w:val="994"/>
          <w:marRight w:val="0"/>
          <w:marTop w:val="79"/>
          <w:marBottom w:val="120"/>
          <w:divBdr>
            <w:top w:val="none" w:sz="0" w:space="0" w:color="auto"/>
            <w:left w:val="none" w:sz="0" w:space="0" w:color="auto"/>
            <w:bottom w:val="none" w:sz="0" w:space="0" w:color="auto"/>
            <w:right w:val="none" w:sz="0" w:space="0" w:color="auto"/>
          </w:divBdr>
        </w:div>
        <w:div w:id="883829179">
          <w:marLeft w:val="274"/>
          <w:marRight w:val="0"/>
          <w:marTop w:val="86"/>
          <w:marBottom w:val="120"/>
          <w:divBdr>
            <w:top w:val="none" w:sz="0" w:space="0" w:color="auto"/>
            <w:left w:val="none" w:sz="0" w:space="0" w:color="auto"/>
            <w:bottom w:val="none" w:sz="0" w:space="0" w:color="auto"/>
            <w:right w:val="none" w:sz="0" w:space="0" w:color="auto"/>
          </w:divBdr>
        </w:div>
        <w:div w:id="937634673">
          <w:marLeft w:val="274"/>
          <w:marRight w:val="0"/>
          <w:marTop w:val="86"/>
          <w:marBottom w:val="120"/>
          <w:divBdr>
            <w:top w:val="none" w:sz="0" w:space="0" w:color="auto"/>
            <w:left w:val="none" w:sz="0" w:space="0" w:color="auto"/>
            <w:bottom w:val="none" w:sz="0" w:space="0" w:color="auto"/>
            <w:right w:val="none" w:sz="0" w:space="0" w:color="auto"/>
          </w:divBdr>
        </w:div>
        <w:div w:id="402724963">
          <w:marLeft w:val="274"/>
          <w:marRight w:val="0"/>
          <w:marTop w:val="86"/>
          <w:marBottom w:val="120"/>
          <w:divBdr>
            <w:top w:val="none" w:sz="0" w:space="0" w:color="auto"/>
            <w:left w:val="none" w:sz="0" w:space="0" w:color="auto"/>
            <w:bottom w:val="none" w:sz="0" w:space="0" w:color="auto"/>
            <w:right w:val="none" w:sz="0" w:space="0" w:color="auto"/>
          </w:divBdr>
        </w:div>
      </w:divsChild>
    </w:div>
    <w:div w:id="217979347">
      <w:bodyDiv w:val="1"/>
      <w:marLeft w:val="0"/>
      <w:marRight w:val="0"/>
      <w:marTop w:val="0"/>
      <w:marBottom w:val="0"/>
      <w:divBdr>
        <w:top w:val="none" w:sz="0" w:space="0" w:color="auto"/>
        <w:left w:val="none" w:sz="0" w:space="0" w:color="auto"/>
        <w:bottom w:val="none" w:sz="0" w:space="0" w:color="auto"/>
        <w:right w:val="none" w:sz="0" w:space="0" w:color="auto"/>
      </w:divBdr>
    </w:div>
    <w:div w:id="236865968">
      <w:bodyDiv w:val="1"/>
      <w:marLeft w:val="0"/>
      <w:marRight w:val="0"/>
      <w:marTop w:val="0"/>
      <w:marBottom w:val="0"/>
      <w:divBdr>
        <w:top w:val="none" w:sz="0" w:space="0" w:color="auto"/>
        <w:left w:val="none" w:sz="0" w:space="0" w:color="auto"/>
        <w:bottom w:val="none" w:sz="0" w:space="0" w:color="auto"/>
        <w:right w:val="none" w:sz="0" w:space="0" w:color="auto"/>
      </w:divBdr>
    </w:div>
    <w:div w:id="261106123">
      <w:bodyDiv w:val="1"/>
      <w:marLeft w:val="0"/>
      <w:marRight w:val="0"/>
      <w:marTop w:val="0"/>
      <w:marBottom w:val="0"/>
      <w:divBdr>
        <w:top w:val="none" w:sz="0" w:space="0" w:color="auto"/>
        <w:left w:val="none" w:sz="0" w:space="0" w:color="auto"/>
        <w:bottom w:val="none" w:sz="0" w:space="0" w:color="auto"/>
        <w:right w:val="none" w:sz="0" w:space="0" w:color="auto"/>
      </w:divBdr>
    </w:div>
    <w:div w:id="262955800">
      <w:bodyDiv w:val="1"/>
      <w:marLeft w:val="0"/>
      <w:marRight w:val="0"/>
      <w:marTop w:val="0"/>
      <w:marBottom w:val="0"/>
      <w:divBdr>
        <w:top w:val="none" w:sz="0" w:space="0" w:color="auto"/>
        <w:left w:val="none" w:sz="0" w:space="0" w:color="auto"/>
        <w:bottom w:val="none" w:sz="0" w:space="0" w:color="auto"/>
        <w:right w:val="none" w:sz="0" w:space="0" w:color="auto"/>
      </w:divBdr>
    </w:div>
    <w:div w:id="270819944">
      <w:bodyDiv w:val="1"/>
      <w:marLeft w:val="0"/>
      <w:marRight w:val="0"/>
      <w:marTop w:val="0"/>
      <w:marBottom w:val="0"/>
      <w:divBdr>
        <w:top w:val="none" w:sz="0" w:space="0" w:color="auto"/>
        <w:left w:val="none" w:sz="0" w:space="0" w:color="auto"/>
        <w:bottom w:val="none" w:sz="0" w:space="0" w:color="auto"/>
        <w:right w:val="none" w:sz="0" w:space="0" w:color="auto"/>
      </w:divBdr>
    </w:div>
    <w:div w:id="358237546">
      <w:bodyDiv w:val="1"/>
      <w:marLeft w:val="0"/>
      <w:marRight w:val="0"/>
      <w:marTop w:val="0"/>
      <w:marBottom w:val="0"/>
      <w:divBdr>
        <w:top w:val="none" w:sz="0" w:space="0" w:color="auto"/>
        <w:left w:val="none" w:sz="0" w:space="0" w:color="auto"/>
        <w:bottom w:val="none" w:sz="0" w:space="0" w:color="auto"/>
        <w:right w:val="none" w:sz="0" w:space="0" w:color="auto"/>
      </w:divBdr>
    </w:div>
    <w:div w:id="390495599">
      <w:bodyDiv w:val="1"/>
      <w:marLeft w:val="0"/>
      <w:marRight w:val="0"/>
      <w:marTop w:val="0"/>
      <w:marBottom w:val="0"/>
      <w:divBdr>
        <w:top w:val="none" w:sz="0" w:space="0" w:color="auto"/>
        <w:left w:val="none" w:sz="0" w:space="0" w:color="auto"/>
        <w:bottom w:val="none" w:sz="0" w:space="0" w:color="auto"/>
        <w:right w:val="none" w:sz="0" w:space="0" w:color="auto"/>
      </w:divBdr>
      <w:divsChild>
        <w:div w:id="1981378321">
          <w:marLeft w:val="259"/>
          <w:marRight w:val="0"/>
          <w:marTop w:val="0"/>
          <w:marBottom w:val="0"/>
          <w:divBdr>
            <w:top w:val="none" w:sz="0" w:space="0" w:color="auto"/>
            <w:left w:val="none" w:sz="0" w:space="0" w:color="auto"/>
            <w:bottom w:val="none" w:sz="0" w:space="0" w:color="auto"/>
            <w:right w:val="none" w:sz="0" w:space="0" w:color="auto"/>
          </w:divBdr>
        </w:div>
      </w:divsChild>
    </w:div>
    <w:div w:id="414666995">
      <w:bodyDiv w:val="1"/>
      <w:marLeft w:val="0"/>
      <w:marRight w:val="0"/>
      <w:marTop w:val="0"/>
      <w:marBottom w:val="0"/>
      <w:divBdr>
        <w:top w:val="none" w:sz="0" w:space="0" w:color="auto"/>
        <w:left w:val="none" w:sz="0" w:space="0" w:color="auto"/>
        <w:bottom w:val="none" w:sz="0" w:space="0" w:color="auto"/>
        <w:right w:val="none" w:sz="0" w:space="0" w:color="auto"/>
      </w:divBdr>
    </w:div>
    <w:div w:id="460805842">
      <w:bodyDiv w:val="1"/>
      <w:marLeft w:val="0"/>
      <w:marRight w:val="0"/>
      <w:marTop w:val="0"/>
      <w:marBottom w:val="0"/>
      <w:divBdr>
        <w:top w:val="none" w:sz="0" w:space="0" w:color="auto"/>
        <w:left w:val="none" w:sz="0" w:space="0" w:color="auto"/>
        <w:bottom w:val="none" w:sz="0" w:space="0" w:color="auto"/>
        <w:right w:val="none" w:sz="0" w:space="0" w:color="auto"/>
      </w:divBdr>
    </w:div>
    <w:div w:id="465970444">
      <w:bodyDiv w:val="1"/>
      <w:marLeft w:val="0"/>
      <w:marRight w:val="0"/>
      <w:marTop w:val="0"/>
      <w:marBottom w:val="0"/>
      <w:divBdr>
        <w:top w:val="none" w:sz="0" w:space="0" w:color="auto"/>
        <w:left w:val="none" w:sz="0" w:space="0" w:color="auto"/>
        <w:bottom w:val="none" w:sz="0" w:space="0" w:color="auto"/>
        <w:right w:val="none" w:sz="0" w:space="0" w:color="auto"/>
      </w:divBdr>
      <w:divsChild>
        <w:div w:id="1446579682">
          <w:marLeft w:val="274"/>
          <w:marRight w:val="0"/>
          <w:marTop w:val="86"/>
          <w:marBottom w:val="120"/>
          <w:divBdr>
            <w:top w:val="none" w:sz="0" w:space="0" w:color="auto"/>
            <w:left w:val="none" w:sz="0" w:space="0" w:color="auto"/>
            <w:bottom w:val="none" w:sz="0" w:space="0" w:color="auto"/>
            <w:right w:val="none" w:sz="0" w:space="0" w:color="auto"/>
          </w:divBdr>
        </w:div>
        <w:div w:id="1502426426">
          <w:marLeft w:val="274"/>
          <w:marRight w:val="0"/>
          <w:marTop w:val="86"/>
          <w:marBottom w:val="120"/>
          <w:divBdr>
            <w:top w:val="none" w:sz="0" w:space="0" w:color="auto"/>
            <w:left w:val="none" w:sz="0" w:space="0" w:color="auto"/>
            <w:bottom w:val="none" w:sz="0" w:space="0" w:color="auto"/>
            <w:right w:val="none" w:sz="0" w:space="0" w:color="auto"/>
          </w:divBdr>
        </w:div>
      </w:divsChild>
    </w:div>
    <w:div w:id="497156274">
      <w:bodyDiv w:val="1"/>
      <w:marLeft w:val="0"/>
      <w:marRight w:val="0"/>
      <w:marTop w:val="0"/>
      <w:marBottom w:val="0"/>
      <w:divBdr>
        <w:top w:val="none" w:sz="0" w:space="0" w:color="auto"/>
        <w:left w:val="none" w:sz="0" w:space="0" w:color="auto"/>
        <w:bottom w:val="none" w:sz="0" w:space="0" w:color="auto"/>
        <w:right w:val="none" w:sz="0" w:space="0" w:color="auto"/>
      </w:divBdr>
    </w:div>
    <w:div w:id="500970770">
      <w:bodyDiv w:val="1"/>
      <w:marLeft w:val="0"/>
      <w:marRight w:val="0"/>
      <w:marTop w:val="0"/>
      <w:marBottom w:val="0"/>
      <w:divBdr>
        <w:top w:val="none" w:sz="0" w:space="0" w:color="auto"/>
        <w:left w:val="none" w:sz="0" w:space="0" w:color="auto"/>
        <w:bottom w:val="none" w:sz="0" w:space="0" w:color="auto"/>
        <w:right w:val="none" w:sz="0" w:space="0" w:color="auto"/>
      </w:divBdr>
    </w:div>
    <w:div w:id="502163361">
      <w:bodyDiv w:val="1"/>
      <w:marLeft w:val="0"/>
      <w:marRight w:val="0"/>
      <w:marTop w:val="0"/>
      <w:marBottom w:val="0"/>
      <w:divBdr>
        <w:top w:val="none" w:sz="0" w:space="0" w:color="auto"/>
        <w:left w:val="none" w:sz="0" w:space="0" w:color="auto"/>
        <w:bottom w:val="none" w:sz="0" w:space="0" w:color="auto"/>
        <w:right w:val="none" w:sz="0" w:space="0" w:color="auto"/>
      </w:divBdr>
    </w:div>
    <w:div w:id="536623379">
      <w:bodyDiv w:val="1"/>
      <w:marLeft w:val="0"/>
      <w:marRight w:val="0"/>
      <w:marTop w:val="0"/>
      <w:marBottom w:val="0"/>
      <w:divBdr>
        <w:top w:val="none" w:sz="0" w:space="0" w:color="auto"/>
        <w:left w:val="none" w:sz="0" w:space="0" w:color="auto"/>
        <w:bottom w:val="none" w:sz="0" w:space="0" w:color="auto"/>
        <w:right w:val="none" w:sz="0" w:space="0" w:color="auto"/>
      </w:divBdr>
    </w:div>
    <w:div w:id="557135288">
      <w:bodyDiv w:val="1"/>
      <w:marLeft w:val="0"/>
      <w:marRight w:val="0"/>
      <w:marTop w:val="0"/>
      <w:marBottom w:val="0"/>
      <w:divBdr>
        <w:top w:val="none" w:sz="0" w:space="0" w:color="auto"/>
        <w:left w:val="none" w:sz="0" w:space="0" w:color="auto"/>
        <w:bottom w:val="none" w:sz="0" w:space="0" w:color="auto"/>
        <w:right w:val="none" w:sz="0" w:space="0" w:color="auto"/>
      </w:divBdr>
    </w:div>
    <w:div w:id="606306003">
      <w:bodyDiv w:val="1"/>
      <w:marLeft w:val="0"/>
      <w:marRight w:val="0"/>
      <w:marTop w:val="0"/>
      <w:marBottom w:val="0"/>
      <w:divBdr>
        <w:top w:val="none" w:sz="0" w:space="0" w:color="auto"/>
        <w:left w:val="none" w:sz="0" w:space="0" w:color="auto"/>
        <w:bottom w:val="none" w:sz="0" w:space="0" w:color="auto"/>
        <w:right w:val="none" w:sz="0" w:space="0" w:color="auto"/>
      </w:divBdr>
    </w:div>
    <w:div w:id="667749835">
      <w:bodyDiv w:val="1"/>
      <w:marLeft w:val="0"/>
      <w:marRight w:val="0"/>
      <w:marTop w:val="0"/>
      <w:marBottom w:val="0"/>
      <w:divBdr>
        <w:top w:val="none" w:sz="0" w:space="0" w:color="auto"/>
        <w:left w:val="none" w:sz="0" w:space="0" w:color="auto"/>
        <w:bottom w:val="none" w:sz="0" w:space="0" w:color="auto"/>
        <w:right w:val="none" w:sz="0" w:space="0" w:color="auto"/>
      </w:divBdr>
    </w:div>
    <w:div w:id="690297029">
      <w:bodyDiv w:val="1"/>
      <w:marLeft w:val="0"/>
      <w:marRight w:val="0"/>
      <w:marTop w:val="0"/>
      <w:marBottom w:val="0"/>
      <w:divBdr>
        <w:top w:val="none" w:sz="0" w:space="0" w:color="auto"/>
        <w:left w:val="none" w:sz="0" w:space="0" w:color="auto"/>
        <w:bottom w:val="none" w:sz="0" w:space="0" w:color="auto"/>
        <w:right w:val="none" w:sz="0" w:space="0" w:color="auto"/>
      </w:divBdr>
    </w:div>
    <w:div w:id="714936672">
      <w:bodyDiv w:val="1"/>
      <w:marLeft w:val="0"/>
      <w:marRight w:val="0"/>
      <w:marTop w:val="0"/>
      <w:marBottom w:val="0"/>
      <w:divBdr>
        <w:top w:val="none" w:sz="0" w:space="0" w:color="auto"/>
        <w:left w:val="none" w:sz="0" w:space="0" w:color="auto"/>
        <w:bottom w:val="none" w:sz="0" w:space="0" w:color="auto"/>
        <w:right w:val="none" w:sz="0" w:space="0" w:color="auto"/>
      </w:divBdr>
    </w:div>
    <w:div w:id="815728019">
      <w:bodyDiv w:val="1"/>
      <w:marLeft w:val="0"/>
      <w:marRight w:val="0"/>
      <w:marTop w:val="0"/>
      <w:marBottom w:val="0"/>
      <w:divBdr>
        <w:top w:val="none" w:sz="0" w:space="0" w:color="auto"/>
        <w:left w:val="none" w:sz="0" w:space="0" w:color="auto"/>
        <w:bottom w:val="none" w:sz="0" w:space="0" w:color="auto"/>
        <w:right w:val="none" w:sz="0" w:space="0" w:color="auto"/>
      </w:divBdr>
      <w:divsChild>
        <w:div w:id="1778869325">
          <w:marLeft w:val="274"/>
          <w:marRight w:val="0"/>
          <w:marTop w:val="86"/>
          <w:marBottom w:val="120"/>
          <w:divBdr>
            <w:top w:val="none" w:sz="0" w:space="0" w:color="auto"/>
            <w:left w:val="none" w:sz="0" w:space="0" w:color="auto"/>
            <w:bottom w:val="none" w:sz="0" w:space="0" w:color="auto"/>
            <w:right w:val="none" w:sz="0" w:space="0" w:color="auto"/>
          </w:divBdr>
        </w:div>
        <w:div w:id="242880162">
          <w:marLeft w:val="274"/>
          <w:marRight w:val="0"/>
          <w:marTop w:val="86"/>
          <w:marBottom w:val="60"/>
          <w:divBdr>
            <w:top w:val="none" w:sz="0" w:space="0" w:color="auto"/>
            <w:left w:val="none" w:sz="0" w:space="0" w:color="auto"/>
            <w:bottom w:val="none" w:sz="0" w:space="0" w:color="auto"/>
            <w:right w:val="none" w:sz="0" w:space="0" w:color="auto"/>
          </w:divBdr>
        </w:div>
        <w:div w:id="1113867300">
          <w:marLeft w:val="994"/>
          <w:marRight w:val="0"/>
          <w:marTop w:val="79"/>
          <w:marBottom w:val="120"/>
          <w:divBdr>
            <w:top w:val="none" w:sz="0" w:space="0" w:color="auto"/>
            <w:left w:val="none" w:sz="0" w:space="0" w:color="auto"/>
            <w:bottom w:val="none" w:sz="0" w:space="0" w:color="auto"/>
            <w:right w:val="none" w:sz="0" w:space="0" w:color="auto"/>
          </w:divBdr>
        </w:div>
        <w:div w:id="1893691724">
          <w:marLeft w:val="274"/>
          <w:marRight w:val="0"/>
          <w:marTop w:val="86"/>
          <w:marBottom w:val="60"/>
          <w:divBdr>
            <w:top w:val="none" w:sz="0" w:space="0" w:color="auto"/>
            <w:left w:val="none" w:sz="0" w:space="0" w:color="auto"/>
            <w:bottom w:val="none" w:sz="0" w:space="0" w:color="auto"/>
            <w:right w:val="none" w:sz="0" w:space="0" w:color="auto"/>
          </w:divBdr>
        </w:div>
        <w:div w:id="1398892842">
          <w:marLeft w:val="994"/>
          <w:marRight w:val="0"/>
          <w:marTop w:val="79"/>
          <w:marBottom w:val="120"/>
          <w:divBdr>
            <w:top w:val="none" w:sz="0" w:space="0" w:color="auto"/>
            <w:left w:val="none" w:sz="0" w:space="0" w:color="auto"/>
            <w:bottom w:val="none" w:sz="0" w:space="0" w:color="auto"/>
            <w:right w:val="none" w:sz="0" w:space="0" w:color="auto"/>
          </w:divBdr>
        </w:div>
        <w:div w:id="1812552968">
          <w:marLeft w:val="274"/>
          <w:marRight w:val="0"/>
          <w:marTop w:val="86"/>
          <w:marBottom w:val="120"/>
          <w:divBdr>
            <w:top w:val="none" w:sz="0" w:space="0" w:color="auto"/>
            <w:left w:val="none" w:sz="0" w:space="0" w:color="auto"/>
            <w:bottom w:val="none" w:sz="0" w:space="0" w:color="auto"/>
            <w:right w:val="none" w:sz="0" w:space="0" w:color="auto"/>
          </w:divBdr>
        </w:div>
        <w:div w:id="1456025260">
          <w:marLeft w:val="274"/>
          <w:marRight w:val="0"/>
          <w:marTop w:val="86"/>
          <w:marBottom w:val="120"/>
          <w:divBdr>
            <w:top w:val="none" w:sz="0" w:space="0" w:color="auto"/>
            <w:left w:val="none" w:sz="0" w:space="0" w:color="auto"/>
            <w:bottom w:val="none" w:sz="0" w:space="0" w:color="auto"/>
            <w:right w:val="none" w:sz="0" w:space="0" w:color="auto"/>
          </w:divBdr>
        </w:div>
        <w:div w:id="1234390386">
          <w:marLeft w:val="274"/>
          <w:marRight w:val="0"/>
          <w:marTop w:val="86"/>
          <w:marBottom w:val="120"/>
          <w:divBdr>
            <w:top w:val="none" w:sz="0" w:space="0" w:color="auto"/>
            <w:left w:val="none" w:sz="0" w:space="0" w:color="auto"/>
            <w:bottom w:val="none" w:sz="0" w:space="0" w:color="auto"/>
            <w:right w:val="none" w:sz="0" w:space="0" w:color="auto"/>
          </w:divBdr>
        </w:div>
      </w:divsChild>
    </w:div>
    <w:div w:id="822745982">
      <w:bodyDiv w:val="1"/>
      <w:marLeft w:val="0"/>
      <w:marRight w:val="0"/>
      <w:marTop w:val="0"/>
      <w:marBottom w:val="0"/>
      <w:divBdr>
        <w:top w:val="none" w:sz="0" w:space="0" w:color="auto"/>
        <w:left w:val="none" w:sz="0" w:space="0" w:color="auto"/>
        <w:bottom w:val="none" w:sz="0" w:space="0" w:color="auto"/>
        <w:right w:val="none" w:sz="0" w:space="0" w:color="auto"/>
      </w:divBdr>
    </w:div>
    <w:div w:id="915557863">
      <w:bodyDiv w:val="1"/>
      <w:marLeft w:val="0"/>
      <w:marRight w:val="0"/>
      <w:marTop w:val="0"/>
      <w:marBottom w:val="0"/>
      <w:divBdr>
        <w:top w:val="none" w:sz="0" w:space="0" w:color="auto"/>
        <w:left w:val="none" w:sz="0" w:space="0" w:color="auto"/>
        <w:bottom w:val="none" w:sz="0" w:space="0" w:color="auto"/>
        <w:right w:val="none" w:sz="0" w:space="0" w:color="auto"/>
      </w:divBdr>
    </w:div>
    <w:div w:id="934289449">
      <w:bodyDiv w:val="1"/>
      <w:marLeft w:val="0"/>
      <w:marRight w:val="0"/>
      <w:marTop w:val="0"/>
      <w:marBottom w:val="0"/>
      <w:divBdr>
        <w:top w:val="none" w:sz="0" w:space="0" w:color="auto"/>
        <w:left w:val="none" w:sz="0" w:space="0" w:color="auto"/>
        <w:bottom w:val="none" w:sz="0" w:space="0" w:color="auto"/>
        <w:right w:val="none" w:sz="0" w:space="0" w:color="auto"/>
      </w:divBdr>
    </w:div>
    <w:div w:id="935406022">
      <w:bodyDiv w:val="1"/>
      <w:marLeft w:val="0"/>
      <w:marRight w:val="0"/>
      <w:marTop w:val="0"/>
      <w:marBottom w:val="0"/>
      <w:divBdr>
        <w:top w:val="none" w:sz="0" w:space="0" w:color="auto"/>
        <w:left w:val="none" w:sz="0" w:space="0" w:color="auto"/>
        <w:bottom w:val="none" w:sz="0" w:space="0" w:color="auto"/>
        <w:right w:val="none" w:sz="0" w:space="0" w:color="auto"/>
      </w:divBdr>
    </w:div>
    <w:div w:id="955915775">
      <w:bodyDiv w:val="1"/>
      <w:marLeft w:val="0"/>
      <w:marRight w:val="0"/>
      <w:marTop w:val="0"/>
      <w:marBottom w:val="0"/>
      <w:divBdr>
        <w:top w:val="none" w:sz="0" w:space="0" w:color="auto"/>
        <w:left w:val="none" w:sz="0" w:space="0" w:color="auto"/>
        <w:bottom w:val="none" w:sz="0" w:space="0" w:color="auto"/>
        <w:right w:val="none" w:sz="0" w:space="0" w:color="auto"/>
      </w:divBdr>
    </w:div>
    <w:div w:id="1066368961">
      <w:bodyDiv w:val="1"/>
      <w:marLeft w:val="0"/>
      <w:marRight w:val="0"/>
      <w:marTop w:val="0"/>
      <w:marBottom w:val="0"/>
      <w:divBdr>
        <w:top w:val="none" w:sz="0" w:space="0" w:color="auto"/>
        <w:left w:val="none" w:sz="0" w:space="0" w:color="auto"/>
        <w:bottom w:val="none" w:sz="0" w:space="0" w:color="auto"/>
        <w:right w:val="none" w:sz="0" w:space="0" w:color="auto"/>
      </w:divBdr>
    </w:div>
    <w:div w:id="1092890898">
      <w:bodyDiv w:val="1"/>
      <w:marLeft w:val="0"/>
      <w:marRight w:val="0"/>
      <w:marTop w:val="0"/>
      <w:marBottom w:val="0"/>
      <w:divBdr>
        <w:top w:val="none" w:sz="0" w:space="0" w:color="auto"/>
        <w:left w:val="none" w:sz="0" w:space="0" w:color="auto"/>
        <w:bottom w:val="none" w:sz="0" w:space="0" w:color="auto"/>
        <w:right w:val="none" w:sz="0" w:space="0" w:color="auto"/>
      </w:divBdr>
      <w:divsChild>
        <w:div w:id="1235506030">
          <w:marLeft w:val="346"/>
          <w:marRight w:val="0"/>
          <w:marTop w:val="86"/>
          <w:marBottom w:val="120"/>
          <w:divBdr>
            <w:top w:val="none" w:sz="0" w:space="0" w:color="auto"/>
            <w:left w:val="none" w:sz="0" w:space="0" w:color="auto"/>
            <w:bottom w:val="none" w:sz="0" w:space="0" w:color="auto"/>
            <w:right w:val="none" w:sz="0" w:space="0" w:color="auto"/>
          </w:divBdr>
        </w:div>
        <w:div w:id="816217971">
          <w:marLeft w:val="346"/>
          <w:marRight w:val="0"/>
          <w:marTop w:val="86"/>
          <w:marBottom w:val="60"/>
          <w:divBdr>
            <w:top w:val="none" w:sz="0" w:space="0" w:color="auto"/>
            <w:left w:val="none" w:sz="0" w:space="0" w:color="auto"/>
            <w:bottom w:val="none" w:sz="0" w:space="0" w:color="auto"/>
            <w:right w:val="none" w:sz="0" w:space="0" w:color="auto"/>
          </w:divBdr>
        </w:div>
        <w:div w:id="1638874604">
          <w:marLeft w:val="1138"/>
          <w:marRight w:val="0"/>
          <w:marTop w:val="79"/>
          <w:marBottom w:val="120"/>
          <w:divBdr>
            <w:top w:val="none" w:sz="0" w:space="0" w:color="auto"/>
            <w:left w:val="none" w:sz="0" w:space="0" w:color="auto"/>
            <w:bottom w:val="none" w:sz="0" w:space="0" w:color="auto"/>
            <w:right w:val="none" w:sz="0" w:space="0" w:color="auto"/>
          </w:divBdr>
        </w:div>
        <w:div w:id="283393093">
          <w:marLeft w:val="418"/>
          <w:marRight w:val="0"/>
          <w:marTop w:val="86"/>
          <w:marBottom w:val="120"/>
          <w:divBdr>
            <w:top w:val="none" w:sz="0" w:space="0" w:color="auto"/>
            <w:left w:val="none" w:sz="0" w:space="0" w:color="auto"/>
            <w:bottom w:val="none" w:sz="0" w:space="0" w:color="auto"/>
            <w:right w:val="none" w:sz="0" w:space="0" w:color="auto"/>
          </w:divBdr>
        </w:div>
      </w:divsChild>
    </w:div>
    <w:div w:id="1093552287">
      <w:bodyDiv w:val="1"/>
      <w:marLeft w:val="0"/>
      <w:marRight w:val="0"/>
      <w:marTop w:val="0"/>
      <w:marBottom w:val="0"/>
      <w:divBdr>
        <w:top w:val="none" w:sz="0" w:space="0" w:color="auto"/>
        <w:left w:val="none" w:sz="0" w:space="0" w:color="auto"/>
        <w:bottom w:val="none" w:sz="0" w:space="0" w:color="auto"/>
        <w:right w:val="none" w:sz="0" w:space="0" w:color="auto"/>
      </w:divBdr>
    </w:div>
    <w:div w:id="1108895007">
      <w:bodyDiv w:val="1"/>
      <w:marLeft w:val="0"/>
      <w:marRight w:val="0"/>
      <w:marTop w:val="0"/>
      <w:marBottom w:val="0"/>
      <w:divBdr>
        <w:top w:val="none" w:sz="0" w:space="0" w:color="auto"/>
        <w:left w:val="none" w:sz="0" w:space="0" w:color="auto"/>
        <w:bottom w:val="none" w:sz="0" w:space="0" w:color="auto"/>
        <w:right w:val="none" w:sz="0" w:space="0" w:color="auto"/>
      </w:divBdr>
      <w:divsChild>
        <w:div w:id="1306470510">
          <w:marLeft w:val="547"/>
          <w:marRight w:val="0"/>
          <w:marTop w:val="67"/>
          <w:marBottom w:val="120"/>
          <w:divBdr>
            <w:top w:val="none" w:sz="0" w:space="0" w:color="auto"/>
            <w:left w:val="none" w:sz="0" w:space="0" w:color="auto"/>
            <w:bottom w:val="none" w:sz="0" w:space="0" w:color="auto"/>
            <w:right w:val="none" w:sz="0" w:space="0" w:color="auto"/>
          </w:divBdr>
        </w:div>
        <w:div w:id="514734917">
          <w:marLeft w:val="547"/>
          <w:marRight w:val="0"/>
          <w:marTop w:val="67"/>
          <w:marBottom w:val="120"/>
          <w:divBdr>
            <w:top w:val="none" w:sz="0" w:space="0" w:color="auto"/>
            <w:left w:val="none" w:sz="0" w:space="0" w:color="auto"/>
            <w:bottom w:val="none" w:sz="0" w:space="0" w:color="auto"/>
            <w:right w:val="none" w:sz="0" w:space="0" w:color="auto"/>
          </w:divBdr>
        </w:div>
        <w:div w:id="280693931">
          <w:marLeft w:val="547"/>
          <w:marRight w:val="0"/>
          <w:marTop w:val="67"/>
          <w:marBottom w:val="120"/>
          <w:divBdr>
            <w:top w:val="none" w:sz="0" w:space="0" w:color="auto"/>
            <w:left w:val="none" w:sz="0" w:space="0" w:color="auto"/>
            <w:bottom w:val="none" w:sz="0" w:space="0" w:color="auto"/>
            <w:right w:val="none" w:sz="0" w:space="0" w:color="auto"/>
          </w:divBdr>
        </w:div>
        <w:div w:id="1414858387">
          <w:marLeft w:val="547"/>
          <w:marRight w:val="0"/>
          <w:marTop w:val="67"/>
          <w:marBottom w:val="120"/>
          <w:divBdr>
            <w:top w:val="none" w:sz="0" w:space="0" w:color="auto"/>
            <w:left w:val="none" w:sz="0" w:space="0" w:color="auto"/>
            <w:bottom w:val="none" w:sz="0" w:space="0" w:color="auto"/>
            <w:right w:val="none" w:sz="0" w:space="0" w:color="auto"/>
          </w:divBdr>
        </w:div>
      </w:divsChild>
    </w:div>
    <w:div w:id="1128671639">
      <w:bodyDiv w:val="1"/>
      <w:marLeft w:val="0"/>
      <w:marRight w:val="0"/>
      <w:marTop w:val="0"/>
      <w:marBottom w:val="0"/>
      <w:divBdr>
        <w:top w:val="none" w:sz="0" w:space="0" w:color="auto"/>
        <w:left w:val="none" w:sz="0" w:space="0" w:color="auto"/>
        <w:bottom w:val="none" w:sz="0" w:space="0" w:color="auto"/>
        <w:right w:val="none" w:sz="0" w:space="0" w:color="auto"/>
      </w:divBdr>
    </w:div>
    <w:div w:id="1195532494">
      <w:bodyDiv w:val="1"/>
      <w:marLeft w:val="0"/>
      <w:marRight w:val="0"/>
      <w:marTop w:val="0"/>
      <w:marBottom w:val="0"/>
      <w:divBdr>
        <w:top w:val="none" w:sz="0" w:space="0" w:color="auto"/>
        <w:left w:val="none" w:sz="0" w:space="0" w:color="auto"/>
        <w:bottom w:val="none" w:sz="0" w:space="0" w:color="auto"/>
        <w:right w:val="none" w:sz="0" w:space="0" w:color="auto"/>
      </w:divBdr>
    </w:div>
    <w:div w:id="1230965901">
      <w:bodyDiv w:val="1"/>
      <w:marLeft w:val="0"/>
      <w:marRight w:val="0"/>
      <w:marTop w:val="0"/>
      <w:marBottom w:val="0"/>
      <w:divBdr>
        <w:top w:val="none" w:sz="0" w:space="0" w:color="auto"/>
        <w:left w:val="none" w:sz="0" w:space="0" w:color="auto"/>
        <w:bottom w:val="none" w:sz="0" w:space="0" w:color="auto"/>
        <w:right w:val="none" w:sz="0" w:space="0" w:color="auto"/>
      </w:divBdr>
      <w:divsChild>
        <w:div w:id="1073697369">
          <w:marLeft w:val="274"/>
          <w:marRight w:val="0"/>
          <w:marTop w:val="86"/>
          <w:marBottom w:val="0"/>
          <w:divBdr>
            <w:top w:val="none" w:sz="0" w:space="0" w:color="auto"/>
            <w:left w:val="none" w:sz="0" w:space="0" w:color="auto"/>
            <w:bottom w:val="none" w:sz="0" w:space="0" w:color="auto"/>
            <w:right w:val="none" w:sz="0" w:space="0" w:color="auto"/>
          </w:divBdr>
        </w:div>
      </w:divsChild>
    </w:div>
    <w:div w:id="1232815810">
      <w:bodyDiv w:val="1"/>
      <w:marLeft w:val="0"/>
      <w:marRight w:val="0"/>
      <w:marTop w:val="0"/>
      <w:marBottom w:val="0"/>
      <w:divBdr>
        <w:top w:val="none" w:sz="0" w:space="0" w:color="auto"/>
        <w:left w:val="none" w:sz="0" w:space="0" w:color="auto"/>
        <w:bottom w:val="none" w:sz="0" w:space="0" w:color="auto"/>
        <w:right w:val="none" w:sz="0" w:space="0" w:color="auto"/>
      </w:divBdr>
    </w:div>
    <w:div w:id="1302878352">
      <w:bodyDiv w:val="1"/>
      <w:marLeft w:val="0"/>
      <w:marRight w:val="0"/>
      <w:marTop w:val="0"/>
      <w:marBottom w:val="0"/>
      <w:divBdr>
        <w:top w:val="none" w:sz="0" w:space="0" w:color="auto"/>
        <w:left w:val="none" w:sz="0" w:space="0" w:color="auto"/>
        <w:bottom w:val="none" w:sz="0" w:space="0" w:color="auto"/>
        <w:right w:val="none" w:sz="0" w:space="0" w:color="auto"/>
      </w:divBdr>
    </w:div>
    <w:div w:id="1325278903">
      <w:bodyDiv w:val="1"/>
      <w:marLeft w:val="0"/>
      <w:marRight w:val="0"/>
      <w:marTop w:val="0"/>
      <w:marBottom w:val="0"/>
      <w:divBdr>
        <w:top w:val="none" w:sz="0" w:space="0" w:color="auto"/>
        <w:left w:val="none" w:sz="0" w:space="0" w:color="auto"/>
        <w:bottom w:val="none" w:sz="0" w:space="0" w:color="auto"/>
        <w:right w:val="none" w:sz="0" w:space="0" w:color="auto"/>
      </w:divBdr>
    </w:div>
    <w:div w:id="1375152311">
      <w:bodyDiv w:val="1"/>
      <w:marLeft w:val="0"/>
      <w:marRight w:val="0"/>
      <w:marTop w:val="0"/>
      <w:marBottom w:val="0"/>
      <w:divBdr>
        <w:top w:val="none" w:sz="0" w:space="0" w:color="auto"/>
        <w:left w:val="none" w:sz="0" w:space="0" w:color="auto"/>
        <w:bottom w:val="none" w:sz="0" w:space="0" w:color="auto"/>
        <w:right w:val="none" w:sz="0" w:space="0" w:color="auto"/>
      </w:divBdr>
    </w:div>
    <w:div w:id="1433819769">
      <w:bodyDiv w:val="1"/>
      <w:marLeft w:val="0"/>
      <w:marRight w:val="0"/>
      <w:marTop w:val="0"/>
      <w:marBottom w:val="0"/>
      <w:divBdr>
        <w:top w:val="none" w:sz="0" w:space="0" w:color="auto"/>
        <w:left w:val="none" w:sz="0" w:space="0" w:color="auto"/>
        <w:bottom w:val="none" w:sz="0" w:space="0" w:color="auto"/>
        <w:right w:val="none" w:sz="0" w:space="0" w:color="auto"/>
      </w:divBdr>
    </w:div>
    <w:div w:id="1449930589">
      <w:bodyDiv w:val="1"/>
      <w:marLeft w:val="0"/>
      <w:marRight w:val="0"/>
      <w:marTop w:val="0"/>
      <w:marBottom w:val="0"/>
      <w:divBdr>
        <w:top w:val="none" w:sz="0" w:space="0" w:color="auto"/>
        <w:left w:val="none" w:sz="0" w:space="0" w:color="auto"/>
        <w:bottom w:val="none" w:sz="0" w:space="0" w:color="auto"/>
        <w:right w:val="none" w:sz="0" w:space="0" w:color="auto"/>
      </w:divBdr>
    </w:div>
    <w:div w:id="1529023840">
      <w:bodyDiv w:val="1"/>
      <w:marLeft w:val="0"/>
      <w:marRight w:val="0"/>
      <w:marTop w:val="0"/>
      <w:marBottom w:val="0"/>
      <w:divBdr>
        <w:top w:val="none" w:sz="0" w:space="0" w:color="auto"/>
        <w:left w:val="none" w:sz="0" w:space="0" w:color="auto"/>
        <w:bottom w:val="none" w:sz="0" w:space="0" w:color="auto"/>
        <w:right w:val="none" w:sz="0" w:space="0" w:color="auto"/>
      </w:divBdr>
      <w:divsChild>
        <w:div w:id="593827664">
          <w:marLeft w:val="547"/>
          <w:marRight w:val="0"/>
          <w:marTop w:val="67"/>
          <w:marBottom w:val="60"/>
          <w:divBdr>
            <w:top w:val="none" w:sz="0" w:space="0" w:color="auto"/>
            <w:left w:val="none" w:sz="0" w:space="0" w:color="auto"/>
            <w:bottom w:val="none" w:sz="0" w:space="0" w:color="auto"/>
            <w:right w:val="none" w:sz="0" w:space="0" w:color="auto"/>
          </w:divBdr>
        </w:div>
        <w:div w:id="1870029156">
          <w:marLeft w:val="1166"/>
          <w:marRight w:val="0"/>
          <w:marTop w:val="58"/>
          <w:marBottom w:val="0"/>
          <w:divBdr>
            <w:top w:val="none" w:sz="0" w:space="0" w:color="auto"/>
            <w:left w:val="none" w:sz="0" w:space="0" w:color="auto"/>
            <w:bottom w:val="none" w:sz="0" w:space="0" w:color="auto"/>
            <w:right w:val="none" w:sz="0" w:space="0" w:color="auto"/>
          </w:divBdr>
        </w:div>
        <w:div w:id="1960263613">
          <w:marLeft w:val="1166"/>
          <w:marRight w:val="0"/>
          <w:marTop w:val="58"/>
          <w:marBottom w:val="120"/>
          <w:divBdr>
            <w:top w:val="none" w:sz="0" w:space="0" w:color="auto"/>
            <w:left w:val="none" w:sz="0" w:space="0" w:color="auto"/>
            <w:bottom w:val="none" w:sz="0" w:space="0" w:color="auto"/>
            <w:right w:val="none" w:sz="0" w:space="0" w:color="auto"/>
          </w:divBdr>
        </w:div>
        <w:div w:id="1673944849">
          <w:marLeft w:val="547"/>
          <w:marRight w:val="0"/>
          <w:marTop w:val="67"/>
          <w:marBottom w:val="60"/>
          <w:divBdr>
            <w:top w:val="none" w:sz="0" w:space="0" w:color="auto"/>
            <w:left w:val="none" w:sz="0" w:space="0" w:color="auto"/>
            <w:bottom w:val="none" w:sz="0" w:space="0" w:color="auto"/>
            <w:right w:val="none" w:sz="0" w:space="0" w:color="auto"/>
          </w:divBdr>
        </w:div>
        <w:div w:id="1406295743">
          <w:marLeft w:val="1166"/>
          <w:marRight w:val="0"/>
          <w:marTop w:val="58"/>
          <w:marBottom w:val="0"/>
          <w:divBdr>
            <w:top w:val="none" w:sz="0" w:space="0" w:color="auto"/>
            <w:left w:val="none" w:sz="0" w:space="0" w:color="auto"/>
            <w:bottom w:val="none" w:sz="0" w:space="0" w:color="auto"/>
            <w:right w:val="none" w:sz="0" w:space="0" w:color="auto"/>
          </w:divBdr>
        </w:div>
        <w:div w:id="350836197">
          <w:marLeft w:val="1166"/>
          <w:marRight w:val="0"/>
          <w:marTop w:val="58"/>
          <w:marBottom w:val="0"/>
          <w:divBdr>
            <w:top w:val="none" w:sz="0" w:space="0" w:color="auto"/>
            <w:left w:val="none" w:sz="0" w:space="0" w:color="auto"/>
            <w:bottom w:val="none" w:sz="0" w:space="0" w:color="auto"/>
            <w:right w:val="none" w:sz="0" w:space="0" w:color="auto"/>
          </w:divBdr>
        </w:div>
      </w:divsChild>
    </w:div>
    <w:div w:id="1534461483">
      <w:bodyDiv w:val="1"/>
      <w:marLeft w:val="0"/>
      <w:marRight w:val="0"/>
      <w:marTop w:val="0"/>
      <w:marBottom w:val="0"/>
      <w:divBdr>
        <w:top w:val="none" w:sz="0" w:space="0" w:color="auto"/>
        <w:left w:val="none" w:sz="0" w:space="0" w:color="auto"/>
        <w:bottom w:val="none" w:sz="0" w:space="0" w:color="auto"/>
        <w:right w:val="none" w:sz="0" w:space="0" w:color="auto"/>
      </w:divBdr>
      <w:divsChild>
        <w:div w:id="539123947">
          <w:marLeft w:val="547"/>
          <w:marRight w:val="0"/>
          <w:marTop w:val="67"/>
          <w:marBottom w:val="120"/>
          <w:divBdr>
            <w:top w:val="none" w:sz="0" w:space="0" w:color="auto"/>
            <w:left w:val="none" w:sz="0" w:space="0" w:color="auto"/>
            <w:bottom w:val="none" w:sz="0" w:space="0" w:color="auto"/>
            <w:right w:val="none" w:sz="0" w:space="0" w:color="auto"/>
          </w:divBdr>
        </w:div>
        <w:div w:id="1948077760">
          <w:marLeft w:val="547"/>
          <w:marRight w:val="0"/>
          <w:marTop w:val="67"/>
          <w:marBottom w:val="120"/>
          <w:divBdr>
            <w:top w:val="none" w:sz="0" w:space="0" w:color="auto"/>
            <w:left w:val="none" w:sz="0" w:space="0" w:color="auto"/>
            <w:bottom w:val="none" w:sz="0" w:space="0" w:color="auto"/>
            <w:right w:val="none" w:sz="0" w:space="0" w:color="auto"/>
          </w:divBdr>
        </w:div>
        <w:div w:id="1844391732">
          <w:marLeft w:val="547"/>
          <w:marRight w:val="0"/>
          <w:marTop w:val="67"/>
          <w:marBottom w:val="120"/>
          <w:divBdr>
            <w:top w:val="none" w:sz="0" w:space="0" w:color="auto"/>
            <w:left w:val="none" w:sz="0" w:space="0" w:color="auto"/>
            <w:bottom w:val="none" w:sz="0" w:space="0" w:color="auto"/>
            <w:right w:val="none" w:sz="0" w:space="0" w:color="auto"/>
          </w:divBdr>
        </w:div>
        <w:div w:id="1696690730">
          <w:marLeft w:val="547"/>
          <w:marRight w:val="0"/>
          <w:marTop w:val="67"/>
          <w:marBottom w:val="120"/>
          <w:divBdr>
            <w:top w:val="none" w:sz="0" w:space="0" w:color="auto"/>
            <w:left w:val="none" w:sz="0" w:space="0" w:color="auto"/>
            <w:bottom w:val="none" w:sz="0" w:space="0" w:color="auto"/>
            <w:right w:val="none" w:sz="0" w:space="0" w:color="auto"/>
          </w:divBdr>
        </w:div>
      </w:divsChild>
    </w:div>
    <w:div w:id="1571161764">
      <w:bodyDiv w:val="1"/>
      <w:marLeft w:val="0"/>
      <w:marRight w:val="0"/>
      <w:marTop w:val="0"/>
      <w:marBottom w:val="0"/>
      <w:divBdr>
        <w:top w:val="none" w:sz="0" w:space="0" w:color="auto"/>
        <w:left w:val="none" w:sz="0" w:space="0" w:color="auto"/>
        <w:bottom w:val="none" w:sz="0" w:space="0" w:color="auto"/>
        <w:right w:val="none" w:sz="0" w:space="0" w:color="auto"/>
      </w:divBdr>
    </w:div>
    <w:div w:id="1575045634">
      <w:bodyDiv w:val="1"/>
      <w:marLeft w:val="0"/>
      <w:marRight w:val="0"/>
      <w:marTop w:val="0"/>
      <w:marBottom w:val="0"/>
      <w:divBdr>
        <w:top w:val="none" w:sz="0" w:space="0" w:color="auto"/>
        <w:left w:val="none" w:sz="0" w:space="0" w:color="auto"/>
        <w:bottom w:val="none" w:sz="0" w:space="0" w:color="auto"/>
        <w:right w:val="none" w:sz="0" w:space="0" w:color="auto"/>
      </w:divBdr>
    </w:div>
    <w:div w:id="1587225016">
      <w:bodyDiv w:val="1"/>
      <w:marLeft w:val="0"/>
      <w:marRight w:val="0"/>
      <w:marTop w:val="0"/>
      <w:marBottom w:val="0"/>
      <w:divBdr>
        <w:top w:val="none" w:sz="0" w:space="0" w:color="auto"/>
        <w:left w:val="none" w:sz="0" w:space="0" w:color="auto"/>
        <w:bottom w:val="none" w:sz="0" w:space="0" w:color="auto"/>
        <w:right w:val="none" w:sz="0" w:space="0" w:color="auto"/>
      </w:divBdr>
      <w:divsChild>
        <w:div w:id="1185247543">
          <w:marLeft w:val="547"/>
          <w:marRight w:val="0"/>
          <w:marTop w:val="67"/>
          <w:marBottom w:val="120"/>
          <w:divBdr>
            <w:top w:val="none" w:sz="0" w:space="0" w:color="auto"/>
            <w:left w:val="none" w:sz="0" w:space="0" w:color="auto"/>
            <w:bottom w:val="none" w:sz="0" w:space="0" w:color="auto"/>
            <w:right w:val="none" w:sz="0" w:space="0" w:color="auto"/>
          </w:divBdr>
        </w:div>
        <w:div w:id="699933356">
          <w:marLeft w:val="547"/>
          <w:marRight w:val="0"/>
          <w:marTop w:val="67"/>
          <w:marBottom w:val="120"/>
          <w:divBdr>
            <w:top w:val="none" w:sz="0" w:space="0" w:color="auto"/>
            <w:left w:val="none" w:sz="0" w:space="0" w:color="auto"/>
            <w:bottom w:val="none" w:sz="0" w:space="0" w:color="auto"/>
            <w:right w:val="none" w:sz="0" w:space="0" w:color="auto"/>
          </w:divBdr>
        </w:div>
        <w:div w:id="2108695434">
          <w:marLeft w:val="547"/>
          <w:marRight w:val="0"/>
          <w:marTop w:val="67"/>
          <w:marBottom w:val="120"/>
          <w:divBdr>
            <w:top w:val="none" w:sz="0" w:space="0" w:color="auto"/>
            <w:left w:val="none" w:sz="0" w:space="0" w:color="auto"/>
            <w:bottom w:val="none" w:sz="0" w:space="0" w:color="auto"/>
            <w:right w:val="none" w:sz="0" w:space="0" w:color="auto"/>
          </w:divBdr>
        </w:div>
        <w:div w:id="797338957">
          <w:marLeft w:val="547"/>
          <w:marRight w:val="0"/>
          <w:marTop w:val="67"/>
          <w:marBottom w:val="120"/>
          <w:divBdr>
            <w:top w:val="none" w:sz="0" w:space="0" w:color="auto"/>
            <w:left w:val="none" w:sz="0" w:space="0" w:color="auto"/>
            <w:bottom w:val="none" w:sz="0" w:space="0" w:color="auto"/>
            <w:right w:val="none" w:sz="0" w:space="0" w:color="auto"/>
          </w:divBdr>
        </w:div>
      </w:divsChild>
    </w:div>
    <w:div w:id="1600219324">
      <w:bodyDiv w:val="1"/>
      <w:marLeft w:val="0"/>
      <w:marRight w:val="0"/>
      <w:marTop w:val="0"/>
      <w:marBottom w:val="0"/>
      <w:divBdr>
        <w:top w:val="none" w:sz="0" w:space="0" w:color="auto"/>
        <w:left w:val="none" w:sz="0" w:space="0" w:color="auto"/>
        <w:bottom w:val="none" w:sz="0" w:space="0" w:color="auto"/>
        <w:right w:val="none" w:sz="0" w:space="0" w:color="auto"/>
      </w:divBdr>
    </w:div>
    <w:div w:id="1678539919">
      <w:bodyDiv w:val="1"/>
      <w:marLeft w:val="0"/>
      <w:marRight w:val="0"/>
      <w:marTop w:val="0"/>
      <w:marBottom w:val="0"/>
      <w:divBdr>
        <w:top w:val="none" w:sz="0" w:space="0" w:color="auto"/>
        <w:left w:val="none" w:sz="0" w:space="0" w:color="auto"/>
        <w:bottom w:val="none" w:sz="0" w:space="0" w:color="auto"/>
        <w:right w:val="none" w:sz="0" w:space="0" w:color="auto"/>
      </w:divBdr>
    </w:div>
    <w:div w:id="1682315078">
      <w:bodyDiv w:val="1"/>
      <w:marLeft w:val="0"/>
      <w:marRight w:val="0"/>
      <w:marTop w:val="0"/>
      <w:marBottom w:val="0"/>
      <w:divBdr>
        <w:top w:val="none" w:sz="0" w:space="0" w:color="auto"/>
        <w:left w:val="none" w:sz="0" w:space="0" w:color="auto"/>
        <w:bottom w:val="none" w:sz="0" w:space="0" w:color="auto"/>
        <w:right w:val="none" w:sz="0" w:space="0" w:color="auto"/>
      </w:divBdr>
    </w:div>
    <w:div w:id="1689408416">
      <w:bodyDiv w:val="1"/>
      <w:marLeft w:val="0"/>
      <w:marRight w:val="0"/>
      <w:marTop w:val="0"/>
      <w:marBottom w:val="0"/>
      <w:divBdr>
        <w:top w:val="none" w:sz="0" w:space="0" w:color="auto"/>
        <w:left w:val="none" w:sz="0" w:space="0" w:color="auto"/>
        <w:bottom w:val="none" w:sz="0" w:space="0" w:color="auto"/>
        <w:right w:val="none" w:sz="0" w:space="0" w:color="auto"/>
      </w:divBdr>
    </w:div>
    <w:div w:id="1690137591">
      <w:bodyDiv w:val="1"/>
      <w:marLeft w:val="0"/>
      <w:marRight w:val="0"/>
      <w:marTop w:val="0"/>
      <w:marBottom w:val="0"/>
      <w:divBdr>
        <w:top w:val="none" w:sz="0" w:space="0" w:color="auto"/>
        <w:left w:val="none" w:sz="0" w:space="0" w:color="auto"/>
        <w:bottom w:val="none" w:sz="0" w:space="0" w:color="auto"/>
        <w:right w:val="none" w:sz="0" w:space="0" w:color="auto"/>
      </w:divBdr>
    </w:div>
    <w:div w:id="1727485503">
      <w:bodyDiv w:val="1"/>
      <w:marLeft w:val="0"/>
      <w:marRight w:val="0"/>
      <w:marTop w:val="0"/>
      <w:marBottom w:val="0"/>
      <w:divBdr>
        <w:top w:val="none" w:sz="0" w:space="0" w:color="auto"/>
        <w:left w:val="none" w:sz="0" w:space="0" w:color="auto"/>
        <w:bottom w:val="none" w:sz="0" w:space="0" w:color="auto"/>
        <w:right w:val="none" w:sz="0" w:space="0" w:color="auto"/>
      </w:divBdr>
    </w:div>
    <w:div w:id="1755662136">
      <w:bodyDiv w:val="1"/>
      <w:marLeft w:val="0"/>
      <w:marRight w:val="0"/>
      <w:marTop w:val="0"/>
      <w:marBottom w:val="0"/>
      <w:divBdr>
        <w:top w:val="none" w:sz="0" w:space="0" w:color="auto"/>
        <w:left w:val="none" w:sz="0" w:space="0" w:color="auto"/>
        <w:bottom w:val="none" w:sz="0" w:space="0" w:color="auto"/>
        <w:right w:val="none" w:sz="0" w:space="0" w:color="auto"/>
      </w:divBdr>
    </w:div>
    <w:div w:id="1775591693">
      <w:bodyDiv w:val="1"/>
      <w:marLeft w:val="0"/>
      <w:marRight w:val="0"/>
      <w:marTop w:val="0"/>
      <w:marBottom w:val="0"/>
      <w:divBdr>
        <w:top w:val="none" w:sz="0" w:space="0" w:color="auto"/>
        <w:left w:val="none" w:sz="0" w:space="0" w:color="auto"/>
        <w:bottom w:val="none" w:sz="0" w:space="0" w:color="auto"/>
        <w:right w:val="none" w:sz="0" w:space="0" w:color="auto"/>
      </w:divBdr>
      <w:divsChild>
        <w:div w:id="940451655">
          <w:marLeft w:val="547"/>
          <w:marRight w:val="0"/>
          <w:marTop w:val="77"/>
          <w:marBottom w:val="120"/>
          <w:divBdr>
            <w:top w:val="none" w:sz="0" w:space="0" w:color="auto"/>
            <w:left w:val="none" w:sz="0" w:space="0" w:color="auto"/>
            <w:bottom w:val="none" w:sz="0" w:space="0" w:color="auto"/>
            <w:right w:val="none" w:sz="0" w:space="0" w:color="auto"/>
          </w:divBdr>
        </w:div>
      </w:divsChild>
    </w:div>
    <w:div w:id="1803158838">
      <w:bodyDiv w:val="1"/>
      <w:marLeft w:val="0"/>
      <w:marRight w:val="0"/>
      <w:marTop w:val="0"/>
      <w:marBottom w:val="0"/>
      <w:divBdr>
        <w:top w:val="none" w:sz="0" w:space="0" w:color="auto"/>
        <w:left w:val="none" w:sz="0" w:space="0" w:color="auto"/>
        <w:bottom w:val="none" w:sz="0" w:space="0" w:color="auto"/>
        <w:right w:val="none" w:sz="0" w:space="0" w:color="auto"/>
      </w:divBdr>
      <w:divsChild>
        <w:div w:id="1003974358">
          <w:marLeft w:val="547"/>
          <w:marRight w:val="0"/>
          <w:marTop w:val="67"/>
          <w:marBottom w:val="120"/>
          <w:divBdr>
            <w:top w:val="none" w:sz="0" w:space="0" w:color="auto"/>
            <w:left w:val="none" w:sz="0" w:space="0" w:color="auto"/>
            <w:bottom w:val="none" w:sz="0" w:space="0" w:color="auto"/>
            <w:right w:val="none" w:sz="0" w:space="0" w:color="auto"/>
          </w:divBdr>
        </w:div>
        <w:div w:id="1846048742">
          <w:marLeft w:val="547"/>
          <w:marRight w:val="0"/>
          <w:marTop w:val="67"/>
          <w:marBottom w:val="120"/>
          <w:divBdr>
            <w:top w:val="none" w:sz="0" w:space="0" w:color="auto"/>
            <w:left w:val="none" w:sz="0" w:space="0" w:color="auto"/>
            <w:bottom w:val="none" w:sz="0" w:space="0" w:color="auto"/>
            <w:right w:val="none" w:sz="0" w:space="0" w:color="auto"/>
          </w:divBdr>
        </w:div>
        <w:div w:id="1596985491">
          <w:marLeft w:val="547"/>
          <w:marRight w:val="0"/>
          <w:marTop w:val="67"/>
          <w:marBottom w:val="120"/>
          <w:divBdr>
            <w:top w:val="none" w:sz="0" w:space="0" w:color="auto"/>
            <w:left w:val="none" w:sz="0" w:space="0" w:color="auto"/>
            <w:bottom w:val="none" w:sz="0" w:space="0" w:color="auto"/>
            <w:right w:val="none" w:sz="0" w:space="0" w:color="auto"/>
          </w:divBdr>
        </w:div>
        <w:div w:id="1200826046">
          <w:marLeft w:val="547"/>
          <w:marRight w:val="0"/>
          <w:marTop w:val="67"/>
          <w:marBottom w:val="120"/>
          <w:divBdr>
            <w:top w:val="none" w:sz="0" w:space="0" w:color="auto"/>
            <w:left w:val="none" w:sz="0" w:space="0" w:color="auto"/>
            <w:bottom w:val="none" w:sz="0" w:space="0" w:color="auto"/>
            <w:right w:val="none" w:sz="0" w:space="0" w:color="auto"/>
          </w:divBdr>
        </w:div>
      </w:divsChild>
    </w:div>
    <w:div w:id="1834174547">
      <w:bodyDiv w:val="1"/>
      <w:marLeft w:val="0"/>
      <w:marRight w:val="0"/>
      <w:marTop w:val="0"/>
      <w:marBottom w:val="0"/>
      <w:divBdr>
        <w:top w:val="none" w:sz="0" w:space="0" w:color="auto"/>
        <w:left w:val="none" w:sz="0" w:space="0" w:color="auto"/>
        <w:bottom w:val="none" w:sz="0" w:space="0" w:color="auto"/>
        <w:right w:val="none" w:sz="0" w:space="0" w:color="auto"/>
      </w:divBdr>
    </w:div>
    <w:div w:id="1935556202">
      <w:bodyDiv w:val="1"/>
      <w:marLeft w:val="0"/>
      <w:marRight w:val="0"/>
      <w:marTop w:val="0"/>
      <w:marBottom w:val="0"/>
      <w:divBdr>
        <w:top w:val="none" w:sz="0" w:space="0" w:color="auto"/>
        <w:left w:val="none" w:sz="0" w:space="0" w:color="auto"/>
        <w:bottom w:val="none" w:sz="0" w:space="0" w:color="auto"/>
        <w:right w:val="none" w:sz="0" w:space="0" w:color="auto"/>
      </w:divBdr>
    </w:div>
    <w:div w:id="1953130972">
      <w:bodyDiv w:val="1"/>
      <w:marLeft w:val="0"/>
      <w:marRight w:val="0"/>
      <w:marTop w:val="0"/>
      <w:marBottom w:val="0"/>
      <w:divBdr>
        <w:top w:val="none" w:sz="0" w:space="0" w:color="auto"/>
        <w:left w:val="none" w:sz="0" w:space="0" w:color="auto"/>
        <w:bottom w:val="none" w:sz="0" w:space="0" w:color="auto"/>
        <w:right w:val="none" w:sz="0" w:space="0" w:color="auto"/>
      </w:divBdr>
    </w:div>
    <w:div w:id="1966501346">
      <w:bodyDiv w:val="1"/>
      <w:marLeft w:val="0"/>
      <w:marRight w:val="0"/>
      <w:marTop w:val="0"/>
      <w:marBottom w:val="0"/>
      <w:divBdr>
        <w:top w:val="none" w:sz="0" w:space="0" w:color="auto"/>
        <w:left w:val="none" w:sz="0" w:space="0" w:color="auto"/>
        <w:bottom w:val="none" w:sz="0" w:space="0" w:color="auto"/>
        <w:right w:val="none" w:sz="0" w:space="0" w:color="auto"/>
      </w:divBdr>
    </w:div>
    <w:div w:id="1993950749">
      <w:bodyDiv w:val="1"/>
      <w:marLeft w:val="0"/>
      <w:marRight w:val="0"/>
      <w:marTop w:val="0"/>
      <w:marBottom w:val="0"/>
      <w:divBdr>
        <w:top w:val="none" w:sz="0" w:space="0" w:color="auto"/>
        <w:left w:val="none" w:sz="0" w:space="0" w:color="auto"/>
        <w:bottom w:val="none" w:sz="0" w:space="0" w:color="auto"/>
        <w:right w:val="none" w:sz="0" w:space="0" w:color="auto"/>
      </w:divBdr>
    </w:div>
    <w:div w:id="2021589916">
      <w:bodyDiv w:val="1"/>
      <w:marLeft w:val="0"/>
      <w:marRight w:val="0"/>
      <w:marTop w:val="0"/>
      <w:marBottom w:val="0"/>
      <w:divBdr>
        <w:top w:val="none" w:sz="0" w:space="0" w:color="auto"/>
        <w:left w:val="none" w:sz="0" w:space="0" w:color="auto"/>
        <w:bottom w:val="none" w:sz="0" w:space="0" w:color="auto"/>
        <w:right w:val="none" w:sz="0" w:space="0" w:color="auto"/>
      </w:divBdr>
    </w:div>
    <w:div w:id="2063601799">
      <w:bodyDiv w:val="1"/>
      <w:marLeft w:val="0"/>
      <w:marRight w:val="0"/>
      <w:marTop w:val="0"/>
      <w:marBottom w:val="0"/>
      <w:divBdr>
        <w:top w:val="none" w:sz="0" w:space="0" w:color="auto"/>
        <w:left w:val="none" w:sz="0" w:space="0" w:color="auto"/>
        <w:bottom w:val="none" w:sz="0" w:space="0" w:color="auto"/>
        <w:right w:val="none" w:sz="0" w:space="0" w:color="auto"/>
      </w:divBdr>
    </w:div>
    <w:div w:id="2073039357">
      <w:bodyDiv w:val="1"/>
      <w:marLeft w:val="0"/>
      <w:marRight w:val="0"/>
      <w:marTop w:val="0"/>
      <w:marBottom w:val="0"/>
      <w:divBdr>
        <w:top w:val="none" w:sz="0" w:space="0" w:color="auto"/>
        <w:left w:val="none" w:sz="0" w:space="0" w:color="auto"/>
        <w:bottom w:val="none" w:sz="0" w:space="0" w:color="auto"/>
        <w:right w:val="none" w:sz="0" w:space="0" w:color="auto"/>
      </w:divBdr>
    </w:div>
    <w:div w:id="2074502457">
      <w:bodyDiv w:val="1"/>
      <w:marLeft w:val="0"/>
      <w:marRight w:val="0"/>
      <w:marTop w:val="0"/>
      <w:marBottom w:val="0"/>
      <w:divBdr>
        <w:top w:val="none" w:sz="0" w:space="0" w:color="auto"/>
        <w:left w:val="none" w:sz="0" w:space="0" w:color="auto"/>
        <w:bottom w:val="none" w:sz="0" w:space="0" w:color="auto"/>
        <w:right w:val="none" w:sz="0" w:space="0" w:color="auto"/>
      </w:divBdr>
    </w:div>
    <w:div w:id="2122608235">
      <w:bodyDiv w:val="1"/>
      <w:marLeft w:val="0"/>
      <w:marRight w:val="0"/>
      <w:marTop w:val="0"/>
      <w:marBottom w:val="0"/>
      <w:divBdr>
        <w:top w:val="none" w:sz="0" w:space="0" w:color="auto"/>
        <w:left w:val="none" w:sz="0" w:space="0" w:color="auto"/>
        <w:bottom w:val="none" w:sz="0" w:space="0" w:color="auto"/>
        <w:right w:val="none" w:sz="0" w:space="0" w:color="auto"/>
      </w:divBdr>
    </w:div>
    <w:div w:id="2133936484">
      <w:bodyDiv w:val="1"/>
      <w:marLeft w:val="0"/>
      <w:marRight w:val="0"/>
      <w:marTop w:val="0"/>
      <w:marBottom w:val="0"/>
      <w:divBdr>
        <w:top w:val="none" w:sz="0" w:space="0" w:color="auto"/>
        <w:left w:val="none" w:sz="0" w:space="0" w:color="auto"/>
        <w:bottom w:val="none" w:sz="0" w:space="0" w:color="auto"/>
        <w:right w:val="none" w:sz="0" w:space="0" w:color="auto"/>
      </w:divBdr>
    </w:div>
    <w:div w:id="2137942855">
      <w:bodyDiv w:val="1"/>
      <w:marLeft w:val="0"/>
      <w:marRight w:val="0"/>
      <w:marTop w:val="0"/>
      <w:marBottom w:val="0"/>
      <w:divBdr>
        <w:top w:val="none" w:sz="0" w:space="0" w:color="auto"/>
        <w:left w:val="none" w:sz="0" w:space="0" w:color="auto"/>
        <w:bottom w:val="none" w:sz="0" w:space="0" w:color="auto"/>
        <w:right w:val="none" w:sz="0" w:space="0" w:color="auto"/>
      </w:divBdr>
    </w:div>
    <w:div w:id="2143494824">
      <w:bodyDiv w:val="1"/>
      <w:marLeft w:val="0"/>
      <w:marRight w:val="0"/>
      <w:marTop w:val="0"/>
      <w:marBottom w:val="0"/>
      <w:divBdr>
        <w:top w:val="none" w:sz="0" w:space="0" w:color="auto"/>
        <w:left w:val="none" w:sz="0" w:space="0" w:color="auto"/>
        <w:bottom w:val="none" w:sz="0" w:space="0" w:color="auto"/>
        <w:right w:val="none" w:sz="0" w:space="0" w:color="auto"/>
      </w:divBdr>
    </w:div>
    <w:div w:id="2145854539">
      <w:bodyDiv w:val="1"/>
      <w:marLeft w:val="0"/>
      <w:marRight w:val="0"/>
      <w:marTop w:val="0"/>
      <w:marBottom w:val="0"/>
      <w:divBdr>
        <w:top w:val="none" w:sz="0" w:space="0" w:color="auto"/>
        <w:left w:val="none" w:sz="0" w:space="0" w:color="auto"/>
        <w:bottom w:val="none" w:sz="0" w:space="0" w:color="auto"/>
        <w:right w:val="none" w:sz="0" w:space="0" w:color="auto"/>
      </w:divBdr>
      <w:divsChild>
        <w:div w:id="69474760">
          <w:marLeft w:val="446"/>
          <w:marRight w:val="0"/>
          <w:marTop w:val="101"/>
          <w:marBottom w:val="60"/>
          <w:divBdr>
            <w:top w:val="none" w:sz="0" w:space="0" w:color="auto"/>
            <w:left w:val="none" w:sz="0" w:space="0" w:color="auto"/>
            <w:bottom w:val="none" w:sz="0" w:space="0" w:color="auto"/>
            <w:right w:val="none" w:sz="0" w:space="0" w:color="auto"/>
          </w:divBdr>
        </w:div>
        <w:div w:id="1415124743">
          <w:marLeft w:val="994"/>
          <w:marRight w:val="0"/>
          <w:marTop w:val="86"/>
          <w:marBottom w:val="120"/>
          <w:divBdr>
            <w:top w:val="none" w:sz="0" w:space="0" w:color="auto"/>
            <w:left w:val="none" w:sz="0" w:space="0" w:color="auto"/>
            <w:bottom w:val="none" w:sz="0" w:space="0" w:color="auto"/>
            <w:right w:val="none" w:sz="0" w:space="0" w:color="auto"/>
          </w:divBdr>
        </w:div>
        <w:div w:id="1351838686">
          <w:marLeft w:val="446"/>
          <w:marRight w:val="0"/>
          <w:marTop w:val="101"/>
          <w:marBottom w:val="60"/>
          <w:divBdr>
            <w:top w:val="none" w:sz="0" w:space="0" w:color="auto"/>
            <w:left w:val="none" w:sz="0" w:space="0" w:color="auto"/>
            <w:bottom w:val="none" w:sz="0" w:space="0" w:color="auto"/>
            <w:right w:val="none" w:sz="0" w:space="0" w:color="auto"/>
          </w:divBdr>
        </w:div>
        <w:div w:id="353773629">
          <w:marLeft w:val="994"/>
          <w:marRight w:val="0"/>
          <w:marTop w:val="86"/>
          <w:marBottom w:val="120"/>
          <w:divBdr>
            <w:top w:val="none" w:sz="0" w:space="0" w:color="auto"/>
            <w:left w:val="none" w:sz="0" w:space="0" w:color="auto"/>
            <w:bottom w:val="none" w:sz="0" w:space="0" w:color="auto"/>
            <w:right w:val="none" w:sz="0" w:space="0" w:color="auto"/>
          </w:divBdr>
        </w:div>
        <w:div w:id="1311595531">
          <w:marLeft w:val="446"/>
          <w:marRight w:val="0"/>
          <w:marTop w:val="101"/>
          <w:marBottom w:val="120"/>
          <w:divBdr>
            <w:top w:val="none" w:sz="0" w:space="0" w:color="auto"/>
            <w:left w:val="none" w:sz="0" w:space="0" w:color="auto"/>
            <w:bottom w:val="none" w:sz="0" w:space="0" w:color="auto"/>
            <w:right w:val="none" w:sz="0" w:space="0" w:color="auto"/>
          </w:divBdr>
        </w:div>
        <w:div w:id="516192649">
          <w:marLeft w:val="446"/>
          <w:marRight w:val="0"/>
          <w:marTop w:val="101"/>
          <w:marBottom w:val="120"/>
          <w:divBdr>
            <w:top w:val="none" w:sz="0" w:space="0" w:color="auto"/>
            <w:left w:val="none" w:sz="0" w:space="0" w:color="auto"/>
            <w:bottom w:val="none" w:sz="0" w:space="0" w:color="auto"/>
            <w:right w:val="none" w:sz="0" w:space="0" w:color="auto"/>
          </w:divBdr>
        </w:div>
        <w:div w:id="2030989103">
          <w:marLeft w:val="446"/>
          <w:marRight w:val="0"/>
          <w:marTop w:val="101"/>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9B023-022C-4C7B-98CD-FFE3FB36E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1989</Words>
  <Characters>11339</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Seidel, Karolin</cp:lastModifiedBy>
  <cp:revision>6</cp:revision>
  <cp:lastPrinted>2021-09-20T06:23:00Z</cp:lastPrinted>
  <dcterms:created xsi:type="dcterms:W3CDTF">2022-03-08T10:20:00Z</dcterms:created>
  <dcterms:modified xsi:type="dcterms:W3CDTF">2022-03-08T11:19:00Z</dcterms:modified>
</cp:coreProperties>
</file>