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1E6" w:rsidRPr="00470F68" w:rsidRDefault="00726B08" w:rsidP="00FB61E6">
      <w:pPr>
        <w:jc w:val="both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  <w:r>
        <w:rPr>
          <w:rFonts w:ascii="Times New Roman" w:hAnsi="Times New Roman"/>
          <w:b/>
          <w:bCs/>
          <w:color w:val="000000" w:themeColor="text1"/>
          <w:sz w:val="18"/>
          <w:szCs w:val="18"/>
        </w:rPr>
        <w:t>Additional file 2</w:t>
      </w:r>
      <w:r w:rsidR="00FB61E6" w:rsidRPr="00470F68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. </w:t>
      </w:r>
      <w:r w:rsidR="00FB61E6">
        <w:rPr>
          <w:rFonts w:ascii="Times New Roman" w:hAnsi="Times New Roman"/>
          <w:b/>
          <w:bCs/>
          <w:color w:val="000000" w:themeColor="text1"/>
          <w:sz w:val="18"/>
          <w:szCs w:val="18"/>
        </w:rPr>
        <w:t xml:space="preserve">Features </w:t>
      </w:r>
      <w:r w:rsidR="00FB61E6">
        <w:rPr>
          <w:rFonts w:ascii="Times New Roman" w:hAnsi="Times New Roman" w:hint="eastAsia"/>
          <w:b/>
          <w:bCs/>
          <w:color w:val="000000" w:themeColor="text1"/>
          <w:sz w:val="18"/>
          <w:szCs w:val="18"/>
        </w:rPr>
        <w:t xml:space="preserve">of </w:t>
      </w:r>
      <w:r w:rsidR="00FB61E6">
        <w:rPr>
          <w:rFonts w:ascii="Times New Roman" w:hAnsi="Times New Roman"/>
          <w:b/>
          <w:bCs/>
          <w:color w:val="000000" w:themeColor="text1"/>
          <w:sz w:val="18"/>
          <w:szCs w:val="18"/>
        </w:rPr>
        <w:t>D</w:t>
      </w:r>
      <w:r w:rsidR="00FB61E6" w:rsidRPr="00470F68">
        <w:rPr>
          <w:rFonts w:ascii="Times New Roman" w:hAnsi="Times New Roman"/>
          <w:b/>
          <w:bCs/>
          <w:color w:val="000000" w:themeColor="text1"/>
          <w:sz w:val="18"/>
          <w:szCs w:val="18"/>
        </w:rPr>
        <w:t>ifferent TA</w:t>
      </w:r>
      <w:r w:rsidR="00FB61E6" w:rsidRPr="00470F68">
        <w:rPr>
          <w:rFonts w:ascii="Times New Roman" w:hAnsi="Times New Roman" w:hint="eastAsia"/>
          <w:b/>
          <w:bCs/>
          <w:color w:val="000000" w:themeColor="text1"/>
          <w:sz w:val="18"/>
          <w:szCs w:val="18"/>
        </w:rPr>
        <w:t>s</w:t>
      </w:r>
    </w:p>
    <w:tbl>
      <w:tblPr>
        <w:tblStyle w:val="a3"/>
        <w:tblW w:w="88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0"/>
        <w:gridCol w:w="990"/>
        <w:gridCol w:w="1170"/>
        <w:gridCol w:w="1260"/>
        <w:gridCol w:w="990"/>
        <w:gridCol w:w="990"/>
        <w:gridCol w:w="983"/>
        <w:gridCol w:w="1177"/>
        <w:gridCol w:w="1015"/>
      </w:tblGrid>
      <w:tr w:rsidR="00FB61E6" w:rsidRPr="00DC2DF4" w:rsidTr="00224813">
        <w:trPr>
          <w:trHeight w:val="272"/>
        </w:trPr>
        <w:tc>
          <w:tcPr>
            <w:tcW w:w="2430" w:type="dxa"/>
            <w:gridSpan w:val="3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Thrombolytic agents</w:t>
            </w:r>
          </w:p>
        </w:tc>
        <w:tc>
          <w:tcPr>
            <w:tcW w:w="1260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Streptokinase</w:t>
            </w:r>
          </w:p>
        </w:tc>
        <w:tc>
          <w:tcPr>
            <w:tcW w:w="990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Urokinase</w:t>
            </w:r>
          </w:p>
        </w:tc>
        <w:tc>
          <w:tcPr>
            <w:tcW w:w="990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Alteplase</w:t>
            </w:r>
          </w:p>
        </w:tc>
        <w:tc>
          <w:tcPr>
            <w:tcW w:w="983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Saruplase</w:t>
            </w:r>
            <w:proofErr w:type="spellEnd"/>
          </w:p>
        </w:tc>
        <w:tc>
          <w:tcPr>
            <w:tcW w:w="1177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Tenecteplase</w:t>
            </w:r>
          </w:p>
        </w:tc>
        <w:tc>
          <w:tcPr>
            <w:tcW w:w="1015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Reteplase</w:t>
            </w:r>
            <w:proofErr w:type="spellEnd"/>
          </w:p>
        </w:tc>
      </w:tr>
      <w:tr w:rsidR="00FB61E6" w:rsidRPr="00DC2DF4" w:rsidTr="00224813">
        <w:trPr>
          <w:trHeight w:val="272"/>
        </w:trPr>
        <w:tc>
          <w:tcPr>
            <w:tcW w:w="2430" w:type="dxa"/>
            <w:gridSpan w:val="3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Abbreviation</w:t>
            </w:r>
          </w:p>
        </w:tc>
        <w:tc>
          <w:tcPr>
            <w:tcW w:w="1260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SK</w:t>
            </w:r>
          </w:p>
        </w:tc>
        <w:tc>
          <w:tcPr>
            <w:tcW w:w="990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UK</w:t>
            </w:r>
          </w:p>
        </w:tc>
        <w:tc>
          <w:tcPr>
            <w:tcW w:w="990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rt-PA</w:t>
            </w:r>
          </w:p>
        </w:tc>
        <w:tc>
          <w:tcPr>
            <w:tcW w:w="983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scu</w:t>
            </w:r>
            <w:proofErr w:type="spellEnd"/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-PA</w:t>
            </w:r>
          </w:p>
        </w:tc>
        <w:tc>
          <w:tcPr>
            <w:tcW w:w="1177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TNK-tPA</w:t>
            </w:r>
          </w:p>
        </w:tc>
        <w:tc>
          <w:tcPr>
            <w:tcW w:w="1015" w:type="dxa"/>
            <w:shd w:val="clear" w:color="auto" w:fill="auto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r-PA</w:t>
            </w:r>
          </w:p>
        </w:tc>
      </w:tr>
      <w:tr w:rsidR="00FB61E6" w:rsidRPr="00DC2DF4" w:rsidTr="00224813">
        <w:trPr>
          <w:trHeight w:val="280"/>
        </w:trPr>
        <w:tc>
          <w:tcPr>
            <w:tcW w:w="2430" w:type="dxa"/>
            <w:gridSpan w:val="3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Indication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AMI, PE, DVT, PAO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AMI, PE, PAO, PVT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AMI, AIS, PE, PAO, PVT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AMI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AMI, PE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AMI</w:t>
            </w:r>
          </w:p>
        </w:tc>
      </w:tr>
      <w:tr w:rsidR="00FB61E6" w:rsidRPr="00DC2DF4" w:rsidTr="00224813">
        <w:trPr>
          <w:trHeight w:val="280"/>
        </w:trPr>
        <w:tc>
          <w:tcPr>
            <w:tcW w:w="2430" w:type="dxa"/>
            <w:gridSpan w:val="3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Source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2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β-hemolytic streptococcus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Human urine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DC2DF4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C2D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Bioengin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</w:t>
            </w:r>
            <w:r w:rsidRPr="00DC2D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ering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Human urine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Bioengineering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Bioengineering</w:t>
            </w:r>
          </w:p>
        </w:tc>
      </w:tr>
      <w:tr w:rsidR="00FB61E6" w:rsidRPr="00DC2DF4" w:rsidTr="00224813">
        <w:trPr>
          <w:trHeight w:val="280"/>
        </w:trPr>
        <w:tc>
          <w:tcPr>
            <w:tcW w:w="2430" w:type="dxa"/>
            <w:gridSpan w:val="3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Immunogenicity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FB61E6" w:rsidRPr="00DC2DF4" w:rsidTr="00224813">
        <w:trPr>
          <w:trHeight w:val="280"/>
        </w:trPr>
        <w:tc>
          <w:tcPr>
            <w:tcW w:w="2430" w:type="dxa"/>
            <w:gridSpan w:val="3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Fibrin-specificity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++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+++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+++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</w:tr>
      <w:tr w:rsidR="00FB61E6" w:rsidRPr="00DC2DF4" w:rsidTr="00224813">
        <w:trPr>
          <w:trHeight w:val="272"/>
        </w:trPr>
        <w:tc>
          <w:tcPr>
            <w:tcW w:w="2430" w:type="dxa"/>
            <w:gridSpan w:val="3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Half-life (min)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8-20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4-8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7-10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10-24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14-19</w:t>
            </w:r>
          </w:p>
        </w:tc>
      </w:tr>
      <w:tr w:rsidR="00FB61E6" w:rsidRPr="00DC2DF4" w:rsidTr="00224813">
        <w:trPr>
          <w:trHeight w:val="172"/>
        </w:trPr>
        <w:tc>
          <w:tcPr>
            <w:tcW w:w="270" w:type="dxa"/>
            <w:vMerge w:val="restart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AMI</w:t>
            </w:r>
          </w:p>
        </w:tc>
        <w:tc>
          <w:tcPr>
            <w:tcW w:w="2160" w:type="dxa"/>
            <w:gridSpan w:val="2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Dose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1.5MU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1.5MU+1.5MU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15mg+85mg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20mg+60mg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30-50mg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10MU+10MU</w:t>
            </w:r>
          </w:p>
        </w:tc>
      </w:tr>
      <w:tr w:rsidR="00FB61E6" w:rsidRPr="00DC2DF4" w:rsidTr="00224813">
        <w:trPr>
          <w:trHeight w:val="167"/>
        </w:trPr>
        <w:tc>
          <w:tcPr>
            <w:tcW w:w="270" w:type="dxa"/>
            <w:vMerge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Administration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 min infusion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Bolus+</w:t>
            </w:r>
          </w:p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 min infusion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Bolus+</w:t>
            </w:r>
          </w:p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 min infusion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Bolus+</w:t>
            </w:r>
          </w:p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 min infusion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Single bolus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Double bolus </w:t>
            </w:r>
          </w:p>
        </w:tc>
      </w:tr>
      <w:tr w:rsidR="00FB61E6" w:rsidRPr="00DC2DF4" w:rsidTr="00224813">
        <w:trPr>
          <w:trHeight w:val="348"/>
        </w:trPr>
        <w:tc>
          <w:tcPr>
            <w:tcW w:w="270" w:type="dxa"/>
            <w:vMerge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TIMI 3 flow rate at 90 min (%)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40-54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45-68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53-72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54-66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60-63</w:t>
            </w:r>
          </w:p>
        </w:tc>
      </w:tr>
      <w:tr w:rsidR="00DC2DF4" w:rsidRPr="00DC2DF4" w:rsidTr="00224813">
        <w:trPr>
          <w:trHeight w:val="72"/>
        </w:trPr>
        <w:tc>
          <w:tcPr>
            <w:tcW w:w="270" w:type="dxa"/>
            <w:vMerge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DC2DF4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Clinical </w:t>
            </w:r>
          </w:p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outcomes</w:t>
            </w:r>
          </w:p>
        </w:tc>
        <w:tc>
          <w:tcPr>
            <w:tcW w:w="1170" w:type="dxa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Reinfarction (%)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2.0-4.0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4.2-5.7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4.2-5.4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2.6-5.2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</w:t>
            </w:r>
          </w:p>
        </w:tc>
      </w:tr>
      <w:tr w:rsidR="00DC2DF4" w:rsidRPr="00DC2DF4" w:rsidTr="00224813">
        <w:trPr>
          <w:trHeight w:val="72"/>
        </w:trPr>
        <w:tc>
          <w:tcPr>
            <w:tcW w:w="270" w:type="dxa"/>
            <w:vMerge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Stroke (%)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1.0-1.3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2.0-3.0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0.8-1.9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0.5-1.4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1.0-3.8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1.2-1.6</w:t>
            </w:r>
          </w:p>
        </w:tc>
      </w:tr>
      <w:tr w:rsidR="00FB61E6" w:rsidRPr="00DC2DF4" w:rsidTr="00224813">
        <w:trPr>
          <w:trHeight w:val="72"/>
        </w:trPr>
        <w:tc>
          <w:tcPr>
            <w:tcW w:w="270" w:type="dxa"/>
            <w:vMerge w:val="restart"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AIS</w:t>
            </w:r>
          </w:p>
        </w:tc>
        <w:tc>
          <w:tcPr>
            <w:tcW w:w="2160" w:type="dxa"/>
            <w:gridSpan w:val="2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Dose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0.9mg/kg</w:t>
            </w:r>
          </w:p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10%+90%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FB61E6" w:rsidRPr="00DC2DF4" w:rsidTr="00224813">
        <w:trPr>
          <w:trHeight w:val="72"/>
        </w:trPr>
        <w:tc>
          <w:tcPr>
            <w:tcW w:w="270" w:type="dxa"/>
            <w:vMerge/>
            <w:vAlign w:val="center"/>
          </w:tcPr>
          <w:p w:rsidR="00FB61E6" w:rsidRPr="00224813" w:rsidRDefault="00FB61E6" w:rsidP="0029368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Administration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Bolus+</w:t>
            </w:r>
          </w:p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 min infusion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15" w:type="dxa"/>
            <w:shd w:val="clear" w:color="auto" w:fill="auto"/>
            <w:vAlign w:val="center"/>
          </w:tcPr>
          <w:p w:rsidR="00FB61E6" w:rsidRPr="00224813" w:rsidRDefault="00FB61E6" w:rsidP="0029368A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248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</w:tbl>
    <w:p w:rsidR="00FB61E6" w:rsidRPr="00224813" w:rsidRDefault="00FB61E6" w:rsidP="00FB61E6">
      <w:pPr>
        <w:spacing w:line="240" w:lineRule="exac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24813">
        <w:rPr>
          <w:rFonts w:ascii="Times New Roman" w:hAnsi="Times New Roman" w:cs="Times New Roman"/>
          <w:color w:val="000000" w:themeColor="text1"/>
          <w:sz w:val="18"/>
          <w:szCs w:val="18"/>
        </w:rPr>
        <w:t>AMI: acute myocardial infarction, PE: pulmonary embolism, DVT: deep venous thrombosis, PAO: peripheral arterial occlusion, PVT: prosthetic valve thrombosis, AIS: acute ischemic stroke.</w:t>
      </w:r>
    </w:p>
    <w:p w:rsidR="00021161" w:rsidRPr="00FB61E6" w:rsidRDefault="00000000"/>
    <w:sectPr w:rsidR="00021161" w:rsidRPr="00FB6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E6"/>
    <w:rsid w:val="00224813"/>
    <w:rsid w:val="00726B08"/>
    <w:rsid w:val="00896093"/>
    <w:rsid w:val="00DC2DF4"/>
    <w:rsid w:val="00FB61E6"/>
    <w:rsid w:val="00FF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A0AB3A-F784-46E9-A595-2F30A2FD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1E6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1E6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B61E6"/>
    <w:rPr>
      <w:color w:val="808080"/>
    </w:rPr>
  </w:style>
  <w:style w:type="paragraph" w:styleId="a5">
    <w:name w:val="Revision"/>
    <w:hidden/>
    <w:uiPriority w:val="99"/>
    <w:semiHidden/>
    <w:rsid w:val="00DC2DF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4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2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1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3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13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C856D3C-C174-4F2E-87A1-87FA15663911}">
  <we:reference id="wa104382081" version="1.55.1.0" store="zh-CN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american-medical-association&quot;,&quot;title&quot;:&quot;American Medical Association 11th edition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54438-0E57-47E9-AE4F-ACACEB59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 瑶</dc:creator>
  <cp:keywords/>
  <dc:description/>
  <cp:lastModifiedBy>江 瑶</cp:lastModifiedBy>
  <cp:revision>3</cp:revision>
  <dcterms:created xsi:type="dcterms:W3CDTF">2023-06-02T12:46:00Z</dcterms:created>
  <dcterms:modified xsi:type="dcterms:W3CDTF">2023-06-03T09:15:00Z</dcterms:modified>
</cp:coreProperties>
</file>