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A135F" w14:textId="77777777" w:rsidR="00217AB4" w:rsidRDefault="00217AB4" w:rsidP="00217AB4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SUPPLEMENTARY MATERIAL</w:t>
      </w:r>
    </w:p>
    <w:p w14:paraId="10F6049F" w14:textId="77777777" w:rsidR="00217AB4" w:rsidRDefault="00217AB4" w:rsidP="00217AB4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14:paraId="491C0AD3" w14:textId="31C5578A" w:rsidR="00217AB4" w:rsidRDefault="00217AB4" w:rsidP="00217AB4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Supplementary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Table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1. Indications for warfarin therapy and associated INR values</w:t>
      </w:r>
    </w:p>
    <w:p w14:paraId="53D809EE" w14:textId="77777777" w:rsidR="00217AB4" w:rsidRDefault="00217AB4" w:rsidP="00217AB4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tbl>
      <w:tblPr>
        <w:tblW w:w="90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47"/>
        <w:gridCol w:w="2288"/>
        <w:gridCol w:w="2395"/>
      </w:tblGrid>
      <w:tr w:rsidR="00217AB4" w14:paraId="2C50B505" w14:textId="77777777" w:rsidTr="00217AB4">
        <w:trPr>
          <w:trHeight w:val="315"/>
        </w:trPr>
        <w:tc>
          <w:tcPr>
            <w:tcW w:w="4345" w:type="dxa"/>
            <w:tcBorders>
              <w:top w:val="single" w:sz="6" w:space="0" w:color="FFFFFF"/>
              <w:left w:val="single" w:sz="6" w:space="0" w:color="FFFFFF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201E207" w14:textId="77777777" w:rsidR="00217AB4" w:rsidRDefault="00217AB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"/>
              </w:rPr>
              <w:t>Indication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"/>
              </w:rPr>
              <w:t>for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"/>
              </w:rPr>
              <w:t>warfarin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"/>
              </w:rPr>
              <w:t>therapy</w:t>
            </w:r>
            <w:proofErr w:type="spellEnd"/>
          </w:p>
        </w:tc>
        <w:tc>
          <w:tcPr>
            <w:tcW w:w="2286" w:type="dxa"/>
            <w:tcBorders>
              <w:top w:val="single" w:sz="6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D48F5F8" w14:textId="77777777" w:rsidR="00217AB4" w:rsidRDefault="00217AB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"/>
              </w:rPr>
              <w:t>n (%)</w:t>
            </w:r>
          </w:p>
        </w:tc>
        <w:tc>
          <w:tcPr>
            <w:tcW w:w="2393" w:type="dxa"/>
            <w:tcBorders>
              <w:top w:val="single" w:sz="6" w:space="0" w:color="FFFFFF"/>
              <w:left w:val="single" w:sz="4" w:space="0" w:color="auto"/>
              <w:bottom w:val="single" w:sz="4" w:space="0" w:color="auto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310F340" w14:textId="77777777" w:rsidR="00217AB4" w:rsidRDefault="00217AB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"/>
              </w:rPr>
              <w:t>Median INR (IQR)</w:t>
            </w:r>
          </w:p>
        </w:tc>
      </w:tr>
      <w:tr w:rsidR="00217AB4" w14:paraId="6EE95C58" w14:textId="77777777" w:rsidTr="00217AB4">
        <w:trPr>
          <w:trHeight w:val="315"/>
        </w:trPr>
        <w:tc>
          <w:tcPr>
            <w:tcW w:w="43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F3D4155" w14:textId="77777777" w:rsidR="00217AB4" w:rsidRDefault="00217AB4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Mechanical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valve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replacement</w:t>
            </w:r>
            <w:proofErr w:type="spellEnd"/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C001C6A" w14:textId="77777777" w:rsidR="00217AB4" w:rsidRDefault="00217AB4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B4EF3BD" w14:textId="77777777" w:rsidR="00217AB4" w:rsidRDefault="00217AB4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</w:p>
        </w:tc>
      </w:tr>
      <w:tr w:rsidR="00217AB4" w14:paraId="38868F12" w14:textId="77777777" w:rsidTr="00217AB4">
        <w:trPr>
          <w:trHeight w:val="315"/>
        </w:trPr>
        <w:tc>
          <w:tcPr>
            <w:tcW w:w="434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9888F23" w14:textId="77777777" w:rsidR="00217AB4" w:rsidRDefault="00217AB4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 xml:space="preserve">   Mitral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prosthesis</w:t>
            </w:r>
            <w:proofErr w:type="spellEnd"/>
          </w:p>
        </w:tc>
        <w:tc>
          <w:tcPr>
            <w:tcW w:w="22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6E7EC3C" w14:textId="77777777" w:rsidR="00217AB4" w:rsidRDefault="00217AB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33 (13.5)</w:t>
            </w:r>
          </w:p>
        </w:tc>
        <w:tc>
          <w:tcPr>
            <w:tcW w:w="2393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A5E8E52" w14:textId="77777777" w:rsidR="00217AB4" w:rsidRDefault="00217AB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2.56 (IQR: 1.95–3.30)</w:t>
            </w:r>
          </w:p>
        </w:tc>
      </w:tr>
      <w:tr w:rsidR="00217AB4" w14:paraId="62C3C88C" w14:textId="77777777" w:rsidTr="00217AB4">
        <w:trPr>
          <w:trHeight w:val="315"/>
        </w:trPr>
        <w:tc>
          <w:tcPr>
            <w:tcW w:w="434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D2B709F" w14:textId="77777777" w:rsidR="00217AB4" w:rsidRDefault="00217AB4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 xml:space="preserve">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Aortic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prosthesis</w:t>
            </w:r>
            <w:proofErr w:type="spellEnd"/>
          </w:p>
        </w:tc>
        <w:tc>
          <w:tcPr>
            <w:tcW w:w="22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68C3764" w14:textId="77777777" w:rsidR="00217AB4" w:rsidRDefault="00217AB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70 (28.6)</w:t>
            </w:r>
          </w:p>
        </w:tc>
        <w:tc>
          <w:tcPr>
            <w:tcW w:w="2393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C35B092" w14:textId="77777777" w:rsidR="00217AB4" w:rsidRDefault="00217AB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2.30 (IQR: 2.00–2.75)</w:t>
            </w:r>
          </w:p>
        </w:tc>
      </w:tr>
      <w:tr w:rsidR="00217AB4" w14:paraId="248CCDB7" w14:textId="77777777" w:rsidTr="00217AB4">
        <w:trPr>
          <w:trHeight w:val="315"/>
        </w:trPr>
        <w:tc>
          <w:tcPr>
            <w:tcW w:w="434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BF19847" w14:textId="77777777" w:rsidR="00217AB4" w:rsidRDefault="00217AB4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 xml:space="preserve">   Mitral and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aortic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prostheses</w:t>
            </w:r>
            <w:proofErr w:type="spellEnd"/>
          </w:p>
        </w:tc>
        <w:tc>
          <w:tcPr>
            <w:tcW w:w="22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E6B811B" w14:textId="77777777" w:rsidR="00217AB4" w:rsidRDefault="00217AB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10 (4.1)</w:t>
            </w:r>
          </w:p>
        </w:tc>
        <w:tc>
          <w:tcPr>
            <w:tcW w:w="2393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D44D42F" w14:textId="77777777" w:rsidR="00217AB4" w:rsidRDefault="00217AB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2.79 (IQR: 2.31–3.79)</w:t>
            </w:r>
          </w:p>
        </w:tc>
      </w:tr>
      <w:tr w:rsidR="00217AB4" w14:paraId="454338CB" w14:textId="77777777" w:rsidTr="00217AB4">
        <w:trPr>
          <w:trHeight w:val="315"/>
        </w:trPr>
        <w:tc>
          <w:tcPr>
            <w:tcW w:w="434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8BCB9A0" w14:textId="77777777" w:rsidR="00217AB4" w:rsidRDefault="00217AB4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 xml:space="preserve">Valvular atrial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fibrillation</w:t>
            </w:r>
            <w:proofErr w:type="spellEnd"/>
          </w:p>
        </w:tc>
        <w:tc>
          <w:tcPr>
            <w:tcW w:w="22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B2A084B" w14:textId="77777777" w:rsidR="00217AB4" w:rsidRDefault="00217AB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7 (2.9)</w:t>
            </w:r>
          </w:p>
        </w:tc>
        <w:tc>
          <w:tcPr>
            <w:tcW w:w="2393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68CDE90" w14:textId="77777777" w:rsidR="00217AB4" w:rsidRDefault="00217AB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1.90 (IQR: 1.80–2.70)</w:t>
            </w:r>
          </w:p>
        </w:tc>
      </w:tr>
      <w:tr w:rsidR="00217AB4" w14:paraId="12CED6FB" w14:textId="77777777" w:rsidTr="00217AB4">
        <w:trPr>
          <w:trHeight w:val="315"/>
        </w:trPr>
        <w:tc>
          <w:tcPr>
            <w:tcW w:w="4345" w:type="dxa"/>
            <w:tcBorders>
              <w:top w:val="nil"/>
              <w:left w:val="single" w:sz="6" w:space="0" w:color="FFFFFF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EE68E9A" w14:textId="77777777" w:rsidR="00217AB4" w:rsidRDefault="00217AB4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Other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considerations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*</w:t>
            </w:r>
          </w:p>
        </w:tc>
        <w:tc>
          <w:tcPr>
            <w:tcW w:w="2286" w:type="dxa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DF96F08" w14:textId="77777777" w:rsidR="00217AB4" w:rsidRDefault="00217AB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125 (51.0)</w:t>
            </w:r>
          </w:p>
        </w:tc>
        <w:tc>
          <w:tcPr>
            <w:tcW w:w="2393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5254B83" w14:textId="77777777" w:rsidR="00217AB4" w:rsidRDefault="00217AB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2.20 (IQR: 1.70–2.70)</w:t>
            </w:r>
          </w:p>
        </w:tc>
      </w:tr>
      <w:tr w:rsidR="00217AB4" w:rsidRPr="00217AB4" w14:paraId="5A3D4C17" w14:textId="77777777" w:rsidTr="00217AB4">
        <w:trPr>
          <w:trHeight w:val="495"/>
        </w:trPr>
        <w:tc>
          <w:tcPr>
            <w:tcW w:w="9024" w:type="dxa"/>
            <w:gridSpan w:val="3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41A0E5D" w14:textId="77777777" w:rsidR="00217AB4" w:rsidRDefault="00217AB4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  <w:t>Abbreviations: IQR: Interquartile range.</w:t>
            </w:r>
          </w:p>
          <w:p w14:paraId="16A5BB96" w14:textId="77777777" w:rsidR="00217AB4" w:rsidRDefault="00217AB4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  <w:t>INR values were not available for 49 patients (16.7%).</w:t>
            </w:r>
          </w:p>
          <w:p w14:paraId="6F1A2D00" w14:textId="77777777" w:rsidR="00217AB4" w:rsidRDefault="00217AB4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  <w:t>*Includes chronic/long-term warfarin therapy, severe chronic kidney disease (GFR &lt;15-30 mL/min contraindication for DOACs), triple-negative antiphospholipid syndrome, and other clinical situations favoring warfarin continuation.</w:t>
            </w:r>
          </w:p>
        </w:tc>
      </w:tr>
    </w:tbl>
    <w:p w14:paraId="5B124FF5" w14:textId="77777777" w:rsidR="00016A58" w:rsidRPr="00217AB4" w:rsidRDefault="00016A58">
      <w:pPr>
        <w:rPr>
          <w:lang w:val="en-US"/>
        </w:rPr>
      </w:pPr>
    </w:p>
    <w:sectPr w:rsidR="00016A58" w:rsidRPr="00217AB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134"/>
    <w:rsid w:val="00016A58"/>
    <w:rsid w:val="00217AB4"/>
    <w:rsid w:val="00401477"/>
    <w:rsid w:val="00915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CE831"/>
  <w15:chartTrackingRefBased/>
  <w15:docId w15:val="{CBEBB28F-CF2A-43C8-8297-BB24B4409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1477"/>
    <w:pPr>
      <w:spacing w:after="0" w:line="276" w:lineRule="auto"/>
    </w:pPr>
    <w:rPr>
      <w:rFonts w:ascii="Arial" w:eastAsia="Arial" w:hAnsi="Arial" w:cs="Arial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98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686</Characters>
  <Application>Microsoft Office Word</Application>
  <DocSecurity>0</DocSecurity>
  <Lines>5</Lines>
  <Paragraphs>1</Paragraphs>
  <ScaleCrop>false</ScaleCrop>
  <Company>Hospital Universitario Fundacion Valle del Lili</Company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Seni Molina</dc:creator>
  <cp:keywords/>
  <dc:description/>
  <cp:lastModifiedBy>Sebastian Seni Molina</cp:lastModifiedBy>
  <cp:revision>3</cp:revision>
  <dcterms:created xsi:type="dcterms:W3CDTF">2025-11-24T19:15:00Z</dcterms:created>
  <dcterms:modified xsi:type="dcterms:W3CDTF">2025-12-09T15:29:00Z</dcterms:modified>
</cp:coreProperties>
</file>