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95E05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</w:rPr>
        <w:t>PRISMA 2020 Checklist for the Present Systematic Review and Meta-analysis</w:t>
      </w:r>
    </w:p>
    <w:tbl>
      <w:tblPr>
        <w:tblStyle w:val="7"/>
        <w:tblW w:w="15705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2"/>
        <w:gridCol w:w="1412"/>
        <w:gridCol w:w="8773"/>
        <w:gridCol w:w="3638"/>
      </w:tblGrid>
      <w:tr w14:paraId="22DD5B9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4874CB" w:themeColor="accent1" w:sz="12" w:space="0"/>
              <w:left w:val="nil"/>
              <w:bottom w:val="single" w:color="4874CB" w:themeColor="accent1" w:sz="6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4B9AD1">
            <w:pPr>
              <w:rPr>
                <w:rFonts w:hint="default" w:ascii="Times New Roman" w:hAnsi="Times New Roman" w:cs="Times New Roman"/>
                <w:b/>
                <w:i w:val="0"/>
                <w:color w:val="4874CB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4874CB" w:themeColor="accent1"/>
                <w:sz w:val="24"/>
                <w:szCs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Section</w:t>
            </w:r>
          </w:p>
        </w:tc>
        <w:tc>
          <w:tcPr>
            <w:tcW w:w="1412" w:type="dxa"/>
            <w:tcBorders>
              <w:top w:val="single" w:color="4874CB" w:themeColor="accent1" w:sz="12" w:space="0"/>
              <w:left w:val="nil"/>
              <w:bottom w:val="single" w:color="4874CB" w:themeColor="accent1" w:sz="6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4BD97A">
            <w:pPr>
              <w:rPr>
                <w:rFonts w:hint="default" w:ascii="Times New Roman" w:hAnsi="Times New Roman" w:cs="Times New Roman"/>
                <w:b/>
                <w:i w:val="0"/>
                <w:color w:val="4874CB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4874CB" w:themeColor="accent1"/>
                <w:sz w:val="24"/>
                <w:szCs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Item No.</w:t>
            </w:r>
          </w:p>
        </w:tc>
        <w:tc>
          <w:tcPr>
            <w:tcW w:w="8772" w:type="dxa"/>
            <w:tcBorders>
              <w:top w:val="single" w:color="4874CB" w:themeColor="accent1" w:sz="12" w:space="0"/>
              <w:left w:val="nil"/>
              <w:bottom w:val="single" w:color="4874CB" w:themeColor="accent1" w:sz="6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6CF4D4">
            <w:pPr>
              <w:rPr>
                <w:rFonts w:hint="default" w:ascii="Times New Roman" w:hAnsi="Times New Roman" w:cs="Times New Roman"/>
                <w:b/>
                <w:i w:val="0"/>
                <w:color w:val="4874CB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4874CB" w:themeColor="accent1"/>
                <w:sz w:val="24"/>
                <w:szCs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Checklist Item</w:t>
            </w:r>
          </w:p>
        </w:tc>
        <w:tc>
          <w:tcPr>
            <w:tcW w:w="3638" w:type="dxa"/>
            <w:tcBorders>
              <w:top w:val="single" w:color="4874CB" w:themeColor="accent1" w:sz="12" w:space="0"/>
              <w:left w:val="nil"/>
              <w:bottom w:val="single" w:color="4874CB" w:themeColor="accent1" w:sz="6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533741">
            <w:pPr>
              <w:rPr>
                <w:rFonts w:hint="default" w:ascii="Times New Roman" w:hAnsi="Times New Roman" w:cs="Times New Roman"/>
                <w:b/>
                <w:i w:val="0"/>
                <w:color w:val="4874CB" w:themeColor="accent1"/>
                <w:sz w:val="24"/>
                <w:szCs w:val="24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4874CB" w:themeColor="accent1"/>
                <w:sz w:val="24"/>
                <w:szCs w:val="24"/>
                <w:lang w:val="en-US" w:eastAsia="zh-CN"/>
                <w14:textFill>
                  <w14:solidFill>
                    <w14:schemeClr w14:val="accent1"/>
                  </w14:solidFill>
                </w14:textFill>
              </w:rPr>
              <w:t>Reported on Page(s)</w:t>
            </w:r>
          </w:p>
        </w:tc>
      </w:tr>
      <w:tr w14:paraId="782151D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4874CB" w:themeColor="accent1" w:sz="6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ABCE4A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Title</w:t>
            </w:r>
          </w:p>
        </w:tc>
        <w:tc>
          <w:tcPr>
            <w:tcW w:w="1412" w:type="dxa"/>
            <w:tcBorders>
              <w:top w:val="single" w:color="4874CB" w:themeColor="accent1" w:sz="6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F878F6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772" w:type="dxa"/>
            <w:tcBorders>
              <w:top w:val="single" w:color="4874CB" w:themeColor="accent1" w:sz="6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096751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Identify the report as a systematic review and/or meta-analysis</w:t>
            </w:r>
          </w:p>
        </w:tc>
        <w:tc>
          <w:tcPr>
            <w:tcW w:w="3638" w:type="dxa"/>
            <w:tcBorders>
              <w:top w:val="single" w:color="4874CB" w:themeColor="accent1" w:sz="6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97C03C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Title page</w:t>
            </w:r>
          </w:p>
        </w:tc>
      </w:tr>
      <w:tr w14:paraId="5B3B4AA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B8C1F1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Abstract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8C6D42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0EF53F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Provide a structured summary including background, objectives, data sources, eligibility criteria, participants, interventions, methods, results, limitations, conclusions, and funding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C4EE3A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Abstract</w:t>
            </w:r>
          </w:p>
        </w:tc>
      </w:tr>
      <w:tr w14:paraId="12C29D5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E56121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Introduction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A431D5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895CB0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Describe the rationale for the review in the context of existing knowledge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F1B9A2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Introduction</w:t>
            </w:r>
          </w:p>
        </w:tc>
      </w:tr>
      <w:tr w14:paraId="320459D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43DFC3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5DFA75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A8291D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Provide an explicit statement of the objectives or questions addressed with reference to participants, interventions, comparisons, outcomes, and study design (PICOS)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FD01DA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Introduction</w:t>
            </w:r>
          </w:p>
        </w:tc>
      </w:tr>
      <w:tr w14:paraId="77601B2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41BC78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Methods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FABBB1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E6F572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Specify the inclusion and exclusion criteria for the review and how studies were grouped for syntheses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10363A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Methods (Eligibility criteria)</w:t>
            </w:r>
          </w:p>
        </w:tc>
      </w:tr>
      <w:tr w14:paraId="3EDFC9C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3CC88B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21B90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087F95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Specify all information sources (e.g., databases, registers) and the date when each was last searched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29855B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Methods (Literature search)</w:t>
            </w:r>
          </w:p>
        </w:tc>
      </w:tr>
      <w:tr w14:paraId="4AFAC0A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D15C02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D05FFB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242D5A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Present the full search strategies for all databases, including any filters and limits used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05852D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Supplementary Table 2</w:t>
            </w:r>
          </w:p>
        </w:tc>
      </w:tr>
      <w:tr w14:paraId="6AE4DBD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34327C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287C8D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C5BE26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Describe the process for selecting studies (screening, eligibility, inclusion)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F94257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Methods (Study selection)</w:t>
            </w:r>
          </w:p>
        </w:tc>
      </w:tr>
      <w:tr w14:paraId="27D00DC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31DFF9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321870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52F3F6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Describe the process for data collection and methods of obtaining or confirming data from investigators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4E88B7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Methods (Data extraction)</w:t>
            </w:r>
          </w:p>
        </w:tc>
      </w:tr>
      <w:tr w14:paraId="10C1275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4011F5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30EBDE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10a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8517C5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List and define all outcomes for which data were sought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CDB63D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Methods (Outcomes)</w:t>
            </w:r>
          </w:p>
        </w:tc>
      </w:tr>
      <w:tr w14:paraId="667F55D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8C4C19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E5888D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10b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168A00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List and define all other variables for which data were sought (e.g., participant characteristics, risk factors)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EFBEC0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Methods (Risk factors)</w:t>
            </w:r>
          </w:p>
        </w:tc>
      </w:tr>
      <w:tr w14:paraId="4E77DFC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2D4CC2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07EAED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69431C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Describe the methods used for assessing risk of bias in included studies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01CA08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Methods (Quality assessment)</w:t>
            </w:r>
          </w:p>
        </w:tc>
      </w:tr>
      <w:tr w14:paraId="37B033A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28C540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AA5B1C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021AC1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Specify the effect measures used for each outcome (e.g., incidence, HR, OR)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4BA240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Methods (Statistical analysis)</w:t>
            </w:r>
          </w:p>
        </w:tc>
      </w:tr>
      <w:tr w14:paraId="5353995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B2A41E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530F37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13a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302A27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Describe the processes used to decide which studies were eligible for each synthesis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59A342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Methods (Data synthesis)</w:t>
            </w:r>
          </w:p>
        </w:tc>
      </w:tr>
      <w:tr w14:paraId="6E311224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5BFF2F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E3B3D1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13b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83DE10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Describe any methods required to prepare the data for presentation or synthesis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03126C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Methods (Data synthesis)</w:t>
            </w:r>
          </w:p>
        </w:tc>
      </w:tr>
      <w:tr w14:paraId="29307C10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66858D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9591D1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13c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F6F726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Describe the methods used to synthesize results and provide a rationale for the choice of model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BB1E6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Methods (Statistical analysis)</w:t>
            </w:r>
          </w:p>
        </w:tc>
      </w:tr>
      <w:tr w14:paraId="18E9A70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664E57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8BB53C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13d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F226EE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Describe any methods used to assess heterogeneity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499C11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Methods (Statistical analysis)</w:t>
            </w:r>
          </w:p>
        </w:tc>
      </w:tr>
      <w:tr w14:paraId="3D4AE31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A75B4A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9A4FDD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13e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0DD9D8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Describe any sensitivity analyses conducted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12EAA8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Methods (Statistical analysis; Sensitivity analysis)</w:t>
            </w:r>
          </w:p>
        </w:tc>
      </w:tr>
      <w:tr w14:paraId="5109D13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9B8656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25B2A7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12B445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Describe any methods used to assess reporting bias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AA307D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Methods (Statistical analysis)</w:t>
            </w:r>
          </w:p>
        </w:tc>
      </w:tr>
      <w:tr w14:paraId="58C4793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B7327E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BE8AC4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D6AA60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Describe any methods used to assess certainty of evidence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557D2A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Not performed</w:t>
            </w:r>
          </w:p>
        </w:tc>
      </w:tr>
      <w:tr w14:paraId="06750C4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A9B7FC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Results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24B65C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16a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B2CBCB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Describe the results of the search and study selection process, ideally using a flow diagram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865EEE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Results; Figure 1</w:t>
            </w:r>
          </w:p>
        </w:tc>
      </w:tr>
      <w:tr w14:paraId="419CAE3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9D4367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129663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16b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10107C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Cite studies that appeared to meet inclusion criteria but were excluded and explain why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B22BAA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Figure 1</w:t>
            </w:r>
          </w:p>
        </w:tc>
      </w:tr>
      <w:tr w14:paraId="41B23F0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CAC911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2DB35F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04EA0B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Present characteristics of included studies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FD408B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Table 1</w:t>
            </w:r>
          </w:p>
        </w:tc>
      </w:tr>
      <w:tr w14:paraId="771F284A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B49BB8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AAEDF5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98DDC1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Present assessments of risk of bias for each included study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F18A6C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Table 2; Table 3</w:t>
            </w:r>
          </w:p>
        </w:tc>
      </w:tr>
      <w:tr w14:paraId="79CA2C3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9D0A21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59A982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385C3F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Present results of individual studies for all outcomes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04B183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Results section</w:t>
            </w:r>
          </w:p>
        </w:tc>
      </w:tr>
      <w:tr w14:paraId="33BF3CA5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13A65A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8FAA7D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20a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8240B0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Present results of all statistical syntheses conducted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F924DE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Figures 2–8</w:t>
            </w:r>
          </w:p>
        </w:tc>
      </w:tr>
      <w:tr w14:paraId="08A401E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91B371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F33559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20b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166D2E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Present results of investigations of heterogeneity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0BCD79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Results section</w:t>
            </w:r>
          </w:p>
        </w:tc>
      </w:tr>
      <w:tr w14:paraId="403D965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B02AEB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2C2293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20c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A746EA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Present results of sensitivity analyses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FC23B7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Supplementary Figures S1–S13</w:t>
            </w:r>
          </w:p>
        </w:tc>
      </w:tr>
      <w:tr w14:paraId="11037ED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23CBC4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351D07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DF8265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Present assessments of reporting bias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7BCB7A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Not assessable (&lt;10 studies per analysis)</w:t>
            </w:r>
          </w:p>
        </w:tc>
      </w:tr>
      <w:tr w14:paraId="3E00742B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61C63B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0E3746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6EDCB9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Present assessments of certainty of evidence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F1B80E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Not performed</w:t>
            </w:r>
          </w:p>
        </w:tc>
      </w:tr>
      <w:tr w14:paraId="760D232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C7EDAE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Discussion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8FEB08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23a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F31DA6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Provide a general interpretation of the results in the context of other evidence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EFADC5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Discussion</w:t>
            </w:r>
          </w:p>
        </w:tc>
      </w:tr>
      <w:tr w14:paraId="4AC2F94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ADE1F9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155B71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23b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F6D501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Discuss limitations of the evidence included in the review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D8A32D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Discussion (Limitations)</w:t>
            </w:r>
          </w:p>
        </w:tc>
      </w:tr>
      <w:tr w14:paraId="645E869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E2EAAF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D5B59A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23c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7E7C69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Discuss implications of the results for practice, policy, and future research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364D75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Discussion</w:t>
            </w:r>
          </w:p>
        </w:tc>
      </w:tr>
      <w:tr w14:paraId="7E5198A9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AC74D8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Other Information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46C78B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24a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E1932B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Provide registration information for the review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8372B7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Methods (Registration: PROSPERO CRD420261303039)</w:t>
            </w:r>
          </w:p>
        </w:tc>
      </w:tr>
      <w:tr w14:paraId="6DE8139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A8C2E3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82126C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24b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C29F59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Indicate where the review protocol can be accessed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2ECF18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PROSPERO</w:t>
            </w:r>
          </w:p>
        </w:tc>
      </w:tr>
      <w:tr w14:paraId="3E0BDF9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DF2ACD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27CF4F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24c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88F3C6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Describe any amendments to the protocol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2209E2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Not applicable</w:t>
            </w:r>
          </w:p>
        </w:tc>
      </w:tr>
      <w:tr w14:paraId="3904FF8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84F19A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55B34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DFB7E0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Describe sources of support (financial or non-financial)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AE5D53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Funding statement</w:t>
            </w:r>
          </w:p>
        </w:tc>
      </w:tr>
      <w:tr w14:paraId="162ADA01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CB7942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0860BD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877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51147A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Declare competing interests</w:t>
            </w:r>
          </w:p>
        </w:tc>
        <w:tc>
          <w:tcPr>
            <w:tcW w:w="363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9FBC7B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Conflict of interest statement</w:t>
            </w:r>
          </w:p>
        </w:tc>
      </w:tr>
      <w:tr w14:paraId="760B00A2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882" w:type="dxa"/>
            <w:tcBorders>
              <w:top w:val="nil"/>
              <w:left w:val="nil"/>
              <w:bottom w:val="single" w:color="4874CB" w:themeColor="accent1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81DA0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color="4874CB" w:themeColor="accent1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78F5C8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8772" w:type="dxa"/>
            <w:tcBorders>
              <w:top w:val="nil"/>
              <w:left w:val="nil"/>
              <w:bottom w:val="single" w:color="4874CB" w:themeColor="accent1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1B3814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Describe availability of data, code, and other materials</w:t>
            </w:r>
          </w:p>
        </w:tc>
        <w:tc>
          <w:tcPr>
            <w:tcW w:w="3638" w:type="dxa"/>
            <w:tcBorders>
              <w:top w:val="nil"/>
              <w:left w:val="nil"/>
              <w:bottom w:val="single" w:color="4874CB" w:themeColor="accent1" w:sz="12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D3BF98">
            <w:pP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Data availability statement</w:t>
            </w:r>
          </w:p>
        </w:tc>
      </w:tr>
    </w:tbl>
    <w:p w14:paraId="666EFE80"/>
    <w:p w14:paraId="205C5D03"/>
    <w:p w14:paraId="59C1CBFF"/>
    <w:p w14:paraId="68B86FE9"/>
    <w:p w14:paraId="256EA558">
      <w:pPr>
        <w:rPr>
          <w:rStyle w:val="9"/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 xml:space="preserve">Supplementary Table 2. </w:t>
      </w:r>
      <w:r>
        <w:rPr>
          <w:rFonts w:hint="default" w:ascii="Times New Roman" w:hAnsi="Times New Roman" w:eastAsia="宋体" w:cs="Times New Roman"/>
          <w:sz w:val="24"/>
          <w:szCs w:val="24"/>
        </w:rPr>
        <w:t>Full database-specific search strategies and dates of final search</w:t>
      </w:r>
    </w:p>
    <w:tbl>
      <w:tblPr>
        <w:tblStyle w:val="7"/>
        <w:tblW w:w="15702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4"/>
        <w:gridCol w:w="4118"/>
        <w:gridCol w:w="8220"/>
      </w:tblGrid>
      <w:tr w14:paraId="0F45359D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4874CB" w:themeColor="accent1" w:sz="12" w:space="0"/>
              <w:left w:val="nil"/>
              <w:bottom w:val="single" w:color="4874CB" w:themeColor="accent1" w:sz="6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BDB5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both"/>
              <w:rPr>
                <w:rStyle w:val="9"/>
                <w:rFonts w:hint="default" w:ascii="Times New Roman" w:hAnsi="Times New Roman" w:eastAsia="宋体" w:cs="Times New Roman"/>
                <w:b/>
                <w:bCs w:val="0"/>
                <w:i w:val="0"/>
                <w:color w:val="4874CB" w:themeColor="accent1"/>
                <w:sz w:val="24"/>
                <w:szCs w:val="24"/>
                <w:vertAlign w:val="baseline"/>
                <w14:textFill>
                  <w14:solidFill>
                    <w14:schemeClr w14:val="accent1"/>
                  </w14:solidFill>
                </w14:textFill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4874CB" w:themeColor="accen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Database</w:t>
            </w:r>
          </w:p>
        </w:tc>
        <w:tc>
          <w:tcPr>
            <w:tcW w:w="0" w:type="auto"/>
            <w:tcBorders>
              <w:top w:val="single" w:color="4874CB" w:themeColor="accent1" w:sz="12" w:space="0"/>
              <w:left w:val="nil"/>
              <w:bottom w:val="single" w:color="4874CB" w:themeColor="accent1" w:sz="6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A8A3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Style w:val="9"/>
                <w:rFonts w:hint="default" w:ascii="Times New Roman" w:hAnsi="Times New Roman" w:eastAsia="宋体" w:cs="Times New Roman"/>
                <w:b/>
                <w:bCs w:val="0"/>
                <w:i w:val="0"/>
                <w:color w:val="4874CB" w:themeColor="accent1"/>
                <w:sz w:val="24"/>
                <w:szCs w:val="24"/>
                <w:vertAlign w:val="baseli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4874CB" w:themeColor="accen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Date of final search</w:t>
            </w:r>
          </w:p>
        </w:tc>
        <w:tc>
          <w:tcPr>
            <w:tcW w:w="8220" w:type="dxa"/>
            <w:tcBorders>
              <w:top w:val="single" w:color="4874CB" w:themeColor="accent1" w:sz="12" w:space="0"/>
              <w:left w:val="nil"/>
              <w:bottom w:val="single" w:color="4874CB" w:themeColor="accent1" w:sz="6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6756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Style w:val="9"/>
                <w:rFonts w:hint="default" w:ascii="Times New Roman" w:hAnsi="Times New Roman" w:eastAsia="宋体" w:cs="Times New Roman"/>
                <w:b/>
                <w:bCs w:val="0"/>
                <w:i w:val="0"/>
                <w:color w:val="4874CB" w:themeColor="accent1"/>
                <w:sz w:val="24"/>
                <w:szCs w:val="24"/>
                <w:vertAlign w:val="baseline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4874CB" w:themeColor="accen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accent1"/>
                  </w14:solidFill>
                </w14:textFill>
              </w:rPr>
              <w:t>Full search strategy</w:t>
            </w:r>
          </w:p>
        </w:tc>
      </w:tr>
      <w:tr w14:paraId="0C797DBE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4874CB" w:themeColor="accent1" w:sz="6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8319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PubMed</w:t>
            </w:r>
          </w:p>
        </w:tc>
        <w:tc>
          <w:tcPr>
            <w:tcW w:w="0" w:type="auto"/>
            <w:tcBorders>
              <w:top w:val="single" w:color="4874CB" w:themeColor="accent1" w:sz="6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DAE1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4"/>
                <w:szCs w:val="24"/>
              </w:rPr>
              <w:t xml:space="preserve">January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31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4"/>
                <w:szCs w:val="24"/>
              </w:rPr>
              <w:t>, 2026</w:t>
            </w:r>
          </w:p>
        </w:tc>
        <w:tc>
          <w:tcPr>
            <w:tcW w:w="8220" w:type="dxa"/>
            <w:tcBorders>
              <w:top w:val="single" w:color="4874CB" w:themeColor="accent1" w:sz="6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DB5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("Stomach Neoplasms"[Mesh] OR gastric cancer[Title/Abstract] OR stomach cancer[Title/Abstract] OR gastric neoplasm*[Title/Abstract] OR stomach neoplasm*[Title/Abstract] OR gastric carcinoma*[Title/Abstract] OR stomach carcinoma*[Title/Abstract] OR gastric adenocarcinoma*[Title/Abstract]) AND ("Venous Thromboembolism"[Mesh] OR "Venous Thrombosis"[Mesh] OR "Pulmonary Embolism"[Mesh] OR venous thromboembolism[Title/Abstract] OR VTE[Title/Abstract] OR deep vein thrombosis[Title/Abstract] OR DVT[Title/Abstract] OR pulmonary embolism[Title/Abstract] OR PE[Title/Abstract])</w:t>
            </w:r>
          </w:p>
        </w:tc>
      </w:tr>
      <w:tr w14:paraId="5B61CD3C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FAAC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Embase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36D5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4"/>
                <w:szCs w:val="24"/>
              </w:rPr>
              <w:t xml:space="preserve">January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31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4"/>
                <w:szCs w:val="24"/>
              </w:rPr>
              <w:t>, 2026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CB9B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('stomach cancer'/exp OR 'gastric cancer':ti,ab OR 'stomach cancer':ti,ab OR 'gastric neoplasm*':ti,ab OR 'stomach neoplasm*':ti,ab OR 'gastric carcinoma*':ti,ab OR 'stomach carcinoma*':ti,ab OR 'gastric adenocarcinoma*':ti,ab) AND ('venous thromboembolism'/exp OR 'venous thrombosis'/exp OR 'pulmonary embolism'/exp OR 'venous thromboembolism':ti,ab OR VTE:ti,ab OR 'deep vein thrombosis':ti,ab OR DVT:ti,ab OR 'pulmonary embolism':ti,ab OR PE:ti,ab)</w:t>
            </w:r>
          </w:p>
        </w:tc>
      </w:tr>
      <w:tr w14:paraId="4C6F6DEF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F1B7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Web of Science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F86C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4"/>
                <w:szCs w:val="24"/>
              </w:rPr>
              <w:t xml:space="preserve">January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31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4"/>
                <w:szCs w:val="24"/>
              </w:rPr>
              <w:t>, 2026</w:t>
            </w:r>
          </w:p>
        </w:tc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F333D3">
            <w:pPr>
              <w:keepNext w:val="0"/>
              <w:keepLines w:val="0"/>
              <w:widowControl/>
              <w:suppressLineNumbers w:val="0"/>
              <w:bidi w:val="0"/>
              <w:snapToGrid w:val="0"/>
              <w:ind w:left="0" w:leftChars="0" w:right="0" w:rightChars="0" w:firstLine="0" w:firstLineChars="0"/>
              <w:jc w:val="center"/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TS=(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("gastric cancer" OR "stomach cancer" OR "gastric neoplasm*" OR "stomach neoplasm*" OR "gastric carcinoma*" OR "stomach carcinoma*" OR "gastric adenocarcinoma*")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AND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("venous thromboembolism" OR VTE OR "deep vein thrombosis" OR DVT OR "pulmonary embolism" OR PE)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)</w:t>
            </w:r>
          </w:p>
        </w:tc>
      </w:tr>
      <w:tr w14:paraId="17C44CB8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64" w:type="dxa"/>
            <w:tcBorders>
              <w:top w:val="nil"/>
              <w:left w:val="nil"/>
              <w:bottom w:val="single" w:color="4874CB" w:themeColor="accent1" w:sz="12" w:space="0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FED2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sz w:val="24"/>
                <w:szCs w:val="24"/>
                <w:vertAlign w:val="baseline"/>
              </w:rPr>
            </w:pPr>
            <w:r>
              <w:rPr>
                <w:rStyle w:val="9"/>
                <w:rFonts w:hint="default" w:ascii="Times New Roman" w:hAnsi="Times New Roman" w:eastAsia="宋体" w:cs="Times New Roman"/>
                <w:b w:val="0"/>
                <w:i w:val="0"/>
                <w:color w:val="08090C"/>
                <w:kern w:val="0"/>
                <w:sz w:val="24"/>
                <w:szCs w:val="24"/>
                <w:lang w:val="en-US" w:eastAsia="zh-CN" w:bidi="ar"/>
              </w:rPr>
              <w:t>Cochrane Library</w:t>
            </w:r>
          </w:p>
        </w:tc>
        <w:tc>
          <w:tcPr>
            <w:tcW w:w="4118" w:type="dxa"/>
            <w:tcBorders>
              <w:top w:val="nil"/>
              <w:left w:val="nil"/>
              <w:bottom w:val="single" w:color="4874CB" w:themeColor="accent1" w:sz="12" w:space="0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BD6B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4"/>
                <w:szCs w:val="24"/>
              </w:rPr>
              <w:t xml:space="preserve">January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4"/>
                <w:szCs w:val="24"/>
                <w:lang w:val="en-US" w:eastAsia="zh-CN"/>
              </w:rPr>
              <w:t>31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4"/>
                <w:szCs w:val="24"/>
              </w:rPr>
              <w:t>, 2026</w:t>
            </w:r>
          </w:p>
        </w:tc>
        <w:tc>
          <w:tcPr>
            <w:tcW w:w="8220" w:type="dxa"/>
            <w:tcBorders>
              <w:top w:val="nil"/>
              <w:left w:val="nil"/>
              <w:bottom w:val="single" w:color="4874CB" w:themeColor="accent1" w:sz="12" w:space="0"/>
              <w:right w:val="nil"/>
            </w:tcBorders>
            <w:shd w:val="clear" w:color="auto" w:fill="F2F2F2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A90F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4"/>
                <w:szCs w:val="24"/>
              </w:rPr>
              <w:t>("gastric cancer" OR "stomach cancer" OR "gastric neoplasm*" OR "stomach neoplasm*" OR "gastric carcinoma*" OR "stomach carcinoma*" OR "gastric adenocarcinoma*")</w:t>
            </w:r>
          </w:p>
          <w:p w14:paraId="59E546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4"/>
                <w:szCs w:val="24"/>
              </w:rPr>
              <w:t>AND</w:t>
            </w:r>
          </w:p>
          <w:p w14:paraId="6EA0EF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4"/>
                <w:szCs w:val="24"/>
              </w:rPr>
              <w:t>("venous thromboembolism" OR VTE OR "deep vein thrombosis" OR DVT OR "pulmonary embolism" OR PE)</w:t>
            </w:r>
          </w:p>
          <w:p w14:paraId="011972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Style w:val="9"/>
                <w:rFonts w:hint="default" w:ascii="Times New Roman" w:hAnsi="Times New Roman" w:eastAsia="宋体" w:cs="Times New Roman"/>
                <w:b w:val="0"/>
                <w:bCs w:val="0"/>
                <w:i w:val="0"/>
                <w:color w:val="08090C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8090C"/>
                <w:sz w:val="24"/>
                <w:szCs w:val="24"/>
              </w:rPr>
              <w:t>in Title Abstract Keyword</w:t>
            </w:r>
          </w:p>
        </w:tc>
      </w:tr>
      <w:bookmarkEnd w:id="0"/>
    </w:tbl>
    <w:p w14:paraId="7BA1E860">
      <w:pPr>
        <w:pStyle w:val="2"/>
        <w:keepNext w:val="0"/>
        <w:keepLines w:val="0"/>
        <w:widowControl/>
        <w:suppressLineNumbers w:val="0"/>
        <w:rPr>
          <w:rStyle w:val="9"/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p w14:paraId="4E209B59">
      <w:pPr>
        <w:rPr>
          <w:rFonts w:ascii="宋体" w:hAnsi="宋体" w:eastAsia="宋体" w:cs="宋体"/>
          <w:sz w:val="24"/>
          <w:szCs w:val="24"/>
        </w:rPr>
      </w:pPr>
    </w:p>
    <w:p w14:paraId="315AE177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Supplementary Figure S1. Leave-one-out sensitivity analysis for the pooled incidence of VTE in patients with gastric cancer</w:t>
      </w:r>
    </w:p>
    <w:p w14:paraId="5D41D753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7576185" cy="2961640"/>
            <wp:effectExtent l="0" t="0" r="5715" b="1016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296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8A821">
      <w:pPr>
        <w:pStyle w:val="2"/>
        <w:keepNext w:val="0"/>
        <w:keepLines w:val="0"/>
        <w:widowControl/>
        <w:suppressLineNumbers w:val="0"/>
        <w:rPr>
          <w:rStyle w:val="9"/>
          <w:rFonts w:hint="default" w:ascii="Times New Roman" w:hAnsi="Times New Roman" w:cs="Times New Roman"/>
          <w:b/>
          <w:sz w:val="24"/>
          <w:szCs w:val="24"/>
        </w:rPr>
      </w:pPr>
      <w:r>
        <w:rPr>
          <w:rStyle w:val="9"/>
          <w:rFonts w:hint="default" w:ascii="Times New Roman" w:hAnsi="Times New Roman" w:cs="Times New Roman"/>
          <w:b/>
          <w:sz w:val="24"/>
          <w:szCs w:val="24"/>
        </w:rPr>
        <w:t>Supplementary Figure S2</w:t>
      </w:r>
      <w:r>
        <w:rPr>
          <w:rStyle w:val="9"/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: </w:t>
      </w:r>
      <w:r>
        <w:rPr>
          <w:rStyle w:val="9"/>
          <w:rFonts w:hint="default" w:ascii="Times New Roman" w:hAnsi="Times New Roman" w:cs="Times New Roman"/>
          <w:b/>
          <w:sz w:val="24"/>
          <w:szCs w:val="24"/>
        </w:rPr>
        <w:t>Fixed-effect model analysis for the pooled incidence of VTE in patients with gastric cancer</w:t>
      </w:r>
    </w:p>
    <w:p w14:paraId="4C102D6F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8187055" cy="2660650"/>
            <wp:effectExtent l="0" t="0" r="4445" b="635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87055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A06A0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9"/>
          <w:rFonts w:hint="default" w:ascii="Times New Roman" w:hAnsi="Times New Roman" w:cs="Times New Roman"/>
          <w:b/>
          <w:sz w:val="24"/>
          <w:szCs w:val="24"/>
        </w:rPr>
        <w:t>Supplementary Figure S</w:t>
      </w:r>
      <w:r>
        <w:rPr>
          <w:rStyle w:val="9"/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3: </w:t>
      </w:r>
      <w:r>
        <w:rPr>
          <w:rStyle w:val="9"/>
          <w:rFonts w:hint="default" w:ascii="Times New Roman" w:hAnsi="Times New Roman" w:cs="Times New Roman"/>
          <w:b/>
          <w:sz w:val="24"/>
          <w:szCs w:val="24"/>
        </w:rPr>
        <w:t>Leave-one-out sensitivity analysis for the association between female sex and VTE risk</w:t>
      </w:r>
    </w:p>
    <w:p w14:paraId="5F3D5082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7320280" cy="2817495"/>
            <wp:effectExtent l="0" t="0" r="13970" b="1905"/>
            <wp:docPr id="2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2028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A65D8">
      <w:pPr>
        <w:pStyle w:val="2"/>
        <w:keepNext w:val="0"/>
        <w:keepLines w:val="0"/>
        <w:widowControl/>
        <w:suppressLineNumbers w:val="0"/>
        <w:rPr>
          <w:rStyle w:val="9"/>
          <w:rFonts w:hint="default" w:ascii="Times New Roman" w:hAnsi="Times New Roman" w:cs="Times New Roman"/>
          <w:b/>
          <w:sz w:val="24"/>
          <w:szCs w:val="24"/>
        </w:rPr>
      </w:pPr>
    </w:p>
    <w:p w14:paraId="62BBA6B1">
      <w:pPr>
        <w:pStyle w:val="2"/>
        <w:keepNext w:val="0"/>
        <w:keepLines w:val="0"/>
        <w:widowControl/>
        <w:suppressLineNumbers w:val="0"/>
        <w:rPr>
          <w:rStyle w:val="9"/>
          <w:rFonts w:hint="default" w:ascii="Times New Roman" w:hAnsi="Times New Roman" w:cs="Times New Roman"/>
          <w:b/>
          <w:sz w:val="24"/>
          <w:szCs w:val="24"/>
        </w:rPr>
      </w:pPr>
    </w:p>
    <w:p w14:paraId="04856373">
      <w:pPr>
        <w:pStyle w:val="2"/>
        <w:keepNext w:val="0"/>
        <w:keepLines w:val="0"/>
        <w:widowControl/>
        <w:suppressLineNumbers w:val="0"/>
        <w:rPr>
          <w:rStyle w:val="9"/>
          <w:rFonts w:hint="default" w:ascii="Times New Roman" w:hAnsi="Times New Roman" w:cs="Times New Roman"/>
          <w:b/>
          <w:sz w:val="24"/>
          <w:szCs w:val="24"/>
        </w:rPr>
      </w:pPr>
    </w:p>
    <w:p w14:paraId="1200E2F3">
      <w:pPr>
        <w:pStyle w:val="2"/>
        <w:keepNext w:val="0"/>
        <w:keepLines w:val="0"/>
        <w:widowControl/>
        <w:suppressLineNumbers w:val="0"/>
        <w:rPr>
          <w:rStyle w:val="9"/>
          <w:rFonts w:hint="default" w:ascii="Times New Roman" w:hAnsi="Times New Roman" w:cs="Times New Roman"/>
          <w:b/>
          <w:sz w:val="24"/>
          <w:szCs w:val="24"/>
        </w:rPr>
      </w:pPr>
    </w:p>
    <w:p w14:paraId="4BF6D72E">
      <w:pPr>
        <w:pStyle w:val="2"/>
        <w:keepNext w:val="0"/>
        <w:keepLines w:val="0"/>
        <w:widowControl/>
        <w:suppressLineNumbers w:val="0"/>
        <w:rPr>
          <w:rStyle w:val="9"/>
          <w:rFonts w:hint="default" w:ascii="Times New Roman" w:hAnsi="Times New Roman" w:cs="Times New Roman"/>
          <w:b/>
          <w:sz w:val="24"/>
          <w:szCs w:val="24"/>
        </w:rPr>
      </w:pPr>
    </w:p>
    <w:p w14:paraId="647D4172">
      <w:pPr>
        <w:pStyle w:val="2"/>
        <w:keepNext w:val="0"/>
        <w:keepLines w:val="0"/>
        <w:widowControl/>
        <w:suppressLineNumbers w:val="0"/>
        <w:rPr>
          <w:rStyle w:val="9"/>
          <w:rFonts w:hint="default" w:ascii="Times New Roman" w:hAnsi="Times New Roman" w:cs="Times New Roman"/>
          <w:b/>
          <w:sz w:val="24"/>
          <w:szCs w:val="24"/>
        </w:rPr>
      </w:pPr>
    </w:p>
    <w:p w14:paraId="7B00169B">
      <w:pPr>
        <w:pStyle w:val="2"/>
        <w:keepNext w:val="0"/>
        <w:keepLines w:val="0"/>
        <w:widowControl/>
        <w:suppressLineNumbers w:val="0"/>
        <w:rPr>
          <w:rStyle w:val="9"/>
          <w:rFonts w:hint="default" w:ascii="Times New Roman" w:hAnsi="Times New Roman" w:cs="Times New Roman"/>
          <w:b/>
          <w:sz w:val="24"/>
          <w:szCs w:val="24"/>
        </w:rPr>
      </w:pPr>
    </w:p>
    <w:p w14:paraId="58BD6D63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9"/>
          <w:rFonts w:hint="default" w:ascii="Times New Roman" w:hAnsi="Times New Roman" w:cs="Times New Roman"/>
          <w:b/>
          <w:sz w:val="24"/>
          <w:szCs w:val="24"/>
        </w:rPr>
        <w:t>Supplementary Figure S</w:t>
      </w:r>
      <w:r>
        <w:rPr>
          <w:rStyle w:val="9"/>
          <w:rFonts w:hint="default" w:ascii="Times New Roman" w:hAnsi="Times New Roman" w:cs="Times New Roman"/>
          <w:b/>
          <w:sz w:val="24"/>
          <w:szCs w:val="24"/>
          <w:lang w:val="en-US" w:eastAsia="zh-CN"/>
        </w:rPr>
        <w:t>4:</w:t>
      </w:r>
      <w:r>
        <w:rPr>
          <w:rStyle w:val="9"/>
          <w:rFonts w:hint="default" w:ascii="Times New Roman" w:hAnsi="Times New Roman" w:cs="Times New Roman"/>
          <w:b/>
          <w:sz w:val="24"/>
          <w:szCs w:val="24"/>
        </w:rPr>
        <w:t>Fixed-effect model analysis for the association between female sex and VTE risk</w:t>
      </w:r>
    </w:p>
    <w:p w14:paraId="082E6D6E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7120890" cy="2493010"/>
            <wp:effectExtent l="0" t="0" r="381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2089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5B6A1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9"/>
          <w:rFonts w:hint="default" w:ascii="Times New Roman" w:hAnsi="Times New Roman" w:cs="Times New Roman"/>
          <w:b/>
          <w:sz w:val="24"/>
          <w:szCs w:val="24"/>
        </w:rPr>
        <w:t>Supplementary Figure S</w:t>
      </w:r>
      <w:r>
        <w:rPr>
          <w:rStyle w:val="9"/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5: </w:t>
      </w:r>
      <w:r>
        <w:rPr>
          <w:rStyle w:val="9"/>
          <w:rFonts w:hint="default" w:ascii="Times New Roman" w:hAnsi="Times New Roman" w:cs="Times New Roman"/>
          <w:b/>
          <w:sz w:val="24"/>
          <w:szCs w:val="24"/>
        </w:rPr>
        <w:t>Leave-one-out sensitivity analysis for the association between BMI ≥25 kg/m² and VTE risk</w:t>
      </w:r>
    </w:p>
    <w:p w14:paraId="0C368590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6598285" cy="2237105"/>
            <wp:effectExtent l="0" t="0" r="12065" b="10795"/>
            <wp:docPr id="2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98285" cy="223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17026">
      <w:pPr>
        <w:pStyle w:val="2"/>
        <w:keepNext w:val="0"/>
        <w:keepLines w:val="0"/>
        <w:widowControl/>
        <w:suppressLineNumbers w:val="0"/>
        <w:rPr>
          <w:rStyle w:val="9"/>
          <w:rFonts w:hint="default" w:ascii="Times New Roman" w:hAnsi="Times New Roman" w:cs="Times New Roman"/>
          <w:b/>
          <w:sz w:val="24"/>
          <w:szCs w:val="24"/>
        </w:rPr>
      </w:pPr>
      <w:r>
        <w:rPr>
          <w:rStyle w:val="9"/>
          <w:rFonts w:hint="default" w:ascii="Times New Roman" w:hAnsi="Times New Roman" w:cs="Times New Roman"/>
          <w:b/>
          <w:sz w:val="24"/>
          <w:szCs w:val="24"/>
        </w:rPr>
        <w:t>Supplementary Figure S</w:t>
      </w:r>
      <w:r>
        <w:rPr>
          <w:rStyle w:val="9"/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6: </w:t>
      </w:r>
      <w:r>
        <w:rPr>
          <w:rStyle w:val="9"/>
          <w:rFonts w:hint="default" w:ascii="Times New Roman" w:hAnsi="Times New Roman" w:cs="Times New Roman"/>
          <w:b/>
          <w:sz w:val="24"/>
          <w:szCs w:val="24"/>
        </w:rPr>
        <w:t>Fixed-effect model analysis for the association between BMI ≥25 kg/m² and VTE risk</w:t>
      </w:r>
    </w:p>
    <w:p w14:paraId="259CF845">
      <w:pPr>
        <w:rPr>
          <w:rFonts w:hint="default"/>
        </w:rPr>
      </w:pPr>
      <w:r>
        <w:drawing>
          <wp:inline distT="0" distB="0" distL="114300" distR="114300">
            <wp:extent cx="8991600" cy="28765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E6637">
      <w:pPr>
        <w:rPr>
          <w:rFonts w:hint="default" w:ascii="Times New Roman" w:hAnsi="Times New Roman" w:cs="Times New Roman"/>
          <w:sz w:val="24"/>
          <w:szCs w:val="24"/>
        </w:rPr>
      </w:pPr>
    </w:p>
    <w:p w14:paraId="4A739942">
      <w:pPr>
        <w:rPr>
          <w:rFonts w:hint="default" w:ascii="Times New Roman" w:hAnsi="Times New Roman" w:cs="Times New Roman"/>
          <w:sz w:val="24"/>
          <w:szCs w:val="24"/>
        </w:rPr>
      </w:pPr>
    </w:p>
    <w:p w14:paraId="572DEE6C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9"/>
          <w:rFonts w:hint="default" w:ascii="Times New Roman" w:hAnsi="Times New Roman" w:cs="Times New Roman"/>
          <w:b/>
          <w:sz w:val="24"/>
          <w:szCs w:val="24"/>
        </w:rPr>
        <w:t>Supplementary Figure S</w:t>
      </w:r>
      <w:r>
        <w:rPr>
          <w:rStyle w:val="9"/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7: </w:t>
      </w:r>
      <w:r>
        <w:rPr>
          <w:rStyle w:val="9"/>
          <w:rFonts w:hint="default" w:ascii="Times New Roman" w:hAnsi="Times New Roman" w:cs="Times New Roman"/>
          <w:b/>
          <w:sz w:val="24"/>
          <w:szCs w:val="24"/>
        </w:rPr>
        <w:t>Leave-one-out sensitivity analysis for the association between peritoneal metastasis and VTE risk</w:t>
      </w:r>
    </w:p>
    <w:p w14:paraId="0AA5E07A">
      <w:pPr>
        <w:rPr>
          <w:rFonts w:hint="default" w:ascii="Times New Roman" w:hAnsi="Times New Roman" w:cs="Times New Roman"/>
          <w:sz w:val="24"/>
          <w:szCs w:val="24"/>
        </w:rPr>
      </w:pPr>
    </w:p>
    <w:p w14:paraId="7D9FB9AC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9826625" cy="2494280"/>
            <wp:effectExtent l="0" t="0" r="317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826625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16B19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7287A4B0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9"/>
          <w:rFonts w:hint="default" w:ascii="Times New Roman" w:hAnsi="Times New Roman" w:cs="Times New Roman"/>
          <w:b/>
          <w:sz w:val="24"/>
          <w:szCs w:val="24"/>
        </w:rPr>
        <w:t>Supplementary Figure S</w:t>
      </w:r>
      <w:r>
        <w:rPr>
          <w:rStyle w:val="9"/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8: </w:t>
      </w:r>
      <w:r>
        <w:rPr>
          <w:rStyle w:val="9"/>
          <w:rFonts w:hint="default" w:ascii="Times New Roman" w:hAnsi="Times New Roman" w:cs="Times New Roman"/>
          <w:b/>
          <w:sz w:val="24"/>
          <w:szCs w:val="24"/>
        </w:rPr>
        <w:t>Fixed-effect model analysis for the association between peritoneal metastasis and VTE risk</w:t>
      </w:r>
    </w:p>
    <w:p w14:paraId="29A35041">
      <w:pPr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8915400" cy="32956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ACFB6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9"/>
          <w:rFonts w:hint="default" w:ascii="Times New Roman" w:hAnsi="Times New Roman" w:cs="Times New Roman"/>
          <w:b/>
          <w:sz w:val="24"/>
          <w:szCs w:val="24"/>
        </w:rPr>
        <w:t>Supplementary Figure S</w:t>
      </w:r>
      <w:r>
        <w:rPr>
          <w:rStyle w:val="9"/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9: </w:t>
      </w:r>
      <w:r>
        <w:rPr>
          <w:rStyle w:val="9"/>
          <w:rFonts w:hint="default" w:ascii="Times New Roman" w:hAnsi="Times New Roman" w:cs="Times New Roman"/>
          <w:b/>
          <w:sz w:val="24"/>
          <w:szCs w:val="24"/>
        </w:rPr>
        <w:t>Leave-one-out sensitivity analysis for the association between lung metastasis and VTE risk</w:t>
      </w:r>
    </w:p>
    <w:p w14:paraId="1A0A4A87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391150" cy="2133600"/>
            <wp:effectExtent l="0" t="0" r="0" b="0"/>
            <wp:docPr id="3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8426B">
      <w:pPr>
        <w:pStyle w:val="2"/>
        <w:keepNext w:val="0"/>
        <w:keepLines w:val="0"/>
        <w:widowControl/>
        <w:suppressLineNumbers w:val="0"/>
        <w:rPr>
          <w:rStyle w:val="9"/>
          <w:rFonts w:hint="default" w:ascii="Times New Roman" w:hAnsi="Times New Roman" w:cs="Times New Roman"/>
          <w:b/>
          <w:sz w:val="24"/>
          <w:szCs w:val="24"/>
        </w:rPr>
      </w:pPr>
      <w:r>
        <w:rPr>
          <w:rStyle w:val="9"/>
          <w:rFonts w:hint="default" w:ascii="Times New Roman" w:hAnsi="Times New Roman" w:cs="Times New Roman"/>
          <w:b/>
          <w:sz w:val="24"/>
          <w:szCs w:val="24"/>
        </w:rPr>
        <w:t>Supplementary Figure S1</w:t>
      </w:r>
      <w:r>
        <w:rPr>
          <w:rStyle w:val="9"/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0: </w:t>
      </w:r>
      <w:r>
        <w:rPr>
          <w:rStyle w:val="9"/>
          <w:rFonts w:hint="default" w:ascii="Times New Roman" w:hAnsi="Times New Roman" w:cs="Times New Roman"/>
          <w:b/>
          <w:sz w:val="24"/>
          <w:szCs w:val="24"/>
        </w:rPr>
        <w:t>Fixed-effect model analysis for the association between lung metastasis and VTE risk</w:t>
      </w:r>
    </w:p>
    <w:p w14:paraId="19D17548">
      <w:pPr>
        <w:rPr>
          <w:rFonts w:hint="default" w:ascii="Times New Roman" w:hAnsi="Times New Roman" w:cs="Times New Roman"/>
          <w:sz w:val="24"/>
          <w:szCs w:val="24"/>
        </w:rPr>
      </w:pPr>
      <w:r>
        <w:drawing>
          <wp:inline distT="0" distB="0" distL="114300" distR="114300">
            <wp:extent cx="9525000" cy="37147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4E4AA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9"/>
          <w:rFonts w:hint="default" w:ascii="Times New Roman" w:hAnsi="Times New Roman" w:cs="Times New Roman"/>
          <w:b/>
          <w:sz w:val="24"/>
          <w:szCs w:val="24"/>
        </w:rPr>
        <w:t>Supplementary Figure S1</w:t>
      </w:r>
      <w:r>
        <w:rPr>
          <w:rStyle w:val="9"/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1: </w:t>
      </w:r>
      <w:r>
        <w:rPr>
          <w:rStyle w:val="9"/>
          <w:rFonts w:hint="default" w:ascii="Times New Roman" w:hAnsi="Times New Roman" w:cs="Times New Roman"/>
          <w:b/>
          <w:sz w:val="24"/>
          <w:szCs w:val="24"/>
        </w:rPr>
        <w:t>Leave-one-out sensitivity analysis for the association between bone metastasis and VTE risk</w:t>
      </w:r>
    </w:p>
    <w:p w14:paraId="7810D1A9">
      <w:pPr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drawing>
          <wp:inline distT="0" distB="0" distL="114300" distR="114300">
            <wp:extent cx="5486400" cy="2133600"/>
            <wp:effectExtent l="0" t="0" r="0" b="0"/>
            <wp:docPr id="3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D64CA"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cs="Times New Roman"/>
          <w:sz w:val="24"/>
          <w:szCs w:val="24"/>
        </w:rPr>
      </w:pPr>
      <w:r>
        <w:rPr>
          <w:rStyle w:val="9"/>
          <w:rFonts w:hint="default" w:ascii="Times New Roman" w:hAnsi="Times New Roman" w:cs="Times New Roman"/>
          <w:b/>
          <w:sz w:val="24"/>
          <w:szCs w:val="24"/>
        </w:rPr>
        <w:t>Supplementary Figure S1</w:t>
      </w:r>
      <w:r>
        <w:rPr>
          <w:rStyle w:val="9"/>
          <w:rFonts w:hint="default" w:ascii="Times New Roman" w:hAnsi="Times New Roman" w:cs="Times New Roman"/>
          <w:b/>
          <w:sz w:val="24"/>
          <w:szCs w:val="24"/>
          <w:lang w:val="en-US" w:eastAsia="zh-CN"/>
        </w:rPr>
        <w:t xml:space="preserve">2: </w:t>
      </w:r>
      <w:r>
        <w:rPr>
          <w:rStyle w:val="9"/>
          <w:rFonts w:hint="default" w:ascii="Times New Roman" w:hAnsi="Times New Roman" w:cs="Times New Roman"/>
          <w:b/>
          <w:sz w:val="24"/>
          <w:szCs w:val="24"/>
        </w:rPr>
        <w:t>Fixed-effect model analysis for the association between bone metastasis and VTE risk</w:t>
      </w:r>
    </w:p>
    <w:p w14:paraId="4D019D85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8782050" cy="30099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78205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8369" w:h="12983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AC7EF2"/>
    <w:rsid w:val="302A7074"/>
    <w:rsid w:val="38084878"/>
    <w:rsid w:val="46377DB5"/>
    <w:rsid w:val="4F3302E1"/>
    <w:rsid w:val="558D7D08"/>
    <w:rsid w:val="5BA13C6D"/>
    <w:rsid w:val="5E8E0BF6"/>
    <w:rsid w:val="6885769C"/>
    <w:rsid w:val="6CCA6778"/>
    <w:rsid w:val="6F7A1D34"/>
    <w:rsid w:val="724A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TML Code"/>
    <w:basedOn w:val="8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968</Words>
  <Characters>6282</Characters>
  <Lines>0</Lines>
  <Paragraphs>0</Paragraphs>
  <TotalTime>10</TotalTime>
  <ScaleCrop>false</ScaleCrop>
  <LinksUpToDate>false</LinksUpToDate>
  <CharactersWithSpaces>7086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2026-02-10T10:38:00Z</dcterms:created>
  <dc:creator>KIM`STAR</dc:creator>
  <cp:lastModifiedBy>kim ^star</cp:lastModifiedBy>
  <dcterms:modified xsi:type="dcterms:W3CDTF">2026-03-31T08:11:29Z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eyJoZGlkIjoiYjU1NmZmY2YwNjA2ZDViNDdiZjUxM2Y1N2VkYjM2YjYiLCJ1c2VySWQiOiIyNjc0NzEzNTQifQ==</vt:lpwstr>
  </property>
  <property fmtid="{D5CDD505-2E9C-101B-9397-08002B2CF9AE}" pid="4" name="ICV">
    <vt:lpwstr>9A1CF6B18210443C878E0FE9144EFE0B_12</vt:lpwstr>
  </property>
</Properties>
</file>