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CACFF" w14:textId="77777777" w:rsidR="002A3ABF" w:rsidRDefault="002A3ABF" w:rsidP="002A3ABF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s</w:t>
      </w:r>
      <w:r w:rsidRPr="003809A1">
        <w:rPr>
          <w:rFonts w:hint="eastAsia"/>
          <w:b/>
          <w:bCs/>
          <w:sz w:val="28"/>
          <w:szCs w:val="28"/>
        </w:rPr>
        <w:t>Figure</w:t>
      </w:r>
      <w:r>
        <w:rPr>
          <w:rFonts w:hint="eastAsia"/>
          <w:b/>
          <w:bCs/>
          <w:sz w:val="28"/>
          <w:szCs w:val="28"/>
        </w:rPr>
        <w:t>1</w:t>
      </w:r>
      <w:r w:rsidRPr="003809A1">
        <w:rPr>
          <w:rFonts w:hint="eastAsia"/>
          <w:b/>
          <w:bCs/>
          <w:sz w:val="28"/>
          <w:szCs w:val="28"/>
        </w:rPr>
        <w:t xml:space="preserve">: </w:t>
      </w:r>
      <w:r w:rsidRPr="003809A1">
        <w:rPr>
          <w:b/>
          <w:bCs/>
          <w:sz w:val="28"/>
          <w:szCs w:val="28"/>
        </w:rPr>
        <w:t>Decision curve analysis (DCA) of the prediction model</w:t>
      </w:r>
    </w:p>
    <w:p w14:paraId="3BD5AEDE" w14:textId="77777777" w:rsidR="002A3ABF" w:rsidRDefault="002A3ABF" w:rsidP="002A3ABF">
      <w:pPr>
        <w:keepNext/>
        <w:jc w:val="center"/>
      </w:pPr>
      <w:r>
        <w:rPr>
          <w:b/>
          <w:bCs/>
          <w:noProof/>
          <w:sz w:val="28"/>
          <w:szCs w:val="28"/>
        </w:rPr>
        <w:drawing>
          <wp:inline distT="0" distB="0" distL="0" distR="0" wp14:anchorId="0A6BDB14" wp14:editId="66C03EBE">
            <wp:extent cx="4470400" cy="3814209"/>
            <wp:effectExtent l="0" t="0" r="6350" b="0"/>
            <wp:docPr id="6719384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187" cy="38191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A25AC9" w14:textId="77777777" w:rsidR="002A3ABF" w:rsidRPr="003809A1" w:rsidRDefault="002A3ABF" w:rsidP="002A3ABF">
      <w:pPr>
        <w:pStyle w:val="af2"/>
        <w:jc w:val="center"/>
        <w:rPr>
          <w:rFonts w:ascii="Times New Roman" w:hAnsi="Times New Roman" w:cs="Times New Roman"/>
          <w:sz w:val="21"/>
          <w:szCs w:val="21"/>
        </w:rPr>
      </w:pPr>
      <w:proofErr w:type="spellStart"/>
      <w:r w:rsidRPr="003809A1">
        <w:rPr>
          <w:rFonts w:ascii="Times New Roman" w:hAnsi="Times New Roman" w:cs="Times New Roman"/>
          <w:sz w:val="21"/>
          <w:szCs w:val="21"/>
        </w:rPr>
        <w:t>sFigure</w:t>
      </w:r>
      <w:proofErr w:type="spellEnd"/>
      <w:r w:rsidRPr="003809A1">
        <w:rPr>
          <w:rFonts w:ascii="Times New Roman" w:hAnsi="Times New Roman" w:cs="Times New Roman"/>
          <w:sz w:val="21"/>
          <w:szCs w:val="21"/>
        </w:rPr>
        <w:t xml:space="preserve"> </w:t>
      </w:r>
      <w:r w:rsidRPr="003809A1">
        <w:rPr>
          <w:rFonts w:ascii="Times New Roman" w:hAnsi="Times New Roman" w:cs="Times New Roman"/>
          <w:sz w:val="21"/>
          <w:szCs w:val="21"/>
        </w:rPr>
        <w:fldChar w:fldCharType="begin"/>
      </w:r>
      <w:r w:rsidRPr="003809A1">
        <w:rPr>
          <w:rFonts w:ascii="Times New Roman" w:hAnsi="Times New Roman" w:cs="Times New Roman"/>
          <w:sz w:val="21"/>
          <w:szCs w:val="21"/>
        </w:rPr>
        <w:instrText xml:space="preserve"> SEQ sFigure \* ARABIC </w:instrText>
      </w:r>
      <w:r w:rsidRPr="003809A1">
        <w:rPr>
          <w:rFonts w:ascii="Times New Roman" w:hAnsi="Times New Roman" w:cs="Times New Roman"/>
          <w:sz w:val="21"/>
          <w:szCs w:val="21"/>
        </w:rPr>
        <w:fldChar w:fldCharType="separate"/>
      </w:r>
      <w:r w:rsidRPr="003809A1">
        <w:rPr>
          <w:rFonts w:ascii="Times New Roman" w:hAnsi="Times New Roman" w:cs="Times New Roman" w:hint="eastAsia"/>
          <w:sz w:val="21"/>
          <w:szCs w:val="21"/>
        </w:rPr>
        <w:t>1</w:t>
      </w:r>
      <w:r w:rsidRPr="003809A1">
        <w:rPr>
          <w:rFonts w:ascii="Times New Roman" w:hAnsi="Times New Roman" w:cs="Times New Roman"/>
          <w:sz w:val="21"/>
          <w:szCs w:val="21"/>
        </w:rPr>
        <w:fldChar w:fldCharType="end"/>
      </w:r>
      <w:r w:rsidRPr="003809A1">
        <w:rPr>
          <w:rFonts w:ascii="Times New Roman" w:hAnsi="Times New Roman" w:cs="Times New Roman" w:hint="eastAsia"/>
          <w:sz w:val="21"/>
          <w:szCs w:val="21"/>
        </w:rPr>
        <w:t>:</w:t>
      </w:r>
      <w:r w:rsidRPr="003809A1">
        <w:rPr>
          <w:rFonts w:ascii="Times New Roman" w:hAnsi="Times New Roman" w:cs="Times New Roman"/>
          <w:sz w:val="21"/>
          <w:szCs w:val="21"/>
        </w:rPr>
        <w:t xml:space="preserve"> F, DCA was used to evaluate the predictive performance of the indicators.</w:t>
      </w:r>
    </w:p>
    <w:p w14:paraId="62818638" w14:textId="77777777" w:rsidR="002A3ABF" w:rsidRPr="00E62D67" w:rsidRDefault="002A3ABF" w:rsidP="002A3ABF">
      <w:pPr>
        <w:rPr>
          <w:b/>
          <w:bCs/>
          <w:sz w:val="28"/>
          <w:szCs w:val="28"/>
        </w:rPr>
      </w:pPr>
      <w:r w:rsidRPr="00FE41F3">
        <w:rPr>
          <w:rFonts w:hint="eastAsia"/>
          <w:b/>
          <w:bCs/>
          <w:sz w:val="28"/>
          <w:szCs w:val="28"/>
        </w:rPr>
        <w:t>sFigure</w:t>
      </w:r>
      <w:r>
        <w:rPr>
          <w:rFonts w:hint="eastAsia"/>
          <w:b/>
          <w:bCs/>
          <w:sz w:val="28"/>
          <w:szCs w:val="28"/>
        </w:rPr>
        <w:t>2</w:t>
      </w:r>
      <w:r w:rsidRPr="00FE41F3">
        <w:rPr>
          <w:rFonts w:hint="eastAsia"/>
          <w:b/>
          <w:bCs/>
          <w:sz w:val="28"/>
          <w:szCs w:val="28"/>
        </w:rPr>
        <w:t>:</w:t>
      </w:r>
      <w:r w:rsidRPr="00FE41F3">
        <w:rPr>
          <w:b/>
          <w:bCs/>
          <w:sz w:val="28"/>
          <w:szCs w:val="28"/>
        </w:rPr>
        <w:t xml:space="preserve"> </w:t>
      </w:r>
      <w:r w:rsidRPr="00DF522A">
        <w:rPr>
          <w:b/>
          <w:bCs/>
          <w:sz w:val="28"/>
          <w:szCs w:val="28"/>
          <w:highlight w:val="yellow"/>
        </w:rPr>
        <w:t xml:space="preserve">Serum levels of </w:t>
      </w:r>
      <w:r w:rsidRPr="00DF522A">
        <w:rPr>
          <w:rFonts w:hint="eastAsia"/>
          <w:b/>
          <w:bCs/>
          <w:sz w:val="28"/>
          <w:szCs w:val="28"/>
          <w:highlight w:val="yellow"/>
        </w:rPr>
        <w:t>CRP,</w:t>
      </w:r>
      <w:r>
        <w:rPr>
          <w:rFonts w:hint="eastAsia"/>
          <w:b/>
          <w:bCs/>
          <w:sz w:val="28"/>
          <w:szCs w:val="28"/>
          <w:highlight w:val="yellow"/>
        </w:rPr>
        <w:t xml:space="preserve"> </w:t>
      </w:r>
      <w:r w:rsidRPr="00DF522A">
        <w:rPr>
          <w:b/>
          <w:bCs/>
          <w:sz w:val="28"/>
          <w:szCs w:val="28"/>
          <w:highlight w:val="yellow"/>
        </w:rPr>
        <w:t>PCT, IL-6, C3, and C4</w:t>
      </w:r>
    </w:p>
    <w:p w14:paraId="1E06EAD6" w14:textId="77777777" w:rsidR="002A3ABF" w:rsidRDefault="002A3ABF" w:rsidP="002A3ABF">
      <w:pPr>
        <w:rPr>
          <w:b/>
          <w:bCs/>
          <w:sz w:val="28"/>
          <w:szCs w:val="28"/>
        </w:rPr>
      </w:pPr>
      <w:r w:rsidRPr="00DF522A">
        <w:rPr>
          <w:b/>
          <w:bCs/>
          <w:noProof/>
          <w:sz w:val="28"/>
          <w:szCs w:val="28"/>
        </w:rPr>
        <w:drawing>
          <wp:inline distT="0" distB="0" distL="0" distR="0" wp14:anchorId="7833ECDD" wp14:editId="7B12E56C">
            <wp:extent cx="5909945" cy="3190702"/>
            <wp:effectExtent l="0" t="0" r="0" b="0"/>
            <wp:docPr id="15527699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686" cy="320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86D5B" w14:textId="77777777" w:rsidR="00BC272B" w:rsidRDefault="00BC272B"/>
    <w:sectPr w:rsidR="00BC27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9CEEB" w14:textId="77777777" w:rsidR="00A4528C" w:rsidRDefault="00A4528C" w:rsidP="002A3ABF">
      <w:pPr>
        <w:spacing w:after="0" w:line="240" w:lineRule="auto"/>
      </w:pPr>
      <w:r>
        <w:separator/>
      </w:r>
    </w:p>
  </w:endnote>
  <w:endnote w:type="continuationSeparator" w:id="0">
    <w:p w14:paraId="55FF9E6F" w14:textId="77777777" w:rsidR="00A4528C" w:rsidRDefault="00A4528C" w:rsidP="002A3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09CEB" w14:textId="77777777" w:rsidR="00A4528C" w:rsidRDefault="00A4528C" w:rsidP="002A3ABF">
      <w:pPr>
        <w:spacing w:after="0" w:line="240" w:lineRule="auto"/>
      </w:pPr>
      <w:r>
        <w:separator/>
      </w:r>
    </w:p>
  </w:footnote>
  <w:footnote w:type="continuationSeparator" w:id="0">
    <w:p w14:paraId="076B64D8" w14:textId="77777777" w:rsidR="00A4528C" w:rsidRDefault="00A4528C" w:rsidP="002A3A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A4A"/>
    <w:rsid w:val="000128BF"/>
    <w:rsid w:val="00121674"/>
    <w:rsid w:val="002A3ABF"/>
    <w:rsid w:val="009216DF"/>
    <w:rsid w:val="009A2119"/>
    <w:rsid w:val="009A42AD"/>
    <w:rsid w:val="00A4528C"/>
    <w:rsid w:val="00AB7966"/>
    <w:rsid w:val="00BC272B"/>
    <w:rsid w:val="00C61044"/>
    <w:rsid w:val="00C75A4A"/>
    <w:rsid w:val="00CD28B1"/>
    <w:rsid w:val="00F561BD"/>
    <w:rsid w:val="00F9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957B931-4C03-421C-A9E9-A49E5BD28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3AB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75A4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5A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5A4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5A4A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5A4A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5A4A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5A4A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5A4A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5A4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75A4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75A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75A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75A4A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75A4A"/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75A4A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75A4A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75A4A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75A4A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75A4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75A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5A4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75A4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5A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75A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5A4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5A4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5A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75A4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75A4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A3AB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A3AB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A3AB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A3ABF"/>
    <w:rPr>
      <w:sz w:val="18"/>
      <w:szCs w:val="18"/>
    </w:rPr>
  </w:style>
  <w:style w:type="paragraph" w:styleId="af2">
    <w:name w:val="caption"/>
    <w:basedOn w:val="a"/>
    <w:next w:val="a"/>
    <w:uiPriority w:val="35"/>
    <w:unhideWhenUsed/>
    <w:qFormat/>
    <w:rsid w:val="002A3ABF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anhua xiao</dc:creator>
  <cp:keywords/>
  <dc:description/>
  <cp:lastModifiedBy>anhua xiao</cp:lastModifiedBy>
  <cp:revision>2</cp:revision>
  <dcterms:created xsi:type="dcterms:W3CDTF">2026-07-27T01:38:00Z</dcterms:created>
  <dcterms:modified xsi:type="dcterms:W3CDTF">2026-07-27T01:39:00Z</dcterms:modified>
</cp:coreProperties>
</file>