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3B" w:rsidRDefault="0041523B" w:rsidP="0041523B">
      <w:pPr>
        <w:spacing w:line="480" w:lineRule="auto"/>
        <w:rPr>
          <w:noProof/>
        </w:rPr>
      </w:pPr>
      <w:r>
        <w:rPr>
          <w:noProof/>
        </w:rPr>
        <w:t>Additional</w:t>
      </w:r>
      <w:r w:rsidR="0079287E">
        <w:rPr>
          <w:noProof/>
        </w:rPr>
        <w:t xml:space="preserve"> file 2:</w:t>
      </w:r>
      <w:r>
        <w:rPr>
          <w:noProof/>
        </w:rPr>
        <w:t xml:space="preserve"> Figure </w:t>
      </w:r>
      <w:r w:rsidR="0079287E">
        <w:rPr>
          <w:noProof/>
        </w:rPr>
        <w:t>S</w:t>
      </w:r>
      <w:r>
        <w:rPr>
          <w:noProof/>
        </w:rPr>
        <w:t>1: Distribution of publications by region and country</w:t>
      </w:r>
    </w:p>
    <w:p w:rsidR="0041523B" w:rsidRDefault="0041523B" w:rsidP="0041523B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>
            <wp:extent cx="10057765" cy="4158615"/>
            <wp:effectExtent l="0" t="0" r="26035" b="32385"/>
            <wp:docPr id="6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B6D1E" w:rsidRDefault="004B6D1E" w:rsidP="009761B9">
      <w:pPr>
        <w:spacing w:line="480" w:lineRule="auto"/>
        <w:rPr>
          <w:noProof/>
        </w:rPr>
      </w:pPr>
      <w:bookmarkStart w:id="0" w:name="_GoBack"/>
      <w:bookmarkEnd w:id="0"/>
    </w:p>
    <w:sectPr w:rsidR="004B6D1E" w:rsidSect="0041523B">
      <w:pgSz w:w="16840" w:h="11901" w:orient="landscape"/>
      <w:pgMar w:top="1758" w:right="851" w:bottom="17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1523B"/>
    <w:rsid w:val="0041523B"/>
    <w:rsid w:val="00475C57"/>
    <w:rsid w:val="004B6D1E"/>
    <w:rsid w:val="0079287E"/>
    <w:rsid w:val="009761B9"/>
    <w:rsid w:val="00A3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3B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2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3B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3B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2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3B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elenSchneider:Dropbox:PhD:CHW%20tables%20and%20diagrammes-updated25M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diagrammes!$A$16:$B$64</c:f>
              <c:multiLvlStrCache>
                <c:ptCount val="49"/>
                <c:lvl>
                  <c:pt idx="0">
                    <c:v>South Africa</c:v>
                  </c:pt>
                  <c:pt idx="1">
                    <c:v>Ethiopia</c:v>
                  </c:pt>
                  <c:pt idx="2">
                    <c:v>Uganda</c:v>
                  </c:pt>
                  <c:pt idx="3">
                    <c:v>Malawi</c:v>
                  </c:pt>
                  <c:pt idx="4">
                    <c:v>Kenya</c:v>
                  </c:pt>
                  <c:pt idx="5">
                    <c:v>Zambia</c:v>
                  </c:pt>
                  <c:pt idx="6">
                    <c:v>Ghana</c:v>
                  </c:pt>
                  <c:pt idx="7">
                    <c:v>Tanzania</c:v>
                  </c:pt>
                  <c:pt idx="8">
                    <c:v>Nigeria</c:v>
                  </c:pt>
                  <c:pt idx="9">
                    <c:v>Rwanda</c:v>
                  </c:pt>
                  <c:pt idx="10">
                    <c:v>Senegal</c:v>
                  </c:pt>
                  <c:pt idx="11">
                    <c:v>Madagascar</c:v>
                  </c:pt>
                  <c:pt idx="12">
                    <c:v>Cameroon</c:v>
                  </c:pt>
                  <c:pt idx="13">
                    <c:v>Lesotho</c:v>
                  </c:pt>
                  <c:pt idx="14">
                    <c:v>DRC</c:v>
                  </c:pt>
                  <c:pt idx="15">
                    <c:v>South Sudan</c:v>
                  </c:pt>
                  <c:pt idx="16">
                    <c:v>Angola</c:v>
                  </c:pt>
                  <c:pt idx="17">
                    <c:v>Botswana</c:v>
                  </c:pt>
                  <c:pt idx="18">
                    <c:v>Burkino Faso</c:v>
                  </c:pt>
                  <c:pt idx="19">
                    <c:v>Gambia </c:v>
                  </c:pt>
                  <c:pt idx="20">
                    <c:v>Guinea-Bissau</c:v>
                  </c:pt>
                  <c:pt idx="21">
                    <c:v>Liberia</c:v>
                  </c:pt>
                  <c:pt idx="22">
                    <c:v>Mozambique</c:v>
                  </c:pt>
                  <c:pt idx="23">
                    <c:v>Sierra Leone</c:v>
                  </c:pt>
                  <c:pt idx="24">
                    <c:v>2 or more </c:v>
                  </c:pt>
                  <c:pt idx="25">
                    <c:v>India</c:v>
                  </c:pt>
                  <c:pt idx="26">
                    <c:v>Pakistan</c:v>
                  </c:pt>
                  <c:pt idx="27">
                    <c:v>Bangladesh</c:v>
                  </c:pt>
                  <c:pt idx="28">
                    <c:v>Nepal</c:v>
                  </c:pt>
                  <c:pt idx="29">
                    <c:v>Thailand</c:v>
                  </c:pt>
                  <c:pt idx="30">
                    <c:v>China</c:v>
                  </c:pt>
                  <c:pt idx="31">
                    <c:v>Cambodia</c:v>
                  </c:pt>
                  <c:pt idx="32">
                    <c:v>Afghanistan</c:v>
                  </c:pt>
                  <c:pt idx="33">
                    <c:v>Burma</c:v>
                  </c:pt>
                  <c:pt idx="34">
                    <c:v>Laos</c:v>
                  </c:pt>
                  <c:pt idx="35">
                    <c:v>Vietnam</c:v>
                  </c:pt>
                  <c:pt idx="36">
                    <c:v>Indonesia</c:v>
                  </c:pt>
                  <c:pt idx="37">
                    <c:v>Mongolia</c:v>
                  </c:pt>
                  <c:pt idx="38">
                    <c:v>PNG</c:v>
                  </c:pt>
                  <c:pt idx="39">
                    <c:v>2 or more</c:v>
                  </c:pt>
                  <c:pt idx="40">
                    <c:v>Brazil</c:v>
                  </c:pt>
                  <c:pt idx="41">
                    <c:v>Haiti</c:v>
                  </c:pt>
                  <c:pt idx="42">
                    <c:v>Mexico</c:v>
                  </c:pt>
                  <c:pt idx="43">
                    <c:v>Honduras</c:v>
                  </c:pt>
                  <c:pt idx="44">
                    <c:v>Nicaragua</c:v>
                  </c:pt>
                  <c:pt idx="45">
                    <c:v>Chile</c:v>
                  </c:pt>
                  <c:pt idx="46">
                    <c:v>Guatemala</c:v>
                  </c:pt>
                  <c:pt idx="47">
                    <c:v>Iran</c:v>
                  </c:pt>
                  <c:pt idx="48">
                    <c:v>Cross Region</c:v>
                  </c:pt>
                </c:lvl>
                <c:lvl>
                  <c:pt idx="0">
                    <c:v>Africa</c:v>
                  </c:pt>
                  <c:pt idx="25">
                    <c:v>Asia/Pacific</c:v>
                  </c:pt>
                  <c:pt idx="40">
                    <c:v>Americas</c:v>
                  </c:pt>
                  <c:pt idx="47">
                    <c:v>ME</c:v>
                  </c:pt>
                </c:lvl>
              </c:multiLvlStrCache>
            </c:multiLvlStrRef>
          </c:cat>
          <c:val>
            <c:numRef>
              <c:f>diagrammes!$C$16:$C$64</c:f>
              <c:numCache>
                <c:formatCode>General</c:formatCode>
                <c:ptCount val="49"/>
                <c:pt idx="0">
                  <c:v>71.0</c:v>
                </c:pt>
                <c:pt idx="1">
                  <c:v>39.0</c:v>
                </c:pt>
                <c:pt idx="2">
                  <c:v>34.0</c:v>
                </c:pt>
                <c:pt idx="3">
                  <c:v>32.0</c:v>
                </c:pt>
                <c:pt idx="4">
                  <c:v>31.0</c:v>
                </c:pt>
                <c:pt idx="5">
                  <c:v>20.0</c:v>
                </c:pt>
                <c:pt idx="6">
                  <c:v>17.0</c:v>
                </c:pt>
                <c:pt idx="7">
                  <c:v>16.0</c:v>
                </c:pt>
                <c:pt idx="8">
                  <c:v>14.0</c:v>
                </c:pt>
                <c:pt idx="9">
                  <c:v>11.0</c:v>
                </c:pt>
                <c:pt idx="10">
                  <c:v>7.0</c:v>
                </c:pt>
                <c:pt idx="11">
                  <c:v>3.0</c:v>
                </c:pt>
                <c:pt idx="12">
                  <c:v>2.0</c:v>
                </c:pt>
                <c:pt idx="13">
                  <c:v>2.0</c:v>
                </c:pt>
                <c:pt idx="14">
                  <c:v>2.0</c:v>
                </c:pt>
                <c:pt idx="15">
                  <c:v>2.0</c:v>
                </c:pt>
                <c:pt idx="16">
                  <c:v>1.0</c:v>
                </c:pt>
                <c:pt idx="17">
                  <c:v>1.0</c:v>
                </c:pt>
                <c:pt idx="18">
                  <c:v>1.0</c:v>
                </c:pt>
                <c:pt idx="19">
                  <c:v>1.0</c:v>
                </c:pt>
                <c:pt idx="20">
                  <c:v>1.0</c:v>
                </c:pt>
                <c:pt idx="21">
                  <c:v>1.0</c:v>
                </c:pt>
                <c:pt idx="22">
                  <c:v>1.0</c:v>
                </c:pt>
                <c:pt idx="23">
                  <c:v>1.0</c:v>
                </c:pt>
                <c:pt idx="24">
                  <c:v>34.0</c:v>
                </c:pt>
                <c:pt idx="25">
                  <c:v>70.0</c:v>
                </c:pt>
                <c:pt idx="26">
                  <c:v>32.0</c:v>
                </c:pt>
                <c:pt idx="27">
                  <c:v>28.0</c:v>
                </c:pt>
                <c:pt idx="28">
                  <c:v>19.0</c:v>
                </c:pt>
                <c:pt idx="29">
                  <c:v>12.0</c:v>
                </c:pt>
                <c:pt idx="30">
                  <c:v>9.0</c:v>
                </c:pt>
                <c:pt idx="31">
                  <c:v>7.0</c:v>
                </c:pt>
                <c:pt idx="32">
                  <c:v>6.0</c:v>
                </c:pt>
                <c:pt idx="33">
                  <c:v>6.0</c:v>
                </c:pt>
                <c:pt idx="34">
                  <c:v>3.0</c:v>
                </c:pt>
                <c:pt idx="35">
                  <c:v>3.0</c:v>
                </c:pt>
                <c:pt idx="36">
                  <c:v>2.0</c:v>
                </c:pt>
                <c:pt idx="37">
                  <c:v>1.0</c:v>
                </c:pt>
                <c:pt idx="38">
                  <c:v>1.0</c:v>
                </c:pt>
                <c:pt idx="39">
                  <c:v>3.0</c:v>
                </c:pt>
                <c:pt idx="40">
                  <c:v>60.0</c:v>
                </c:pt>
                <c:pt idx="41">
                  <c:v>6.0</c:v>
                </c:pt>
                <c:pt idx="42">
                  <c:v>3.0</c:v>
                </c:pt>
                <c:pt idx="43">
                  <c:v>2.0</c:v>
                </c:pt>
                <c:pt idx="44">
                  <c:v>2.0</c:v>
                </c:pt>
                <c:pt idx="45">
                  <c:v>1.0</c:v>
                </c:pt>
                <c:pt idx="46">
                  <c:v>1.0</c:v>
                </c:pt>
                <c:pt idx="47">
                  <c:v>12.0</c:v>
                </c:pt>
                <c:pt idx="48">
                  <c:v>44.0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6179624"/>
        <c:axId val="2129752408"/>
      </c:barChart>
      <c:catAx>
        <c:axId val="-2106179624"/>
        <c:scaling>
          <c:orientation val="minMax"/>
        </c:scaling>
        <c:delete val="0"/>
        <c:axPos val="b"/>
        <c:majorTickMark val="out"/>
        <c:minorTickMark val="none"/>
        <c:tickLblPos val="nextTo"/>
        <c:crossAx val="2129752408"/>
        <c:crosses val="autoZero"/>
        <c:auto val="1"/>
        <c:lblAlgn val="ctr"/>
        <c:lblOffset val="100"/>
        <c:noMultiLvlLbl val="0"/>
      </c:catAx>
      <c:valAx>
        <c:axId val="2129752408"/>
        <c:scaling>
          <c:orientation val="minMax"/>
          <c:max val="70.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# publications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06179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Macintosh Word</Application>
  <DocSecurity>0</DocSecurity>
  <Lines>1</Lines>
  <Paragraphs>1</Paragraphs>
  <ScaleCrop>false</ScaleCrop>
  <Company>UWC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HelenSchneider</dc:creator>
  <cp:keywords/>
  <dc:description/>
  <cp:lastModifiedBy>HelenSchneider</cp:lastModifiedBy>
  <cp:revision>2</cp:revision>
  <dcterms:created xsi:type="dcterms:W3CDTF">2016-10-24T18:49:00Z</dcterms:created>
  <dcterms:modified xsi:type="dcterms:W3CDTF">2016-10-24T18:49:00Z</dcterms:modified>
</cp:coreProperties>
</file>