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6D7" w:rsidRPr="0063687C" w:rsidRDefault="005516D7" w:rsidP="005516D7">
      <w:pPr>
        <w:widowControl w:val="0"/>
        <w:spacing w:line="480" w:lineRule="auto"/>
        <w:rPr>
          <w:rFonts w:asciiTheme="majorHAnsi" w:hAnsiTheme="majorHAnsi" w:cs="Times New Roman"/>
          <w:b/>
        </w:rPr>
      </w:pPr>
      <w:r w:rsidRPr="0063687C">
        <w:rPr>
          <w:rFonts w:asciiTheme="majorHAnsi" w:hAnsiTheme="majorHAnsi" w:cs="Times New Roman"/>
          <w:b/>
        </w:rPr>
        <w:t>Annex</w:t>
      </w:r>
      <w:r>
        <w:rPr>
          <w:rFonts w:asciiTheme="majorHAnsi" w:hAnsiTheme="majorHAnsi" w:cs="Times New Roman"/>
          <w:b/>
        </w:rPr>
        <w:t xml:space="preserve"> A:  Estimation Method for HRH Demand and Supply Projections</w:t>
      </w:r>
    </w:p>
    <w:p w:rsidR="005516D7" w:rsidRPr="0063687C" w:rsidRDefault="005516D7" w:rsidP="005516D7">
      <w:pPr>
        <w:widowControl w:val="0"/>
        <w:spacing w:line="480" w:lineRule="auto"/>
        <w:rPr>
          <w:rFonts w:asciiTheme="majorHAnsi" w:hAnsiTheme="majorHAnsi" w:cs="Times New Roman"/>
          <w:b/>
        </w:rPr>
      </w:pPr>
      <w:r>
        <w:rPr>
          <w:rFonts w:asciiTheme="majorHAnsi" w:hAnsiTheme="majorHAnsi" w:cs="Times New Roman"/>
          <w:b/>
        </w:rPr>
        <w:t xml:space="preserve"> </w:t>
      </w:r>
    </w:p>
    <w:p w:rsidR="005516D7" w:rsidRPr="0063687C" w:rsidRDefault="005516D7" w:rsidP="005516D7">
      <w:pPr>
        <w:widowControl w:val="0"/>
        <w:autoSpaceDE w:val="0"/>
        <w:autoSpaceDN w:val="0"/>
        <w:adjustRightInd w:val="0"/>
        <w:spacing w:line="480" w:lineRule="auto"/>
        <w:rPr>
          <w:rFonts w:asciiTheme="majorHAnsi" w:hAnsiTheme="majorHAnsi" w:cs="Times New Roman"/>
          <w:b/>
        </w:rPr>
      </w:pPr>
      <w:r>
        <w:rPr>
          <w:rFonts w:asciiTheme="majorHAnsi" w:hAnsiTheme="majorHAnsi" w:cs="Times New Roman"/>
          <w:b/>
        </w:rPr>
        <w:t>A</w:t>
      </w:r>
      <w:r w:rsidRPr="0063687C">
        <w:rPr>
          <w:rFonts w:asciiTheme="majorHAnsi" w:hAnsiTheme="majorHAnsi" w:cs="Times New Roman"/>
          <w:b/>
        </w:rPr>
        <w:t>1. Methodological overview</w:t>
      </w:r>
    </w:p>
    <w:p w:rsidR="005516D7" w:rsidRPr="0005270B" w:rsidRDefault="005516D7" w:rsidP="005516D7">
      <w:pPr>
        <w:widowControl w:val="0"/>
        <w:autoSpaceDE w:val="0"/>
        <w:autoSpaceDN w:val="0"/>
        <w:adjustRightInd w:val="0"/>
        <w:spacing w:line="480" w:lineRule="auto"/>
        <w:rPr>
          <w:rFonts w:asciiTheme="majorHAnsi" w:hAnsiTheme="majorHAnsi" w:cs="Times New Roman"/>
        </w:rPr>
      </w:pPr>
      <w:r w:rsidRPr="0005270B">
        <w:rPr>
          <w:rFonts w:asciiTheme="majorHAnsi" w:hAnsiTheme="majorHAnsi"/>
        </w:rPr>
        <w:t xml:space="preserve">The steps in economic modeling of projected health workforce numbers are described in reference to the illustrative example depicted in Figure A.1. </w:t>
      </w:r>
      <w:r w:rsidRPr="0005270B">
        <w:rPr>
          <w:rFonts w:asciiTheme="majorHAnsi" w:hAnsiTheme="majorHAnsi" w:cs="Times New Roman"/>
        </w:rPr>
        <w:t xml:space="preserve">The demand model (D) reflects the number of workers that will be demanded in each country given anticipated economic and demographic conditions. In other words, this is the size of the workforce that a country is likely to be able to afford. We then compare this to the projected supply of health workers based on the historical trend in health workers for each country (S). The surplus or shortage of per capita workers numbers can then be calculated as the difference between what is demanded and what is supplied. </w:t>
      </w:r>
    </w:p>
    <w:p w:rsidR="005516D7" w:rsidRPr="0005270B" w:rsidRDefault="005516D7" w:rsidP="005516D7">
      <w:pPr>
        <w:widowControl w:val="0"/>
        <w:autoSpaceDE w:val="0"/>
        <w:autoSpaceDN w:val="0"/>
        <w:adjustRightInd w:val="0"/>
        <w:spacing w:line="480" w:lineRule="auto"/>
        <w:rPr>
          <w:rFonts w:asciiTheme="majorHAnsi" w:hAnsiTheme="majorHAnsi" w:cs="Times New Roman"/>
        </w:rPr>
      </w:pPr>
    </w:p>
    <w:p w:rsidR="005516D7" w:rsidRPr="0005270B" w:rsidRDefault="005516D7" w:rsidP="005516D7">
      <w:pPr>
        <w:widowControl w:val="0"/>
        <w:autoSpaceDE w:val="0"/>
        <w:autoSpaceDN w:val="0"/>
        <w:adjustRightInd w:val="0"/>
        <w:spacing w:line="480" w:lineRule="auto"/>
        <w:rPr>
          <w:rFonts w:asciiTheme="majorHAnsi" w:hAnsiTheme="majorHAnsi" w:cs="Times New Roman"/>
        </w:rPr>
      </w:pPr>
      <w:r w:rsidRPr="0005270B">
        <w:rPr>
          <w:rFonts w:asciiTheme="majorHAnsi" w:hAnsiTheme="majorHAnsi" w:cs="Times New Roman"/>
        </w:rPr>
        <w:t xml:space="preserve">For example in Figure A.1, economic, health spending, and demographic changes may demand only 2.3 health workers per 1000 population by 2030, represented by the scenario D1. Compared to a projected supply of 3.4 physicians per 1000 population in 2030 (S), this would represent a surplus of health workers. In a different scenario, future shortages of health workers could occur in the scenario represented by D2 in which the 2.4 health workers per 1000 demanded in 2015 increases to 4.8 health workers per 1000 in 2030. This translates into a shortage of 0.45 health workers per 1000 in 2015, growing to 1.4 health workers per 1000 in 2030 if nothing is done to actively augment worker supply. </w:t>
      </w:r>
    </w:p>
    <w:p w:rsidR="005516D7" w:rsidRPr="0005270B" w:rsidRDefault="005516D7" w:rsidP="005516D7">
      <w:pPr>
        <w:widowControl w:val="0"/>
        <w:autoSpaceDE w:val="0"/>
        <w:autoSpaceDN w:val="0"/>
        <w:adjustRightInd w:val="0"/>
        <w:spacing w:line="480" w:lineRule="auto"/>
        <w:rPr>
          <w:rFonts w:asciiTheme="majorHAnsi" w:hAnsiTheme="majorHAnsi" w:cs="Times New Roman"/>
        </w:rPr>
      </w:pPr>
    </w:p>
    <w:p w:rsidR="005516D7" w:rsidRPr="0005270B" w:rsidRDefault="005516D7" w:rsidP="005516D7">
      <w:pPr>
        <w:widowControl w:val="0"/>
        <w:autoSpaceDE w:val="0"/>
        <w:autoSpaceDN w:val="0"/>
        <w:adjustRightInd w:val="0"/>
        <w:spacing w:line="480" w:lineRule="auto"/>
        <w:rPr>
          <w:rFonts w:asciiTheme="majorHAnsi" w:hAnsiTheme="majorHAnsi" w:cs="Times New Roman"/>
        </w:rPr>
      </w:pPr>
      <w:r w:rsidRPr="0005270B">
        <w:rPr>
          <w:rFonts w:asciiTheme="majorHAnsi" w:hAnsiTheme="majorHAnsi" w:cs="Times New Roman"/>
        </w:rPr>
        <w:t xml:space="preserve">For additional context, Figure A.1 also includes a needs-based (N) estimate that is commonly </w:t>
      </w:r>
      <w:r w:rsidRPr="0005270B">
        <w:rPr>
          <w:rFonts w:asciiTheme="majorHAnsi" w:hAnsiTheme="majorHAnsi" w:cs="Times New Roman"/>
        </w:rPr>
        <w:lastRenderedPageBreak/>
        <w:t xml:space="preserve">employed to assess the adequacy of the size of the health care workforce (WHO 2006). The needs-based forecast (N) reflects the number of physicians that would be required to reach a desired benchmark of service utilization (WHO 2006, Scheffler et al. 2013). In our illustrative example, there will be 4.1 health workers per 1000 population that needed to deliver healthcare services at the desired level of coverage, which corresponds to a shortage of health workers based on the need criterion. </w:t>
      </w:r>
    </w:p>
    <w:p w:rsidR="005516D7" w:rsidRPr="0005270B" w:rsidRDefault="005516D7" w:rsidP="005516D7">
      <w:pPr>
        <w:widowControl w:val="0"/>
        <w:autoSpaceDE w:val="0"/>
        <w:autoSpaceDN w:val="0"/>
        <w:adjustRightInd w:val="0"/>
        <w:spacing w:line="480" w:lineRule="auto"/>
        <w:rPr>
          <w:rFonts w:asciiTheme="majorHAnsi" w:hAnsiTheme="majorHAnsi" w:cs="Times New Roman"/>
        </w:rPr>
      </w:pPr>
    </w:p>
    <w:p w:rsidR="005516D7" w:rsidRPr="0005270B" w:rsidRDefault="005516D7" w:rsidP="005516D7">
      <w:pPr>
        <w:widowControl w:val="0"/>
        <w:autoSpaceDE w:val="0"/>
        <w:autoSpaceDN w:val="0"/>
        <w:adjustRightInd w:val="0"/>
        <w:spacing w:line="480" w:lineRule="auto"/>
        <w:rPr>
          <w:rFonts w:asciiTheme="majorHAnsi" w:hAnsiTheme="majorHAnsi" w:cs="Times New Roman"/>
        </w:rPr>
      </w:pPr>
      <w:r w:rsidRPr="0005270B">
        <w:rPr>
          <w:rFonts w:asciiTheme="majorHAnsi" w:hAnsiTheme="majorHAnsi" w:cs="Times New Roman"/>
        </w:rPr>
        <w:t xml:space="preserve">We can then multiply this estimated shortage or surplus by projected population numbers to calculate the absolute deficit or excess numbers of health workers. </w:t>
      </w:r>
    </w:p>
    <w:p w:rsidR="005516D7" w:rsidRDefault="005516D7" w:rsidP="005516D7">
      <w:pPr>
        <w:widowControl w:val="0"/>
        <w:autoSpaceDE w:val="0"/>
        <w:autoSpaceDN w:val="0"/>
        <w:adjustRightInd w:val="0"/>
        <w:spacing w:line="480" w:lineRule="auto"/>
        <w:rPr>
          <w:rFonts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The steps in estimating the future demand and supply of health workers are as follows:</w:t>
      </w:r>
    </w:p>
    <w:p w:rsidR="005516D7" w:rsidRPr="0063687C" w:rsidRDefault="005516D7" w:rsidP="005516D7">
      <w:pPr>
        <w:pStyle w:val="ListParagraph"/>
        <w:widowControl w:val="0"/>
        <w:numPr>
          <w:ilvl w:val="0"/>
          <w:numId w:val="3"/>
        </w:numPr>
        <w:autoSpaceDE w:val="0"/>
        <w:autoSpaceDN w:val="0"/>
        <w:adjustRightInd w:val="0"/>
        <w:spacing w:after="120" w:line="480" w:lineRule="auto"/>
        <w:contextualSpacing w:val="0"/>
        <w:rPr>
          <w:rFonts w:asciiTheme="majorHAnsi" w:hAnsiTheme="majorHAnsi" w:cs="Times New Roman"/>
        </w:rPr>
      </w:pPr>
      <w:r w:rsidRPr="0063687C">
        <w:rPr>
          <w:rFonts w:asciiTheme="majorHAnsi" w:hAnsiTheme="majorHAnsi" w:cs="Times New Roman"/>
        </w:rPr>
        <w:t>Estimate an economic model that predicts the density of physicians (i.e. per 1000 population) that will be demanded in each country given predicted future growth in income, out-of-pocket (OOP) health expenditures, and size of the population aged 65 or over. A ratio of 2.517 nurses/midwives to physicians is then applied to obtain the numbers of nurses/midwives. Constant multipliers by income level are then applied to the combined demand densities of physicians and nurses/midwives to obtain estimates of all other health worker demand densities. Projected population size is then used to calculate the corresponding numbers of workers that will be demanded. The number of physicians, nurses/midwives, and all other workers (AOWs) are then summed to obtain an aggregate estimate of the number of total health workers demanded.</w:t>
      </w:r>
    </w:p>
    <w:p w:rsidR="005516D7" w:rsidRPr="0063687C" w:rsidRDefault="005516D7" w:rsidP="005516D7">
      <w:pPr>
        <w:pStyle w:val="ListParagraph"/>
        <w:widowControl w:val="0"/>
        <w:numPr>
          <w:ilvl w:val="0"/>
          <w:numId w:val="3"/>
        </w:numPr>
        <w:autoSpaceDE w:val="0"/>
        <w:autoSpaceDN w:val="0"/>
        <w:adjustRightInd w:val="0"/>
        <w:spacing w:after="120" w:line="480" w:lineRule="auto"/>
        <w:contextualSpacing w:val="0"/>
        <w:rPr>
          <w:rFonts w:asciiTheme="majorHAnsi" w:hAnsiTheme="majorHAnsi" w:cs="Times New Roman"/>
        </w:rPr>
      </w:pPr>
      <w:r w:rsidRPr="0063687C">
        <w:rPr>
          <w:rFonts w:asciiTheme="majorHAnsi" w:hAnsiTheme="majorHAnsi" w:cs="Times New Roman"/>
        </w:rPr>
        <w:t>Project the future supply of physicians and nurses/midwives per 1000 population for each country between 2013</w:t>
      </w:r>
      <w:r>
        <w:rPr>
          <w:rFonts w:asciiTheme="majorHAnsi" w:hAnsiTheme="majorHAnsi" w:cs="Times New Roman"/>
        </w:rPr>
        <w:t xml:space="preserve"> and </w:t>
      </w:r>
      <w:r w:rsidRPr="0063687C">
        <w:rPr>
          <w:rFonts w:asciiTheme="majorHAnsi" w:hAnsiTheme="majorHAnsi" w:cs="Times New Roman"/>
        </w:rPr>
        <w:t>2030, based on historical trends</w:t>
      </w:r>
      <w:r>
        <w:rPr>
          <w:rFonts w:asciiTheme="majorHAnsi" w:hAnsiTheme="majorHAnsi" w:cs="Times New Roman"/>
        </w:rPr>
        <w:t xml:space="preserve"> via a simple linear projection</w:t>
      </w:r>
      <w:r w:rsidRPr="0063687C">
        <w:rPr>
          <w:rFonts w:asciiTheme="majorHAnsi" w:hAnsiTheme="majorHAnsi" w:cs="Times New Roman"/>
        </w:rPr>
        <w:t>. Constant multipliers by income level are then applied to the combined supply densities of physicians and nurses/midwives to obtain supply density estimates of AOWs. Projected population size is then used to calculate the corresponding numbers of workers of each cadre that could be supplied for each future year.</w:t>
      </w:r>
    </w:p>
    <w:p w:rsidR="005516D7" w:rsidRPr="0076634E" w:rsidRDefault="005516D7" w:rsidP="005516D7">
      <w:pPr>
        <w:pStyle w:val="ListParagraph"/>
        <w:widowControl w:val="0"/>
        <w:numPr>
          <w:ilvl w:val="0"/>
          <w:numId w:val="3"/>
        </w:numPr>
        <w:autoSpaceDE w:val="0"/>
        <w:autoSpaceDN w:val="0"/>
        <w:adjustRightInd w:val="0"/>
        <w:spacing w:after="120" w:line="480" w:lineRule="auto"/>
        <w:contextualSpacing w:val="0"/>
        <w:rPr>
          <w:rFonts w:asciiTheme="majorHAnsi" w:hAnsiTheme="majorHAnsi" w:cs="Times New Roman"/>
        </w:rPr>
      </w:pPr>
      <w:r>
        <w:rPr>
          <w:noProof/>
        </w:rPr>
        <mc:AlternateContent>
          <mc:Choice Requires="wps">
            <w:drawing>
              <wp:anchor distT="0" distB="0" distL="114300" distR="114300" simplePos="0" relativeHeight="251659264" behindDoc="0" locked="0" layoutInCell="1" allowOverlap="1" wp14:anchorId="57309381" wp14:editId="7D97A403">
                <wp:simplePos x="0" y="0"/>
                <wp:positionH relativeFrom="column">
                  <wp:posOffset>-62865</wp:posOffset>
                </wp:positionH>
                <wp:positionV relativeFrom="paragraph">
                  <wp:posOffset>1953260</wp:posOffset>
                </wp:positionV>
                <wp:extent cx="6057900" cy="3200400"/>
                <wp:effectExtent l="0" t="0" r="38100" b="2540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32004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516D7" w:rsidRPr="006B7734" w:rsidRDefault="005516D7" w:rsidP="005516D7">
                            <w:pPr>
                              <w:rPr>
                                <w:rFonts w:asciiTheme="majorHAnsi" w:hAnsiTheme="majorHAnsi"/>
                                <w:b/>
                              </w:rPr>
                            </w:pPr>
                            <w:r w:rsidRPr="006B7734">
                              <w:rPr>
                                <w:rFonts w:asciiTheme="majorHAnsi" w:hAnsiTheme="majorHAnsi"/>
                                <w:b/>
                              </w:rPr>
                              <w:t>Figure A.1 Conceptual framework for projecting health worker labor supply and demand</w:t>
                            </w:r>
                          </w:p>
                          <w:p w:rsidR="005516D7" w:rsidRDefault="005516D7" w:rsidP="005516D7">
                            <w:r>
                              <w:rPr>
                                <w:noProof/>
                              </w:rPr>
                              <w:drawing>
                                <wp:inline distT="0" distB="0" distL="0" distR="0" wp14:anchorId="2FA96F51" wp14:editId="12205477">
                                  <wp:extent cx="6078220" cy="2966720"/>
                                  <wp:effectExtent l="0" t="0" r="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4.9pt;margin-top:153.8pt;width:477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" filled="f" strokecolor="black [3213]">
                <v:path arrowok="t"/>
                <v:textbox>
                  <w:txbxContent>
                    <w:p w:rsidR="005516D7" w:rsidRPr="006B7734" w:rsidRDefault="005516D7" w:rsidP="005516D7">
                      <w:pPr>
                        <w:rPr>
                          <w:rFonts w:asciiTheme="majorHAnsi" w:hAnsiTheme="majorHAnsi"/>
                          <w:b/>
                        </w:rPr>
                      </w:pPr>
                      <w:r w:rsidRPr="006B7734">
                        <w:rPr>
                          <w:rFonts w:asciiTheme="majorHAnsi" w:hAnsiTheme="majorHAnsi"/>
                          <w:b/>
                        </w:rPr>
                        <w:t>Figure A.1 Conceptual framework for projecting health worker labor supply and demand</w:t>
                      </w:r>
                    </w:p>
                    <w:p w:rsidR="005516D7" w:rsidRDefault="005516D7" w:rsidP="005516D7">
                      <w:r>
                        <w:rPr>
                          <w:noProof/>
                        </w:rPr>
                        <w:drawing>
                          <wp:inline distT="0" distB="0" distL="0" distR="0" wp14:anchorId="2FA96F51" wp14:editId="12205477">
                            <wp:extent cx="6078220" cy="2966720"/>
                            <wp:effectExtent l="0" t="0" r="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w10:wrap type="topAndBottom"/>
              </v:shape>
            </w:pict>
          </mc:Fallback>
        </mc:AlternateContent>
      </w:r>
      <w:r w:rsidRPr="0063687C">
        <w:rPr>
          <w:rFonts w:asciiTheme="majorHAnsi" w:hAnsiTheme="majorHAnsi" w:cs="Times New Roman"/>
        </w:rPr>
        <w:t xml:space="preserve">The </w:t>
      </w:r>
      <w:r>
        <w:rPr>
          <w:rFonts w:asciiTheme="majorHAnsi" w:hAnsiTheme="majorHAnsi" w:cs="Times New Roman"/>
        </w:rPr>
        <w:t>project</w:t>
      </w:r>
      <w:r w:rsidRPr="0063687C">
        <w:rPr>
          <w:rFonts w:asciiTheme="majorHAnsi" w:hAnsiTheme="majorHAnsi" w:cs="Times New Roman"/>
        </w:rPr>
        <w:t xml:space="preserve">ed numbers of total health workers demanded in 2030 is then compared to the number supplied in 2030. A country is deemed to have a shortage of health workers in 2030 if the number of workers demanded exceeds the number supplied. The total number of health workers in countries that are predicted to have a shortage in 2030 are then summed by World Bank region and income level. </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Default="005516D7" w:rsidP="005516D7">
      <w:pPr>
        <w:widowControl w:val="0"/>
        <w:autoSpaceDE w:val="0"/>
        <w:autoSpaceDN w:val="0"/>
        <w:adjustRightInd w:val="0"/>
        <w:spacing w:line="480" w:lineRule="auto"/>
        <w:rPr>
          <w:rFonts w:asciiTheme="majorHAnsi" w:hAnsiTheme="majorHAnsi" w:cs="Times New Roman"/>
        </w:rPr>
      </w:pPr>
      <w:r>
        <w:rPr>
          <w:rFonts w:asciiTheme="majorHAnsi" w:hAnsiTheme="majorHAnsi" w:cs="Times New Roman"/>
        </w:rPr>
        <w:t>It is important to note that demand and supply are endogenously related in the labor market. However, we employ different methods to project each that seeks to address potential endogeneity. Namely, we purposively employ a linear growth projection model for supply that is based solely on an exogenous time trend. Further, all parameter inputs into the demand model are lagged up to five years to ensure the direction of causality.</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spacing w:line="480" w:lineRule="auto"/>
        <w:rPr>
          <w:rFonts w:asciiTheme="majorHAnsi" w:hAnsiTheme="majorHAnsi" w:cs="Times New Roman"/>
          <w:b/>
        </w:rPr>
      </w:pPr>
      <w:r>
        <w:rPr>
          <w:rFonts w:asciiTheme="majorHAnsi" w:hAnsiTheme="majorHAnsi" w:cs="Times New Roman"/>
          <w:b/>
        </w:rPr>
        <w:t>A</w:t>
      </w:r>
      <w:r w:rsidRPr="0063687C">
        <w:rPr>
          <w:rFonts w:asciiTheme="majorHAnsi" w:hAnsiTheme="majorHAnsi" w:cs="Times New Roman"/>
          <w:b/>
        </w:rPr>
        <w:t>2. Data sources</w:t>
      </w:r>
    </w:p>
    <w:p w:rsidR="005516D7" w:rsidRPr="0063687C" w:rsidRDefault="005516D7" w:rsidP="005516D7">
      <w:pPr>
        <w:widowControl w:val="0"/>
        <w:spacing w:line="480" w:lineRule="auto"/>
        <w:rPr>
          <w:rFonts w:asciiTheme="majorHAnsi" w:hAnsiTheme="majorHAnsi" w:cs="Times New Roman"/>
        </w:rPr>
      </w:pPr>
      <w:r w:rsidRPr="0063687C">
        <w:rPr>
          <w:rFonts w:asciiTheme="majorHAnsi" w:hAnsiTheme="majorHAnsi" w:cs="Times New Roman"/>
        </w:rPr>
        <w:t xml:space="preserve">The data sources used in this exercise are outlined in </w:t>
      </w:r>
      <w:r w:rsidRPr="0063687C">
        <w:rPr>
          <w:rFonts w:asciiTheme="majorHAnsi" w:hAnsiTheme="majorHAnsi" w:cs="Times New Roman"/>
          <w:b/>
        </w:rPr>
        <w:t xml:space="preserve">Table </w:t>
      </w:r>
      <w:r>
        <w:rPr>
          <w:rFonts w:asciiTheme="majorHAnsi" w:hAnsiTheme="majorHAnsi" w:cs="Times New Roman"/>
          <w:b/>
        </w:rPr>
        <w:t>A</w:t>
      </w:r>
      <w:r w:rsidRPr="0063687C">
        <w:rPr>
          <w:rFonts w:asciiTheme="majorHAnsi" w:hAnsiTheme="majorHAnsi" w:cs="Times New Roman"/>
          <w:b/>
        </w:rPr>
        <w:t>1.</w:t>
      </w:r>
      <w:r w:rsidRPr="0063687C">
        <w:rPr>
          <w:rFonts w:asciiTheme="majorHAnsi" w:hAnsiTheme="majorHAnsi" w:cs="Times New Roman"/>
        </w:rPr>
        <w:t xml:space="preserve"> All available data points for all countries/territories and years indicated were downloaded and merged together.</w:t>
      </w:r>
    </w:p>
    <w:p w:rsidR="005516D7" w:rsidRPr="0063687C" w:rsidRDefault="005516D7" w:rsidP="005516D7">
      <w:pPr>
        <w:widowControl w:val="0"/>
        <w:spacing w:line="480" w:lineRule="auto"/>
        <w:rPr>
          <w:rFonts w:asciiTheme="majorHAnsi" w:hAnsiTheme="majorHAnsi" w:cs="Times New Roman"/>
        </w:rPr>
      </w:pPr>
    </w:p>
    <w:p w:rsidR="005516D7" w:rsidRPr="0076634E" w:rsidRDefault="005516D7" w:rsidP="005516D7">
      <w:pPr>
        <w:pStyle w:val="Caption"/>
        <w:spacing w:after="0" w:line="480" w:lineRule="auto"/>
        <w:rPr>
          <w:rFonts w:cs="Times New Roman"/>
          <w:szCs w:val="24"/>
        </w:rPr>
      </w:pPr>
      <w:r w:rsidRPr="0063687C">
        <w:rPr>
          <w:rFonts w:cs="Times New Roman"/>
          <w:szCs w:val="24"/>
        </w:rPr>
        <w:t xml:space="preserve">Table </w:t>
      </w:r>
      <w:r>
        <w:rPr>
          <w:rFonts w:cs="Times New Roman"/>
          <w:szCs w:val="24"/>
        </w:rPr>
        <w:t>A</w:t>
      </w:r>
      <w:r w:rsidRPr="0063687C">
        <w:rPr>
          <w:rFonts w:cs="Times New Roman"/>
          <w:szCs w:val="24"/>
        </w:rPr>
        <w:fldChar w:fldCharType="begin"/>
      </w:r>
      <w:r w:rsidRPr="0063687C">
        <w:rPr>
          <w:rFonts w:cs="Times New Roman"/>
          <w:szCs w:val="24"/>
        </w:rPr>
        <w:instrText xml:space="preserve"> SEQ Table_A \* ARABIC </w:instrText>
      </w:r>
      <w:r w:rsidRPr="0063687C">
        <w:rPr>
          <w:rFonts w:cs="Times New Roman"/>
          <w:szCs w:val="24"/>
        </w:rPr>
        <w:fldChar w:fldCharType="separate"/>
      </w:r>
      <w:r>
        <w:rPr>
          <w:rFonts w:cs="Times New Roman"/>
          <w:noProof/>
          <w:szCs w:val="24"/>
        </w:rPr>
        <w:t>1</w:t>
      </w:r>
      <w:r w:rsidRPr="0063687C">
        <w:rPr>
          <w:rFonts w:cs="Times New Roman"/>
          <w:noProof/>
          <w:szCs w:val="24"/>
        </w:rPr>
        <w:fldChar w:fldCharType="end"/>
      </w:r>
      <w:r w:rsidRPr="0063687C">
        <w:rPr>
          <w:rFonts w:cs="Times New Roman"/>
          <w:szCs w:val="24"/>
        </w:rPr>
        <w:t xml:space="preserve"> Data sources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617"/>
        <w:gridCol w:w="1443"/>
        <w:gridCol w:w="4588"/>
      </w:tblGrid>
      <w:tr w:rsidR="005516D7" w:rsidRPr="0063687C" w:rsidTr="002605E3">
        <w:trPr>
          <w:cantSplit/>
          <w:tblHeader/>
        </w:trPr>
        <w:tc>
          <w:tcPr>
            <w:tcW w:w="3618" w:type="dxa"/>
            <w:shd w:val="clear" w:color="auto" w:fill="auto"/>
          </w:tcPr>
          <w:p w:rsidR="005516D7" w:rsidRPr="00EE0139" w:rsidRDefault="005516D7" w:rsidP="002605E3">
            <w:pPr>
              <w:widowControl w:val="0"/>
              <w:rPr>
                <w:rFonts w:asciiTheme="majorHAnsi" w:hAnsiTheme="majorHAnsi" w:cs="Times New Roman"/>
                <w:b/>
              </w:rPr>
            </w:pPr>
            <w:r>
              <w:rPr>
                <w:rFonts w:asciiTheme="majorHAnsi" w:hAnsiTheme="majorHAnsi" w:cs="Times New Roman"/>
                <w:b/>
              </w:rPr>
              <w:t>Indicator</w:t>
            </w:r>
          </w:p>
        </w:tc>
        <w:tc>
          <w:tcPr>
            <w:tcW w:w="1440" w:type="dxa"/>
            <w:shd w:val="clear" w:color="auto" w:fill="auto"/>
          </w:tcPr>
          <w:p w:rsidR="005516D7" w:rsidRPr="0076634E" w:rsidRDefault="005516D7" w:rsidP="002605E3">
            <w:pPr>
              <w:widowControl w:val="0"/>
              <w:rPr>
                <w:rFonts w:asciiTheme="majorHAnsi" w:hAnsiTheme="majorHAnsi" w:cs="Times New Roman"/>
                <w:b/>
              </w:rPr>
            </w:pPr>
            <w:r>
              <w:rPr>
                <w:rFonts w:asciiTheme="majorHAnsi" w:hAnsiTheme="majorHAnsi" w:cs="Times New Roman"/>
                <w:b/>
              </w:rPr>
              <w:t>Years</w:t>
            </w:r>
          </w:p>
        </w:tc>
        <w:tc>
          <w:tcPr>
            <w:tcW w:w="4590" w:type="dxa"/>
            <w:shd w:val="clear" w:color="auto" w:fill="auto"/>
          </w:tcPr>
          <w:p w:rsidR="005516D7" w:rsidRPr="00EE0139" w:rsidRDefault="005516D7" w:rsidP="002605E3">
            <w:pPr>
              <w:widowControl w:val="0"/>
              <w:rPr>
                <w:rFonts w:asciiTheme="majorHAnsi" w:hAnsiTheme="majorHAnsi" w:cs="Times New Roman"/>
                <w:b/>
              </w:rPr>
            </w:pPr>
            <w:r w:rsidRPr="00EE0139">
              <w:rPr>
                <w:rFonts w:asciiTheme="majorHAnsi" w:hAnsiTheme="majorHAnsi" w:cs="Times New Roman"/>
                <w:b/>
              </w:rPr>
              <w:t>Source</w:t>
            </w:r>
          </w:p>
        </w:tc>
      </w:tr>
      <w:tr w:rsidR="005516D7" w:rsidRPr="0063687C" w:rsidTr="002605E3">
        <w:tc>
          <w:tcPr>
            <w:tcW w:w="361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Number of physicians and nurse/midwives per 1000 population</w:t>
            </w:r>
          </w:p>
        </w:tc>
        <w:tc>
          <w:tcPr>
            <w:tcW w:w="144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1990-2013</w:t>
            </w:r>
          </w:p>
        </w:tc>
        <w:tc>
          <w:tcPr>
            <w:tcW w:w="4590"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WHO Global Health Observatory</w:t>
            </w:r>
          </w:p>
        </w:tc>
      </w:tr>
      <w:tr w:rsidR="005516D7" w:rsidRPr="0063687C" w:rsidTr="002605E3">
        <w:tc>
          <w:tcPr>
            <w:tcW w:w="361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Total population, Population aged 65 or over</w:t>
            </w:r>
          </w:p>
        </w:tc>
        <w:tc>
          <w:tcPr>
            <w:tcW w:w="144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1980-2030</w:t>
            </w:r>
          </w:p>
        </w:tc>
        <w:tc>
          <w:tcPr>
            <w:tcW w:w="4590"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color w:val="000000"/>
              </w:rPr>
              <w:t>United Nations, Department of Economic and Social Affairs, Population Division</w:t>
            </w:r>
          </w:p>
        </w:tc>
      </w:tr>
      <w:tr w:rsidR="005516D7" w:rsidRPr="0063687C" w:rsidTr="002605E3">
        <w:trPr>
          <w:trHeight w:val="205"/>
        </w:trPr>
        <w:tc>
          <w:tcPr>
            <w:tcW w:w="361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 xml:space="preserve">Real </w:t>
            </w:r>
            <w:r>
              <w:rPr>
                <w:rFonts w:asciiTheme="majorHAnsi" w:hAnsiTheme="majorHAnsi" w:cs="Times New Roman"/>
              </w:rPr>
              <w:t>GDP</w:t>
            </w:r>
            <w:r w:rsidRPr="0063687C">
              <w:rPr>
                <w:rFonts w:asciiTheme="majorHAnsi" w:hAnsiTheme="majorHAnsi" w:cs="Times New Roman"/>
              </w:rPr>
              <w:t xml:space="preserve"> per capita (2011 PPP $)</w:t>
            </w:r>
          </w:p>
        </w:tc>
        <w:tc>
          <w:tcPr>
            <w:tcW w:w="144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1995 - 2030</w:t>
            </w:r>
          </w:p>
        </w:tc>
        <w:tc>
          <w:tcPr>
            <w:tcW w:w="4590" w:type="dxa"/>
            <w:shd w:val="clear" w:color="auto" w:fill="auto"/>
          </w:tcPr>
          <w:p w:rsidR="005516D7" w:rsidRPr="0063687C" w:rsidRDefault="005516D7" w:rsidP="002605E3">
            <w:pPr>
              <w:rPr>
                <w:rFonts w:asciiTheme="majorHAnsi" w:hAnsiTheme="majorHAnsi" w:cs="Times New Roman"/>
              </w:rPr>
            </w:pPr>
            <w:r>
              <w:rPr>
                <w:rFonts w:asciiTheme="majorHAnsi" w:hAnsiTheme="majorHAnsi" w:cs="Times New Roman"/>
              </w:rPr>
              <w:t>See Annex 2, estimation by Patrick Eozenou</w:t>
            </w:r>
          </w:p>
        </w:tc>
      </w:tr>
      <w:tr w:rsidR="005516D7" w:rsidRPr="0063687C" w:rsidTr="002605E3">
        <w:trPr>
          <w:trHeight w:val="205"/>
        </w:trPr>
        <w:tc>
          <w:tcPr>
            <w:tcW w:w="361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 xml:space="preserve">Total health expenditures per capita (PPP constant 2011 international $), Percent of total health expenditures spent out-of-pocket </w:t>
            </w:r>
          </w:p>
        </w:tc>
        <w:tc>
          <w:tcPr>
            <w:tcW w:w="1444" w:type="dxa"/>
            <w:shd w:val="clear" w:color="auto" w:fill="auto"/>
          </w:tcPr>
          <w:p w:rsidR="005516D7" w:rsidRPr="0063687C" w:rsidRDefault="005516D7" w:rsidP="002605E3">
            <w:pPr>
              <w:widowControl w:val="0"/>
              <w:rPr>
                <w:rFonts w:asciiTheme="majorHAnsi" w:hAnsiTheme="majorHAnsi" w:cs="Times New Roman"/>
              </w:rPr>
            </w:pPr>
            <w:r w:rsidRPr="0063687C">
              <w:rPr>
                <w:rFonts w:asciiTheme="majorHAnsi" w:hAnsiTheme="majorHAnsi" w:cs="Times New Roman"/>
              </w:rPr>
              <w:t>1995-2013</w:t>
            </w:r>
          </w:p>
        </w:tc>
        <w:tc>
          <w:tcPr>
            <w:tcW w:w="4590" w:type="dxa"/>
            <w:shd w:val="clear" w:color="auto" w:fill="auto"/>
          </w:tcPr>
          <w:p w:rsidR="005516D7" w:rsidRPr="0063687C" w:rsidRDefault="005516D7" w:rsidP="002605E3">
            <w:pPr>
              <w:rPr>
                <w:rFonts w:asciiTheme="majorHAnsi" w:hAnsiTheme="majorHAnsi" w:cs="Times New Roman"/>
                <w:highlight w:val="yellow"/>
              </w:rPr>
            </w:pPr>
            <w:r w:rsidRPr="0063687C">
              <w:rPr>
                <w:rFonts w:asciiTheme="majorHAnsi" w:hAnsiTheme="majorHAnsi" w:cs="Times New Roman"/>
              </w:rPr>
              <w:t xml:space="preserve">World Development Indicators, extracted from the WHO Global Health Expenditure database </w:t>
            </w:r>
          </w:p>
        </w:tc>
      </w:tr>
    </w:tbl>
    <w:p w:rsidR="005516D7" w:rsidRPr="0063687C" w:rsidRDefault="005516D7" w:rsidP="005516D7">
      <w:pPr>
        <w:widowControl w:val="0"/>
        <w:spacing w:line="480" w:lineRule="auto"/>
        <w:rPr>
          <w:rFonts w:asciiTheme="majorHAnsi" w:hAnsiTheme="majorHAnsi" w:cs="Times New Roman"/>
        </w:rPr>
      </w:pPr>
    </w:p>
    <w:p w:rsidR="005516D7" w:rsidRPr="0063687C" w:rsidRDefault="005516D7" w:rsidP="005516D7">
      <w:pPr>
        <w:widowControl w:val="0"/>
        <w:spacing w:line="480" w:lineRule="auto"/>
        <w:rPr>
          <w:rFonts w:asciiTheme="majorHAnsi" w:hAnsiTheme="majorHAnsi" w:cs="Times New Roman"/>
        </w:rPr>
      </w:pPr>
      <w:r w:rsidRPr="0063687C">
        <w:rPr>
          <w:rFonts w:asciiTheme="majorHAnsi" w:hAnsiTheme="majorHAnsi" w:cs="Times New Roman"/>
        </w:rPr>
        <w:t>Data on worker density from the WHO Global Health Observatory database for 193 countries were first cleaned to remove obvious outliers due to misreporting. In each of the country-year observations listed in Table S2, outliers were replaced with missing data so that estimated growth rates would not be unduly influenced by arbitrary substitution.</w:t>
      </w:r>
    </w:p>
    <w:p w:rsidR="005516D7" w:rsidRDefault="005516D7" w:rsidP="005516D7">
      <w:pPr>
        <w:widowControl w:val="0"/>
        <w:spacing w:line="480" w:lineRule="auto"/>
        <w:rPr>
          <w:rFonts w:asciiTheme="majorHAnsi" w:hAnsiTheme="majorHAnsi" w:cs="Times New Roman"/>
        </w:rPr>
      </w:pPr>
    </w:p>
    <w:p w:rsidR="005516D7" w:rsidRPr="0063687C" w:rsidRDefault="005516D7" w:rsidP="005516D7">
      <w:pPr>
        <w:widowControl w:val="0"/>
        <w:spacing w:line="480" w:lineRule="auto"/>
        <w:rPr>
          <w:rFonts w:asciiTheme="majorHAnsi" w:hAnsiTheme="majorHAnsi" w:cs="Times New Roman"/>
        </w:rPr>
      </w:pPr>
    </w:p>
    <w:tbl>
      <w:tblPr>
        <w:tblStyle w:val="TableGrid"/>
        <w:tblW w:w="0" w:type="auto"/>
        <w:tblInd w:w="720" w:type="dxa"/>
        <w:tblLook w:val="04A0" w:firstRow="1" w:lastRow="0" w:firstColumn="1" w:lastColumn="0" w:noHBand="0" w:noVBand="1"/>
      </w:tblPr>
      <w:tblGrid>
        <w:gridCol w:w="2988"/>
        <w:gridCol w:w="2520"/>
      </w:tblGrid>
      <w:tr w:rsidR="005516D7" w:rsidRPr="0063687C" w:rsidTr="002605E3">
        <w:tc>
          <w:tcPr>
            <w:tcW w:w="5508" w:type="dxa"/>
            <w:gridSpan w:val="2"/>
            <w:tcBorders>
              <w:top w:val="nil"/>
              <w:left w:val="nil"/>
              <w:bottom w:val="single" w:sz="4" w:space="0" w:color="auto"/>
              <w:right w:val="nil"/>
            </w:tcBorders>
            <w:shd w:val="clear" w:color="auto" w:fill="auto"/>
          </w:tcPr>
          <w:p w:rsidR="005516D7" w:rsidRPr="0063687C" w:rsidRDefault="005516D7" w:rsidP="002605E3">
            <w:pPr>
              <w:pStyle w:val="ListParagraph"/>
              <w:ind w:left="0"/>
              <w:rPr>
                <w:rFonts w:asciiTheme="majorHAnsi" w:hAnsiTheme="majorHAnsi" w:cs="Times New Roman"/>
                <w:b/>
              </w:rPr>
            </w:pPr>
            <w:r w:rsidRPr="0063687C">
              <w:rPr>
                <w:rFonts w:asciiTheme="majorHAnsi" w:hAnsiTheme="majorHAnsi" w:cs="Times New Roman"/>
                <w:b/>
              </w:rPr>
              <w:t xml:space="preserve">Table </w:t>
            </w:r>
            <w:r>
              <w:rPr>
                <w:rFonts w:asciiTheme="majorHAnsi" w:hAnsiTheme="majorHAnsi" w:cs="Times New Roman"/>
                <w:b/>
              </w:rPr>
              <w:t>A</w:t>
            </w:r>
            <w:r w:rsidRPr="0063687C">
              <w:rPr>
                <w:rFonts w:asciiTheme="majorHAnsi" w:hAnsiTheme="majorHAnsi" w:cs="Times New Roman"/>
                <w:b/>
              </w:rPr>
              <w:t>2 Workers per 1000 population data outliers</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EE0139" w:rsidRDefault="005516D7" w:rsidP="002605E3">
            <w:pPr>
              <w:pStyle w:val="ListParagraph"/>
              <w:ind w:left="0"/>
              <w:rPr>
                <w:rFonts w:asciiTheme="majorHAnsi" w:hAnsiTheme="majorHAnsi" w:cs="Times New Roman"/>
                <w:b/>
                <w:color w:val="000000" w:themeColor="text1"/>
              </w:rPr>
            </w:pPr>
            <w:r w:rsidRPr="00EE0139">
              <w:rPr>
                <w:rFonts w:asciiTheme="majorHAnsi" w:hAnsiTheme="majorHAnsi" w:cs="Times New Roman"/>
                <w:b/>
                <w:color w:val="000000" w:themeColor="text1"/>
              </w:rPr>
              <w:t>Country</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EE0139" w:rsidRDefault="005516D7" w:rsidP="002605E3">
            <w:pPr>
              <w:pStyle w:val="ListParagraph"/>
              <w:ind w:left="0"/>
              <w:rPr>
                <w:rFonts w:asciiTheme="majorHAnsi" w:hAnsiTheme="majorHAnsi" w:cs="Times New Roman"/>
                <w:b/>
                <w:color w:val="000000" w:themeColor="text1"/>
              </w:rPr>
            </w:pPr>
            <w:r w:rsidRPr="00EE0139">
              <w:rPr>
                <w:rFonts w:asciiTheme="majorHAnsi" w:hAnsiTheme="majorHAnsi" w:cs="Times New Roman"/>
                <w:b/>
                <w:color w:val="000000" w:themeColor="text1"/>
              </w:rPr>
              <w:t>Years</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Bhutan</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2012</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Saint Lucia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1999</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Swaziland</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2000</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Bahrain</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2005, 2011</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Bolivia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2001</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Cabo Verde</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Cameroon</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Central African Republic</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Congo</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1998</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Ghana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Guinea-Bissau</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Guyana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Micronesia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2009</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Samoa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1999</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Sierra Leone</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Zambia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2004</w:t>
            </w:r>
          </w:p>
        </w:tc>
      </w:tr>
      <w:tr w:rsidR="005516D7" w:rsidRPr="0063687C" w:rsidTr="002605E3">
        <w:tc>
          <w:tcPr>
            <w:tcW w:w="2988"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India</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5516D7" w:rsidRPr="0063687C" w:rsidRDefault="005516D7" w:rsidP="002605E3">
            <w:pPr>
              <w:pStyle w:val="ListParagraph"/>
              <w:ind w:left="0"/>
              <w:rPr>
                <w:rFonts w:asciiTheme="majorHAnsi" w:hAnsiTheme="majorHAnsi" w:cs="Times New Roman"/>
              </w:rPr>
            </w:pPr>
            <w:r w:rsidRPr="0063687C">
              <w:rPr>
                <w:rFonts w:asciiTheme="majorHAnsi" w:hAnsiTheme="majorHAnsi" w:cs="Times New Roman"/>
              </w:rPr>
              <w:t>1991</w:t>
            </w:r>
          </w:p>
        </w:tc>
      </w:tr>
    </w:tbl>
    <w:p w:rsidR="005516D7" w:rsidRPr="0063687C" w:rsidRDefault="005516D7" w:rsidP="005516D7">
      <w:pPr>
        <w:widowControl w:val="0"/>
        <w:spacing w:line="480" w:lineRule="auto"/>
        <w:rPr>
          <w:rFonts w:asciiTheme="majorHAnsi" w:hAnsiTheme="majorHAnsi" w:cs="Times New Roman"/>
          <w:b/>
        </w:rPr>
      </w:pPr>
    </w:p>
    <w:p w:rsidR="005516D7" w:rsidRPr="006B7734" w:rsidRDefault="005516D7" w:rsidP="005516D7">
      <w:pPr>
        <w:widowControl w:val="0"/>
        <w:spacing w:line="480" w:lineRule="auto"/>
        <w:rPr>
          <w:rFonts w:asciiTheme="majorHAnsi" w:hAnsiTheme="majorHAnsi" w:cs="Times New Roman"/>
        </w:rPr>
      </w:pPr>
      <w:r w:rsidRPr="0063687C">
        <w:rPr>
          <w:rFonts w:asciiTheme="majorHAnsi" w:hAnsiTheme="majorHAnsi" w:cs="Times New Roman"/>
        </w:rPr>
        <w:t xml:space="preserve">Missing data points for physicians and nurses/midwives per 1000 population between any two real data points were then linearly interpolated. The resulting dataset of physicians and nurses/midwives per 1000 population that accounts for the data outliers in Table S1 and with interpolated values was used for both worker supply and demand </w:t>
      </w:r>
      <w:r>
        <w:rPr>
          <w:rFonts w:asciiTheme="majorHAnsi" w:hAnsiTheme="majorHAnsi" w:cs="Times New Roman"/>
        </w:rPr>
        <w:t>projections</w:t>
      </w:r>
      <w:r w:rsidRPr="0063687C">
        <w:rPr>
          <w:rFonts w:asciiTheme="majorHAnsi" w:hAnsiTheme="majorHAnsi" w:cs="Times New Roman"/>
        </w:rPr>
        <w:t>.</w:t>
      </w:r>
    </w:p>
    <w:p w:rsidR="005516D7" w:rsidRDefault="005516D7" w:rsidP="005516D7">
      <w:pPr>
        <w:spacing w:line="480" w:lineRule="auto"/>
        <w:rPr>
          <w:rFonts w:asciiTheme="majorHAnsi" w:hAnsiTheme="majorHAnsi" w:cs="Times New Roman"/>
          <w:b/>
        </w:rPr>
      </w:pPr>
    </w:p>
    <w:p w:rsidR="005516D7" w:rsidRPr="006B7734" w:rsidRDefault="005516D7" w:rsidP="005516D7">
      <w:pPr>
        <w:widowControl w:val="0"/>
        <w:spacing w:line="480" w:lineRule="auto"/>
        <w:rPr>
          <w:rFonts w:asciiTheme="majorHAnsi" w:hAnsiTheme="majorHAnsi" w:cs="Times New Roman"/>
          <w:b/>
        </w:rPr>
      </w:pPr>
      <w:r>
        <w:rPr>
          <w:rFonts w:asciiTheme="majorHAnsi" w:hAnsiTheme="majorHAnsi" w:cs="Times New Roman"/>
          <w:b/>
        </w:rPr>
        <w:t>A</w:t>
      </w:r>
      <w:r w:rsidRPr="0063687C">
        <w:rPr>
          <w:rFonts w:asciiTheme="majorHAnsi" w:hAnsiTheme="majorHAnsi" w:cs="Times New Roman"/>
          <w:b/>
        </w:rPr>
        <w:t>3. Demand model estimation and results</w:t>
      </w:r>
    </w:p>
    <w:p w:rsidR="005516D7" w:rsidRPr="006B7734" w:rsidRDefault="005516D7" w:rsidP="005516D7">
      <w:pPr>
        <w:widowControl w:val="0"/>
        <w:autoSpaceDE w:val="0"/>
        <w:autoSpaceDN w:val="0"/>
        <w:adjustRightInd w:val="0"/>
        <w:spacing w:line="480" w:lineRule="auto"/>
        <w:rPr>
          <w:rFonts w:asciiTheme="majorHAnsi" w:hAnsiTheme="majorHAnsi" w:cs="Times New Roman"/>
          <w:i/>
        </w:rPr>
      </w:pPr>
      <w:r w:rsidRPr="0063687C">
        <w:rPr>
          <w:rFonts w:asciiTheme="majorHAnsi" w:hAnsiTheme="majorHAnsi" w:cs="Times New Roman"/>
          <w:i/>
        </w:rPr>
        <w:t>Empirical specification</w:t>
      </w:r>
    </w:p>
    <w:p w:rsidR="005516D7"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Previous research has shown that indicators of gross domestic product or national income are the best predictors of health expenditures, of which, labor is the principle component (Cooper et al. 2003, Getzen 1990, Newhouse 1977, Plaff 1990). </w:t>
      </w:r>
      <w:r>
        <w:rPr>
          <w:rFonts w:asciiTheme="majorHAnsi" w:hAnsiTheme="majorHAnsi" w:cs="Times New Roman"/>
        </w:rPr>
        <w:t>To our knowledge, few have previously projected future health workforce labor market demand. Owing to data requirements, early works largely focus on specific developed countries for which data on health workers are more readily available (e.g. Korch et al. 2012, Basu &amp; Gupta 2004). Leveraging efforts to obtain cross-national and longitudinal data on health workers, Scheffler et al. (2008) were the first to forecast the demand, need, and supply of physicians for 158 countries with suitable data. While notable in the scope of global coverage, their resulting model relied on only one model parameter input—gross national income—to generate projections.</w:t>
      </w:r>
    </w:p>
    <w:p w:rsidR="005516D7" w:rsidRDefault="005516D7" w:rsidP="005516D7">
      <w:pPr>
        <w:widowControl w:val="0"/>
        <w:autoSpaceDE w:val="0"/>
        <w:autoSpaceDN w:val="0"/>
        <w:adjustRightInd w:val="0"/>
        <w:spacing w:line="480" w:lineRule="auto"/>
        <w:rPr>
          <w:rFonts w:asciiTheme="majorHAnsi" w:hAnsiTheme="majorHAnsi" w:cs="Times New Roman"/>
        </w:rPr>
      </w:pPr>
    </w:p>
    <w:p w:rsidR="005516D7" w:rsidRDefault="005516D7" w:rsidP="005516D7">
      <w:pPr>
        <w:widowControl w:val="0"/>
        <w:autoSpaceDE w:val="0"/>
        <w:autoSpaceDN w:val="0"/>
        <w:adjustRightInd w:val="0"/>
        <w:spacing w:line="480" w:lineRule="auto"/>
        <w:rPr>
          <w:rFonts w:asciiTheme="majorHAnsi" w:hAnsiTheme="majorHAnsi" w:cs="Times New Roman"/>
        </w:rPr>
      </w:pPr>
      <w:r>
        <w:rPr>
          <w:rFonts w:asciiTheme="majorHAnsi" w:hAnsiTheme="majorHAnsi" w:cs="Times New Roman"/>
        </w:rPr>
        <w:t xml:space="preserve">We build on directly on this previous work. Our </w:t>
      </w:r>
      <w:r w:rsidRPr="0063687C">
        <w:rPr>
          <w:rFonts w:asciiTheme="majorHAnsi" w:hAnsiTheme="majorHAnsi" w:cs="Times New Roman"/>
        </w:rPr>
        <w:t>demand</w:t>
      </w:r>
      <w:r>
        <w:rPr>
          <w:rFonts w:asciiTheme="majorHAnsi" w:hAnsiTheme="majorHAnsi" w:cs="Times New Roman"/>
        </w:rPr>
        <w:t xml:space="preserve"> model</w:t>
      </w:r>
      <w:r w:rsidRPr="0063687C">
        <w:rPr>
          <w:rFonts w:asciiTheme="majorHAnsi" w:hAnsiTheme="majorHAnsi" w:cs="Times New Roman"/>
        </w:rPr>
        <w:t xml:space="preserve"> </w:t>
      </w:r>
      <w:r>
        <w:rPr>
          <w:rFonts w:asciiTheme="majorHAnsi" w:hAnsiTheme="majorHAnsi" w:cs="Times New Roman"/>
        </w:rPr>
        <w:t>projection</w:t>
      </w:r>
      <w:r w:rsidRPr="0063687C">
        <w:rPr>
          <w:rFonts w:asciiTheme="majorHAnsi" w:hAnsiTheme="majorHAnsi" w:cs="Times New Roman"/>
        </w:rPr>
        <w:t xml:space="preserve"> utilizes per capita indicators of gross domestic product (GDP), based on purchasing power parity, 2011 constant international US dollars, household out-of-pocket (OOP) health expenditures, as well as the size of the population aged 65 or over as the main predictors. </w:t>
      </w:r>
      <w:r>
        <w:rPr>
          <w:rFonts w:asciiTheme="majorHAnsi" w:hAnsiTheme="majorHAnsi" w:cs="Times New Roman"/>
        </w:rPr>
        <w:t xml:space="preserve">We exclude additional structural factors affecting the labor market, such as attrition, training capacity, labor regulations, and migration, as these data are largely unavailable across countries or over time. </w:t>
      </w:r>
    </w:p>
    <w:p w:rsidR="005516D7" w:rsidRDefault="005516D7" w:rsidP="005516D7">
      <w:pPr>
        <w:widowControl w:val="0"/>
        <w:autoSpaceDE w:val="0"/>
        <w:autoSpaceDN w:val="0"/>
        <w:adjustRightInd w:val="0"/>
        <w:spacing w:line="480" w:lineRule="auto"/>
        <w:rPr>
          <w:rFonts w:asciiTheme="majorHAnsi" w:hAnsiTheme="majorHAnsi" w:cs="Times New Roman"/>
        </w:rPr>
      </w:pPr>
    </w:p>
    <w:p w:rsidR="005516D7" w:rsidRDefault="005516D7" w:rsidP="005516D7">
      <w:pPr>
        <w:widowControl w:val="0"/>
        <w:autoSpaceDE w:val="0"/>
        <w:autoSpaceDN w:val="0"/>
        <w:adjustRightInd w:val="0"/>
        <w:spacing w:line="480" w:lineRule="auto"/>
        <w:rPr>
          <w:rFonts w:asciiTheme="majorHAnsi" w:hAnsiTheme="majorHAnsi" w:cs="Times New Roman"/>
        </w:rPr>
      </w:pPr>
      <w:r>
        <w:rPr>
          <w:rFonts w:asciiTheme="majorHAnsi" w:hAnsiTheme="majorHAnsi" w:cs="Times New Roman"/>
        </w:rPr>
        <w:t>Each variable in our demand model is selected based on the following rationale:</w:t>
      </w:r>
    </w:p>
    <w:p w:rsidR="005516D7" w:rsidRDefault="005516D7" w:rsidP="005516D7">
      <w:pPr>
        <w:pStyle w:val="ListParagraph"/>
        <w:widowControl w:val="0"/>
        <w:numPr>
          <w:ilvl w:val="0"/>
          <w:numId w:val="12"/>
        </w:numPr>
        <w:autoSpaceDE w:val="0"/>
        <w:autoSpaceDN w:val="0"/>
        <w:adjustRightInd w:val="0"/>
        <w:spacing w:line="480" w:lineRule="auto"/>
        <w:rPr>
          <w:rFonts w:asciiTheme="majorHAnsi" w:hAnsiTheme="majorHAnsi" w:cs="Times New Roman"/>
        </w:rPr>
      </w:pPr>
      <w:r>
        <w:rPr>
          <w:rFonts w:asciiTheme="majorHAnsi" w:hAnsiTheme="majorHAnsi" w:cs="Times New Roman"/>
        </w:rPr>
        <w:t xml:space="preserve">GDP per capita: </w:t>
      </w:r>
      <w:r w:rsidRPr="0005270B">
        <w:rPr>
          <w:rFonts w:asciiTheme="majorHAnsi" w:hAnsiTheme="majorHAnsi" w:cs="Times New Roman"/>
        </w:rPr>
        <w:t>Overall economic growth is expected to drive demand for health care with a positive elasticity as a normal good</w:t>
      </w:r>
      <w:r>
        <w:rPr>
          <w:rFonts w:asciiTheme="majorHAnsi" w:hAnsiTheme="majorHAnsi" w:cs="Times New Roman"/>
        </w:rPr>
        <w:t>. Indicators of economic growth have been found to determine health worker employment (</w:t>
      </w:r>
      <w:r w:rsidRPr="0005270B">
        <w:rPr>
          <w:rFonts w:asciiTheme="majorHAnsi" w:hAnsiTheme="majorHAnsi" w:cs="Times New Roman"/>
        </w:rPr>
        <w:t xml:space="preserve">Cooper et al. 2003) and </w:t>
      </w:r>
      <w:r>
        <w:rPr>
          <w:rFonts w:asciiTheme="majorHAnsi" w:hAnsiTheme="majorHAnsi" w:cs="Times New Roman"/>
        </w:rPr>
        <w:t xml:space="preserve">have </w:t>
      </w:r>
      <w:r w:rsidRPr="0005270B">
        <w:rPr>
          <w:rFonts w:asciiTheme="majorHAnsi" w:hAnsiTheme="majorHAnsi" w:cs="Times New Roman"/>
        </w:rPr>
        <w:t>previous</w:t>
      </w:r>
      <w:r>
        <w:rPr>
          <w:rFonts w:asciiTheme="majorHAnsi" w:hAnsiTheme="majorHAnsi" w:cs="Times New Roman"/>
        </w:rPr>
        <w:t>ly</w:t>
      </w:r>
      <w:r w:rsidRPr="0005270B">
        <w:rPr>
          <w:rFonts w:asciiTheme="majorHAnsi" w:hAnsiTheme="majorHAnsi" w:cs="Times New Roman"/>
        </w:rPr>
        <w:t xml:space="preserve"> </w:t>
      </w:r>
      <w:r>
        <w:rPr>
          <w:rFonts w:asciiTheme="majorHAnsi" w:hAnsiTheme="majorHAnsi" w:cs="Times New Roman"/>
        </w:rPr>
        <w:t xml:space="preserve">formed the fundamental building blocks of </w:t>
      </w:r>
      <w:r w:rsidRPr="0005270B">
        <w:rPr>
          <w:rFonts w:asciiTheme="majorHAnsi" w:hAnsiTheme="majorHAnsi" w:cs="Times New Roman"/>
        </w:rPr>
        <w:t xml:space="preserve">forecast estimates </w:t>
      </w:r>
      <w:r>
        <w:rPr>
          <w:rFonts w:asciiTheme="majorHAnsi" w:hAnsiTheme="majorHAnsi" w:cs="Times New Roman"/>
        </w:rPr>
        <w:t xml:space="preserve">of physician demand </w:t>
      </w:r>
      <w:r w:rsidRPr="0005270B">
        <w:rPr>
          <w:rFonts w:asciiTheme="majorHAnsi" w:hAnsiTheme="majorHAnsi" w:cs="Times New Roman"/>
        </w:rPr>
        <w:t xml:space="preserve">by Scheffler et al. (2008). </w:t>
      </w:r>
    </w:p>
    <w:p w:rsidR="005516D7" w:rsidRDefault="005516D7" w:rsidP="005516D7">
      <w:pPr>
        <w:pStyle w:val="ListParagraph"/>
        <w:widowControl w:val="0"/>
        <w:numPr>
          <w:ilvl w:val="0"/>
          <w:numId w:val="12"/>
        </w:numPr>
        <w:autoSpaceDE w:val="0"/>
        <w:autoSpaceDN w:val="0"/>
        <w:adjustRightInd w:val="0"/>
        <w:spacing w:line="480" w:lineRule="auto"/>
        <w:rPr>
          <w:rFonts w:asciiTheme="majorHAnsi" w:hAnsiTheme="majorHAnsi" w:cs="Times New Roman"/>
        </w:rPr>
      </w:pPr>
      <w:r w:rsidRPr="0005270B">
        <w:rPr>
          <w:rFonts w:asciiTheme="majorHAnsi" w:hAnsiTheme="majorHAnsi" w:cs="Times New Roman"/>
        </w:rPr>
        <w:t xml:space="preserve">Household OOP health spending is included as a proxy measure of the generosity of health insurance coverage within a given country. As such, we expect higher OOP payments to lower the derived demand for health workers per capita; in other words, less generous coverage leaves individuals to pay more out of pocket. While overall healthcare spending may trend upward with national income, the portion spent OOP is largely determined by the level of coverage by health insurance, government subsidies, and other forms of risk pooling and financial protection. </w:t>
      </w:r>
    </w:p>
    <w:p w:rsidR="005516D7" w:rsidRPr="0005270B" w:rsidRDefault="005516D7" w:rsidP="005516D7">
      <w:pPr>
        <w:pStyle w:val="ListParagraph"/>
        <w:widowControl w:val="0"/>
        <w:numPr>
          <w:ilvl w:val="0"/>
          <w:numId w:val="12"/>
        </w:numPr>
        <w:autoSpaceDE w:val="0"/>
        <w:autoSpaceDN w:val="0"/>
        <w:adjustRightInd w:val="0"/>
        <w:spacing w:line="480" w:lineRule="auto"/>
        <w:rPr>
          <w:rFonts w:asciiTheme="majorHAnsi" w:hAnsiTheme="majorHAnsi" w:cs="Times New Roman"/>
        </w:rPr>
      </w:pPr>
      <w:r w:rsidRPr="0005270B">
        <w:rPr>
          <w:rFonts w:asciiTheme="majorHAnsi" w:hAnsiTheme="majorHAnsi" w:cs="Times New Roman"/>
        </w:rPr>
        <w:t xml:space="preserve">The size of the population aged 65 or over is included as an indicator of the demographic effects of population </w:t>
      </w:r>
      <w:r>
        <w:rPr>
          <w:rFonts w:asciiTheme="majorHAnsi" w:hAnsiTheme="majorHAnsi" w:cs="Times New Roman"/>
        </w:rPr>
        <w:t>aging</w:t>
      </w:r>
      <w:r w:rsidRPr="0005270B">
        <w:rPr>
          <w:rFonts w:asciiTheme="majorHAnsi" w:hAnsiTheme="majorHAnsi" w:cs="Times New Roman"/>
        </w:rPr>
        <w:t xml:space="preserve"> and ensuing demand for health care services utilized at older ages (Cooper et al. 2002). </w:t>
      </w:r>
      <w:r>
        <w:rPr>
          <w:rFonts w:asciiTheme="majorHAnsi" w:hAnsiTheme="majorHAnsi" w:cs="Times New Roman"/>
        </w:rPr>
        <w:t>Driven by lower adult mortality, demographic transitions, particularly of rapidly aging populations in large countries, such as China and India, will place additional pressure on health care services for the elderly.</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Using historical data on physician densities, GDP per capita, OOP spending per capita, and the size of the population aged 65 or over, we estimated the relationship between the economic and population indicators and physicians per 1000 population using a generalized linear model (GLM). Missing data points for physicians per 1000 between any two real data points were linearly interpolated. No adjustments were made where data was missing in </w:t>
      </w:r>
      <w:r>
        <w:rPr>
          <w:rFonts w:asciiTheme="majorHAnsi" w:hAnsiTheme="majorHAnsi" w:cs="Times New Roman"/>
        </w:rPr>
        <w:t>project</w:t>
      </w:r>
      <w:r w:rsidRPr="0063687C">
        <w:rPr>
          <w:rFonts w:asciiTheme="majorHAnsi" w:hAnsiTheme="majorHAnsi" w:cs="Times New Roman"/>
        </w:rPr>
        <w:t>ed physician densities.</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For countries where historical data for total per capita health expenditures and OOP health spending was completely missing, mean yearly values for the specific World Bank region and income group combination to which the country belonged were substituted (see </w:t>
      </w:r>
      <w:r>
        <w:rPr>
          <w:rFonts w:asciiTheme="majorHAnsi" w:hAnsiTheme="majorHAnsi" w:cs="Times New Roman"/>
        </w:rPr>
        <w:t xml:space="preserve">Annex C, below, </w:t>
      </w:r>
      <w:r w:rsidRPr="0063687C">
        <w:rPr>
          <w:rFonts w:asciiTheme="majorHAnsi" w:hAnsiTheme="majorHAnsi" w:cs="Times New Roman"/>
          <w:i/>
        </w:rPr>
        <w:t>Projecting out-of-pocket expenditures</w:t>
      </w:r>
      <w:r w:rsidRPr="0063687C">
        <w:rPr>
          <w:rFonts w:asciiTheme="majorHAnsi" w:hAnsiTheme="majorHAnsi" w:cs="Times New Roman"/>
        </w:rPr>
        <w:t xml:space="preserve">). </w:t>
      </w:r>
      <w:r>
        <w:rPr>
          <w:rFonts w:asciiTheme="majorHAnsi" w:hAnsiTheme="majorHAnsi" w:cs="Times New Roman"/>
        </w:rPr>
        <w:t xml:space="preserve"> </w:t>
      </w:r>
      <w:r w:rsidRPr="0063687C">
        <w:rPr>
          <w:rFonts w:asciiTheme="majorHAnsi" w:hAnsiTheme="majorHAnsi" w:cs="Times New Roman"/>
        </w:rPr>
        <w:t xml:space="preserve">No adjustments for missing data were made where data was not available for population or GDP per capita; this data tended to be missing for a handful of very small countries, where the projections would minimally affect overall shortage estimates. Thus, countries for which population or GDP per capita data were not available are excluded from the demand </w:t>
      </w:r>
      <w:r>
        <w:rPr>
          <w:rFonts w:asciiTheme="majorHAnsi" w:hAnsiTheme="majorHAnsi" w:cs="Times New Roman"/>
        </w:rPr>
        <w:t>projections</w:t>
      </w:r>
      <w:r w:rsidRPr="0063687C">
        <w:rPr>
          <w:rFonts w:asciiTheme="majorHAnsi" w:hAnsiTheme="majorHAnsi" w:cs="Times New Roman"/>
        </w:rPr>
        <w:t>.</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All variables were transformed into logs. </w:t>
      </w:r>
      <w:r>
        <w:rPr>
          <w:rFonts w:asciiTheme="majorHAnsi" w:hAnsiTheme="majorHAnsi" w:cs="Times New Roman"/>
        </w:rPr>
        <w:t xml:space="preserve">To avoid endogeneity, </w:t>
      </w:r>
      <w:r w:rsidRPr="0063687C">
        <w:rPr>
          <w:rFonts w:asciiTheme="majorHAnsi" w:hAnsiTheme="majorHAnsi" w:cs="Times New Roman"/>
        </w:rPr>
        <w:t>GDP per capita, OOP spending per capita (OOPPC), and the size of the population aged 65 or over (Pop65) were all lagged up to five years to allow time for such factors to work through the economy and affect the labor market</w:t>
      </w:r>
      <w:r>
        <w:rPr>
          <w:rFonts w:asciiTheme="majorHAnsi" w:hAnsiTheme="majorHAnsi" w:cs="Times New Roman"/>
        </w:rPr>
        <w:t>, as other authors have done in previous projection exercises</w:t>
      </w:r>
      <w:r w:rsidRPr="0063687C">
        <w:rPr>
          <w:rFonts w:asciiTheme="majorHAnsi" w:hAnsiTheme="majorHAnsi" w:cs="Times New Roman"/>
        </w:rPr>
        <w:t xml:space="preserve"> (Getzen 1990</w:t>
      </w:r>
      <w:r>
        <w:rPr>
          <w:rFonts w:asciiTheme="majorHAnsi" w:hAnsiTheme="majorHAnsi" w:cs="Times New Roman"/>
        </w:rPr>
        <w:t>; Scheffer et la. 2008</w:t>
      </w:r>
      <w:r w:rsidRPr="0063687C">
        <w:rPr>
          <w:rFonts w:asciiTheme="majorHAnsi" w:hAnsiTheme="majorHAnsi" w:cs="Times New Roman"/>
        </w:rPr>
        <w:t>). A stepwise approach was used to select the specific combination of year lags that maximized the predictive power of each variable. Lagged variables that achieved a minimum 1% level of significance after repeated iteration were kept within the model, resulting in the following optimal model:</w:t>
      </w:r>
    </w:p>
    <w:p w:rsidR="005516D7" w:rsidRPr="0063687C" w:rsidRDefault="005516D7" w:rsidP="005516D7">
      <w:pPr>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ind w:left="1440" w:hanging="720"/>
        <w:rPr>
          <w:rFonts w:asciiTheme="majorHAnsi" w:hAnsiTheme="majorHAnsi" w:cs="Times New Roman"/>
          <w:i/>
          <w:color w:val="000000"/>
          <w:vertAlign w:val="subscript"/>
        </w:rPr>
      </w:pPr>
      <w:r w:rsidRPr="0063687C">
        <w:rPr>
          <w:rFonts w:asciiTheme="majorHAnsi" w:hAnsiTheme="majorHAnsi" w:cs="Times New Roman"/>
        </w:rPr>
        <w:t>(Eq 1)</w:t>
      </w:r>
      <w:r w:rsidRPr="0063687C">
        <w:rPr>
          <w:rFonts w:asciiTheme="majorHAnsi" w:hAnsiTheme="majorHAnsi" w:cs="Times New Roman"/>
        </w:rPr>
        <w:tab/>
        <w:t>ln(</w:t>
      </w:r>
      <w:r w:rsidRPr="0063687C">
        <w:rPr>
          <w:rFonts w:asciiTheme="majorHAnsi" w:hAnsiTheme="majorHAnsi" w:cs="Times New Roman"/>
          <w:i/>
        </w:rPr>
        <w:t>physicians per 1000 population</w:t>
      </w:r>
      <w:r w:rsidRPr="0063687C">
        <w:rPr>
          <w:rFonts w:asciiTheme="majorHAnsi" w:hAnsiTheme="majorHAnsi" w:cs="Times New Roman"/>
          <w:i/>
          <w:vertAlign w:val="subscript"/>
        </w:rPr>
        <w:t>it</w:t>
      </w:r>
      <w:r w:rsidRPr="0063687C">
        <w:rPr>
          <w:rFonts w:asciiTheme="majorHAnsi" w:hAnsiTheme="majorHAnsi" w:cs="Times New Roman"/>
        </w:rPr>
        <w:t xml:space="preserve">) = </w:t>
      </w:r>
      <w:r w:rsidRPr="0063687C">
        <w:rPr>
          <w:rFonts w:asciiTheme="majorHAnsi" w:hAnsiTheme="majorHAnsi" w:cs="Times New Roman"/>
          <w:color w:val="000000"/>
        </w:rPr>
        <w:t>β</w:t>
      </w:r>
      <w:r w:rsidRPr="0063687C">
        <w:rPr>
          <w:rFonts w:asciiTheme="majorHAnsi" w:hAnsiTheme="majorHAnsi" w:cs="Times New Roman"/>
          <w:color w:val="000000"/>
          <w:vertAlign w:val="subscript"/>
        </w:rPr>
        <w:t>0</w:t>
      </w:r>
      <w:r w:rsidRPr="0063687C">
        <w:rPr>
          <w:rFonts w:asciiTheme="majorHAnsi" w:hAnsiTheme="majorHAnsi" w:cs="Times New Roman"/>
          <w:color w:val="000000"/>
        </w:rPr>
        <w:t xml:space="preserve"> + β</w:t>
      </w:r>
      <w:r w:rsidRPr="0063687C">
        <w:rPr>
          <w:rFonts w:asciiTheme="majorHAnsi" w:hAnsiTheme="majorHAnsi" w:cs="Times New Roman"/>
          <w:color w:val="000000"/>
          <w:vertAlign w:val="subscript"/>
        </w:rPr>
        <w:t>1</w:t>
      </w:r>
      <w:r w:rsidRPr="0063687C">
        <w:rPr>
          <w:rFonts w:asciiTheme="majorHAnsi" w:hAnsiTheme="majorHAnsi" w:cs="Times New Roman"/>
          <w:color w:val="000000"/>
        </w:rPr>
        <w:t>*ln(</w:t>
      </w:r>
      <w:r w:rsidRPr="0063687C">
        <w:rPr>
          <w:rFonts w:asciiTheme="majorHAnsi" w:hAnsiTheme="majorHAnsi" w:cs="Times New Roman"/>
          <w:i/>
          <w:color w:val="000000"/>
        </w:rPr>
        <w:t>GDP per capita</w:t>
      </w:r>
      <w:r w:rsidRPr="0063687C">
        <w:rPr>
          <w:rFonts w:asciiTheme="majorHAnsi" w:hAnsiTheme="majorHAnsi" w:cs="Times New Roman"/>
          <w:i/>
          <w:color w:val="000000"/>
          <w:vertAlign w:val="subscript"/>
        </w:rPr>
        <w:t>it-1</w:t>
      </w:r>
      <w:r w:rsidRPr="0063687C">
        <w:rPr>
          <w:rFonts w:asciiTheme="majorHAnsi" w:hAnsiTheme="majorHAnsi" w:cs="Times New Roman"/>
          <w:color w:val="000000"/>
        </w:rPr>
        <w:t>) +</w:t>
      </w:r>
      <w:r w:rsidRPr="0063687C">
        <w:rPr>
          <w:rFonts w:asciiTheme="majorHAnsi" w:hAnsiTheme="majorHAnsi" w:cs="Times New Roman"/>
          <w:i/>
          <w:color w:val="000000"/>
        </w:rPr>
        <w:t xml:space="preserve"> </w:t>
      </w:r>
      <w:r w:rsidRPr="0063687C">
        <w:rPr>
          <w:rFonts w:asciiTheme="majorHAnsi" w:hAnsiTheme="majorHAnsi" w:cs="Times New Roman"/>
          <w:color w:val="000000"/>
        </w:rPr>
        <w:t>β</w:t>
      </w:r>
      <w:r w:rsidRPr="0063687C">
        <w:rPr>
          <w:rFonts w:asciiTheme="majorHAnsi" w:hAnsiTheme="majorHAnsi" w:cs="Times New Roman"/>
          <w:color w:val="000000"/>
          <w:vertAlign w:val="subscript"/>
        </w:rPr>
        <w:t>2</w:t>
      </w:r>
      <w:r w:rsidRPr="0063687C">
        <w:rPr>
          <w:rFonts w:asciiTheme="majorHAnsi" w:hAnsiTheme="majorHAnsi" w:cs="Times New Roman"/>
          <w:color w:val="000000"/>
        </w:rPr>
        <w:t>*ln(</w:t>
      </w:r>
      <w:r w:rsidRPr="0063687C">
        <w:rPr>
          <w:rFonts w:asciiTheme="majorHAnsi" w:hAnsiTheme="majorHAnsi" w:cs="Times New Roman"/>
          <w:i/>
          <w:color w:val="000000"/>
        </w:rPr>
        <w:t>GDP per capita</w:t>
      </w:r>
      <w:r w:rsidRPr="0063687C">
        <w:rPr>
          <w:rFonts w:asciiTheme="majorHAnsi" w:hAnsiTheme="majorHAnsi" w:cs="Times New Roman"/>
          <w:i/>
          <w:color w:val="000000"/>
          <w:vertAlign w:val="subscript"/>
        </w:rPr>
        <w:t>it-4</w:t>
      </w:r>
      <w:r w:rsidRPr="0063687C">
        <w:rPr>
          <w:rFonts w:asciiTheme="majorHAnsi" w:hAnsiTheme="majorHAnsi" w:cs="Times New Roman"/>
          <w:color w:val="000000"/>
        </w:rPr>
        <w:t>) +</w:t>
      </w:r>
      <w:r w:rsidRPr="0063687C">
        <w:rPr>
          <w:rFonts w:asciiTheme="majorHAnsi" w:hAnsiTheme="majorHAnsi" w:cs="Times New Roman"/>
          <w:i/>
          <w:color w:val="000000"/>
        </w:rPr>
        <w:t xml:space="preserve"> </w:t>
      </w:r>
      <w:r w:rsidRPr="0063687C">
        <w:rPr>
          <w:rFonts w:asciiTheme="majorHAnsi" w:hAnsiTheme="majorHAnsi" w:cs="Times New Roman"/>
          <w:color w:val="000000"/>
        </w:rPr>
        <w:t>β</w:t>
      </w:r>
      <w:r w:rsidRPr="0063687C">
        <w:rPr>
          <w:rFonts w:asciiTheme="majorHAnsi" w:hAnsiTheme="majorHAnsi" w:cs="Times New Roman"/>
          <w:color w:val="000000"/>
          <w:vertAlign w:val="subscript"/>
        </w:rPr>
        <w:t>3</w:t>
      </w:r>
      <w:r w:rsidRPr="0063687C">
        <w:rPr>
          <w:rFonts w:asciiTheme="majorHAnsi" w:hAnsiTheme="majorHAnsi" w:cs="Times New Roman"/>
          <w:color w:val="000000"/>
        </w:rPr>
        <w:t>*ln(</w:t>
      </w:r>
      <w:r w:rsidRPr="0063687C">
        <w:rPr>
          <w:rFonts w:asciiTheme="majorHAnsi" w:hAnsiTheme="majorHAnsi" w:cs="Times New Roman"/>
          <w:i/>
          <w:color w:val="000000"/>
        </w:rPr>
        <w:t>GDP per capita</w:t>
      </w:r>
      <w:r w:rsidRPr="0063687C">
        <w:rPr>
          <w:rFonts w:asciiTheme="majorHAnsi" w:hAnsiTheme="majorHAnsi" w:cs="Times New Roman"/>
          <w:i/>
          <w:color w:val="000000"/>
          <w:vertAlign w:val="subscript"/>
        </w:rPr>
        <w:t>it-5</w:t>
      </w:r>
      <w:r w:rsidRPr="0063687C">
        <w:rPr>
          <w:rFonts w:asciiTheme="majorHAnsi" w:hAnsiTheme="majorHAnsi" w:cs="Times New Roman"/>
          <w:color w:val="000000"/>
        </w:rPr>
        <w:t>) +β</w:t>
      </w:r>
      <w:r w:rsidRPr="0063687C">
        <w:rPr>
          <w:rFonts w:asciiTheme="majorHAnsi" w:hAnsiTheme="majorHAnsi" w:cs="Times New Roman"/>
          <w:color w:val="000000"/>
          <w:vertAlign w:val="subscript"/>
        </w:rPr>
        <w:t>4</w:t>
      </w:r>
      <w:r w:rsidRPr="0063687C">
        <w:rPr>
          <w:rFonts w:asciiTheme="majorHAnsi" w:hAnsiTheme="majorHAnsi" w:cs="Times New Roman"/>
          <w:color w:val="000000"/>
        </w:rPr>
        <w:t>*ln(</w:t>
      </w:r>
      <w:r w:rsidRPr="0063687C">
        <w:rPr>
          <w:rFonts w:asciiTheme="majorHAnsi" w:hAnsiTheme="majorHAnsi" w:cs="Times New Roman"/>
          <w:i/>
          <w:color w:val="000000"/>
        </w:rPr>
        <w:t>OOPPC</w:t>
      </w:r>
      <w:r w:rsidRPr="0063687C">
        <w:rPr>
          <w:rFonts w:asciiTheme="majorHAnsi" w:hAnsiTheme="majorHAnsi" w:cs="Times New Roman"/>
          <w:i/>
          <w:color w:val="000000"/>
          <w:vertAlign w:val="subscript"/>
        </w:rPr>
        <w:t>it-2</w:t>
      </w:r>
      <w:r w:rsidRPr="0063687C">
        <w:rPr>
          <w:rFonts w:asciiTheme="majorHAnsi" w:hAnsiTheme="majorHAnsi" w:cs="Times New Roman"/>
          <w:color w:val="000000"/>
        </w:rPr>
        <w:t>) + β</w:t>
      </w:r>
      <w:r w:rsidRPr="0063687C">
        <w:rPr>
          <w:rFonts w:asciiTheme="majorHAnsi" w:hAnsiTheme="majorHAnsi" w:cs="Times New Roman"/>
          <w:color w:val="000000"/>
          <w:vertAlign w:val="subscript"/>
        </w:rPr>
        <w:t>5</w:t>
      </w:r>
      <w:r w:rsidRPr="0063687C">
        <w:rPr>
          <w:rFonts w:asciiTheme="majorHAnsi" w:hAnsiTheme="majorHAnsi" w:cs="Times New Roman"/>
          <w:color w:val="000000"/>
        </w:rPr>
        <w:t>*ln(</w:t>
      </w:r>
      <w:r w:rsidRPr="0063687C">
        <w:rPr>
          <w:rFonts w:asciiTheme="majorHAnsi" w:hAnsiTheme="majorHAnsi" w:cs="Times New Roman"/>
          <w:i/>
          <w:color w:val="000000"/>
        </w:rPr>
        <w:t>Pop65</w:t>
      </w:r>
      <w:r w:rsidRPr="0063687C">
        <w:rPr>
          <w:rFonts w:asciiTheme="majorHAnsi" w:hAnsiTheme="majorHAnsi" w:cs="Times New Roman"/>
          <w:i/>
          <w:color w:val="000000"/>
          <w:vertAlign w:val="subscript"/>
        </w:rPr>
        <w:t>it-3</w:t>
      </w:r>
      <w:r w:rsidRPr="0063687C">
        <w:rPr>
          <w:rFonts w:asciiTheme="majorHAnsi" w:hAnsiTheme="majorHAnsi" w:cs="Times New Roman"/>
          <w:color w:val="000000"/>
        </w:rPr>
        <w:t xml:space="preserve">) + </w:t>
      </w:r>
      <w:r w:rsidRPr="0063687C">
        <w:rPr>
          <w:rFonts w:asciiTheme="majorHAnsi" w:hAnsiTheme="majorHAnsi" w:cs="Times New Roman"/>
          <w:i/>
          <w:color w:val="000000"/>
        </w:rPr>
        <w:t>μ</w:t>
      </w:r>
      <w:r w:rsidRPr="0063687C">
        <w:rPr>
          <w:rFonts w:asciiTheme="majorHAnsi" w:hAnsiTheme="majorHAnsi" w:cs="Times New Roman"/>
          <w:i/>
          <w:color w:val="000000"/>
          <w:vertAlign w:val="subscript"/>
        </w:rPr>
        <w:t>i</w:t>
      </w:r>
      <w:r w:rsidRPr="0063687C">
        <w:rPr>
          <w:rFonts w:asciiTheme="majorHAnsi" w:hAnsiTheme="majorHAnsi" w:cs="Times New Roman"/>
          <w:color w:val="000000"/>
        </w:rPr>
        <w:t xml:space="preserve"> + </w:t>
      </w:r>
      <w:r w:rsidRPr="0063687C">
        <w:rPr>
          <w:rFonts w:asciiTheme="majorHAnsi" w:hAnsiTheme="majorHAnsi" w:cs="Times New Roman"/>
          <w:i/>
          <w:color w:val="000000"/>
        </w:rPr>
        <w:t>ξ</w:t>
      </w:r>
      <w:r w:rsidRPr="0063687C">
        <w:rPr>
          <w:rFonts w:asciiTheme="majorHAnsi" w:hAnsiTheme="majorHAnsi" w:cs="Times New Roman"/>
          <w:i/>
          <w:color w:val="000000"/>
          <w:vertAlign w:val="subscript"/>
        </w:rPr>
        <w:t>it</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where </w:t>
      </w:r>
      <w:r w:rsidRPr="0063687C">
        <w:rPr>
          <w:rFonts w:asciiTheme="majorHAnsi" w:hAnsiTheme="majorHAnsi" w:cs="Times New Roman"/>
          <w:i/>
          <w:color w:val="000000"/>
        </w:rPr>
        <w:t>μ</w:t>
      </w:r>
      <w:r w:rsidRPr="0063687C">
        <w:rPr>
          <w:rFonts w:asciiTheme="majorHAnsi" w:hAnsiTheme="majorHAnsi" w:cs="Times New Roman"/>
          <w:i/>
          <w:color w:val="000000"/>
          <w:vertAlign w:val="subscript"/>
        </w:rPr>
        <w:t>c</w:t>
      </w:r>
      <w:r w:rsidRPr="0063687C">
        <w:rPr>
          <w:rFonts w:asciiTheme="majorHAnsi" w:hAnsiTheme="majorHAnsi" w:cs="Times New Roman"/>
          <w:color w:val="000000"/>
        </w:rPr>
        <w:t xml:space="preserve"> represents a vector of country fixed effects, </w:t>
      </w:r>
      <w:r w:rsidRPr="0063687C">
        <w:rPr>
          <w:rFonts w:asciiTheme="majorHAnsi" w:hAnsiTheme="majorHAnsi" w:cs="Times New Roman"/>
          <w:i/>
          <w:color w:val="000000"/>
        </w:rPr>
        <w:t>ξ</w:t>
      </w:r>
      <w:r w:rsidRPr="0063687C">
        <w:rPr>
          <w:rFonts w:asciiTheme="majorHAnsi" w:hAnsiTheme="majorHAnsi" w:cs="Times New Roman"/>
          <w:i/>
          <w:color w:val="000000"/>
          <w:vertAlign w:val="subscript"/>
        </w:rPr>
        <w:t>ct</w:t>
      </w:r>
      <w:r w:rsidRPr="0063687C">
        <w:rPr>
          <w:rFonts w:asciiTheme="majorHAnsi" w:hAnsiTheme="majorHAnsi" w:cs="Times New Roman"/>
          <w:color w:val="000000"/>
          <w:vertAlign w:val="subscript"/>
        </w:rPr>
        <w:t xml:space="preserve"> </w:t>
      </w:r>
      <w:r w:rsidRPr="0063687C">
        <w:rPr>
          <w:rFonts w:asciiTheme="majorHAnsi" w:hAnsiTheme="majorHAnsi" w:cs="Times New Roman"/>
        </w:rPr>
        <w:t xml:space="preserve">is the disturbance terms, and </w:t>
      </w:r>
      <w:r w:rsidRPr="0063687C">
        <w:rPr>
          <w:rFonts w:asciiTheme="majorHAnsi" w:hAnsiTheme="majorHAnsi" w:cs="Times New Roman"/>
          <w:color w:val="000000"/>
        </w:rPr>
        <w:t>β</w:t>
      </w:r>
      <w:r w:rsidRPr="0063687C">
        <w:rPr>
          <w:rFonts w:asciiTheme="majorHAnsi" w:hAnsiTheme="majorHAnsi" w:cs="Times New Roman"/>
          <w:color w:val="000000"/>
          <w:vertAlign w:val="subscript"/>
        </w:rPr>
        <w:t xml:space="preserve"> </w:t>
      </w:r>
      <w:r w:rsidRPr="0063687C">
        <w:rPr>
          <w:rFonts w:asciiTheme="majorHAnsi" w:hAnsiTheme="majorHAnsi" w:cs="Times New Roman"/>
          <w:color w:val="000000"/>
        </w:rPr>
        <w:t xml:space="preserve">coefficients are unknown parameters to be estimated from the model. </w:t>
      </w:r>
      <w:r w:rsidRPr="0063687C">
        <w:rPr>
          <w:rFonts w:asciiTheme="majorHAnsi" w:hAnsiTheme="majorHAnsi" w:cs="Times New Roman"/>
        </w:rPr>
        <w:t xml:space="preserve">Country fixed effects are included to account for time-invariant unobservable heterogeneity across countries (i.e. differences in baseline characteristics between countries). </w:t>
      </w:r>
      <w:r w:rsidRPr="0063687C">
        <w:rPr>
          <w:rFonts w:asciiTheme="majorHAnsi" w:hAnsiTheme="majorHAnsi" w:cs="Times New Roman"/>
          <w:color w:val="000000"/>
        </w:rPr>
        <w:t xml:space="preserve">Quadratic terms for income and health spending indicators to additionally account for nonlinearities were investigated but ultimately excluded due to multicollinearity. </w:t>
      </w:r>
    </w:p>
    <w:p w:rsidR="005516D7" w:rsidRPr="0063687C" w:rsidRDefault="005516D7" w:rsidP="005516D7">
      <w:pPr>
        <w:widowControl w:val="0"/>
        <w:autoSpaceDE w:val="0"/>
        <w:autoSpaceDN w:val="0"/>
        <w:adjustRightInd w:val="0"/>
        <w:spacing w:line="480" w:lineRule="auto"/>
        <w:rPr>
          <w:rFonts w:asciiTheme="majorHAnsi" w:hAnsiTheme="majorHAnsi" w:cs="Times New Roman"/>
          <w:color w:val="000000"/>
          <w:vertAlign w:val="subscript"/>
        </w:rPr>
      </w:pPr>
    </w:p>
    <w:p w:rsidR="005516D7" w:rsidRPr="006B7734" w:rsidRDefault="005516D7" w:rsidP="005516D7">
      <w:pPr>
        <w:widowControl w:val="0"/>
        <w:autoSpaceDE w:val="0"/>
        <w:autoSpaceDN w:val="0"/>
        <w:adjustRightInd w:val="0"/>
        <w:spacing w:line="480" w:lineRule="auto"/>
        <w:rPr>
          <w:rFonts w:asciiTheme="majorHAnsi" w:hAnsiTheme="majorHAnsi" w:cs="Times New Roman"/>
          <w:i/>
          <w:color w:val="000000"/>
        </w:rPr>
      </w:pPr>
      <w:r w:rsidRPr="0063687C">
        <w:rPr>
          <w:rFonts w:asciiTheme="majorHAnsi" w:hAnsiTheme="majorHAnsi" w:cs="Times New Roman"/>
          <w:i/>
          <w:color w:val="000000"/>
        </w:rPr>
        <w:t>Model specification selection</w:t>
      </w:r>
    </w:p>
    <w:p w:rsidR="005516D7" w:rsidRPr="0063687C" w:rsidRDefault="005516D7" w:rsidP="005516D7">
      <w:pPr>
        <w:widowControl w:val="0"/>
        <w:autoSpaceDE w:val="0"/>
        <w:autoSpaceDN w:val="0"/>
        <w:adjustRightInd w:val="0"/>
        <w:spacing w:line="480" w:lineRule="auto"/>
        <w:rPr>
          <w:rFonts w:asciiTheme="majorHAnsi" w:hAnsiTheme="majorHAnsi" w:cs="Times New Roman"/>
          <w:color w:val="000000"/>
        </w:rPr>
      </w:pPr>
      <w:r w:rsidRPr="0063687C">
        <w:rPr>
          <w:rFonts w:asciiTheme="majorHAnsi" w:hAnsiTheme="majorHAnsi" w:cs="Times New Roman"/>
          <w:color w:val="000000"/>
        </w:rPr>
        <w:t>Three alternative specifications for the demand model were checked. Specifically, we examined the stability of the results with the following changes:</w:t>
      </w:r>
    </w:p>
    <w:p w:rsidR="005516D7" w:rsidRPr="0063687C" w:rsidRDefault="005516D7" w:rsidP="005516D7">
      <w:pPr>
        <w:pStyle w:val="ListParagraph"/>
        <w:widowControl w:val="0"/>
        <w:numPr>
          <w:ilvl w:val="0"/>
          <w:numId w:val="6"/>
        </w:numPr>
        <w:autoSpaceDE w:val="0"/>
        <w:autoSpaceDN w:val="0"/>
        <w:adjustRightInd w:val="0"/>
        <w:spacing w:line="480" w:lineRule="auto"/>
        <w:rPr>
          <w:rFonts w:asciiTheme="majorHAnsi" w:hAnsiTheme="majorHAnsi" w:cs="Times New Roman"/>
          <w:color w:val="000000"/>
        </w:rPr>
      </w:pPr>
      <w:r w:rsidRPr="0063687C">
        <w:rPr>
          <w:rFonts w:asciiTheme="majorHAnsi" w:hAnsiTheme="majorHAnsi" w:cs="Times New Roman"/>
          <w:color w:val="000000"/>
        </w:rPr>
        <w:t xml:space="preserve">Using the percentage of the population aged 65+ instead of absolute size of population aged 65+. </w:t>
      </w:r>
    </w:p>
    <w:p w:rsidR="005516D7" w:rsidRPr="0063687C" w:rsidRDefault="005516D7" w:rsidP="005516D7">
      <w:pPr>
        <w:pStyle w:val="ListParagraph"/>
        <w:widowControl w:val="0"/>
        <w:numPr>
          <w:ilvl w:val="0"/>
          <w:numId w:val="6"/>
        </w:numPr>
        <w:autoSpaceDE w:val="0"/>
        <w:autoSpaceDN w:val="0"/>
        <w:adjustRightInd w:val="0"/>
        <w:spacing w:line="480" w:lineRule="auto"/>
        <w:rPr>
          <w:rFonts w:asciiTheme="majorHAnsi" w:hAnsiTheme="majorHAnsi" w:cs="Times New Roman"/>
          <w:color w:val="000000"/>
        </w:rPr>
      </w:pPr>
      <w:r w:rsidRPr="0063687C">
        <w:rPr>
          <w:rFonts w:asciiTheme="majorHAnsi" w:hAnsiTheme="majorHAnsi" w:cs="Times New Roman"/>
          <w:color w:val="000000"/>
        </w:rPr>
        <w:t xml:space="preserve">Using OOPPC as a percentage of total per capita health expenditures in place of OOPPC. </w:t>
      </w:r>
    </w:p>
    <w:p w:rsidR="005516D7" w:rsidRPr="0063687C" w:rsidRDefault="005516D7" w:rsidP="005516D7">
      <w:pPr>
        <w:pStyle w:val="ListParagraph"/>
        <w:widowControl w:val="0"/>
        <w:numPr>
          <w:ilvl w:val="0"/>
          <w:numId w:val="6"/>
        </w:numPr>
        <w:autoSpaceDE w:val="0"/>
        <w:autoSpaceDN w:val="0"/>
        <w:adjustRightInd w:val="0"/>
        <w:spacing w:line="480" w:lineRule="auto"/>
        <w:rPr>
          <w:rFonts w:asciiTheme="majorHAnsi" w:hAnsiTheme="majorHAnsi" w:cs="Times New Roman"/>
          <w:color w:val="000000"/>
        </w:rPr>
      </w:pPr>
      <w:r w:rsidRPr="0063687C">
        <w:rPr>
          <w:rFonts w:asciiTheme="majorHAnsi" w:hAnsiTheme="majorHAnsi" w:cs="Times New Roman"/>
          <w:color w:val="000000"/>
        </w:rPr>
        <w:t xml:space="preserve">Using the percentage of the population aged 65+ and OOPPC as a percentage of total per capita health expenditures in place of their respective absolute number counterparts. </w:t>
      </w:r>
    </w:p>
    <w:p w:rsidR="005516D7" w:rsidRPr="0063687C" w:rsidRDefault="005516D7" w:rsidP="005516D7">
      <w:pPr>
        <w:widowControl w:val="0"/>
        <w:autoSpaceDE w:val="0"/>
        <w:autoSpaceDN w:val="0"/>
        <w:adjustRightInd w:val="0"/>
        <w:spacing w:line="480" w:lineRule="auto"/>
        <w:rPr>
          <w:rFonts w:asciiTheme="majorHAnsi" w:hAnsiTheme="majorHAnsi" w:cs="Times New Roman"/>
          <w:color w:val="000000"/>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To select the appropriate model, the data</w:t>
      </w:r>
      <w:r>
        <w:rPr>
          <w:rFonts w:asciiTheme="majorHAnsi" w:hAnsiTheme="majorHAnsi" w:cs="Times New Roman"/>
        </w:rPr>
        <w:t>set</w:t>
      </w:r>
      <w:r w:rsidRPr="0063687C">
        <w:rPr>
          <w:rFonts w:asciiTheme="majorHAnsi" w:hAnsiTheme="majorHAnsi" w:cs="Times New Roman"/>
        </w:rPr>
        <w:t xml:space="preserve"> was split into two parts: </w:t>
      </w:r>
    </w:p>
    <w:p w:rsidR="005516D7" w:rsidRPr="0063687C" w:rsidRDefault="005516D7" w:rsidP="005516D7">
      <w:pPr>
        <w:pStyle w:val="ListParagraph"/>
        <w:numPr>
          <w:ilvl w:val="0"/>
          <w:numId w:val="5"/>
        </w:numPr>
        <w:spacing w:line="480" w:lineRule="auto"/>
        <w:rPr>
          <w:rFonts w:asciiTheme="majorHAnsi" w:hAnsiTheme="majorHAnsi" w:cs="Times New Roman"/>
        </w:rPr>
      </w:pPr>
      <w:r w:rsidRPr="0063687C">
        <w:rPr>
          <w:rFonts w:asciiTheme="majorHAnsi" w:hAnsiTheme="majorHAnsi" w:cs="Times New Roman"/>
        </w:rPr>
        <w:t>Initialization dataset included data for years 1995 – 2004.</w:t>
      </w:r>
    </w:p>
    <w:p w:rsidR="005516D7" w:rsidRPr="0063687C" w:rsidRDefault="005516D7" w:rsidP="005516D7">
      <w:pPr>
        <w:pStyle w:val="ListParagraph"/>
        <w:numPr>
          <w:ilvl w:val="0"/>
          <w:numId w:val="5"/>
        </w:numPr>
        <w:spacing w:line="480" w:lineRule="auto"/>
        <w:rPr>
          <w:rFonts w:asciiTheme="majorHAnsi" w:hAnsiTheme="majorHAnsi" w:cs="Times New Roman"/>
        </w:rPr>
      </w:pPr>
      <w:r w:rsidRPr="0063687C">
        <w:rPr>
          <w:rFonts w:asciiTheme="majorHAnsi" w:hAnsiTheme="majorHAnsi" w:cs="Times New Roman"/>
        </w:rPr>
        <w:t xml:space="preserve">Testing dataset included data for years 2005 – 2013 (except for log physician densities variable, which was set to missing). </w:t>
      </w:r>
    </w:p>
    <w:p w:rsidR="005516D7" w:rsidRPr="0063687C" w:rsidRDefault="005516D7" w:rsidP="005516D7">
      <w:pPr>
        <w:spacing w:line="480" w:lineRule="auto"/>
        <w:rPr>
          <w:rFonts w:asciiTheme="majorHAnsi" w:hAnsiTheme="majorHAnsi" w:cs="Times New Roman"/>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Each model specification was first estimated using the initialization dataset, using the lag structure from Equation 1. The estimated parameters were then applied to the actual covariates from the testing dataset to obtain predicted values of physician densities for 2005 through 2013. These predicted values were then compared with actual data for physician densities in 2005-2013. To formally assess the fit of each model, we calculate the mean square root of the squared error:</w:t>
      </w:r>
    </w:p>
    <w:p w:rsidR="005516D7" w:rsidRPr="0063687C" w:rsidRDefault="005516D7" w:rsidP="005516D7">
      <w:pPr>
        <w:spacing w:line="480" w:lineRule="auto"/>
        <w:rPr>
          <w:rFonts w:asciiTheme="majorHAnsi" w:hAnsiTheme="majorHAnsi" w:cs="Times New Roman"/>
        </w:rPr>
      </w:pPr>
    </w:p>
    <w:p w:rsidR="005516D7" w:rsidRPr="006B7734" w:rsidRDefault="005516D7" w:rsidP="005516D7">
      <w:pPr>
        <w:spacing w:line="480" w:lineRule="auto"/>
        <w:ind w:firstLine="720"/>
        <w:rPr>
          <w:rFonts w:asciiTheme="majorHAnsi" w:hAnsiTheme="majorHAnsi" w:cs="Times New Roman"/>
        </w:rPr>
      </w:pPr>
      <w:r w:rsidRPr="0063687C">
        <w:rPr>
          <w:rFonts w:asciiTheme="majorHAnsi" w:hAnsiTheme="majorHAnsi" w:cs="Times New Roman"/>
        </w:rPr>
        <w:t xml:space="preserve">(Eq 2) </w:t>
      </w:r>
      <w:r w:rsidRPr="0063687C">
        <w:rPr>
          <w:rFonts w:asciiTheme="majorHAnsi" w:hAnsiTheme="majorHAnsi" w:cs="Times New Roman"/>
        </w:rPr>
        <w:tab/>
        <w:t xml:space="preserve">Mean error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CT</m:t>
            </m:r>
          </m:den>
        </m:f>
        <m:nary>
          <m:naryPr>
            <m:chr m:val="∑"/>
            <m:limLoc m:val="undOvr"/>
            <m:subHide m:val="1"/>
            <m:supHide m:val="1"/>
            <m:ctrlPr>
              <w:rPr>
                <w:rFonts w:ascii="Cambria Math" w:hAnsi="Cambria Math" w:cs="Times New Roman"/>
                <w:i/>
              </w:rPr>
            </m:ctrlPr>
          </m:naryPr>
          <m:sub/>
          <m:sup/>
          <m:e>
            <m:rad>
              <m:radPr>
                <m:degHide m:val="1"/>
                <m:ctrlPr>
                  <w:rPr>
                    <w:rFonts w:ascii="Cambria Math" w:hAnsi="Cambria Math" w:cs="Times New Roman"/>
                    <w:i/>
                  </w:rPr>
                </m:ctrlPr>
              </m:radPr>
              <m:deg/>
              <m:e>
                <m:sSup>
                  <m:sSupPr>
                    <m:ctrlPr>
                      <w:rPr>
                        <w:rFonts w:ascii="Cambria Math" w:hAnsi="Cambria Math" w:cs="Times New Roman"/>
                        <w:i/>
                      </w:rPr>
                    </m:ctrlPr>
                  </m:sSupPr>
                  <m:e>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(ln(phys per 1000)</m:t>
                            </m:r>
                          </m:e>
                          <m:sub>
                            <m:r>
                              <w:rPr>
                                <w:rFonts w:ascii="Cambria Math" w:hAnsi="Cambria Math" w:cs="Times New Roman"/>
                              </w:rPr>
                              <m:t>ct</m:t>
                            </m:r>
                          </m:sub>
                        </m:sSub>
                      </m:e>
                    </m:ac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ln(phys per 1000</m:t>
                        </m:r>
                      </m:e>
                      <m:sub>
                        <m:r>
                          <w:rPr>
                            <w:rFonts w:ascii="Cambria Math" w:hAnsi="Cambria Math" w:cs="Times New Roman"/>
                          </w:rPr>
                          <m:t>ct</m:t>
                        </m:r>
                      </m:sub>
                    </m:sSub>
                    <m:r>
                      <w:rPr>
                        <w:rFonts w:ascii="Cambria Math" w:hAnsi="Cambria Math" w:cs="Times New Roman"/>
                      </w:rPr>
                      <m:t>)</m:t>
                    </m:r>
                  </m:e>
                  <m:sup>
                    <m:r>
                      <w:rPr>
                        <w:rFonts w:ascii="Cambria Math" w:hAnsi="Cambria Math" w:cs="Times New Roman"/>
                      </w:rPr>
                      <m:t>2</m:t>
                    </m:r>
                  </m:sup>
                </m:sSup>
              </m:e>
            </m:rad>
          </m:e>
        </m:nary>
      </m:oMath>
    </w:p>
    <w:p w:rsidR="005516D7" w:rsidRPr="0063687C" w:rsidRDefault="005516D7" w:rsidP="005516D7">
      <w:pPr>
        <w:widowControl w:val="0"/>
        <w:autoSpaceDE w:val="0"/>
        <w:autoSpaceDN w:val="0"/>
        <w:adjustRightInd w:val="0"/>
        <w:spacing w:line="480" w:lineRule="auto"/>
        <w:rPr>
          <w:rFonts w:asciiTheme="majorHAnsi" w:hAnsiTheme="majorHAnsi" w:cs="Times New Roman"/>
          <w:color w:val="000000"/>
        </w:rPr>
      </w:pPr>
      <w:r>
        <w:rPr>
          <w:rFonts w:asciiTheme="majorHAnsi" w:hAnsiTheme="majorHAnsi" w:cs="Times New Roman"/>
          <w:color w:val="000000"/>
        </w:rPr>
        <w:t xml:space="preserve">Table A3 summarizes mean errors resulting from different model specification. </w:t>
      </w:r>
      <w:r w:rsidRPr="0063687C">
        <w:rPr>
          <w:rFonts w:asciiTheme="majorHAnsi" w:hAnsiTheme="majorHAnsi" w:cs="Times New Roman"/>
          <w:color w:val="000000"/>
        </w:rPr>
        <w:t xml:space="preserve">The optimal model (Eq 1) was found to generate the best predictions in terms of having the lowest mean errors. Therefore, this model was chosen to estimate parameters using full dataset (1995-2013). </w:t>
      </w:r>
      <w:r w:rsidRPr="0063687C">
        <w:rPr>
          <w:rFonts w:asciiTheme="majorHAnsi" w:hAnsiTheme="majorHAnsi" w:cs="Times New Roman"/>
        </w:rPr>
        <w:t>Predicted values of logged physician densities from this model were then transformed with an antilog and multiplied by a correction factor (</w:t>
      </w:r>
      <m:oMath>
        <m:sSup>
          <m:sSupPr>
            <m:ctrlPr>
              <w:rPr>
                <w:rFonts w:ascii="Cambria Math" w:hAnsi="Cambria Math" w:cs="Times New Roman"/>
                <w:i/>
              </w:rPr>
            </m:ctrlPr>
          </m:sSupPr>
          <m:e>
            <m:r>
              <w:rPr>
                <w:rFonts w:ascii="Cambria Math" w:hAnsi="Cambria Math" w:cs="Times New Roman"/>
              </w:rPr>
              <m:t>e</m:t>
            </m:r>
          </m:e>
          <m:sup>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r>
              <w:rPr>
                <w:rFonts w:ascii="Cambria Math" w:hAnsi="Cambria Math" w:cs="Times New Roman"/>
              </w:rPr>
              <m:t>/2</m:t>
            </m:r>
          </m:sup>
        </m:sSup>
      </m:oMath>
      <w:r w:rsidRPr="0063687C">
        <w:rPr>
          <w:rFonts w:asciiTheme="majorHAnsi" w:hAnsiTheme="majorHAnsi" w:cs="Times New Roman"/>
          <w:color w:val="000000"/>
        </w:rPr>
        <w:t xml:space="preserve">) </w:t>
      </w:r>
      <w:r w:rsidRPr="0063687C">
        <w:rPr>
          <w:rFonts w:asciiTheme="majorHAnsi" w:hAnsiTheme="majorHAnsi" w:cs="Times New Roman"/>
        </w:rPr>
        <w:t xml:space="preserve">to account for the skewed distribution. Future values of physicians per 1000 population were then multiplied by projected total population size (medium fertility assumptions) for each year to obtain the absolute number of physicians. </w:t>
      </w:r>
    </w:p>
    <w:p w:rsidR="005516D7" w:rsidRDefault="005516D7" w:rsidP="005516D7">
      <w:pPr>
        <w:widowControl w:val="0"/>
        <w:autoSpaceDE w:val="0"/>
        <w:autoSpaceDN w:val="0"/>
        <w:adjustRightInd w:val="0"/>
        <w:rPr>
          <w:rFonts w:asciiTheme="majorHAnsi" w:hAnsiTheme="majorHAnsi" w:cs="Times New Roman"/>
        </w:rPr>
      </w:pPr>
    </w:p>
    <w:tbl>
      <w:tblPr>
        <w:tblStyle w:val="LightLis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08"/>
        <w:gridCol w:w="1350"/>
        <w:gridCol w:w="1800"/>
        <w:gridCol w:w="3420"/>
      </w:tblGrid>
      <w:tr w:rsidR="005516D7" w:rsidRPr="0063687C" w:rsidTr="002605E3">
        <w:tc>
          <w:tcPr>
            <w:tcW w:w="8478" w:type="dxa"/>
            <w:gridSpan w:val="4"/>
          </w:tcPr>
          <w:p w:rsidR="005516D7" w:rsidRPr="00EE0139" w:rsidRDefault="005516D7" w:rsidP="002605E3">
            <w:pPr>
              <w:rPr>
                <w:rFonts w:asciiTheme="majorHAnsi" w:eastAsia="Times New Roman" w:hAnsiTheme="majorHAnsi" w:cs="Times New Roman"/>
                <w:b/>
                <w:lang w:eastAsia="en-GB"/>
              </w:rPr>
            </w:pPr>
            <w:r w:rsidRPr="00EE0139">
              <w:rPr>
                <w:rFonts w:asciiTheme="majorHAnsi" w:eastAsia="Times New Roman" w:hAnsiTheme="majorHAnsi" w:cs="Times New Roman"/>
                <w:b/>
                <w:lang w:eastAsia="en-GB"/>
              </w:rPr>
              <w:t xml:space="preserve">Table </w:t>
            </w:r>
            <w:r>
              <w:rPr>
                <w:rFonts w:asciiTheme="majorHAnsi" w:eastAsia="Times New Roman" w:hAnsiTheme="majorHAnsi" w:cs="Times New Roman"/>
                <w:b/>
                <w:lang w:eastAsia="en-GB"/>
              </w:rPr>
              <w:t>A3</w:t>
            </w:r>
            <w:r w:rsidRPr="00EE0139">
              <w:rPr>
                <w:rFonts w:asciiTheme="majorHAnsi" w:eastAsia="Times New Roman" w:hAnsiTheme="majorHAnsi" w:cs="Times New Roman"/>
                <w:b/>
                <w:lang w:eastAsia="en-GB"/>
              </w:rPr>
              <w:t xml:space="preserve"> </w:t>
            </w:r>
            <w:r w:rsidRPr="00EE0139">
              <w:rPr>
                <w:rFonts w:asciiTheme="majorHAnsi" w:hAnsiTheme="majorHAnsi" w:cs="Times New Roman"/>
                <w:b/>
                <w:color w:val="000000"/>
              </w:rPr>
              <w:t xml:space="preserve">Mean errors for </w:t>
            </w:r>
            <w:r>
              <w:rPr>
                <w:rFonts w:asciiTheme="majorHAnsi" w:hAnsiTheme="majorHAnsi" w:cs="Times New Roman"/>
                <w:b/>
                <w:color w:val="000000"/>
              </w:rPr>
              <w:t>demand</w:t>
            </w:r>
            <w:r w:rsidRPr="00EE0139">
              <w:rPr>
                <w:rFonts w:asciiTheme="majorHAnsi" w:hAnsiTheme="majorHAnsi" w:cs="Times New Roman"/>
                <w:b/>
                <w:color w:val="000000"/>
              </w:rPr>
              <w:t xml:space="preserve"> projection models</w:t>
            </w:r>
          </w:p>
        </w:tc>
      </w:tr>
      <w:tr w:rsidR="005516D7" w:rsidRPr="0063687C" w:rsidTr="002605E3">
        <w:tc>
          <w:tcPr>
            <w:tcW w:w="1908" w:type="dxa"/>
            <w:hideMark/>
          </w:tcPr>
          <w:p w:rsidR="005516D7" w:rsidRPr="00EE0139" w:rsidRDefault="005516D7" w:rsidP="002605E3">
            <w:pPr>
              <w:rPr>
                <w:rFonts w:asciiTheme="majorHAnsi" w:eastAsia="Times New Roman" w:hAnsiTheme="majorHAnsi" w:cs="Times New Roman"/>
                <w:b/>
                <w:color w:val="000000" w:themeColor="text1"/>
                <w:lang w:eastAsia="en-GB"/>
              </w:rPr>
            </w:pPr>
            <w:r w:rsidRPr="00EE0139">
              <w:rPr>
                <w:rFonts w:asciiTheme="majorHAnsi" w:eastAsia="Times New Roman" w:hAnsiTheme="majorHAnsi" w:cs="Times New Roman"/>
                <w:b/>
                <w:color w:val="000000" w:themeColor="text1"/>
                <w:lang w:eastAsia="en-GB"/>
              </w:rPr>
              <w:t>Model</w:t>
            </w:r>
          </w:p>
        </w:tc>
        <w:tc>
          <w:tcPr>
            <w:tcW w:w="1350" w:type="dxa"/>
            <w:hideMark/>
          </w:tcPr>
          <w:p w:rsidR="005516D7" w:rsidRPr="00EE0139" w:rsidRDefault="005516D7" w:rsidP="002605E3">
            <w:pPr>
              <w:rPr>
                <w:rFonts w:asciiTheme="majorHAnsi" w:eastAsia="Times New Roman" w:hAnsiTheme="majorHAnsi" w:cs="Times New Roman"/>
                <w:b/>
                <w:i/>
                <w:color w:val="000000" w:themeColor="text1"/>
                <w:lang w:eastAsia="en-GB"/>
              </w:rPr>
            </w:pPr>
            <w:r w:rsidRPr="00EE0139">
              <w:rPr>
                <w:rFonts w:asciiTheme="majorHAnsi" w:eastAsia="Times New Roman" w:hAnsiTheme="majorHAnsi" w:cs="Times New Roman"/>
                <w:b/>
                <w:i/>
                <w:color w:val="000000" w:themeColor="text1"/>
                <w:lang w:eastAsia="en-GB"/>
              </w:rPr>
              <w:t>N=C*T</w:t>
            </w:r>
          </w:p>
        </w:tc>
        <w:tc>
          <w:tcPr>
            <w:tcW w:w="1800" w:type="dxa"/>
            <w:hideMark/>
          </w:tcPr>
          <w:p w:rsidR="005516D7" w:rsidRPr="00EE0139" w:rsidRDefault="005516D7" w:rsidP="002605E3">
            <w:pPr>
              <w:rPr>
                <w:rFonts w:asciiTheme="majorHAnsi" w:eastAsia="Times New Roman" w:hAnsiTheme="majorHAnsi" w:cs="Times New Roman"/>
                <w:b/>
                <w:color w:val="000000" w:themeColor="text1"/>
                <w:lang w:eastAsia="en-GB"/>
              </w:rPr>
            </w:pPr>
            <w:r w:rsidRPr="00EE0139">
              <w:rPr>
                <w:rFonts w:asciiTheme="majorHAnsi" w:eastAsia="Times New Roman" w:hAnsiTheme="majorHAnsi" w:cs="Times New Roman"/>
                <w:b/>
                <w:color w:val="000000" w:themeColor="text1"/>
                <w:lang w:eastAsia="en-GB"/>
              </w:rPr>
              <w:t>Mean</w:t>
            </w:r>
          </w:p>
        </w:tc>
        <w:tc>
          <w:tcPr>
            <w:tcW w:w="3420" w:type="dxa"/>
          </w:tcPr>
          <w:p w:rsidR="005516D7" w:rsidRPr="00EE0139" w:rsidRDefault="005516D7" w:rsidP="002605E3">
            <w:pPr>
              <w:rPr>
                <w:rFonts w:asciiTheme="majorHAnsi" w:eastAsia="Times New Roman" w:hAnsiTheme="majorHAnsi" w:cs="Times New Roman"/>
                <w:b/>
                <w:color w:val="000000" w:themeColor="text1"/>
                <w:lang w:eastAsia="en-GB"/>
              </w:rPr>
            </w:pPr>
            <w:r w:rsidRPr="00EE0139">
              <w:rPr>
                <w:rFonts w:asciiTheme="majorHAnsi" w:eastAsia="Times New Roman" w:hAnsiTheme="majorHAnsi" w:cs="Times New Roman"/>
                <w:b/>
                <w:color w:val="000000" w:themeColor="text1"/>
                <w:lang w:eastAsia="en-GB"/>
              </w:rPr>
              <w:t>Standard deviation</w:t>
            </w:r>
          </w:p>
        </w:tc>
      </w:tr>
      <w:tr w:rsidR="005516D7" w:rsidRPr="0063687C" w:rsidTr="002605E3">
        <w:tc>
          <w:tcPr>
            <w:tcW w:w="1908" w:type="dxa"/>
            <w:hideMark/>
          </w:tcPr>
          <w:p w:rsidR="005516D7" w:rsidRPr="00EE0139" w:rsidRDefault="005516D7" w:rsidP="002605E3">
            <w:pPr>
              <w:rPr>
                <w:rFonts w:asciiTheme="majorHAnsi" w:eastAsia="Times New Roman" w:hAnsiTheme="majorHAnsi" w:cs="Times New Roman"/>
                <w:lang w:eastAsia="en-GB"/>
              </w:rPr>
            </w:pPr>
            <w:r>
              <w:rPr>
                <w:rFonts w:asciiTheme="majorHAnsi" w:eastAsia="Times New Roman" w:hAnsiTheme="majorHAnsi" w:cs="Times New Roman"/>
                <w:lang w:eastAsia="en-GB"/>
              </w:rPr>
              <w:t>Eq 1</w:t>
            </w:r>
          </w:p>
        </w:tc>
        <w:tc>
          <w:tcPr>
            <w:tcW w:w="1350" w:type="dxa"/>
          </w:tcPr>
          <w:p w:rsidR="005516D7" w:rsidRPr="0063687C" w:rsidRDefault="005516D7" w:rsidP="002605E3">
            <w:pPr>
              <w:rPr>
                <w:rFonts w:asciiTheme="majorHAnsi" w:eastAsia="Times New Roman" w:hAnsiTheme="majorHAnsi" w:cs="Times New Roman"/>
                <w:lang w:eastAsia="en-GB"/>
              </w:rPr>
            </w:pPr>
            <w:r>
              <w:rPr>
                <w:rFonts w:ascii="Calibri" w:hAnsi="Calibri"/>
                <w:color w:val="000000"/>
                <w:sz w:val="22"/>
                <w:szCs w:val="22"/>
              </w:rPr>
              <w:t>653</w:t>
            </w:r>
          </w:p>
        </w:tc>
        <w:tc>
          <w:tcPr>
            <w:tcW w:w="1800" w:type="dxa"/>
          </w:tcPr>
          <w:p w:rsidR="005516D7" w:rsidRDefault="005516D7" w:rsidP="002605E3">
            <w:pPr>
              <w:jc w:val="center"/>
              <w:rPr>
                <w:rFonts w:ascii="Calibri" w:hAnsi="Calibri"/>
                <w:color w:val="000000"/>
                <w:sz w:val="22"/>
                <w:szCs w:val="22"/>
              </w:rPr>
            </w:pPr>
            <w:r>
              <w:rPr>
                <w:rFonts w:ascii="Calibri" w:hAnsi="Calibri"/>
                <w:color w:val="000000"/>
                <w:sz w:val="22"/>
                <w:szCs w:val="22"/>
              </w:rPr>
              <w:t>0.2640</w:t>
            </w:r>
          </w:p>
        </w:tc>
        <w:tc>
          <w:tcPr>
            <w:tcW w:w="3420" w:type="dxa"/>
          </w:tcPr>
          <w:p w:rsidR="005516D7" w:rsidRDefault="005516D7" w:rsidP="002605E3">
            <w:pPr>
              <w:jc w:val="center"/>
              <w:rPr>
                <w:rFonts w:ascii="Calibri" w:hAnsi="Calibri"/>
                <w:color w:val="000000"/>
                <w:sz w:val="22"/>
                <w:szCs w:val="22"/>
              </w:rPr>
            </w:pPr>
            <w:r>
              <w:rPr>
                <w:rFonts w:ascii="Calibri" w:hAnsi="Calibri"/>
                <w:color w:val="000000"/>
                <w:sz w:val="22"/>
                <w:szCs w:val="22"/>
              </w:rPr>
              <w:t>0.5640</w:t>
            </w:r>
          </w:p>
        </w:tc>
      </w:tr>
      <w:tr w:rsidR="005516D7" w:rsidRPr="0063687C" w:rsidTr="002605E3">
        <w:tc>
          <w:tcPr>
            <w:tcW w:w="1908" w:type="dxa"/>
            <w:hideMark/>
          </w:tcPr>
          <w:p w:rsidR="005516D7" w:rsidRPr="00EE0139" w:rsidRDefault="005516D7" w:rsidP="002605E3">
            <w:pPr>
              <w:rPr>
                <w:rFonts w:asciiTheme="majorHAnsi" w:eastAsia="Times New Roman" w:hAnsiTheme="majorHAnsi" w:cs="Times New Roman"/>
                <w:lang w:eastAsia="en-GB"/>
              </w:rPr>
            </w:pPr>
            <w:r>
              <w:rPr>
                <w:rFonts w:asciiTheme="majorHAnsi" w:eastAsia="Times New Roman" w:hAnsiTheme="majorHAnsi" w:cs="Times New Roman"/>
                <w:lang w:eastAsia="en-GB"/>
              </w:rPr>
              <w:t>Alternative 1</w:t>
            </w:r>
          </w:p>
        </w:tc>
        <w:tc>
          <w:tcPr>
            <w:tcW w:w="1350" w:type="dxa"/>
          </w:tcPr>
          <w:p w:rsidR="005516D7" w:rsidRPr="0063687C" w:rsidRDefault="005516D7" w:rsidP="002605E3">
            <w:pPr>
              <w:rPr>
                <w:rFonts w:asciiTheme="majorHAnsi" w:eastAsia="Times New Roman" w:hAnsiTheme="majorHAnsi" w:cs="Times New Roman"/>
                <w:lang w:eastAsia="en-GB"/>
              </w:rPr>
            </w:pPr>
            <w:r>
              <w:rPr>
                <w:rFonts w:ascii="Calibri" w:hAnsi="Calibri"/>
                <w:color w:val="000000"/>
                <w:sz w:val="22"/>
                <w:szCs w:val="22"/>
              </w:rPr>
              <w:t>653</w:t>
            </w:r>
          </w:p>
        </w:tc>
        <w:tc>
          <w:tcPr>
            <w:tcW w:w="1800" w:type="dxa"/>
          </w:tcPr>
          <w:p w:rsidR="005516D7" w:rsidRDefault="005516D7" w:rsidP="002605E3">
            <w:pPr>
              <w:jc w:val="center"/>
              <w:rPr>
                <w:rFonts w:ascii="Calibri" w:hAnsi="Calibri"/>
                <w:color w:val="000000"/>
                <w:sz w:val="22"/>
                <w:szCs w:val="22"/>
              </w:rPr>
            </w:pPr>
            <w:r>
              <w:rPr>
                <w:rFonts w:ascii="Calibri" w:hAnsi="Calibri"/>
                <w:color w:val="000000"/>
                <w:sz w:val="22"/>
                <w:szCs w:val="22"/>
              </w:rPr>
              <w:t>0.2779</w:t>
            </w:r>
          </w:p>
        </w:tc>
        <w:tc>
          <w:tcPr>
            <w:tcW w:w="3420" w:type="dxa"/>
          </w:tcPr>
          <w:p w:rsidR="005516D7" w:rsidRDefault="005516D7" w:rsidP="002605E3">
            <w:pPr>
              <w:jc w:val="center"/>
              <w:rPr>
                <w:rFonts w:ascii="Calibri" w:hAnsi="Calibri"/>
                <w:color w:val="000000"/>
                <w:sz w:val="22"/>
                <w:szCs w:val="22"/>
              </w:rPr>
            </w:pPr>
            <w:r>
              <w:rPr>
                <w:rFonts w:ascii="Calibri" w:hAnsi="Calibri"/>
                <w:color w:val="000000"/>
                <w:sz w:val="22"/>
                <w:szCs w:val="22"/>
              </w:rPr>
              <w:t>0.5403</w:t>
            </w:r>
          </w:p>
        </w:tc>
      </w:tr>
      <w:tr w:rsidR="005516D7" w:rsidRPr="0063687C" w:rsidTr="002605E3">
        <w:tc>
          <w:tcPr>
            <w:tcW w:w="1908" w:type="dxa"/>
            <w:hideMark/>
          </w:tcPr>
          <w:p w:rsidR="005516D7" w:rsidRPr="00EE0139" w:rsidRDefault="005516D7" w:rsidP="002605E3">
            <w:pPr>
              <w:rPr>
                <w:rFonts w:asciiTheme="majorHAnsi" w:eastAsia="Times New Roman" w:hAnsiTheme="majorHAnsi" w:cs="Times New Roman"/>
                <w:lang w:eastAsia="en-GB"/>
              </w:rPr>
            </w:pPr>
            <w:r>
              <w:rPr>
                <w:rFonts w:asciiTheme="majorHAnsi" w:eastAsia="Times New Roman" w:hAnsiTheme="majorHAnsi" w:cs="Times New Roman"/>
                <w:lang w:eastAsia="en-GB"/>
              </w:rPr>
              <w:t>Alternative 2</w:t>
            </w:r>
          </w:p>
        </w:tc>
        <w:tc>
          <w:tcPr>
            <w:tcW w:w="1350" w:type="dxa"/>
          </w:tcPr>
          <w:p w:rsidR="005516D7" w:rsidRPr="0063687C" w:rsidRDefault="005516D7" w:rsidP="002605E3">
            <w:pPr>
              <w:rPr>
                <w:rFonts w:asciiTheme="majorHAnsi" w:eastAsia="Times New Roman" w:hAnsiTheme="majorHAnsi" w:cs="Times New Roman"/>
                <w:lang w:eastAsia="en-GB"/>
              </w:rPr>
            </w:pPr>
            <w:r>
              <w:rPr>
                <w:rFonts w:ascii="Calibri" w:hAnsi="Calibri"/>
                <w:color w:val="000000"/>
                <w:sz w:val="22"/>
                <w:szCs w:val="22"/>
              </w:rPr>
              <w:t>653</w:t>
            </w:r>
          </w:p>
        </w:tc>
        <w:tc>
          <w:tcPr>
            <w:tcW w:w="1800" w:type="dxa"/>
          </w:tcPr>
          <w:p w:rsidR="005516D7" w:rsidRDefault="005516D7" w:rsidP="002605E3">
            <w:pPr>
              <w:jc w:val="center"/>
              <w:rPr>
                <w:rFonts w:ascii="Calibri" w:hAnsi="Calibri"/>
                <w:color w:val="000000"/>
                <w:sz w:val="22"/>
                <w:szCs w:val="22"/>
              </w:rPr>
            </w:pPr>
            <w:r>
              <w:rPr>
                <w:rFonts w:ascii="Calibri" w:hAnsi="Calibri"/>
                <w:color w:val="000000"/>
                <w:sz w:val="22"/>
                <w:szCs w:val="22"/>
              </w:rPr>
              <w:t>0.2649</w:t>
            </w:r>
          </w:p>
        </w:tc>
        <w:tc>
          <w:tcPr>
            <w:tcW w:w="3420" w:type="dxa"/>
          </w:tcPr>
          <w:p w:rsidR="005516D7" w:rsidRDefault="005516D7" w:rsidP="002605E3">
            <w:pPr>
              <w:jc w:val="center"/>
              <w:rPr>
                <w:rFonts w:ascii="Calibri" w:hAnsi="Calibri"/>
                <w:color w:val="000000"/>
                <w:sz w:val="22"/>
                <w:szCs w:val="22"/>
              </w:rPr>
            </w:pPr>
            <w:r>
              <w:rPr>
                <w:rFonts w:ascii="Calibri" w:hAnsi="Calibri"/>
                <w:color w:val="000000"/>
                <w:sz w:val="22"/>
                <w:szCs w:val="22"/>
              </w:rPr>
              <w:t>0.5627</w:t>
            </w:r>
          </w:p>
        </w:tc>
      </w:tr>
      <w:tr w:rsidR="005516D7" w:rsidRPr="0063687C" w:rsidTr="002605E3">
        <w:tc>
          <w:tcPr>
            <w:tcW w:w="1908" w:type="dxa"/>
            <w:hideMark/>
          </w:tcPr>
          <w:p w:rsidR="005516D7" w:rsidRPr="00EE0139" w:rsidRDefault="005516D7" w:rsidP="002605E3">
            <w:pPr>
              <w:rPr>
                <w:rFonts w:asciiTheme="majorHAnsi" w:eastAsia="Times New Roman" w:hAnsiTheme="majorHAnsi" w:cs="Times New Roman"/>
                <w:lang w:eastAsia="en-GB"/>
              </w:rPr>
            </w:pPr>
            <w:r>
              <w:rPr>
                <w:rFonts w:asciiTheme="majorHAnsi" w:eastAsia="Times New Roman" w:hAnsiTheme="majorHAnsi" w:cs="Times New Roman"/>
                <w:lang w:eastAsia="en-GB"/>
              </w:rPr>
              <w:t>Alternative 3</w:t>
            </w:r>
          </w:p>
        </w:tc>
        <w:tc>
          <w:tcPr>
            <w:tcW w:w="1350" w:type="dxa"/>
          </w:tcPr>
          <w:p w:rsidR="005516D7" w:rsidRPr="0063687C" w:rsidRDefault="005516D7" w:rsidP="002605E3">
            <w:pPr>
              <w:rPr>
                <w:rFonts w:asciiTheme="majorHAnsi" w:eastAsia="Times New Roman" w:hAnsiTheme="majorHAnsi" w:cs="Times New Roman"/>
                <w:lang w:eastAsia="en-GB"/>
              </w:rPr>
            </w:pPr>
            <w:r>
              <w:rPr>
                <w:rFonts w:ascii="Calibri" w:hAnsi="Calibri"/>
                <w:color w:val="000000"/>
                <w:sz w:val="22"/>
                <w:szCs w:val="22"/>
              </w:rPr>
              <w:t>653</w:t>
            </w:r>
          </w:p>
        </w:tc>
        <w:tc>
          <w:tcPr>
            <w:tcW w:w="1800" w:type="dxa"/>
          </w:tcPr>
          <w:p w:rsidR="005516D7" w:rsidRDefault="005516D7" w:rsidP="002605E3">
            <w:pPr>
              <w:jc w:val="center"/>
              <w:rPr>
                <w:rFonts w:ascii="Calibri" w:hAnsi="Calibri"/>
                <w:color w:val="000000"/>
                <w:sz w:val="22"/>
                <w:szCs w:val="22"/>
              </w:rPr>
            </w:pPr>
            <w:r>
              <w:rPr>
                <w:rFonts w:ascii="Calibri" w:hAnsi="Calibri"/>
                <w:color w:val="000000"/>
                <w:sz w:val="22"/>
                <w:szCs w:val="22"/>
              </w:rPr>
              <w:t>0.2768</w:t>
            </w:r>
          </w:p>
        </w:tc>
        <w:tc>
          <w:tcPr>
            <w:tcW w:w="3420" w:type="dxa"/>
          </w:tcPr>
          <w:p w:rsidR="005516D7" w:rsidRDefault="005516D7" w:rsidP="002605E3">
            <w:pPr>
              <w:jc w:val="center"/>
              <w:rPr>
                <w:rFonts w:ascii="Calibri" w:hAnsi="Calibri"/>
                <w:color w:val="000000"/>
                <w:sz w:val="22"/>
                <w:szCs w:val="22"/>
              </w:rPr>
            </w:pPr>
            <w:r>
              <w:rPr>
                <w:rFonts w:ascii="Calibri" w:hAnsi="Calibri"/>
                <w:color w:val="000000"/>
                <w:sz w:val="22"/>
                <w:szCs w:val="22"/>
              </w:rPr>
              <w:t>0.5322</w:t>
            </w:r>
          </w:p>
        </w:tc>
      </w:tr>
    </w:tbl>
    <w:p w:rsidR="005516D7" w:rsidRDefault="005516D7" w:rsidP="005516D7">
      <w:pPr>
        <w:widowControl w:val="0"/>
        <w:autoSpaceDE w:val="0"/>
        <w:autoSpaceDN w:val="0"/>
        <w:adjustRightInd w:val="0"/>
        <w:spacing w:line="480" w:lineRule="auto"/>
        <w:rPr>
          <w:rFonts w:asciiTheme="majorHAnsi" w:hAnsiTheme="majorHAnsi" w:cs="Times New Roman"/>
        </w:rPr>
      </w:pPr>
    </w:p>
    <w:p w:rsidR="005516D7" w:rsidRPr="000C4FE2" w:rsidRDefault="005516D7" w:rsidP="005516D7">
      <w:pPr>
        <w:widowControl w:val="0"/>
        <w:autoSpaceDE w:val="0"/>
        <w:autoSpaceDN w:val="0"/>
        <w:adjustRightInd w:val="0"/>
        <w:spacing w:line="480" w:lineRule="auto"/>
        <w:rPr>
          <w:rFonts w:asciiTheme="majorHAnsi" w:hAnsiTheme="majorHAnsi" w:cs="Times New Roman"/>
        </w:rPr>
      </w:pPr>
      <w:r w:rsidRPr="000C4FE2">
        <w:rPr>
          <w:rFonts w:asciiTheme="majorHAnsi" w:hAnsiTheme="majorHAnsi" w:cs="Times New Roman"/>
        </w:rPr>
        <w:t xml:space="preserve">The range of demand (Eq. 1) projections at 0.5 S.D. and 1.0 S.D. are shown in Figure A.2, below. </w:t>
      </w:r>
    </w:p>
    <w:p w:rsidR="005516D7" w:rsidRPr="000C4FE2" w:rsidRDefault="005516D7" w:rsidP="005516D7">
      <w:pPr>
        <w:widowControl w:val="0"/>
        <w:autoSpaceDE w:val="0"/>
        <w:autoSpaceDN w:val="0"/>
        <w:adjustRightInd w:val="0"/>
        <w:spacing w:line="480" w:lineRule="auto"/>
        <w:rPr>
          <w:rFonts w:asciiTheme="majorHAnsi" w:hAnsiTheme="majorHAnsi" w:cs="Times New Roman"/>
          <w:b/>
        </w:rPr>
      </w:pPr>
    </w:p>
    <w:p w:rsidR="005516D7" w:rsidRPr="00764C60" w:rsidRDefault="005516D7" w:rsidP="005516D7">
      <w:pPr>
        <w:keepNext/>
        <w:widowControl w:val="0"/>
        <w:autoSpaceDE w:val="0"/>
        <w:autoSpaceDN w:val="0"/>
        <w:adjustRightInd w:val="0"/>
        <w:rPr>
          <w:rFonts w:asciiTheme="majorHAnsi" w:hAnsiTheme="majorHAnsi" w:cs="Times New Roman"/>
          <w:b/>
        </w:rPr>
      </w:pPr>
      <w:r w:rsidRPr="000C4FE2">
        <w:rPr>
          <w:rFonts w:asciiTheme="majorHAnsi" w:hAnsiTheme="majorHAnsi" w:cs="Times New Roman"/>
          <w:b/>
        </w:rPr>
        <w:t>Figure A.2   Range of Demand Projections within 0.5 and 1.0 Standard Deviation (SD)</w:t>
      </w:r>
    </w:p>
    <w:p w:rsidR="005516D7" w:rsidRDefault="005516D7" w:rsidP="005516D7">
      <w:pPr>
        <w:widowControl w:val="0"/>
        <w:autoSpaceDE w:val="0"/>
        <w:autoSpaceDN w:val="0"/>
        <w:adjustRightInd w:val="0"/>
        <w:spacing w:line="480" w:lineRule="auto"/>
        <w:rPr>
          <w:rFonts w:asciiTheme="majorHAnsi" w:hAnsiTheme="majorHAnsi" w:cs="Times New Roman"/>
        </w:rPr>
      </w:pPr>
      <w:r w:rsidRPr="0092349B">
        <w:rPr>
          <w:noProof/>
        </w:rPr>
        <w:drawing>
          <wp:inline distT="0" distB="0" distL="0" distR="0" wp14:anchorId="7A41643D" wp14:editId="39AF785D">
            <wp:extent cx="6159500" cy="4320540"/>
            <wp:effectExtent l="0" t="0" r="1270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66798" cy="4325659"/>
                    </a:xfrm>
                    <a:prstGeom prst="rect">
                      <a:avLst/>
                    </a:prstGeom>
                    <a:ln>
                      <a:noFill/>
                    </a:ln>
                  </pic:spPr>
                </pic:pic>
              </a:graphicData>
            </a:graphic>
          </wp:inline>
        </w:drawing>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 xml:space="preserve">Because the demand model requires rich historical data on health worker densities, separate models for nurses/midwife and all other health professionals could not be estimated; data for these cadres are insufficient to produce demand </w:t>
      </w:r>
      <w:r>
        <w:rPr>
          <w:rFonts w:asciiTheme="majorHAnsi" w:hAnsiTheme="majorHAnsi" w:cs="Times New Roman"/>
        </w:rPr>
        <w:t>projections.</w:t>
      </w:r>
      <w:r w:rsidRPr="0063687C">
        <w:rPr>
          <w:rFonts w:asciiTheme="majorHAnsi" w:hAnsiTheme="majorHAnsi" w:cs="Times New Roman"/>
        </w:rPr>
        <w:t xml:space="preserve"> To obtain the estimates for nurses/midwives, we multiply the projected number of </w:t>
      </w:r>
      <w:r w:rsidRPr="00EE0139">
        <w:rPr>
          <w:rFonts w:asciiTheme="majorHAnsi" w:hAnsiTheme="majorHAnsi" w:cs="Times New Roman"/>
        </w:rPr>
        <w:t>physicians demanded for each country by 2.517, the ratio of nurses/midwives to physicians accepted as a global benchmark (WHO 2016). By using this constant ratio, we assume that the production function for healthcare workers in terms of skills mix stays constant. To obtain estimates</w:t>
      </w:r>
      <w:r w:rsidRPr="0063687C">
        <w:rPr>
          <w:rFonts w:asciiTheme="majorHAnsi" w:hAnsiTheme="majorHAnsi" w:cs="Times New Roman"/>
        </w:rPr>
        <w:t xml:space="preserve"> of all other workers (AOWs), we apply constant multipliers according to World Bank income level (high income = 0.373; upper middle income = 0.406; lower middle income = 0.549; low income = 0.595) according to the following formula for each country of a given income classification:</w:t>
      </w:r>
    </w:p>
    <w:p w:rsidR="005516D7" w:rsidRPr="0063687C" w:rsidRDefault="005516D7" w:rsidP="005516D7">
      <w:pPr>
        <w:spacing w:line="480" w:lineRule="auto"/>
        <w:ind w:left="1440" w:hanging="720"/>
        <w:rPr>
          <w:rFonts w:asciiTheme="majorHAnsi" w:hAnsiTheme="majorHAnsi" w:cs="Times New Roman"/>
        </w:rPr>
      </w:pPr>
      <w:r w:rsidRPr="0063687C">
        <w:rPr>
          <w:rFonts w:asciiTheme="majorHAnsi" w:hAnsiTheme="majorHAnsi" w:cs="Times New Roman"/>
        </w:rPr>
        <w:t xml:space="preserve">(Eq 3) </w:t>
      </w:r>
      <w:r w:rsidRPr="0063687C">
        <w:rPr>
          <w:rFonts w:asciiTheme="majorHAnsi" w:hAnsiTheme="majorHAnsi" w:cs="Times New Roman"/>
        </w:rPr>
        <w:tab/>
      </w:r>
      <w:r w:rsidRPr="0063687C">
        <w:rPr>
          <w:rFonts w:asciiTheme="majorHAnsi" w:hAnsiTheme="majorHAnsi" w:cs="Times New Roman"/>
          <w:i/>
        </w:rPr>
        <w:t>AOWs per 1000 population</w:t>
      </w:r>
      <w:r w:rsidRPr="0063687C">
        <w:rPr>
          <w:rFonts w:asciiTheme="majorHAnsi" w:hAnsiTheme="majorHAnsi" w:cs="Times New Roman"/>
        </w:rPr>
        <w:t xml:space="preserve"> = </w:t>
      </w:r>
      <w:r w:rsidRPr="0063687C">
        <w:rPr>
          <w:rFonts w:asciiTheme="majorHAnsi" w:hAnsiTheme="majorHAnsi" w:cs="Times New Roman"/>
          <w:i/>
        </w:rPr>
        <w:t>multiplier</w:t>
      </w:r>
      <w:r w:rsidRPr="0063687C">
        <w:rPr>
          <w:rFonts w:asciiTheme="majorHAnsi" w:hAnsiTheme="majorHAnsi" w:cs="Times New Roman"/>
        </w:rPr>
        <w:t xml:space="preserve"> * [(2.517* </w:t>
      </w:r>
      <w:r w:rsidRPr="0063687C">
        <w:rPr>
          <w:rFonts w:asciiTheme="majorHAnsi" w:hAnsiTheme="majorHAnsi" w:cs="Times New Roman"/>
          <w:i/>
        </w:rPr>
        <w:t>physicians per 1000 population</w:t>
      </w:r>
      <w:r w:rsidRPr="0063687C">
        <w:rPr>
          <w:rFonts w:asciiTheme="majorHAnsi" w:hAnsiTheme="majorHAnsi" w:cs="Times New Roman"/>
        </w:rPr>
        <w:t xml:space="preserve">) + </w:t>
      </w:r>
      <w:r w:rsidRPr="0063687C">
        <w:rPr>
          <w:rFonts w:asciiTheme="majorHAnsi" w:hAnsiTheme="majorHAnsi" w:cs="Times New Roman"/>
          <w:i/>
        </w:rPr>
        <w:t>physicians per 1000 population</w:t>
      </w:r>
      <w:r w:rsidRPr="0063687C">
        <w:rPr>
          <w:rFonts w:asciiTheme="majorHAnsi" w:hAnsiTheme="majorHAnsi" w:cs="Times New Roman"/>
        </w:rPr>
        <w:t>]</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spacing w:line="480" w:lineRule="auto"/>
        <w:rPr>
          <w:rFonts w:asciiTheme="majorHAnsi" w:hAnsiTheme="majorHAnsi" w:cs="Times New Roman"/>
          <w:i/>
        </w:rPr>
      </w:pPr>
      <w:r w:rsidRPr="0063687C">
        <w:rPr>
          <w:rFonts w:asciiTheme="majorHAnsi" w:hAnsiTheme="majorHAnsi" w:cs="Times New Roman"/>
          <w:i/>
        </w:rPr>
        <w:t>Demand model sensitivity analyses</w:t>
      </w:r>
    </w:p>
    <w:p w:rsidR="005516D7" w:rsidRPr="0063687C" w:rsidRDefault="005516D7" w:rsidP="005516D7">
      <w:pPr>
        <w:widowControl w:val="0"/>
        <w:spacing w:line="480" w:lineRule="auto"/>
        <w:rPr>
          <w:rFonts w:asciiTheme="majorHAnsi" w:hAnsiTheme="majorHAnsi" w:cs="Times New Roman"/>
        </w:rPr>
      </w:pPr>
      <w:r w:rsidRPr="0063687C">
        <w:rPr>
          <w:rFonts w:asciiTheme="majorHAnsi" w:hAnsiTheme="majorHAnsi" w:cs="Times New Roman"/>
        </w:rPr>
        <w:t xml:space="preserve">We conducted two additional sensitivity analyses of the </w:t>
      </w:r>
      <w:r>
        <w:rPr>
          <w:rFonts w:asciiTheme="majorHAnsi" w:hAnsiTheme="majorHAnsi" w:cs="Times New Roman"/>
        </w:rPr>
        <w:t>projections</w:t>
      </w:r>
      <w:r w:rsidRPr="0063687C">
        <w:rPr>
          <w:rFonts w:asciiTheme="majorHAnsi" w:hAnsiTheme="majorHAnsi" w:cs="Times New Roman"/>
        </w:rPr>
        <w:t xml:space="preserve"> of physician demand resulting from the optimal demand model chosen to alternative input parameters. </w:t>
      </w:r>
    </w:p>
    <w:p w:rsidR="005516D7" w:rsidRPr="0063687C" w:rsidRDefault="005516D7" w:rsidP="005516D7">
      <w:pPr>
        <w:widowControl w:val="0"/>
        <w:spacing w:line="480" w:lineRule="auto"/>
        <w:rPr>
          <w:rFonts w:asciiTheme="majorHAnsi" w:hAnsiTheme="majorHAnsi" w:cs="Times New Roman"/>
        </w:rPr>
      </w:pPr>
    </w:p>
    <w:p w:rsidR="005516D7" w:rsidRPr="0063687C" w:rsidRDefault="005516D7" w:rsidP="005516D7">
      <w:pPr>
        <w:widowControl w:val="0"/>
        <w:spacing w:line="480" w:lineRule="auto"/>
        <w:rPr>
          <w:rFonts w:asciiTheme="majorHAnsi" w:hAnsiTheme="majorHAnsi" w:cs="Times New Roman"/>
        </w:rPr>
      </w:pPr>
      <w:r w:rsidRPr="0063687C">
        <w:rPr>
          <w:rFonts w:asciiTheme="majorHAnsi" w:hAnsiTheme="majorHAnsi" w:cs="Times New Roman"/>
        </w:rPr>
        <w:t xml:space="preserve">First, we assess the stability of the predictions to alternative estimated future values of GDP per capita. We use alternative estimated real GDP per capita (US$2010) from the Economic Research Service (ERS) International Macroeconomic Data Set published by the United States Department of Agriculture (USDA), available at </w:t>
      </w:r>
      <w:hyperlink r:id="rId10" w:history="1">
        <w:r w:rsidRPr="0063687C">
          <w:rPr>
            <w:rStyle w:val="Hyperlink"/>
            <w:rFonts w:asciiTheme="majorHAnsi" w:hAnsiTheme="majorHAnsi" w:cs="Times New Roman"/>
          </w:rPr>
          <w:t>http://www.ers.usda.gov/data-products/international-macroeconomic-data-set.aspx</w:t>
        </w:r>
      </w:hyperlink>
      <w:r w:rsidRPr="0063687C">
        <w:rPr>
          <w:rFonts w:asciiTheme="majorHAnsi" w:hAnsiTheme="majorHAnsi" w:cs="Times New Roman"/>
        </w:rPr>
        <w:t xml:space="preserve"> (Accessed on September 27, 2015). There was a relatively small </w:t>
      </w:r>
      <w:r>
        <w:rPr>
          <w:rFonts w:asciiTheme="majorHAnsi" w:hAnsiTheme="majorHAnsi" w:cs="Times New Roman"/>
        </w:rPr>
        <w:t xml:space="preserve">(9 percent) </w:t>
      </w:r>
      <w:r w:rsidRPr="0063687C">
        <w:rPr>
          <w:rFonts w:asciiTheme="majorHAnsi" w:hAnsiTheme="majorHAnsi" w:cs="Times New Roman"/>
        </w:rPr>
        <w:t>difference in the total estimated shortages in 2030 based on the two methods (15.6 million with the main method we used, and 17.0 million using USDA numbers)</w:t>
      </w:r>
    </w:p>
    <w:p w:rsidR="005516D7" w:rsidRPr="0063687C" w:rsidRDefault="005516D7" w:rsidP="005516D7">
      <w:pPr>
        <w:widowControl w:val="0"/>
        <w:spacing w:line="480" w:lineRule="auto"/>
        <w:rPr>
          <w:rFonts w:asciiTheme="majorHAnsi" w:hAnsiTheme="majorHAnsi" w:cs="Times New Roman"/>
          <w:b/>
        </w:rPr>
      </w:pPr>
    </w:p>
    <w:p w:rsidR="005516D7" w:rsidRPr="0063687C" w:rsidRDefault="005516D7" w:rsidP="005516D7">
      <w:pPr>
        <w:widowControl w:val="0"/>
        <w:spacing w:line="480" w:lineRule="auto"/>
        <w:rPr>
          <w:rFonts w:asciiTheme="majorHAnsi" w:hAnsiTheme="majorHAnsi" w:cs="Times New Roman"/>
        </w:rPr>
      </w:pPr>
      <w:r w:rsidRPr="0063687C">
        <w:rPr>
          <w:rFonts w:asciiTheme="majorHAnsi" w:hAnsiTheme="majorHAnsi" w:cs="Times New Roman"/>
        </w:rPr>
        <w:t xml:space="preserve">Second, we examine the possible upper and lower bounds of the predictions older than 65 resulting from high and low future population estimates. Because population is the largest driver of demand in our model, using the high and low variant estimates, we can obtain predicted total health worker deficits that may result from population growth among people older than 65 that is higher and lower than expected, compared to the median estimate that is presented in the main results. These alternative low and high estimates are shown in Figure </w:t>
      </w:r>
      <w:r>
        <w:rPr>
          <w:rFonts w:asciiTheme="majorHAnsi" w:hAnsiTheme="majorHAnsi" w:cs="Times New Roman"/>
        </w:rPr>
        <w:t>A</w:t>
      </w:r>
      <w:r w:rsidRPr="0063687C">
        <w:rPr>
          <w:rFonts w:asciiTheme="majorHAnsi" w:hAnsiTheme="majorHAnsi" w:cs="Times New Roman"/>
        </w:rPr>
        <w:t>1 below, indicating a rather tight band for the resulting predicted values.</w:t>
      </w:r>
    </w:p>
    <w:p w:rsidR="005516D7" w:rsidRPr="0063687C" w:rsidRDefault="005516D7" w:rsidP="005516D7">
      <w:pPr>
        <w:widowControl w:val="0"/>
        <w:spacing w:line="480" w:lineRule="auto"/>
        <w:rPr>
          <w:rFonts w:asciiTheme="majorHAnsi" w:hAnsiTheme="majorHAnsi" w:cs="Times New Roman"/>
        </w:rPr>
      </w:pPr>
    </w:p>
    <w:p w:rsidR="005516D7" w:rsidRPr="0063687C" w:rsidRDefault="005516D7" w:rsidP="005516D7">
      <w:pPr>
        <w:widowControl w:val="0"/>
        <w:spacing w:line="480" w:lineRule="auto"/>
        <w:rPr>
          <w:rFonts w:asciiTheme="majorHAnsi" w:hAnsiTheme="majorHAnsi" w:cs="Times New Roman"/>
          <w:b/>
        </w:rPr>
      </w:pPr>
      <w:r w:rsidRPr="0063687C">
        <w:rPr>
          <w:rFonts w:asciiTheme="majorHAnsi" w:hAnsiTheme="majorHAnsi" w:cs="Times New Roman"/>
          <w:b/>
        </w:rPr>
        <w:t xml:space="preserve">Figure </w:t>
      </w:r>
      <w:r>
        <w:rPr>
          <w:rFonts w:asciiTheme="majorHAnsi" w:hAnsiTheme="majorHAnsi" w:cs="Times New Roman"/>
          <w:b/>
        </w:rPr>
        <w:t>A</w:t>
      </w:r>
      <w:r w:rsidRPr="0063687C">
        <w:rPr>
          <w:rFonts w:asciiTheme="majorHAnsi" w:hAnsiTheme="majorHAnsi" w:cs="Times New Roman"/>
          <w:b/>
        </w:rPr>
        <w:t xml:space="preserve">1. </w:t>
      </w:r>
      <w:r>
        <w:rPr>
          <w:rFonts w:asciiTheme="majorHAnsi" w:hAnsiTheme="majorHAnsi" w:cs="Times New Roman"/>
          <w:b/>
        </w:rPr>
        <w:t>Project</w:t>
      </w:r>
      <w:r w:rsidRPr="0063687C">
        <w:rPr>
          <w:rFonts w:asciiTheme="majorHAnsi" w:hAnsiTheme="majorHAnsi" w:cs="Times New Roman"/>
          <w:b/>
        </w:rPr>
        <w:t>ed total health worker deficit using low and high projections for the size of the population older than 65</w:t>
      </w:r>
    </w:p>
    <w:p w:rsidR="005516D7" w:rsidRPr="0063687C" w:rsidRDefault="005516D7" w:rsidP="005516D7">
      <w:pPr>
        <w:widowControl w:val="0"/>
        <w:spacing w:line="480" w:lineRule="auto"/>
        <w:rPr>
          <w:rFonts w:asciiTheme="majorHAnsi" w:hAnsiTheme="majorHAnsi" w:cs="Times New Roman"/>
          <w:b/>
        </w:rPr>
      </w:pPr>
      <w:r w:rsidRPr="0063687C">
        <w:rPr>
          <w:rFonts w:asciiTheme="majorHAnsi" w:hAnsiTheme="majorHAnsi" w:cs="Times New Roman"/>
          <w:b/>
          <w:noProof/>
        </w:rPr>
        <w:drawing>
          <wp:inline distT="0" distB="0" distL="0" distR="0" wp14:anchorId="576F3463" wp14:editId="6039AB1B">
            <wp:extent cx="4069080" cy="2977524"/>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069080" cy="2977524"/>
                    </a:xfrm>
                    <a:prstGeom prst="rect">
                      <a:avLst/>
                    </a:prstGeom>
                    <a:noFill/>
                    <a:ln w="9525">
                      <a:noFill/>
                      <a:miter lim="800000"/>
                      <a:headEnd/>
                      <a:tailEnd/>
                    </a:ln>
                  </pic:spPr>
                </pic:pic>
              </a:graphicData>
            </a:graphic>
          </wp:inline>
        </w:drawing>
      </w:r>
    </w:p>
    <w:p w:rsidR="005516D7" w:rsidRPr="003C37D0" w:rsidRDefault="005516D7" w:rsidP="005516D7">
      <w:pPr>
        <w:widowControl w:val="0"/>
        <w:spacing w:line="480" w:lineRule="auto"/>
        <w:rPr>
          <w:rFonts w:asciiTheme="majorHAnsi" w:hAnsiTheme="majorHAnsi" w:cs="Times New Roman"/>
          <w:sz w:val="20"/>
          <w:szCs w:val="20"/>
        </w:rPr>
      </w:pPr>
      <w:r w:rsidRPr="003C37D0">
        <w:rPr>
          <w:rFonts w:asciiTheme="majorHAnsi" w:hAnsiTheme="majorHAnsi" w:cs="Times New Roman"/>
          <w:sz w:val="20"/>
          <w:szCs w:val="20"/>
        </w:rPr>
        <w:t>Note: where the predicted demand was less than the predicted supply, the estimated deficit was assumed to be zero.</w:t>
      </w:r>
    </w:p>
    <w:p w:rsidR="005516D7" w:rsidRDefault="005516D7" w:rsidP="005516D7">
      <w:pPr>
        <w:spacing w:line="480" w:lineRule="auto"/>
        <w:rPr>
          <w:rFonts w:asciiTheme="majorHAnsi" w:hAnsiTheme="majorHAnsi" w:cs="Times New Roman"/>
          <w:b/>
        </w:rPr>
      </w:pPr>
    </w:p>
    <w:p w:rsidR="005516D7" w:rsidRPr="0063687C" w:rsidRDefault="005516D7" w:rsidP="005516D7">
      <w:pPr>
        <w:spacing w:line="480" w:lineRule="auto"/>
        <w:rPr>
          <w:rFonts w:asciiTheme="majorHAnsi" w:hAnsiTheme="majorHAnsi" w:cs="Times New Roman"/>
          <w:b/>
        </w:rPr>
      </w:pPr>
      <w:r>
        <w:rPr>
          <w:rFonts w:asciiTheme="majorHAnsi" w:hAnsiTheme="majorHAnsi" w:cs="Times New Roman"/>
          <w:b/>
        </w:rPr>
        <w:t>A</w:t>
      </w:r>
      <w:r w:rsidRPr="0063687C">
        <w:rPr>
          <w:rFonts w:asciiTheme="majorHAnsi" w:hAnsiTheme="majorHAnsi" w:cs="Times New Roman"/>
          <w:b/>
        </w:rPr>
        <w:t>4. Supply model</w:t>
      </w:r>
    </w:p>
    <w:p w:rsidR="005516D7" w:rsidRDefault="005516D7" w:rsidP="005516D7">
      <w:pPr>
        <w:widowControl w:val="0"/>
        <w:spacing w:line="480" w:lineRule="auto"/>
        <w:rPr>
          <w:rFonts w:asciiTheme="majorHAnsi" w:hAnsiTheme="majorHAnsi" w:cs="Times New Roman"/>
        </w:rPr>
      </w:pPr>
      <w:r w:rsidRPr="002E4414">
        <w:rPr>
          <w:rFonts w:asciiTheme="majorHAnsi" w:hAnsiTheme="majorHAnsi" w:cs="Times New Roman"/>
        </w:rPr>
        <w:t>The supply of physicians and nurses/midwives can be projected to 2030 based on historical</w:t>
      </w:r>
      <w:r w:rsidRPr="0063687C">
        <w:rPr>
          <w:rFonts w:asciiTheme="majorHAnsi" w:hAnsiTheme="majorHAnsi" w:cs="Times New Roman"/>
        </w:rPr>
        <w:t xml:space="preserve"> data </w:t>
      </w:r>
      <w:r w:rsidRPr="00117FBA">
        <w:rPr>
          <w:rFonts w:asciiTheme="majorHAnsi" w:hAnsiTheme="majorHAnsi" w:cs="Times New Roman"/>
        </w:rPr>
        <w:t xml:space="preserve">on the increase in physician and nurse/midwives densities (i.e. per 1000 population) in each country. </w:t>
      </w:r>
      <w:r w:rsidRPr="0005270B">
        <w:rPr>
          <w:rFonts w:asciiTheme="majorHAnsi" w:hAnsiTheme="majorHAnsi"/>
        </w:rPr>
        <w:t>Yearly health workforce density data since 1990 are available from the WHO Global Health Observatory database. We extract all available data points for physicians and nurses/midwives.</w:t>
      </w:r>
    </w:p>
    <w:p w:rsidR="005516D7" w:rsidRDefault="005516D7" w:rsidP="005516D7">
      <w:pPr>
        <w:widowControl w:val="0"/>
        <w:spacing w:line="480" w:lineRule="auto"/>
        <w:rPr>
          <w:rFonts w:asciiTheme="majorHAnsi" w:hAnsiTheme="majorHAnsi" w:cs="Times New Roman"/>
        </w:rPr>
      </w:pPr>
    </w:p>
    <w:p w:rsidR="005516D7" w:rsidRPr="00117FBA" w:rsidRDefault="005516D7" w:rsidP="005516D7">
      <w:pPr>
        <w:widowControl w:val="0"/>
        <w:spacing w:line="480" w:lineRule="auto"/>
        <w:rPr>
          <w:rFonts w:asciiTheme="majorHAnsi" w:hAnsiTheme="majorHAnsi"/>
        </w:rPr>
      </w:pPr>
      <w:r w:rsidRPr="00E00873">
        <w:rPr>
          <w:rFonts w:asciiTheme="majorHAnsi" w:hAnsiTheme="majorHAnsi"/>
        </w:rPr>
        <w:t xml:space="preserve">Various econometric approaches </w:t>
      </w:r>
      <w:r w:rsidRPr="00117FBA">
        <w:rPr>
          <w:rFonts w:asciiTheme="majorHAnsi" w:hAnsiTheme="majorHAnsi"/>
        </w:rPr>
        <w:t>can be used to proje</w:t>
      </w:r>
      <w:r w:rsidRPr="004F0995">
        <w:rPr>
          <w:rFonts w:asciiTheme="majorHAnsi" w:hAnsiTheme="majorHAnsi"/>
        </w:rPr>
        <w:t xml:space="preserve">ct supply numbers, each with advantages and disadvantages as described in Table A.5. </w:t>
      </w:r>
      <w:r w:rsidRPr="0005270B">
        <w:rPr>
          <w:rFonts w:asciiTheme="majorHAnsi" w:hAnsiTheme="majorHAnsi" w:cs="Times New Roman"/>
        </w:rPr>
        <w:t xml:space="preserve">Of the three types of econometric approaches, </w:t>
      </w:r>
      <w:r>
        <w:rPr>
          <w:rFonts w:asciiTheme="majorHAnsi" w:hAnsiTheme="majorHAnsi" w:cs="Times New Roman"/>
        </w:rPr>
        <w:t xml:space="preserve">th growth rate </w:t>
      </w:r>
      <w:r w:rsidRPr="0005270B">
        <w:rPr>
          <w:rFonts w:asciiTheme="majorHAnsi" w:hAnsiTheme="majorHAnsi" w:cs="Times New Roman"/>
        </w:rPr>
        <w:t>method is the simplest, most straightforward, and requires the least amount of data, but may be less accurate given stronger functional form assumptions. Other methods rely less on the functional form assumption, but require more data points. A moving average or distributed lag model (2) which gives more weight to more recent data requires that data be available for a continuous number of years, and an ARIMA (autoregressive integrated moving average) model (3) requires that a long time series be available (i.e. ideally back to 1980) with very few missing data points.</w:t>
      </w:r>
      <w:r>
        <w:rPr>
          <w:rFonts w:asciiTheme="majorHAnsi" w:hAnsiTheme="majorHAnsi" w:cs="Times New Roman"/>
        </w:rPr>
        <w:t xml:space="preserve"> Given the availability of the health worker data, we chose to proceed with the growth rate model, which has previously been employed in health worker projections (Scheffler et al. 2008).</w:t>
      </w:r>
    </w:p>
    <w:p w:rsidR="005516D7" w:rsidRPr="004F0995" w:rsidRDefault="005516D7" w:rsidP="005516D7">
      <w:pPr>
        <w:widowControl w:val="0"/>
        <w:rPr>
          <w:rFonts w:asciiTheme="majorHAnsi" w:hAnsiTheme="majorHAnsi"/>
        </w:rPr>
      </w:pPr>
    </w:p>
    <w:tbl>
      <w:tblPr>
        <w:tblStyle w:val="LightList-Accent1"/>
        <w:tblpPr w:leftFromText="180" w:rightFromText="180" w:vertAnchor="text" w:horzAnchor="page" w:tblpX="1549" w:tblpY="36"/>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48"/>
        <w:gridCol w:w="3870"/>
        <w:gridCol w:w="4050"/>
      </w:tblGrid>
      <w:tr w:rsidR="005516D7" w:rsidRPr="00117FBA" w:rsidTr="002605E3">
        <w:trPr>
          <w:trHeight w:val="90"/>
        </w:trPr>
        <w:tc>
          <w:tcPr>
            <w:tcW w:w="9468" w:type="dxa"/>
            <w:gridSpan w:val="3"/>
          </w:tcPr>
          <w:p w:rsidR="005516D7" w:rsidRPr="0005270B" w:rsidRDefault="005516D7" w:rsidP="002605E3">
            <w:pPr>
              <w:keepNext/>
              <w:keepLines/>
              <w:spacing w:after="100" w:afterAutospacing="1"/>
              <w:outlineLvl w:val="3"/>
              <w:rPr>
                <w:rFonts w:asciiTheme="majorHAnsi" w:hAnsiTheme="majorHAnsi" w:cs="Times New Roman"/>
                <w:b/>
              </w:rPr>
            </w:pPr>
            <w:r w:rsidRPr="0005270B">
              <w:rPr>
                <w:rFonts w:asciiTheme="majorHAnsi" w:hAnsiTheme="majorHAnsi"/>
              </w:rPr>
              <w:t>Table A.5 Econometric modeling approaches for projecting supply</w:t>
            </w:r>
          </w:p>
        </w:tc>
      </w:tr>
      <w:tr w:rsidR="005516D7" w:rsidRPr="00117FBA" w:rsidTr="002605E3">
        <w:trPr>
          <w:trHeight w:val="90"/>
        </w:trPr>
        <w:tc>
          <w:tcPr>
            <w:tcW w:w="1548" w:type="dxa"/>
          </w:tcPr>
          <w:p w:rsidR="005516D7" w:rsidRPr="0005270B" w:rsidRDefault="005516D7" w:rsidP="002605E3">
            <w:pPr>
              <w:pStyle w:val="ListParagraph"/>
              <w:keepNext/>
              <w:keepLines/>
              <w:widowControl w:val="0"/>
              <w:autoSpaceDE w:val="0"/>
              <w:autoSpaceDN w:val="0"/>
              <w:adjustRightInd w:val="0"/>
              <w:spacing w:before="100" w:beforeAutospacing="1"/>
              <w:ind w:left="0" w:right="504"/>
              <w:outlineLvl w:val="3"/>
              <w:rPr>
                <w:rFonts w:asciiTheme="majorHAnsi" w:hAnsiTheme="majorHAnsi" w:cs="Times New Roman"/>
              </w:rPr>
            </w:pPr>
            <w:r w:rsidRPr="0005270B">
              <w:rPr>
                <w:rFonts w:asciiTheme="majorHAnsi" w:hAnsiTheme="majorHAnsi" w:cs="Times New Roman"/>
              </w:rPr>
              <w:t>Model</w:t>
            </w:r>
          </w:p>
        </w:tc>
        <w:tc>
          <w:tcPr>
            <w:tcW w:w="3870" w:type="dxa"/>
          </w:tcPr>
          <w:p w:rsidR="005516D7" w:rsidRPr="0005270B" w:rsidRDefault="005516D7" w:rsidP="002605E3">
            <w:pPr>
              <w:pStyle w:val="ListParagraph"/>
              <w:keepNext/>
              <w:keepLines/>
              <w:widowControl w:val="0"/>
              <w:autoSpaceDE w:val="0"/>
              <w:autoSpaceDN w:val="0"/>
              <w:adjustRightInd w:val="0"/>
              <w:ind w:left="0"/>
              <w:outlineLvl w:val="3"/>
              <w:rPr>
                <w:rFonts w:asciiTheme="majorHAnsi" w:hAnsiTheme="majorHAnsi" w:cs="Times New Roman"/>
                <w:b/>
              </w:rPr>
            </w:pPr>
            <w:r w:rsidRPr="0005270B">
              <w:rPr>
                <w:rFonts w:asciiTheme="majorHAnsi" w:hAnsiTheme="majorHAnsi" w:cs="Times New Roman"/>
                <w:b/>
              </w:rPr>
              <w:t>Advantages</w:t>
            </w:r>
          </w:p>
        </w:tc>
        <w:tc>
          <w:tcPr>
            <w:tcW w:w="4050" w:type="dxa"/>
          </w:tcPr>
          <w:p w:rsidR="005516D7" w:rsidRPr="0005270B" w:rsidRDefault="005516D7" w:rsidP="002605E3">
            <w:pPr>
              <w:pStyle w:val="ListParagraph"/>
              <w:keepNext/>
              <w:keepLines/>
              <w:widowControl w:val="0"/>
              <w:autoSpaceDE w:val="0"/>
              <w:autoSpaceDN w:val="0"/>
              <w:adjustRightInd w:val="0"/>
              <w:ind w:left="0"/>
              <w:outlineLvl w:val="3"/>
              <w:rPr>
                <w:rFonts w:asciiTheme="majorHAnsi" w:hAnsiTheme="majorHAnsi" w:cs="Times New Roman"/>
                <w:b/>
              </w:rPr>
            </w:pPr>
            <w:r w:rsidRPr="0005270B">
              <w:rPr>
                <w:rFonts w:asciiTheme="majorHAnsi" w:hAnsiTheme="majorHAnsi" w:cs="Times New Roman"/>
                <w:b/>
              </w:rPr>
              <w:t>Disadvantages</w:t>
            </w:r>
          </w:p>
        </w:tc>
      </w:tr>
      <w:tr w:rsidR="005516D7" w:rsidRPr="00117FBA" w:rsidTr="002605E3">
        <w:tc>
          <w:tcPr>
            <w:tcW w:w="1548" w:type="dxa"/>
          </w:tcPr>
          <w:p w:rsidR="005516D7" w:rsidRPr="0005270B" w:rsidRDefault="005516D7" w:rsidP="002605E3">
            <w:pPr>
              <w:pStyle w:val="ListParagraph"/>
              <w:keepNext/>
              <w:keepLines/>
              <w:widowControl w:val="0"/>
              <w:autoSpaceDE w:val="0"/>
              <w:autoSpaceDN w:val="0"/>
              <w:adjustRightInd w:val="0"/>
              <w:spacing w:before="200"/>
              <w:ind w:left="0"/>
              <w:outlineLvl w:val="3"/>
              <w:rPr>
                <w:rFonts w:asciiTheme="majorHAnsi" w:hAnsiTheme="majorHAnsi" w:cs="Times New Roman"/>
                <w:b/>
              </w:rPr>
            </w:pPr>
            <w:r w:rsidRPr="0005270B">
              <w:rPr>
                <w:rFonts w:asciiTheme="majorHAnsi" w:hAnsiTheme="majorHAnsi" w:cs="Times New Roman"/>
              </w:rPr>
              <w:t>1. Growth rate</w:t>
            </w:r>
          </w:p>
        </w:tc>
        <w:tc>
          <w:tcPr>
            <w:tcW w:w="3870" w:type="dxa"/>
          </w:tcPr>
          <w:p w:rsidR="005516D7" w:rsidRPr="0005270B" w:rsidRDefault="005516D7" w:rsidP="005516D7">
            <w:pPr>
              <w:pStyle w:val="ListParagraph"/>
              <w:keepNext/>
              <w:keepLines/>
              <w:widowControl w:val="0"/>
              <w:numPr>
                <w:ilvl w:val="0"/>
                <w:numId w:val="13"/>
              </w:numPr>
              <w:autoSpaceDE w:val="0"/>
              <w:autoSpaceDN w:val="0"/>
              <w:adjustRightInd w:val="0"/>
              <w:spacing w:before="200"/>
              <w:outlineLvl w:val="3"/>
              <w:rPr>
                <w:rFonts w:asciiTheme="majorHAnsi" w:hAnsiTheme="majorHAnsi" w:cs="Times New Roman"/>
              </w:rPr>
            </w:pPr>
            <w:r w:rsidRPr="0005270B">
              <w:rPr>
                <w:rFonts w:asciiTheme="majorHAnsi" w:hAnsiTheme="majorHAnsi" w:cs="Times New Roman"/>
              </w:rPr>
              <w:t>Simple and straightforward</w:t>
            </w:r>
          </w:p>
          <w:p w:rsidR="005516D7" w:rsidRPr="0005270B" w:rsidRDefault="005516D7" w:rsidP="005516D7">
            <w:pPr>
              <w:pStyle w:val="ListParagraph"/>
              <w:keepNext/>
              <w:keepLines/>
              <w:widowControl w:val="0"/>
              <w:numPr>
                <w:ilvl w:val="0"/>
                <w:numId w:val="13"/>
              </w:numPr>
              <w:tabs>
                <w:tab w:val="left" w:pos="6300"/>
              </w:tabs>
              <w:autoSpaceDE w:val="0"/>
              <w:autoSpaceDN w:val="0"/>
              <w:adjustRightInd w:val="0"/>
              <w:spacing w:before="200"/>
              <w:outlineLvl w:val="3"/>
              <w:rPr>
                <w:rFonts w:asciiTheme="majorHAnsi" w:hAnsiTheme="majorHAnsi" w:cs="Times New Roman"/>
              </w:rPr>
            </w:pPr>
            <w:r w:rsidRPr="0005270B">
              <w:rPr>
                <w:rFonts w:asciiTheme="majorHAnsi" w:hAnsiTheme="majorHAnsi" w:cs="Times New Roman"/>
              </w:rPr>
              <w:t>Only need 2 data points minimum per country</w:t>
            </w:r>
          </w:p>
        </w:tc>
        <w:tc>
          <w:tcPr>
            <w:tcW w:w="4050" w:type="dxa"/>
          </w:tcPr>
          <w:p w:rsidR="005516D7" w:rsidRPr="0005270B" w:rsidRDefault="005516D7" w:rsidP="002605E3">
            <w:pPr>
              <w:pStyle w:val="ListParagraph"/>
              <w:keepNext/>
              <w:keepLines/>
              <w:widowControl w:val="0"/>
              <w:autoSpaceDE w:val="0"/>
              <w:autoSpaceDN w:val="0"/>
              <w:adjustRightInd w:val="0"/>
              <w:spacing w:before="200"/>
              <w:ind w:left="0"/>
              <w:outlineLvl w:val="3"/>
              <w:rPr>
                <w:rFonts w:asciiTheme="majorHAnsi" w:hAnsiTheme="majorHAnsi" w:cs="Times New Roman"/>
              </w:rPr>
            </w:pPr>
            <w:r w:rsidRPr="0005270B">
              <w:rPr>
                <w:rFonts w:asciiTheme="majorHAnsi" w:hAnsiTheme="majorHAnsi" w:cs="Times New Roman"/>
              </w:rPr>
              <w:t>Potentially less accurate if inappropriate functional form</w:t>
            </w:r>
          </w:p>
        </w:tc>
      </w:tr>
      <w:tr w:rsidR="005516D7" w:rsidRPr="00117FBA" w:rsidTr="002605E3">
        <w:tc>
          <w:tcPr>
            <w:tcW w:w="1548" w:type="dxa"/>
          </w:tcPr>
          <w:p w:rsidR="005516D7" w:rsidRPr="0005270B" w:rsidRDefault="005516D7" w:rsidP="002605E3">
            <w:pPr>
              <w:pStyle w:val="ListParagraph"/>
              <w:keepNext/>
              <w:keepLines/>
              <w:widowControl w:val="0"/>
              <w:tabs>
                <w:tab w:val="left" w:pos="1530"/>
              </w:tabs>
              <w:autoSpaceDE w:val="0"/>
              <w:autoSpaceDN w:val="0"/>
              <w:adjustRightInd w:val="0"/>
              <w:spacing w:before="200"/>
              <w:ind w:left="0"/>
              <w:outlineLvl w:val="3"/>
              <w:rPr>
                <w:rFonts w:asciiTheme="majorHAnsi" w:hAnsiTheme="majorHAnsi" w:cs="Times New Roman"/>
                <w:b/>
              </w:rPr>
            </w:pPr>
            <w:r w:rsidRPr="0005270B">
              <w:rPr>
                <w:rFonts w:asciiTheme="majorHAnsi" w:hAnsiTheme="majorHAnsi" w:cs="Times New Roman"/>
              </w:rPr>
              <w:t>2. Moving average/ distributed lag</w:t>
            </w:r>
          </w:p>
        </w:tc>
        <w:tc>
          <w:tcPr>
            <w:tcW w:w="3870" w:type="dxa"/>
          </w:tcPr>
          <w:p w:rsidR="005516D7" w:rsidRPr="0005270B" w:rsidRDefault="005516D7" w:rsidP="005516D7">
            <w:pPr>
              <w:pStyle w:val="ListParagraph"/>
              <w:keepNext/>
              <w:keepLines/>
              <w:widowControl w:val="0"/>
              <w:numPr>
                <w:ilvl w:val="0"/>
                <w:numId w:val="13"/>
              </w:numPr>
              <w:autoSpaceDE w:val="0"/>
              <w:autoSpaceDN w:val="0"/>
              <w:adjustRightInd w:val="0"/>
              <w:spacing w:before="200"/>
              <w:outlineLvl w:val="3"/>
              <w:rPr>
                <w:rFonts w:asciiTheme="majorHAnsi" w:hAnsiTheme="majorHAnsi" w:cs="Times New Roman"/>
              </w:rPr>
            </w:pPr>
            <w:r w:rsidRPr="0005270B">
              <w:rPr>
                <w:rFonts w:asciiTheme="majorHAnsi" w:hAnsiTheme="majorHAnsi" w:cs="Times New Roman"/>
              </w:rPr>
              <w:t>Gives more weight to recent data</w:t>
            </w:r>
          </w:p>
          <w:p w:rsidR="005516D7" w:rsidRPr="0005270B" w:rsidRDefault="005516D7" w:rsidP="005516D7">
            <w:pPr>
              <w:pStyle w:val="ListParagraph"/>
              <w:keepNext/>
              <w:keepLines/>
              <w:widowControl w:val="0"/>
              <w:numPr>
                <w:ilvl w:val="0"/>
                <w:numId w:val="13"/>
              </w:numPr>
              <w:autoSpaceDE w:val="0"/>
              <w:autoSpaceDN w:val="0"/>
              <w:adjustRightInd w:val="0"/>
              <w:spacing w:before="200"/>
              <w:outlineLvl w:val="3"/>
              <w:rPr>
                <w:rFonts w:asciiTheme="majorHAnsi" w:hAnsiTheme="majorHAnsi" w:cs="Times New Roman"/>
              </w:rPr>
            </w:pPr>
            <w:r w:rsidRPr="0005270B">
              <w:rPr>
                <w:rFonts w:asciiTheme="majorHAnsi" w:hAnsiTheme="majorHAnsi" w:cs="Times New Roman"/>
              </w:rPr>
              <w:t>Relies less on functional form assumptions</w:t>
            </w:r>
          </w:p>
        </w:tc>
        <w:tc>
          <w:tcPr>
            <w:tcW w:w="4050" w:type="dxa"/>
          </w:tcPr>
          <w:p w:rsidR="005516D7" w:rsidRPr="0005270B" w:rsidRDefault="005516D7" w:rsidP="002605E3">
            <w:pPr>
              <w:pStyle w:val="ListParagraph"/>
              <w:keepNext/>
              <w:keepLines/>
              <w:widowControl w:val="0"/>
              <w:autoSpaceDE w:val="0"/>
              <w:autoSpaceDN w:val="0"/>
              <w:adjustRightInd w:val="0"/>
              <w:spacing w:before="200"/>
              <w:ind w:left="0"/>
              <w:outlineLvl w:val="3"/>
              <w:rPr>
                <w:rFonts w:asciiTheme="majorHAnsi" w:hAnsiTheme="majorHAnsi" w:cs="Times New Roman"/>
              </w:rPr>
            </w:pPr>
            <w:r w:rsidRPr="0005270B">
              <w:rPr>
                <w:rFonts w:asciiTheme="majorHAnsi" w:hAnsiTheme="majorHAnsi" w:cs="Times New Roman"/>
              </w:rPr>
              <w:t>Requires that the workforce numbers be populated for at least some number of continuous years</w:t>
            </w:r>
          </w:p>
        </w:tc>
      </w:tr>
      <w:tr w:rsidR="005516D7" w:rsidRPr="00117FBA" w:rsidTr="002605E3">
        <w:trPr>
          <w:trHeight w:val="74"/>
        </w:trPr>
        <w:tc>
          <w:tcPr>
            <w:tcW w:w="1548" w:type="dxa"/>
          </w:tcPr>
          <w:p w:rsidR="005516D7" w:rsidRPr="0005270B" w:rsidRDefault="005516D7" w:rsidP="002605E3">
            <w:pPr>
              <w:pStyle w:val="ListParagraph"/>
              <w:keepNext/>
              <w:keepLines/>
              <w:widowControl w:val="0"/>
              <w:autoSpaceDE w:val="0"/>
              <w:autoSpaceDN w:val="0"/>
              <w:adjustRightInd w:val="0"/>
              <w:spacing w:before="200"/>
              <w:ind w:left="0"/>
              <w:outlineLvl w:val="3"/>
              <w:rPr>
                <w:rFonts w:asciiTheme="majorHAnsi" w:hAnsiTheme="majorHAnsi" w:cs="Times New Roman"/>
                <w:b/>
              </w:rPr>
            </w:pPr>
            <w:r w:rsidRPr="0005270B">
              <w:rPr>
                <w:rFonts w:asciiTheme="majorHAnsi" w:hAnsiTheme="majorHAnsi" w:cs="Times New Roman"/>
              </w:rPr>
              <w:t>3. ARIMA</w:t>
            </w:r>
          </w:p>
        </w:tc>
        <w:tc>
          <w:tcPr>
            <w:tcW w:w="3870" w:type="dxa"/>
          </w:tcPr>
          <w:p w:rsidR="005516D7" w:rsidRPr="0005270B" w:rsidRDefault="005516D7" w:rsidP="005516D7">
            <w:pPr>
              <w:pStyle w:val="ListParagraph"/>
              <w:keepNext/>
              <w:keepLines/>
              <w:widowControl w:val="0"/>
              <w:numPr>
                <w:ilvl w:val="0"/>
                <w:numId w:val="13"/>
              </w:numPr>
              <w:autoSpaceDE w:val="0"/>
              <w:autoSpaceDN w:val="0"/>
              <w:adjustRightInd w:val="0"/>
              <w:spacing w:before="200"/>
              <w:outlineLvl w:val="3"/>
              <w:rPr>
                <w:rFonts w:asciiTheme="majorHAnsi" w:hAnsiTheme="majorHAnsi" w:cs="Times New Roman"/>
              </w:rPr>
            </w:pPr>
            <w:r w:rsidRPr="0005270B">
              <w:rPr>
                <w:rFonts w:asciiTheme="majorHAnsi" w:hAnsiTheme="majorHAnsi" w:cs="Times New Roman"/>
              </w:rPr>
              <w:t>Can account for cyclical fluctuations</w:t>
            </w:r>
          </w:p>
          <w:p w:rsidR="005516D7" w:rsidRPr="0005270B" w:rsidRDefault="005516D7" w:rsidP="005516D7">
            <w:pPr>
              <w:pStyle w:val="ListParagraph"/>
              <w:keepNext/>
              <w:keepLines/>
              <w:widowControl w:val="0"/>
              <w:numPr>
                <w:ilvl w:val="0"/>
                <w:numId w:val="13"/>
              </w:numPr>
              <w:autoSpaceDE w:val="0"/>
              <w:autoSpaceDN w:val="0"/>
              <w:adjustRightInd w:val="0"/>
              <w:spacing w:before="200"/>
              <w:outlineLvl w:val="3"/>
              <w:rPr>
                <w:rFonts w:asciiTheme="majorHAnsi" w:hAnsiTheme="majorHAnsi" w:cs="Times New Roman"/>
              </w:rPr>
            </w:pPr>
            <w:r w:rsidRPr="0005270B">
              <w:rPr>
                <w:rFonts w:asciiTheme="majorHAnsi" w:hAnsiTheme="majorHAnsi" w:cs="Times New Roman"/>
              </w:rPr>
              <w:t>Relies less on functional form assumptions</w:t>
            </w:r>
          </w:p>
        </w:tc>
        <w:tc>
          <w:tcPr>
            <w:tcW w:w="4050" w:type="dxa"/>
          </w:tcPr>
          <w:p w:rsidR="005516D7" w:rsidRPr="0005270B" w:rsidRDefault="005516D7" w:rsidP="002605E3">
            <w:pPr>
              <w:pStyle w:val="ListParagraph"/>
              <w:keepNext/>
              <w:keepLines/>
              <w:widowControl w:val="0"/>
              <w:autoSpaceDE w:val="0"/>
              <w:autoSpaceDN w:val="0"/>
              <w:adjustRightInd w:val="0"/>
              <w:spacing w:before="200"/>
              <w:ind w:left="0"/>
              <w:outlineLvl w:val="3"/>
              <w:rPr>
                <w:rFonts w:asciiTheme="majorHAnsi" w:hAnsiTheme="majorHAnsi" w:cs="Times New Roman"/>
              </w:rPr>
            </w:pPr>
            <w:r w:rsidRPr="0005270B">
              <w:rPr>
                <w:rFonts w:asciiTheme="majorHAnsi" w:hAnsiTheme="majorHAnsi" w:cs="Times New Roman"/>
              </w:rPr>
              <w:t>Need data for a longer time period (back to 1980) with very few missing observations.</w:t>
            </w:r>
          </w:p>
        </w:tc>
      </w:tr>
    </w:tbl>
    <w:p w:rsidR="005516D7" w:rsidRPr="004F0995" w:rsidRDefault="005516D7" w:rsidP="005516D7">
      <w:pPr>
        <w:widowControl w:val="0"/>
        <w:spacing w:line="480" w:lineRule="auto"/>
        <w:rPr>
          <w:rFonts w:asciiTheme="majorHAnsi" w:hAnsiTheme="majorHAnsi"/>
        </w:rPr>
      </w:pPr>
    </w:p>
    <w:p w:rsidR="005516D7" w:rsidRPr="004F0995" w:rsidRDefault="005516D7" w:rsidP="005516D7">
      <w:pPr>
        <w:widowControl w:val="0"/>
        <w:spacing w:line="480" w:lineRule="auto"/>
        <w:rPr>
          <w:rFonts w:asciiTheme="majorHAnsi" w:hAnsiTheme="majorHAnsi" w:cs="Times New Roman"/>
        </w:rPr>
      </w:pPr>
      <w:r w:rsidRPr="0005270B">
        <w:rPr>
          <w:rFonts w:asciiTheme="majorHAnsi" w:hAnsiTheme="majorHAnsi" w:cs="Times New Roman"/>
        </w:rPr>
        <w:t xml:space="preserve">This growth model assumes that current trends in the growth of physician numbers will continue as they have historically for each country. </w:t>
      </w:r>
      <w:r w:rsidRPr="004F0995">
        <w:rPr>
          <w:rFonts w:asciiTheme="majorHAnsi" w:hAnsiTheme="majorHAnsi" w:cs="Times New Roman"/>
        </w:rPr>
        <w:t>Using the growth rate approach, w</w:t>
      </w:r>
      <w:r w:rsidRPr="00454EEB">
        <w:rPr>
          <w:rFonts w:asciiTheme="majorHAnsi" w:hAnsiTheme="majorHAnsi" w:cs="Times New Roman"/>
        </w:rPr>
        <w:t>e explored two functional forms:</w:t>
      </w:r>
    </w:p>
    <w:p w:rsidR="005516D7" w:rsidRPr="0005270B" w:rsidRDefault="005516D7" w:rsidP="005516D7">
      <w:pPr>
        <w:pStyle w:val="ListParagraph"/>
        <w:widowControl w:val="0"/>
        <w:numPr>
          <w:ilvl w:val="0"/>
          <w:numId w:val="14"/>
        </w:numPr>
        <w:spacing w:line="480" w:lineRule="auto"/>
        <w:rPr>
          <w:rFonts w:asciiTheme="majorHAnsi" w:hAnsiTheme="majorHAnsi" w:cs="Times New Roman"/>
        </w:rPr>
      </w:pPr>
      <w:r>
        <w:rPr>
          <w:rFonts w:asciiTheme="majorHAnsi" w:hAnsiTheme="majorHAnsi" w:cs="Times New Roman"/>
        </w:rPr>
        <w:t>Exponential (i.e. log-linear)</w:t>
      </w:r>
    </w:p>
    <w:p w:rsidR="005516D7" w:rsidRPr="0063687C" w:rsidRDefault="005516D7" w:rsidP="005516D7">
      <w:pPr>
        <w:spacing w:before="120" w:after="120" w:line="480" w:lineRule="auto"/>
        <w:ind w:firstLine="720"/>
        <w:rPr>
          <w:rFonts w:asciiTheme="majorHAnsi" w:hAnsiTheme="majorHAnsi" w:cs="Times New Roman"/>
          <w:i/>
          <w:vertAlign w:val="subscript"/>
        </w:rPr>
      </w:pPr>
      <w:r w:rsidRPr="0063687C">
        <w:rPr>
          <w:rFonts w:asciiTheme="majorHAnsi" w:hAnsiTheme="majorHAnsi" w:cs="Times New Roman"/>
        </w:rPr>
        <w:t xml:space="preserve">(Eq </w:t>
      </w:r>
      <w:r>
        <w:rPr>
          <w:rFonts w:asciiTheme="majorHAnsi" w:hAnsiTheme="majorHAnsi" w:cs="Times New Roman"/>
        </w:rPr>
        <w:t>4a</w:t>
      </w:r>
      <w:r w:rsidRPr="0063687C">
        <w:rPr>
          <w:rFonts w:asciiTheme="majorHAnsi" w:hAnsiTheme="majorHAnsi" w:cs="Times New Roman"/>
        </w:rPr>
        <w:t>)</w:t>
      </w:r>
      <w:r w:rsidRPr="0063687C">
        <w:rPr>
          <w:rFonts w:asciiTheme="majorHAnsi" w:hAnsiTheme="majorHAnsi" w:cs="Times New Roman"/>
        </w:rPr>
        <w:tab/>
      </w:r>
      <w:r>
        <w:rPr>
          <w:rFonts w:asciiTheme="majorHAnsi" w:hAnsiTheme="majorHAnsi" w:cs="Times New Roman"/>
        </w:rPr>
        <w:t>ln(</w:t>
      </w:r>
      <w:r w:rsidRPr="0063687C">
        <w:rPr>
          <w:rFonts w:asciiTheme="majorHAnsi" w:hAnsiTheme="majorHAnsi" w:cs="Times New Roman"/>
          <w:i/>
        </w:rPr>
        <w:t>Physicians per 1000 population</w:t>
      </w:r>
      <w:r w:rsidRPr="0063687C">
        <w:rPr>
          <w:rFonts w:asciiTheme="majorHAnsi" w:hAnsiTheme="majorHAnsi" w:cs="Times New Roman"/>
          <w:i/>
          <w:vertAlign w:val="subscript"/>
        </w:rPr>
        <w:t>t</w:t>
      </w:r>
      <w:r w:rsidRPr="0005270B">
        <w:rPr>
          <w:rFonts w:asciiTheme="majorHAnsi" w:hAnsiTheme="majorHAnsi" w:cs="Times New Roman"/>
        </w:rPr>
        <w:t>)</w:t>
      </w:r>
      <w:r w:rsidRPr="0063687C">
        <w:rPr>
          <w:rFonts w:asciiTheme="majorHAnsi" w:hAnsiTheme="majorHAnsi" w:cs="Times New Roman"/>
        </w:rPr>
        <w:t xml:space="preserve"> = </w:t>
      </w:r>
      <w:r w:rsidRPr="0063687C">
        <w:rPr>
          <w:rFonts w:asciiTheme="majorHAnsi" w:hAnsiTheme="majorHAnsi" w:cs="Times New Roman"/>
          <w:i/>
          <w:color w:val="000000"/>
        </w:rPr>
        <w:t>α</w:t>
      </w:r>
      <w:r w:rsidRPr="0063687C">
        <w:rPr>
          <w:rFonts w:asciiTheme="majorHAnsi" w:hAnsiTheme="majorHAnsi" w:cs="Times New Roman"/>
          <w:vertAlign w:val="subscript"/>
        </w:rPr>
        <w:t>0</w:t>
      </w:r>
      <w:r w:rsidRPr="0063687C">
        <w:rPr>
          <w:rFonts w:asciiTheme="majorHAnsi" w:hAnsiTheme="majorHAnsi" w:cs="Times New Roman"/>
        </w:rPr>
        <w:t xml:space="preserve"> +  </w:t>
      </w:r>
      <w:r w:rsidRPr="0063687C">
        <w:rPr>
          <w:rFonts w:asciiTheme="majorHAnsi" w:hAnsiTheme="majorHAnsi" w:cs="Times New Roman"/>
          <w:i/>
          <w:color w:val="000000"/>
        </w:rPr>
        <w:t>α</w:t>
      </w:r>
      <w:r w:rsidRPr="0063687C">
        <w:rPr>
          <w:rFonts w:asciiTheme="majorHAnsi" w:hAnsiTheme="majorHAnsi" w:cs="Times New Roman"/>
          <w:vertAlign w:val="subscript"/>
        </w:rPr>
        <w:t>1</w:t>
      </w:r>
      <w:r w:rsidRPr="0063687C">
        <w:rPr>
          <w:rFonts w:asciiTheme="majorHAnsi" w:hAnsiTheme="majorHAnsi" w:cs="Times New Roman"/>
        </w:rPr>
        <w:t>*</w:t>
      </w:r>
      <w:r w:rsidRPr="0063687C">
        <w:rPr>
          <w:rFonts w:asciiTheme="majorHAnsi" w:hAnsiTheme="majorHAnsi" w:cs="Times New Roman"/>
          <w:i/>
        </w:rPr>
        <w:t>year</w:t>
      </w:r>
      <w:r w:rsidRPr="0063687C">
        <w:rPr>
          <w:rFonts w:asciiTheme="majorHAnsi" w:hAnsiTheme="majorHAnsi" w:cs="Times New Roman"/>
          <w:i/>
          <w:vertAlign w:val="subscript"/>
        </w:rPr>
        <w:t>t</w:t>
      </w:r>
      <w:r w:rsidRPr="0063687C">
        <w:rPr>
          <w:rFonts w:asciiTheme="majorHAnsi" w:hAnsiTheme="majorHAnsi" w:cs="Times New Roman"/>
        </w:rPr>
        <w:t xml:space="preserve"> +  </w:t>
      </w:r>
      <w:r w:rsidRPr="0063687C">
        <w:rPr>
          <w:rFonts w:asciiTheme="majorHAnsi" w:hAnsiTheme="majorHAnsi" w:cs="Times New Roman"/>
          <w:i/>
        </w:rPr>
        <w:t>ε</w:t>
      </w:r>
      <w:r w:rsidRPr="0063687C">
        <w:rPr>
          <w:rFonts w:asciiTheme="majorHAnsi" w:hAnsiTheme="majorHAnsi" w:cs="Times New Roman"/>
          <w:i/>
          <w:vertAlign w:val="subscript"/>
        </w:rPr>
        <w:t>t</w:t>
      </w:r>
    </w:p>
    <w:p w:rsidR="005516D7" w:rsidRPr="006B7734" w:rsidRDefault="005516D7" w:rsidP="005516D7">
      <w:pPr>
        <w:spacing w:before="120" w:after="120" w:line="480" w:lineRule="auto"/>
        <w:ind w:firstLine="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4b</w:t>
      </w:r>
      <w:r w:rsidRPr="0063687C">
        <w:rPr>
          <w:rFonts w:asciiTheme="majorHAnsi" w:hAnsiTheme="majorHAnsi" w:cs="Times New Roman"/>
        </w:rPr>
        <w:t>)</w:t>
      </w:r>
      <w:r w:rsidRPr="0063687C">
        <w:rPr>
          <w:rFonts w:asciiTheme="majorHAnsi" w:hAnsiTheme="majorHAnsi" w:cs="Times New Roman"/>
        </w:rPr>
        <w:tab/>
      </w:r>
      <w:r>
        <w:rPr>
          <w:rFonts w:asciiTheme="majorHAnsi" w:hAnsiTheme="majorHAnsi" w:cs="Times New Roman"/>
        </w:rPr>
        <w:t>ln(</w:t>
      </w:r>
      <w:r w:rsidRPr="0063687C">
        <w:rPr>
          <w:rFonts w:asciiTheme="majorHAnsi" w:hAnsiTheme="majorHAnsi" w:cs="Times New Roman"/>
          <w:i/>
        </w:rPr>
        <w:t>Nurses/midwives per 1000 population</w:t>
      </w:r>
      <w:r w:rsidRPr="0063687C">
        <w:rPr>
          <w:rFonts w:asciiTheme="majorHAnsi" w:hAnsiTheme="majorHAnsi" w:cs="Times New Roman"/>
          <w:i/>
          <w:vertAlign w:val="subscript"/>
        </w:rPr>
        <w:t>t</w:t>
      </w:r>
      <w:r w:rsidRPr="0005270B">
        <w:rPr>
          <w:rFonts w:asciiTheme="majorHAnsi" w:hAnsiTheme="majorHAnsi" w:cs="Times New Roman"/>
        </w:rPr>
        <w:t>I</w:t>
      </w:r>
      <w:r w:rsidRPr="0063687C">
        <w:rPr>
          <w:rFonts w:asciiTheme="majorHAnsi" w:hAnsiTheme="majorHAnsi" w:cs="Times New Roman"/>
        </w:rPr>
        <w:t xml:space="preserve"> = </w:t>
      </w:r>
      <w:r w:rsidRPr="0063687C">
        <w:rPr>
          <w:rFonts w:asciiTheme="majorHAnsi" w:hAnsiTheme="majorHAnsi" w:cs="Times New Roman"/>
          <w:i/>
          <w:color w:val="000000"/>
        </w:rPr>
        <w:t>β</w:t>
      </w:r>
      <w:r w:rsidRPr="0063687C">
        <w:rPr>
          <w:rFonts w:asciiTheme="majorHAnsi" w:hAnsiTheme="majorHAnsi" w:cs="Times New Roman"/>
          <w:vertAlign w:val="subscript"/>
        </w:rPr>
        <w:t>0</w:t>
      </w:r>
      <w:r w:rsidRPr="0063687C">
        <w:rPr>
          <w:rFonts w:asciiTheme="majorHAnsi" w:hAnsiTheme="majorHAnsi" w:cs="Times New Roman"/>
        </w:rPr>
        <w:t xml:space="preserve"> +  </w:t>
      </w:r>
      <w:r w:rsidRPr="0063687C">
        <w:rPr>
          <w:rFonts w:asciiTheme="majorHAnsi" w:hAnsiTheme="majorHAnsi" w:cs="Times New Roman"/>
          <w:i/>
          <w:color w:val="000000"/>
        </w:rPr>
        <w:t>β</w:t>
      </w:r>
      <w:r w:rsidRPr="0063687C">
        <w:rPr>
          <w:rFonts w:asciiTheme="majorHAnsi" w:hAnsiTheme="majorHAnsi" w:cs="Times New Roman"/>
          <w:vertAlign w:val="subscript"/>
        </w:rPr>
        <w:t>1</w:t>
      </w:r>
      <w:r w:rsidRPr="0063687C">
        <w:rPr>
          <w:rFonts w:asciiTheme="majorHAnsi" w:hAnsiTheme="majorHAnsi" w:cs="Times New Roman"/>
        </w:rPr>
        <w:t>*</w:t>
      </w:r>
      <w:r w:rsidRPr="0063687C">
        <w:rPr>
          <w:rFonts w:asciiTheme="majorHAnsi" w:hAnsiTheme="majorHAnsi" w:cs="Times New Roman"/>
          <w:i/>
        </w:rPr>
        <w:t>year</w:t>
      </w:r>
      <w:r w:rsidRPr="0063687C">
        <w:rPr>
          <w:rFonts w:asciiTheme="majorHAnsi" w:hAnsiTheme="majorHAnsi" w:cs="Times New Roman"/>
          <w:i/>
          <w:vertAlign w:val="subscript"/>
        </w:rPr>
        <w:t>t</w:t>
      </w:r>
      <w:r w:rsidRPr="0063687C">
        <w:rPr>
          <w:rFonts w:asciiTheme="majorHAnsi" w:hAnsiTheme="majorHAnsi" w:cs="Times New Roman"/>
        </w:rPr>
        <w:t xml:space="preserve"> +  </w:t>
      </w:r>
      <w:r w:rsidRPr="0063687C">
        <w:rPr>
          <w:rFonts w:asciiTheme="majorHAnsi" w:hAnsiTheme="majorHAnsi" w:cs="Times New Roman"/>
          <w:i/>
        </w:rPr>
        <w:t>ε</w:t>
      </w:r>
      <w:r w:rsidRPr="0063687C">
        <w:rPr>
          <w:rFonts w:asciiTheme="majorHAnsi" w:hAnsiTheme="majorHAnsi" w:cs="Times New Roman"/>
          <w:i/>
          <w:vertAlign w:val="subscript"/>
        </w:rPr>
        <w:t>t</w:t>
      </w:r>
    </w:p>
    <w:p w:rsidR="005516D7" w:rsidRPr="0005270B" w:rsidRDefault="005516D7" w:rsidP="005516D7">
      <w:pPr>
        <w:pStyle w:val="ListParagraph"/>
        <w:widowControl w:val="0"/>
        <w:numPr>
          <w:ilvl w:val="0"/>
          <w:numId w:val="14"/>
        </w:numPr>
        <w:spacing w:line="480" w:lineRule="auto"/>
        <w:rPr>
          <w:rFonts w:asciiTheme="majorHAnsi" w:hAnsiTheme="majorHAnsi" w:cs="Times New Roman"/>
        </w:rPr>
      </w:pPr>
      <w:r>
        <w:rPr>
          <w:rFonts w:asciiTheme="majorHAnsi" w:hAnsiTheme="majorHAnsi" w:cs="Times New Roman"/>
        </w:rPr>
        <w:t>Linear</w:t>
      </w:r>
    </w:p>
    <w:p w:rsidR="005516D7" w:rsidRPr="0063687C" w:rsidRDefault="005516D7" w:rsidP="005516D7">
      <w:pPr>
        <w:spacing w:before="120" w:after="120" w:line="480" w:lineRule="auto"/>
        <w:ind w:firstLine="720"/>
        <w:rPr>
          <w:rFonts w:asciiTheme="majorHAnsi" w:hAnsiTheme="majorHAnsi" w:cs="Times New Roman"/>
          <w:i/>
          <w:vertAlign w:val="subscript"/>
        </w:rPr>
      </w:pPr>
      <w:r w:rsidRPr="0063687C">
        <w:rPr>
          <w:rFonts w:asciiTheme="majorHAnsi" w:hAnsiTheme="majorHAnsi" w:cs="Times New Roman"/>
        </w:rPr>
        <w:t xml:space="preserve">(Eq </w:t>
      </w:r>
      <w:r>
        <w:rPr>
          <w:rFonts w:asciiTheme="majorHAnsi" w:hAnsiTheme="majorHAnsi" w:cs="Times New Roman"/>
        </w:rPr>
        <w:t>5a</w:t>
      </w:r>
      <w:r w:rsidRPr="0063687C">
        <w:rPr>
          <w:rFonts w:asciiTheme="majorHAnsi" w:hAnsiTheme="majorHAnsi" w:cs="Times New Roman"/>
        </w:rPr>
        <w:t>)</w:t>
      </w:r>
      <w:r w:rsidRPr="0063687C">
        <w:rPr>
          <w:rFonts w:asciiTheme="majorHAnsi" w:hAnsiTheme="majorHAnsi" w:cs="Times New Roman"/>
        </w:rPr>
        <w:tab/>
      </w:r>
      <w:r>
        <w:rPr>
          <w:rFonts w:asciiTheme="majorHAnsi" w:hAnsiTheme="majorHAnsi" w:cs="Times New Roman"/>
        </w:rPr>
        <w:t>ln(</w:t>
      </w:r>
      <w:r w:rsidRPr="0063687C">
        <w:rPr>
          <w:rFonts w:asciiTheme="majorHAnsi" w:hAnsiTheme="majorHAnsi" w:cs="Times New Roman"/>
          <w:i/>
        </w:rPr>
        <w:t>Physicians per 1000 population</w:t>
      </w:r>
      <w:r w:rsidRPr="0063687C">
        <w:rPr>
          <w:rFonts w:asciiTheme="majorHAnsi" w:hAnsiTheme="majorHAnsi" w:cs="Times New Roman"/>
          <w:i/>
          <w:vertAlign w:val="subscript"/>
        </w:rPr>
        <w:t>t</w:t>
      </w:r>
      <w:r w:rsidRPr="00E00873">
        <w:rPr>
          <w:rFonts w:asciiTheme="majorHAnsi" w:hAnsiTheme="majorHAnsi" w:cs="Times New Roman"/>
        </w:rPr>
        <w:t>)</w:t>
      </w:r>
      <w:r w:rsidRPr="0063687C">
        <w:rPr>
          <w:rFonts w:asciiTheme="majorHAnsi" w:hAnsiTheme="majorHAnsi" w:cs="Times New Roman"/>
        </w:rPr>
        <w:t xml:space="preserve"> = </w:t>
      </w:r>
      <w:r w:rsidRPr="0063687C">
        <w:rPr>
          <w:rFonts w:asciiTheme="majorHAnsi" w:hAnsiTheme="majorHAnsi" w:cs="Times New Roman"/>
          <w:i/>
          <w:color w:val="000000"/>
        </w:rPr>
        <w:t>α</w:t>
      </w:r>
      <w:r w:rsidRPr="0063687C">
        <w:rPr>
          <w:rFonts w:asciiTheme="majorHAnsi" w:hAnsiTheme="majorHAnsi" w:cs="Times New Roman"/>
          <w:vertAlign w:val="subscript"/>
        </w:rPr>
        <w:t>0</w:t>
      </w:r>
      <w:r w:rsidRPr="0063687C">
        <w:rPr>
          <w:rFonts w:asciiTheme="majorHAnsi" w:hAnsiTheme="majorHAnsi" w:cs="Times New Roman"/>
        </w:rPr>
        <w:t xml:space="preserve"> +  </w:t>
      </w:r>
      <w:r w:rsidRPr="0063687C">
        <w:rPr>
          <w:rFonts w:asciiTheme="majorHAnsi" w:hAnsiTheme="majorHAnsi" w:cs="Times New Roman"/>
          <w:i/>
          <w:color w:val="000000"/>
        </w:rPr>
        <w:t>α</w:t>
      </w:r>
      <w:r w:rsidRPr="0063687C">
        <w:rPr>
          <w:rFonts w:asciiTheme="majorHAnsi" w:hAnsiTheme="majorHAnsi" w:cs="Times New Roman"/>
          <w:vertAlign w:val="subscript"/>
        </w:rPr>
        <w:t>1</w:t>
      </w:r>
      <w:r w:rsidRPr="0063687C">
        <w:rPr>
          <w:rFonts w:asciiTheme="majorHAnsi" w:hAnsiTheme="majorHAnsi" w:cs="Times New Roman"/>
        </w:rPr>
        <w:t>*</w:t>
      </w:r>
      <w:r w:rsidRPr="0063687C">
        <w:rPr>
          <w:rFonts w:asciiTheme="majorHAnsi" w:hAnsiTheme="majorHAnsi" w:cs="Times New Roman"/>
          <w:i/>
        </w:rPr>
        <w:t>year</w:t>
      </w:r>
      <w:r w:rsidRPr="0063687C">
        <w:rPr>
          <w:rFonts w:asciiTheme="majorHAnsi" w:hAnsiTheme="majorHAnsi" w:cs="Times New Roman"/>
          <w:i/>
          <w:vertAlign w:val="subscript"/>
        </w:rPr>
        <w:t>t</w:t>
      </w:r>
      <w:r w:rsidRPr="0063687C">
        <w:rPr>
          <w:rFonts w:asciiTheme="majorHAnsi" w:hAnsiTheme="majorHAnsi" w:cs="Times New Roman"/>
        </w:rPr>
        <w:t xml:space="preserve"> +  </w:t>
      </w:r>
      <w:r w:rsidRPr="0063687C">
        <w:rPr>
          <w:rFonts w:asciiTheme="majorHAnsi" w:hAnsiTheme="majorHAnsi" w:cs="Times New Roman"/>
          <w:i/>
        </w:rPr>
        <w:t>ε</w:t>
      </w:r>
      <w:r w:rsidRPr="0063687C">
        <w:rPr>
          <w:rFonts w:asciiTheme="majorHAnsi" w:hAnsiTheme="majorHAnsi" w:cs="Times New Roman"/>
          <w:i/>
          <w:vertAlign w:val="subscript"/>
        </w:rPr>
        <w:t>t</w:t>
      </w:r>
    </w:p>
    <w:p w:rsidR="005516D7" w:rsidRPr="0063687C" w:rsidRDefault="005516D7" w:rsidP="005516D7">
      <w:pPr>
        <w:spacing w:before="120" w:after="120" w:line="480" w:lineRule="auto"/>
        <w:ind w:firstLine="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5b</w:t>
      </w:r>
      <w:r w:rsidRPr="0063687C">
        <w:rPr>
          <w:rFonts w:asciiTheme="majorHAnsi" w:hAnsiTheme="majorHAnsi" w:cs="Times New Roman"/>
        </w:rPr>
        <w:t>)</w:t>
      </w:r>
      <w:r>
        <w:rPr>
          <w:rFonts w:asciiTheme="majorHAnsi" w:hAnsiTheme="majorHAnsi" w:cs="Times New Roman"/>
        </w:rPr>
        <w:tab/>
        <w:t>ln(</w:t>
      </w:r>
      <w:r w:rsidRPr="0063687C">
        <w:rPr>
          <w:rFonts w:asciiTheme="majorHAnsi" w:hAnsiTheme="majorHAnsi" w:cs="Times New Roman"/>
          <w:i/>
        </w:rPr>
        <w:t>Nurses/midwives per 1000 population</w:t>
      </w:r>
      <w:r w:rsidRPr="0063687C">
        <w:rPr>
          <w:rFonts w:asciiTheme="majorHAnsi" w:hAnsiTheme="majorHAnsi" w:cs="Times New Roman"/>
          <w:i/>
          <w:vertAlign w:val="subscript"/>
        </w:rPr>
        <w:t>t</w:t>
      </w:r>
      <w:r w:rsidRPr="00E00873">
        <w:rPr>
          <w:rFonts w:asciiTheme="majorHAnsi" w:hAnsiTheme="majorHAnsi" w:cs="Times New Roman"/>
        </w:rPr>
        <w:t>I</w:t>
      </w:r>
      <w:r w:rsidRPr="0063687C">
        <w:rPr>
          <w:rFonts w:asciiTheme="majorHAnsi" w:hAnsiTheme="majorHAnsi" w:cs="Times New Roman"/>
        </w:rPr>
        <w:t xml:space="preserve"> = </w:t>
      </w:r>
      <w:r w:rsidRPr="0063687C">
        <w:rPr>
          <w:rFonts w:asciiTheme="majorHAnsi" w:hAnsiTheme="majorHAnsi" w:cs="Times New Roman"/>
          <w:i/>
          <w:color w:val="000000"/>
        </w:rPr>
        <w:t>β</w:t>
      </w:r>
      <w:r w:rsidRPr="0063687C">
        <w:rPr>
          <w:rFonts w:asciiTheme="majorHAnsi" w:hAnsiTheme="majorHAnsi" w:cs="Times New Roman"/>
          <w:vertAlign w:val="subscript"/>
        </w:rPr>
        <w:t>0</w:t>
      </w:r>
      <w:r w:rsidRPr="0063687C">
        <w:rPr>
          <w:rFonts w:asciiTheme="majorHAnsi" w:hAnsiTheme="majorHAnsi" w:cs="Times New Roman"/>
        </w:rPr>
        <w:t xml:space="preserve"> +  </w:t>
      </w:r>
      <w:r w:rsidRPr="0063687C">
        <w:rPr>
          <w:rFonts w:asciiTheme="majorHAnsi" w:hAnsiTheme="majorHAnsi" w:cs="Times New Roman"/>
          <w:i/>
          <w:color w:val="000000"/>
        </w:rPr>
        <w:t>β</w:t>
      </w:r>
      <w:r w:rsidRPr="0063687C">
        <w:rPr>
          <w:rFonts w:asciiTheme="majorHAnsi" w:hAnsiTheme="majorHAnsi" w:cs="Times New Roman"/>
          <w:vertAlign w:val="subscript"/>
        </w:rPr>
        <w:t>1</w:t>
      </w:r>
      <w:r w:rsidRPr="0063687C">
        <w:rPr>
          <w:rFonts w:asciiTheme="majorHAnsi" w:hAnsiTheme="majorHAnsi" w:cs="Times New Roman"/>
        </w:rPr>
        <w:t>*</w:t>
      </w:r>
      <w:r w:rsidRPr="0063687C">
        <w:rPr>
          <w:rFonts w:asciiTheme="majorHAnsi" w:hAnsiTheme="majorHAnsi" w:cs="Times New Roman"/>
          <w:i/>
        </w:rPr>
        <w:t>year</w:t>
      </w:r>
      <w:r w:rsidRPr="0063687C">
        <w:rPr>
          <w:rFonts w:asciiTheme="majorHAnsi" w:hAnsiTheme="majorHAnsi" w:cs="Times New Roman"/>
          <w:i/>
          <w:vertAlign w:val="subscript"/>
        </w:rPr>
        <w:t>t</w:t>
      </w:r>
      <w:r w:rsidRPr="0063687C">
        <w:rPr>
          <w:rFonts w:asciiTheme="majorHAnsi" w:hAnsiTheme="majorHAnsi" w:cs="Times New Roman"/>
        </w:rPr>
        <w:t xml:space="preserve"> +  </w:t>
      </w:r>
      <w:r w:rsidRPr="0063687C">
        <w:rPr>
          <w:rFonts w:asciiTheme="majorHAnsi" w:hAnsiTheme="majorHAnsi" w:cs="Times New Roman"/>
          <w:i/>
        </w:rPr>
        <w:t>ε</w:t>
      </w:r>
      <w:r w:rsidRPr="0063687C">
        <w:rPr>
          <w:rFonts w:asciiTheme="majorHAnsi" w:hAnsiTheme="majorHAnsi" w:cs="Times New Roman"/>
          <w:i/>
          <w:vertAlign w:val="subscript"/>
        </w:rPr>
        <w:t>t</w:t>
      </w:r>
    </w:p>
    <w:p w:rsidR="005516D7" w:rsidRDefault="005516D7" w:rsidP="005516D7">
      <w:pPr>
        <w:widowControl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Pr>
          <w:rFonts w:asciiTheme="majorHAnsi" w:hAnsiTheme="majorHAnsi" w:cs="Times New Roman"/>
        </w:rPr>
        <w:t xml:space="preserve">Equations 4 and 5 were </w:t>
      </w:r>
      <w:r w:rsidRPr="0063687C">
        <w:rPr>
          <w:rFonts w:asciiTheme="majorHAnsi" w:hAnsiTheme="majorHAnsi" w:cs="Times New Roman"/>
        </w:rPr>
        <w:t xml:space="preserve">estimated for each country from time </w:t>
      </w:r>
      <w:r w:rsidRPr="0063687C">
        <w:rPr>
          <w:rFonts w:asciiTheme="majorHAnsi" w:hAnsiTheme="majorHAnsi" w:cs="Times New Roman"/>
          <w:i/>
        </w:rPr>
        <w:t>t</w:t>
      </w:r>
      <w:r w:rsidRPr="0063687C">
        <w:rPr>
          <w:rFonts w:asciiTheme="majorHAnsi" w:hAnsiTheme="majorHAnsi" w:cs="Times New Roman"/>
        </w:rPr>
        <w:t xml:space="preserve"> = {1990, … 2013}</w:t>
      </w:r>
      <w:r>
        <w:rPr>
          <w:rFonts w:asciiTheme="majorHAnsi" w:hAnsiTheme="majorHAnsi" w:cs="Times New Roman"/>
        </w:rPr>
        <w:t xml:space="preserve"> </w:t>
      </w:r>
      <w:r w:rsidRPr="0063687C">
        <w:rPr>
          <w:rFonts w:asciiTheme="majorHAnsi" w:hAnsiTheme="majorHAnsi" w:cs="Times New Roman"/>
        </w:rPr>
        <w:t xml:space="preserve">where </w:t>
      </w:r>
      <w:r w:rsidRPr="0063687C">
        <w:rPr>
          <w:rFonts w:asciiTheme="majorHAnsi" w:hAnsiTheme="majorHAnsi" w:cs="Times New Roman"/>
          <w:i/>
        </w:rPr>
        <w:t>ε</w:t>
      </w:r>
      <w:r w:rsidRPr="0063687C">
        <w:rPr>
          <w:rFonts w:asciiTheme="majorHAnsi" w:hAnsiTheme="majorHAnsi" w:cs="Times New Roman"/>
          <w:i/>
          <w:vertAlign w:val="subscript"/>
        </w:rPr>
        <w:t xml:space="preserve">t </w:t>
      </w:r>
      <w:r w:rsidRPr="0063687C">
        <w:rPr>
          <w:rFonts w:asciiTheme="majorHAnsi" w:hAnsiTheme="majorHAnsi" w:cs="Times New Roman"/>
        </w:rPr>
        <w:t>is the random disturbance</w:t>
      </w:r>
      <w:r w:rsidRPr="0063687C">
        <w:rPr>
          <w:rFonts w:asciiTheme="majorHAnsi" w:hAnsiTheme="majorHAnsi" w:cs="Times New Roman"/>
          <w:i/>
          <w:vertAlign w:val="subscript"/>
        </w:rPr>
        <w:t xml:space="preserve"> </w:t>
      </w:r>
      <w:r w:rsidRPr="0063687C">
        <w:rPr>
          <w:rFonts w:asciiTheme="majorHAnsi" w:hAnsiTheme="majorHAnsi" w:cs="Times New Roman"/>
        </w:rPr>
        <w:t xml:space="preserve">term and </w:t>
      </w:r>
      <w:r w:rsidRPr="0063687C">
        <w:rPr>
          <w:rFonts w:asciiTheme="majorHAnsi" w:hAnsiTheme="majorHAnsi" w:cs="Times New Roman"/>
          <w:i/>
          <w:color w:val="000000"/>
        </w:rPr>
        <w:t>α</w:t>
      </w:r>
      <w:r w:rsidRPr="0063687C">
        <w:rPr>
          <w:rFonts w:asciiTheme="majorHAnsi" w:hAnsiTheme="majorHAnsi" w:cs="Times New Roman"/>
          <w:vertAlign w:val="subscript"/>
        </w:rPr>
        <w:t>0</w:t>
      </w:r>
      <w:r w:rsidRPr="0063687C">
        <w:rPr>
          <w:rFonts w:asciiTheme="majorHAnsi" w:hAnsiTheme="majorHAnsi" w:cs="Times New Roman"/>
        </w:rPr>
        <w:t>, β</w:t>
      </w:r>
      <w:r w:rsidRPr="0063687C">
        <w:rPr>
          <w:rFonts w:asciiTheme="majorHAnsi" w:hAnsiTheme="majorHAnsi" w:cs="Times New Roman"/>
          <w:vertAlign w:val="subscript"/>
        </w:rPr>
        <w:t>0</w:t>
      </w:r>
      <w:r w:rsidRPr="0063687C">
        <w:rPr>
          <w:rFonts w:asciiTheme="majorHAnsi" w:hAnsiTheme="majorHAnsi" w:cs="Times New Roman"/>
        </w:rPr>
        <w:t xml:space="preserve">, </w:t>
      </w:r>
      <w:r w:rsidRPr="0063687C">
        <w:rPr>
          <w:rFonts w:asciiTheme="majorHAnsi" w:hAnsiTheme="majorHAnsi" w:cs="Times New Roman"/>
          <w:color w:val="000000"/>
        </w:rPr>
        <w:t>α</w:t>
      </w:r>
      <w:r w:rsidRPr="0063687C">
        <w:rPr>
          <w:rFonts w:asciiTheme="majorHAnsi" w:hAnsiTheme="majorHAnsi" w:cs="Times New Roman"/>
          <w:vertAlign w:val="subscript"/>
        </w:rPr>
        <w:t xml:space="preserve">1 </w:t>
      </w:r>
      <w:r w:rsidRPr="0063687C">
        <w:rPr>
          <w:rFonts w:asciiTheme="majorHAnsi" w:hAnsiTheme="majorHAnsi" w:cs="Times New Roman"/>
        </w:rPr>
        <w:t>and β</w:t>
      </w:r>
      <w:r w:rsidRPr="0063687C">
        <w:rPr>
          <w:rFonts w:asciiTheme="majorHAnsi" w:hAnsiTheme="majorHAnsi" w:cs="Times New Roman"/>
          <w:vertAlign w:val="subscript"/>
        </w:rPr>
        <w:t>1</w:t>
      </w:r>
      <w:r w:rsidRPr="0063687C">
        <w:rPr>
          <w:rFonts w:asciiTheme="majorHAnsi" w:hAnsiTheme="majorHAnsi" w:cs="Times New Roman"/>
        </w:rPr>
        <w:t xml:space="preserve"> are unknown parameters, with the last two parameters representing the growth rates to be estimated from the model.</w:t>
      </w:r>
    </w:p>
    <w:p w:rsidR="005516D7" w:rsidRDefault="005516D7" w:rsidP="005516D7">
      <w:pPr>
        <w:widowControl w:val="0"/>
        <w:autoSpaceDE w:val="0"/>
        <w:autoSpaceDN w:val="0"/>
        <w:adjustRightInd w:val="0"/>
        <w:spacing w:line="480" w:lineRule="auto"/>
        <w:rPr>
          <w:rFonts w:asciiTheme="majorHAnsi" w:hAnsiTheme="majorHAnsi" w:cs="Times New Roman"/>
        </w:rPr>
      </w:pPr>
    </w:p>
    <w:p w:rsidR="005516D7" w:rsidRPr="0005270B" w:rsidRDefault="005516D7" w:rsidP="005516D7">
      <w:pPr>
        <w:spacing w:line="480" w:lineRule="auto"/>
        <w:rPr>
          <w:rFonts w:ascii="Calibri" w:hAnsi="Calibri" w:cs="Times New Roman"/>
        </w:rPr>
      </w:pPr>
      <w:r>
        <w:rPr>
          <w:rFonts w:asciiTheme="majorHAnsi" w:hAnsiTheme="majorHAnsi" w:cs="Times New Roman"/>
        </w:rPr>
        <w:t xml:space="preserve">Comparing the resulting projections between these functional forms revealed at the exponential specification yielded estimates that appeared to be magnified (and potentially unrealistic) compared to a linear specification. </w:t>
      </w:r>
      <w:r>
        <w:rPr>
          <w:rFonts w:ascii="Calibri" w:hAnsi="Calibri" w:cs="Times New Roman"/>
        </w:rPr>
        <w:t>Coupled with the sparse number of data points for many lower income countries, resulting predicted values appeared to be less stable. Within-sample specification tests were also not possible given the data constraints. We therefore adopted the</w:t>
      </w:r>
      <w:r>
        <w:rPr>
          <w:rFonts w:asciiTheme="majorHAnsi" w:hAnsiTheme="majorHAnsi" w:cs="Times New Roman"/>
        </w:rPr>
        <w:t xml:space="preserve"> more conservative linear specification based on a </w:t>
      </w:r>
      <w:r w:rsidRPr="00A95B4A">
        <w:rPr>
          <w:rFonts w:asciiTheme="majorHAnsi" w:hAnsiTheme="majorHAnsi" w:cs="Times New Roman"/>
          <w:i/>
        </w:rPr>
        <w:t>status quo</w:t>
      </w:r>
      <w:r>
        <w:rPr>
          <w:rFonts w:asciiTheme="majorHAnsi" w:hAnsiTheme="majorHAnsi" w:cs="Times New Roman"/>
        </w:rPr>
        <w:t xml:space="preserve"> scenario which assumes the supply growth is exogenous and only trends with time following the historic trends.   This scenario also implies a relatively rigid labor market, which may be plausible for the health labor market that is dominated by strong professional associations.  </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Pr>
          <w:rFonts w:asciiTheme="majorHAnsi" w:hAnsiTheme="majorHAnsi" w:cs="Times New Roman"/>
        </w:rPr>
        <w:t xml:space="preserve">Equation 5 was estimated for each country, and for physicians and nurses/midwives separately. </w:t>
      </w:r>
      <w:r w:rsidRPr="0063687C">
        <w:rPr>
          <w:rFonts w:asciiTheme="majorHAnsi" w:hAnsiTheme="majorHAnsi" w:cs="Times New Roman"/>
        </w:rPr>
        <w:t xml:space="preserve">We </w:t>
      </w:r>
      <w:r>
        <w:rPr>
          <w:rFonts w:asciiTheme="majorHAnsi" w:hAnsiTheme="majorHAnsi" w:cs="Times New Roman"/>
        </w:rPr>
        <w:t xml:space="preserve">then </w:t>
      </w:r>
      <w:r w:rsidRPr="0063687C">
        <w:rPr>
          <w:rFonts w:asciiTheme="majorHAnsi" w:hAnsiTheme="majorHAnsi" w:cs="Times New Roman"/>
        </w:rPr>
        <w:t>applied the following rules to predict future (2014 – 2030) values of worker densities:</w:t>
      </w:r>
    </w:p>
    <w:p w:rsidR="005516D7" w:rsidRPr="0063687C" w:rsidRDefault="005516D7" w:rsidP="005516D7">
      <w:pPr>
        <w:pStyle w:val="ListParagraph"/>
        <w:widowControl w:val="0"/>
        <w:numPr>
          <w:ilvl w:val="0"/>
          <w:numId w:val="1"/>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Where at least two data points were available, we extended the estimated linear trend into the future, until 2030 using the estimated coefficients for </w:t>
      </w:r>
      <w:r w:rsidRPr="0063687C">
        <w:rPr>
          <w:rFonts w:asciiTheme="majorHAnsi" w:hAnsiTheme="majorHAnsi" w:cs="Times New Roman"/>
          <w:i/>
          <w:color w:val="000000"/>
        </w:rPr>
        <w:t>α</w:t>
      </w:r>
      <w:r w:rsidRPr="0063687C">
        <w:rPr>
          <w:rFonts w:asciiTheme="majorHAnsi" w:hAnsiTheme="majorHAnsi" w:cs="Times New Roman"/>
          <w:vertAlign w:val="subscript"/>
        </w:rPr>
        <w:t xml:space="preserve"> </w:t>
      </w:r>
      <w:r w:rsidRPr="0063687C">
        <w:rPr>
          <w:rFonts w:asciiTheme="majorHAnsi" w:hAnsiTheme="majorHAnsi" w:cs="Times New Roman"/>
        </w:rPr>
        <w:t xml:space="preserve">and </w:t>
      </w:r>
      <w:r w:rsidRPr="0063687C">
        <w:rPr>
          <w:rFonts w:asciiTheme="majorHAnsi" w:hAnsiTheme="majorHAnsi" w:cs="Times New Roman"/>
          <w:i/>
        </w:rPr>
        <w:t>β</w:t>
      </w:r>
      <w:r w:rsidRPr="0063687C">
        <w:rPr>
          <w:rFonts w:asciiTheme="majorHAnsi" w:hAnsiTheme="majorHAnsi" w:cs="Times New Roman"/>
        </w:rPr>
        <w:t xml:space="preserve">. </w:t>
      </w:r>
    </w:p>
    <w:p w:rsidR="005516D7" w:rsidRPr="0063687C" w:rsidRDefault="005516D7" w:rsidP="005516D7">
      <w:pPr>
        <w:pStyle w:val="ListParagraph"/>
        <w:widowControl w:val="0"/>
        <w:numPr>
          <w:ilvl w:val="0"/>
          <w:numId w:val="1"/>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If the estimated linear growth was found to be too large or too small, the country’s growth rate was replaced with aggregate medians, and then the median growth rate was applied to the last available observation for that country (i.e. most recent year).</w:t>
      </w:r>
    </w:p>
    <w:p w:rsidR="005516D7" w:rsidRPr="0063687C" w:rsidRDefault="005516D7" w:rsidP="005516D7">
      <w:pPr>
        <w:pStyle w:val="ListParagraph"/>
        <w:widowControl w:val="0"/>
        <w:numPr>
          <w:ilvl w:val="1"/>
          <w:numId w:val="8"/>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For physicians: If a given country’s linear growth rate was larger or smaller than 1 standard deviation from the mean growth rate for all countries, the region-income group specific median growth rate was substituted.</w:t>
      </w:r>
    </w:p>
    <w:p w:rsidR="005516D7" w:rsidRPr="0063687C" w:rsidRDefault="005516D7" w:rsidP="005516D7">
      <w:pPr>
        <w:pStyle w:val="ListParagraph"/>
        <w:widowControl w:val="0"/>
        <w:numPr>
          <w:ilvl w:val="1"/>
          <w:numId w:val="8"/>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For nurses/midwives: For nurses, there was large over-dispersion of the linear growth rate distribution. Consequently, if a country’s linear growth rate was larger than 80% or smaller than 20% of the growth rate distribution, then the WB income group specific median growth rate was substituted.</w:t>
      </w:r>
      <w:r w:rsidRPr="0063687C">
        <w:rPr>
          <w:rFonts w:asciiTheme="majorHAnsi" w:hAnsiTheme="majorHAnsi" w:cs="Times New Roman"/>
          <w:vertAlign w:val="superscript"/>
        </w:rPr>
        <w:footnoteReference w:id="1"/>
      </w:r>
    </w:p>
    <w:p w:rsidR="005516D7" w:rsidRPr="0063687C" w:rsidRDefault="005516D7" w:rsidP="005516D7">
      <w:pPr>
        <w:pStyle w:val="ListParagraph"/>
        <w:widowControl w:val="0"/>
        <w:numPr>
          <w:ilvl w:val="1"/>
          <w:numId w:val="8"/>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For both physicians and nurse/midwives: If the predicted density in 2030 resulted in a negative number, these country’s growth rate was also replaced with the corresponding median aggregate value.</w:t>
      </w:r>
    </w:p>
    <w:p w:rsidR="005516D7" w:rsidRPr="0063687C" w:rsidRDefault="005516D7" w:rsidP="005516D7">
      <w:pPr>
        <w:pStyle w:val="ListParagraph"/>
        <w:widowControl w:val="0"/>
        <w:numPr>
          <w:ilvl w:val="0"/>
          <w:numId w:val="1"/>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If there was just one point for a country (and thus linear growth rate could not be estimated), we applied the same median substitution for the growth rate as described in 2b. </w:t>
      </w:r>
    </w:p>
    <w:p w:rsidR="005516D7" w:rsidRPr="0063687C" w:rsidRDefault="005516D7" w:rsidP="005516D7">
      <w:pPr>
        <w:pStyle w:val="ListParagraph"/>
        <w:widowControl w:val="0"/>
        <w:numPr>
          <w:ilvl w:val="0"/>
          <w:numId w:val="1"/>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When no observations were available before 2013 (i.e. no empirical data at all for both physicians and nurses/midwives), neither the physician nor nurse/midwives supply was projected. Instead, the mean 2030 predicted supply density across countries of the same income level was substituted.</w:t>
      </w:r>
    </w:p>
    <w:p w:rsidR="005516D7" w:rsidRPr="0063687C" w:rsidRDefault="005516D7" w:rsidP="005516D7">
      <w:pPr>
        <w:pStyle w:val="ListParagraph"/>
        <w:widowControl w:val="0"/>
        <w:numPr>
          <w:ilvl w:val="0"/>
          <w:numId w:val="1"/>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In certain cases, special treatment was given to particular countries because of data problems or predicted growth rates or densities that were implausible.</w:t>
      </w:r>
    </w:p>
    <w:p w:rsidR="005516D7" w:rsidRPr="0063687C" w:rsidRDefault="005516D7" w:rsidP="005516D7">
      <w:pPr>
        <w:pStyle w:val="ListParagraph"/>
        <w:widowControl w:val="0"/>
        <w:numPr>
          <w:ilvl w:val="0"/>
          <w:numId w:val="2"/>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Dominican Republic: The physician growth rate was replaced with the median value.</w:t>
      </w:r>
    </w:p>
    <w:p w:rsidR="005516D7" w:rsidRPr="0063687C" w:rsidRDefault="005516D7" w:rsidP="005516D7">
      <w:pPr>
        <w:pStyle w:val="ListParagraph"/>
        <w:widowControl w:val="0"/>
        <w:numPr>
          <w:ilvl w:val="0"/>
          <w:numId w:val="2"/>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Greece: The nurse/midwife growth rate was applied to the 2000 density value (rather than the 2001 value).</w:t>
      </w:r>
    </w:p>
    <w:p w:rsidR="005516D7" w:rsidRPr="0063687C" w:rsidRDefault="005516D7" w:rsidP="005516D7">
      <w:pPr>
        <w:pStyle w:val="ListParagraph"/>
        <w:widowControl w:val="0"/>
        <w:numPr>
          <w:ilvl w:val="0"/>
          <w:numId w:val="2"/>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Chile: The nurse/midwife growth rate resulted in excessively large predictions; the growth rate was reset to 0.0001/year to reflect a stable trend.</w:t>
      </w:r>
    </w:p>
    <w:p w:rsidR="005516D7" w:rsidRPr="0063687C" w:rsidRDefault="005516D7" w:rsidP="005516D7">
      <w:pPr>
        <w:pStyle w:val="ListParagraph"/>
        <w:widowControl w:val="0"/>
        <w:numPr>
          <w:ilvl w:val="0"/>
          <w:numId w:val="2"/>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Haiti: There was only one historical data point for nurses/midwives. The median income value that would be applied was negative, which resulted in predicted densities near zero; the growth rate was reset to 0.0001/year to reflect a stable trend.</w:t>
      </w:r>
    </w:p>
    <w:p w:rsidR="005516D7" w:rsidRPr="0063687C" w:rsidRDefault="005516D7" w:rsidP="005516D7">
      <w:pPr>
        <w:pStyle w:val="ListParagraph"/>
        <w:widowControl w:val="0"/>
        <w:numPr>
          <w:ilvl w:val="0"/>
          <w:numId w:val="2"/>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Gambia and Kenya: The estimate growth rates were negative, leading to predicted densities near zero; the group median growth rate was substituted.</w:t>
      </w:r>
    </w:p>
    <w:p w:rsidR="005516D7" w:rsidRPr="0063687C" w:rsidRDefault="005516D7" w:rsidP="005516D7">
      <w:pPr>
        <w:pStyle w:val="ListParagraph"/>
        <w:widowControl w:val="0"/>
        <w:numPr>
          <w:ilvl w:val="0"/>
          <w:numId w:val="1"/>
        </w:numPr>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In a number of countries, no empirical data for nurses/midwives were available, but information on physicians was available. We therefore applied to global ratio of 2.517 nurse/midwife-to-physician ratio to obtain the estimate for nurse/midwife density. The countries affected are: Iraq, Slovakia, Bosnia and Herzegovina, Serbia, and Macedonia.</w:t>
      </w:r>
    </w:p>
    <w:p w:rsidR="005516D7" w:rsidRPr="0063687C" w:rsidRDefault="005516D7" w:rsidP="005516D7">
      <w:pPr>
        <w:widowControl w:val="0"/>
        <w:autoSpaceDE w:val="0"/>
        <w:autoSpaceDN w:val="0"/>
        <w:adjustRightInd w:val="0"/>
        <w:spacing w:line="480" w:lineRule="auto"/>
        <w:ind w:left="1080"/>
        <w:rPr>
          <w:rFonts w:asciiTheme="majorHAnsi" w:hAnsiTheme="majorHAnsi" w:cs="Times New Roman"/>
        </w:rPr>
      </w:pPr>
      <w:r w:rsidRPr="0063687C">
        <w:rPr>
          <w:rFonts w:asciiTheme="majorHAnsi" w:hAnsiTheme="majorHAnsi" w:cs="Times New Roman"/>
        </w:rPr>
        <w:t xml:space="preserve">  </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These various substitutions and the number of countries af</w:t>
      </w:r>
      <w:r>
        <w:rPr>
          <w:rFonts w:asciiTheme="majorHAnsi" w:hAnsiTheme="majorHAnsi" w:cs="Times New Roman"/>
        </w:rPr>
        <w:t>fected are summarized in Table A6</w:t>
      </w:r>
      <w:r w:rsidRPr="0063687C">
        <w:rPr>
          <w:rFonts w:asciiTheme="majorHAnsi" w:hAnsiTheme="majorHAnsi" w:cs="Times New Roman"/>
        </w:rPr>
        <w:t xml:space="preserve">. </w:t>
      </w:r>
    </w:p>
    <w:p w:rsidR="005516D7" w:rsidRPr="0063687C" w:rsidRDefault="005516D7" w:rsidP="005516D7">
      <w:pPr>
        <w:widowControl w:val="0"/>
        <w:autoSpaceDE w:val="0"/>
        <w:autoSpaceDN w:val="0"/>
        <w:adjustRightInd w:val="0"/>
        <w:rPr>
          <w:rFonts w:asciiTheme="majorHAnsi" w:hAnsiTheme="majorHAnsi" w:cs="Times New Roman"/>
        </w:rPr>
      </w:pPr>
    </w:p>
    <w:tbl>
      <w:tblPr>
        <w:tblStyle w:val="TableGrid"/>
        <w:tblW w:w="0" w:type="auto"/>
        <w:tblLook w:val="04A0" w:firstRow="1" w:lastRow="0" w:firstColumn="1" w:lastColumn="0" w:noHBand="0" w:noVBand="1"/>
      </w:tblPr>
      <w:tblGrid>
        <w:gridCol w:w="1955"/>
        <w:gridCol w:w="1341"/>
        <w:gridCol w:w="1243"/>
        <w:gridCol w:w="1131"/>
        <w:gridCol w:w="1129"/>
        <w:gridCol w:w="1129"/>
        <w:gridCol w:w="1131"/>
      </w:tblGrid>
      <w:tr w:rsidR="005516D7" w:rsidRPr="0063687C" w:rsidTr="002605E3">
        <w:tc>
          <w:tcPr>
            <w:tcW w:w="9054" w:type="dxa"/>
            <w:gridSpan w:val="7"/>
          </w:tcPr>
          <w:p w:rsidR="005516D7" w:rsidRPr="0063687C" w:rsidRDefault="005516D7" w:rsidP="002605E3">
            <w:pPr>
              <w:widowControl w:val="0"/>
              <w:autoSpaceDE w:val="0"/>
              <w:autoSpaceDN w:val="0"/>
              <w:adjustRightInd w:val="0"/>
              <w:rPr>
                <w:rFonts w:asciiTheme="majorHAnsi" w:hAnsiTheme="majorHAnsi" w:cs="Times New Roman"/>
                <w:b/>
              </w:rPr>
            </w:pPr>
            <w:r w:rsidRPr="0063687C">
              <w:rPr>
                <w:rFonts w:asciiTheme="majorHAnsi" w:hAnsiTheme="majorHAnsi" w:cs="Times New Roman"/>
                <w:b/>
              </w:rPr>
              <w:t xml:space="preserve">Table </w:t>
            </w:r>
            <w:r>
              <w:rPr>
                <w:rFonts w:asciiTheme="majorHAnsi" w:hAnsiTheme="majorHAnsi" w:cs="Times New Roman"/>
                <w:b/>
              </w:rPr>
              <w:t>A6</w:t>
            </w:r>
            <w:r w:rsidRPr="0063687C">
              <w:rPr>
                <w:rFonts w:asciiTheme="majorHAnsi" w:hAnsiTheme="majorHAnsi" w:cs="Times New Roman"/>
                <w:b/>
              </w:rPr>
              <w:t>. Summary of methods used to predicting future worker supply</w:t>
            </w:r>
          </w:p>
        </w:tc>
      </w:tr>
      <w:tr w:rsidR="005516D7" w:rsidRPr="0063687C" w:rsidTr="002605E3">
        <w:tc>
          <w:tcPr>
            <w:tcW w:w="1950" w:type="dxa"/>
            <w:vMerge w:val="restart"/>
          </w:tcPr>
          <w:p w:rsidR="005516D7" w:rsidRPr="0063687C" w:rsidRDefault="005516D7" w:rsidP="002605E3">
            <w:pPr>
              <w:widowControl w:val="0"/>
              <w:autoSpaceDE w:val="0"/>
              <w:autoSpaceDN w:val="0"/>
              <w:adjustRightInd w:val="0"/>
              <w:rPr>
                <w:rFonts w:asciiTheme="majorHAnsi" w:hAnsiTheme="majorHAnsi" w:cs="Times New Roman"/>
              </w:rPr>
            </w:pPr>
          </w:p>
        </w:tc>
        <w:tc>
          <w:tcPr>
            <w:tcW w:w="1341" w:type="dxa"/>
          </w:tcPr>
          <w:p w:rsidR="005516D7" w:rsidRPr="00EE0139" w:rsidRDefault="005516D7" w:rsidP="002605E3">
            <w:pPr>
              <w:widowControl w:val="0"/>
              <w:autoSpaceDE w:val="0"/>
              <w:autoSpaceDN w:val="0"/>
              <w:adjustRightInd w:val="0"/>
              <w:rPr>
                <w:rFonts w:asciiTheme="majorHAnsi" w:hAnsiTheme="majorHAnsi" w:cs="Times New Roman"/>
                <w:b/>
                <w:color w:val="000000" w:themeColor="text1"/>
              </w:rPr>
            </w:pPr>
          </w:p>
        </w:tc>
        <w:tc>
          <w:tcPr>
            <w:tcW w:w="5763" w:type="dxa"/>
            <w:gridSpan w:val="5"/>
          </w:tcPr>
          <w:p w:rsidR="005516D7" w:rsidRPr="00EE0139" w:rsidRDefault="005516D7" w:rsidP="002605E3">
            <w:pPr>
              <w:widowControl w:val="0"/>
              <w:autoSpaceDE w:val="0"/>
              <w:autoSpaceDN w:val="0"/>
              <w:adjustRightInd w:val="0"/>
              <w:jc w:val="center"/>
              <w:rPr>
                <w:rFonts w:asciiTheme="majorHAnsi" w:hAnsiTheme="majorHAnsi" w:cs="Times New Roman"/>
                <w:b/>
                <w:color w:val="000000" w:themeColor="text1"/>
              </w:rPr>
            </w:pPr>
            <w:r w:rsidRPr="00EE0139">
              <w:rPr>
                <w:rFonts w:asciiTheme="majorHAnsi" w:hAnsiTheme="majorHAnsi" w:cs="Times New Roman"/>
                <w:b/>
                <w:color w:val="000000" w:themeColor="text1"/>
              </w:rPr>
              <w:t>Method for addressing missing data</w:t>
            </w:r>
          </w:p>
        </w:tc>
      </w:tr>
      <w:tr w:rsidR="005516D7" w:rsidRPr="0063687C" w:rsidTr="002605E3">
        <w:tc>
          <w:tcPr>
            <w:tcW w:w="1950" w:type="dxa"/>
            <w:vMerge/>
          </w:tcPr>
          <w:p w:rsidR="005516D7" w:rsidRPr="0063687C" w:rsidRDefault="005516D7" w:rsidP="002605E3">
            <w:pPr>
              <w:widowControl w:val="0"/>
              <w:autoSpaceDE w:val="0"/>
              <w:autoSpaceDN w:val="0"/>
              <w:adjustRightInd w:val="0"/>
              <w:rPr>
                <w:rFonts w:asciiTheme="majorHAnsi" w:hAnsiTheme="majorHAnsi" w:cs="Times New Roman"/>
              </w:rPr>
            </w:pPr>
          </w:p>
        </w:tc>
        <w:tc>
          <w:tcPr>
            <w:tcW w:w="1341" w:type="dxa"/>
          </w:tcPr>
          <w:p w:rsidR="005516D7" w:rsidRPr="00EE0139" w:rsidRDefault="005516D7" w:rsidP="002605E3">
            <w:pPr>
              <w:widowControl w:val="0"/>
              <w:autoSpaceDE w:val="0"/>
              <w:autoSpaceDN w:val="0"/>
              <w:adjustRightInd w:val="0"/>
              <w:jc w:val="center"/>
              <w:rPr>
                <w:rFonts w:asciiTheme="majorHAnsi" w:hAnsiTheme="majorHAnsi" w:cs="Times New Roman"/>
                <w:b/>
                <w:color w:val="000000" w:themeColor="text1"/>
              </w:rPr>
            </w:pPr>
            <w:r w:rsidRPr="00EE0139">
              <w:rPr>
                <w:rFonts w:asciiTheme="majorHAnsi" w:hAnsiTheme="majorHAnsi" w:cs="Times New Roman"/>
                <w:b/>
                <w:color w:val="000000" w:themeColor="text1"/>
              </w:rPr>
              <w:t>Total N</w:t>
            </w:r>
          </w:p>
        </w:tc>
        <w:tc>
          <w:tcPr>
            <w:tcW w:w="1243" w:type="dxa"/>
          </w:tcPr>
          <w:p w:rsidR="005516D7" w:rsidRPr="00EE0139" w:rsidRDefault="005516D7" w:rsidP="002605E3">
            <w:pPr>
              <w:widowControl w:val="0"/>
              <w:autoSpaceDE w:val="0"/>
              <w:autoSpaceDN w:val="0"/>
              <w:adjustRightInd w:val="0"/>
              <w:jc w:val="center"/>
              <w:rPr>
                <w:rFonts w:asciiTheme="majorHAnsi" w:hAnsiTheme="majorHAnsi" w:cs="Times New Roman"/>
                <w:b/>
                <w:color w:val="000000" w:themeColor="text1"/>
              </w:rPr>
            </w:pPr>
            <w:r w:rsidRPr="00EE0139">
              <w:rPr>
                <w:rFonts w:asciiTheme="majorHAnsi" w:hAnsiTheme="majorHAnsi" w:cs="Times New Roman"/>
                <w:b/>
                <w:color w:val="000000" w:themeColor="text1"/>
              </w:rPr>
              <w:t>a</w:t>
            </w:r>
          </w:p>
        </w:tc>
        <w:tc>
          <w:tcPr>
            <w:tcW w:w="1131" w:type="dxa"/>
          </w:tcPr>
          <w:p w:rsidR="005516D7" w:rsidRPr="00EE0139" w:rsidRDefault="005516D7" w:rsidP="002605E3">
            <w:pPr>
              <w:widowControl w:val="0"/>
              <w:autoSpaceDE w:val="0"/>
              <w:autoSpaceDN w:val="0"/>
              <w:adjustRightInd w:val="0"/>
              <w:jc w:val="center"/>
              <w:rPr>
                <w:rFonts w:asciiTheme="majorHAnsi" w:hAnsiTheme="majorHAnsi" w:cs="Times New Roman"/>
                <w:b/>
                <w:color w:val="000000" w:themeColor="text1"/>
              </w:rPr>
            </w:pPr>
            <w:r w:rsidRPr="00EE0139">
              <w:rPr>
                <w:rFonts w:asciiTheme="majorHAnsi" w:hAnsiTheme="majorHAnsi" w:cs="Times New Roman"/>
                <w:b/>
                <w:color w:val="000000" w:themeColor="text1"/>
              </w:rPr>
              <w:t>b</w:t>
            </w:r>
          </w:p>
        </w:tc>
        <w:tc>
          <w:tcPr>
            <w:tcW w:w="1129" w:type="dxa"/>
          </w:tcPr>
          <w:p w:rsidR="005516D7" w:rsidRPr="00EE0139" w:rsidRDefault="005516D7" w:rsidP="002605E3">
            <w:pPr>
              <w:widowControl w:val="0"/>
              <w:autoSpaceDE w:val="0"/>
              <w:autoSpaceDN w:val="0"/>
              <w:adjustRightInd w:val="0"/>
              <w:jc w:val="center"/>
              <w:rPr>
                <w:rFonts w:asciiTheme="majorHAnsi" w:hAnsiTheme="majorHAnsi" w:cs="Times New Roman"/>
                <w:b/>
                <w:color w:val="000000" w:themeColor="text1"/>
              </w:rPr>
            </w:pPr>
            <w:r w:rsidRPr="00EE0139">
              <w:rPr>
                <w:rFonts w:asciiTheme="majorHAnsi" w:hAnsiTheme="majorHAnsi" w:cs="Times New Roman"/>
                <w:b/>
                <w:color w:val="000000" w:themeColor="text1"/>
              </w:rPr>
              <w:t>d</w:t>
            </w:r>
          </w:p>
        </w:tc>
        <w:tc>
          <w:tcPr>
            <w:tcW w:w="1129" w:type="dxa"/>
          </w:tcPr>
          <w:p w:rsidR="005516D7" w:rsidRPr="00EE0139" w:rsidRDefault="005516D7" w:rsidP="002605E3">
            <w:pPr>
              <w:widowControl w:val="0"/>
              <w:autoSpaceDE w:val="0"/>
              <w:autoSpaceDN w:val="0"/>
              <w:adjustRightInd w:val="0"/>
              <w:jc w:val="center"/>
              <w:rPr>
                <w:rFonts w:asciiTheme="majorHAnsi" w:hAnsiTheme="majorHAnsi" w:cs="Times New Roman"/>
                <w:b/>
                <w:color w:val="000000" w:themeColor="text1"/>
              </w:rPr>
            </w:pPr>
            <w:r w:rsidRPr="00EE0139">
              <w:rPr>
                <w:rFonts w:asciiTheme="majorHAnsi" w:hAnsiTheme="majorHAnsi" w:cs="Times New Roman"/>
                <w:b/>
                <w:color w:val="000000" w:themeColor="text1"/>
              </w:rPr>
              <w:t>e</w:t>
            </w:r>
          </w:p>
        </w:tc>
        <w:tc>
          <w:tcPr>
            <w:tcW w:w="1131" w:type="dxa"/>
          </w:tcPr>
          <w:p w:rsidR="005516D7" w:rsidRPr="00EE0139" w:rsidRDefault="005516D7" w:rsidP="002605E3">
            <w:pPr>
              <w:widowControl w:val="0"/>
              <w:autoSpaceDE w:val="0"/>
              <w:autoSpaceDN w:val="0"/>
              <w:adjustRightInd w:val="0"/>
              <w:jc w:val="center"/>
              <w:rPr>
                <w:rFonts w:asciiTheme="majorHAnsi" w:hAnsiTheme="majorHAnsi" w:cs="Times New Roman"/>
                <w:b/>
                <w:color w:val="000000" w:themeColor="text1"/>
              </w:rPr>
            </w:pPr>
            <w:r w:rsidRPr="00EE0139">
              <w:rPr>
                <w:rFonts w:asciiTheme="majorHAnsi" w:hAnsiTheme="majorHAnsi" w:cs="Times New Roman"/>
                <w:b/>
                <w:color w:val="000000" w:themeColor="text1"/>
              </w:rPr>
              <w:t>f</w:t>
            </w:r>
          </w:p>
        </w:tc>
      </w:tr>
      <w:tr w:rsidR="005516D7" w:rsidRPr="0063687C" w:rsidTr="002605E3">
        <w:tc>
          <w:tcPr>
            <w:tcW w:w="1950" w:type="dxa"/>
          </w:tcPr>
          <w:p w:rsidR="005516D7" w:rsidRPr="00EE0139" w:rsidRDefault="005516D7" w:rsidP="002605E3">
            <w:pPr>
              <w:widowControl w:val="0"/>
              <w:autoSpaceDE w:val="0"/>
              <w:autoSpaceDN w:val="0"/>
              <w:adjustRightInd w:val="0"/>
              <w:rPr>
                <w:rFonts w:asciiTheme="majorHAnsi" w:hAnsiTheme="majorHAnsi" w:cs="Times New Roman"/>
                <w:b/>
                <w:color w:val="000000" w:themeColor="text1"/>
              </w:rPr>
            </w:pPr>
            <w:r w:rsidRPr="00EE0139">
              <w:rPr>
                <w:rFonts w:asciiTheme="majorHAnsi" w:hAnsiTheme="majorHAnsi" w:cs="Times New Roman"/>
                <w:b/>
                <w:color w:val="000000" w:themeColor="text1"/>
              </w:rPr>
              <w:t>Physicians</w:t>
            </w:r>
          </w:p>
        </w:tc>
        <w:tc>
          <w:tcPr>
            <w:tcW w:w="1341"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243"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r>
      <w:tr w:rsidR="005516D7" w:rsidRPr="0063687C" w:rsidTr="002605E3">
        <w:tc>
          <w:tcPr>
            <w:tcW w:w="1950" w:type="dxa"/>
          </w:tcPr>
          <w:p w:rsidR="005516D7" w:rsidRPr="00EE0139" w:rsidRDefault="005516D7" w:rsidP="002605E3">
            <w:pPr>
              <w:widowControl w:val="0"/>
              <w:autoSpaceDE w:val="0"/>
              <w:autoSpaceDN w:val="0"/>
              <w:adjustRightInd w:val="0"/>
              <w:ind w:firstLine="90"/>
              <w:rPr>
                <w:rFonts w:asciiTheme="majorHAnsi" w:hAnsiTheme="majorHAnsi" w:cs="Times New Roman"/>
                <w:color w:val="000000" w:themeColor="text1"/>
              </w:rPr>
            </w:pPr>
            <w:r w:rsidRPr="00EE0139">
              <w:rPr>
                <w:rFonts w:asciiTheme="majorHAnsi" w:hAnsiTheme="majorHAnsi" w:cs="Times New Roman"/>
                <w:color w:val="000000" w:themeColor="text1"/>
              </w:rPr>
              <w:t>Supply</w:t>
            </w:r>
          </w:p>
        </w:tc>
        <w:tc>
          <w:tcPr>
            <w:tcW w:w="134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208*</w:t>
            </w:r>
          </w:p>
        </w:tc>
        <w:tc>
          <w:tcPr>
            <w:tcW w:w="1243"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136</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50</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21</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0</w:t>
            </w:r>
          </w:p>
        </w:tc>
      </w:tr>
      <w:tr w:rsidR="005516D7" w:rsidRPr="0063687C" w:rsidTr="002605E3">
        <w:tc>
          <w:tcPr>
            <w:tcW w:w="1950" w:type="dxa"/>
          </w:tcPr>
          <w:p w:rsidR="005516D7" w:rsidRPr="00EE0139" w:rsidRDefault="005516D7" w:rsidP="002605E3">
            <w:pPr>
              <w:widowControl w:val="0"/>
              <w:autoSpaceDE w:val="0"/>
              <w:autoSpaceDN w:val="0"/>
              <w:adjustRightInd w:val="0"/>
              <w:ind w:firstLine="90"/>
              <w:rPr>
                <w:rFonts w:asciiTheme="majorHAnsi" w:hAnsiTheme="majorHAnsi" w:cs="Times New Roman"/>
                <w:color w:val="000000" w:themeColor="text1"/>
              </w:rPr>
            </w:pPr>
            <w:r w:rsidRPr="00EE0139">
              <w:rPr>
                <w:rFonts w:asciiTheme="majorHAnsi" w:hAnsiTheme="majorHAnsi" w:cs="Times New Roman"/>
                <w:color w:val="000000" w:themeColor="text1"/>
              </w:rPr>
              <w:t>Demand</w:t>
            </w:r>
          </w:p>
        </w:tc>
        <w:tc>
          <w:tcPr>
            <w:tcW w:w="134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165</w:t>
            </w:r>
          </w:p>
        </w:tc>
        <w:tc>
          <w:tcPr>
            <w:tcW w:w="1243"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120</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44</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0</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0</w:t>
            </w:r>
          </w:p>
        </w:tc>
      </w:tr>
      <w:tr w:rsidR="005516D7" w:rsidRPr="0063687C" w:rsidTr="002605E3">
        <w:tc>
          <w:tcPr>
            <w:tcW w:w="1950" w:type="dxa"/>
          </w:tcPr>
          <w:p w:rsidR="005516D7" w:rsidRPr="00EE0139" w:rsidRDefault="005516D7" w:rsidP="002605E3">
            <w:pPr>
              <w:widowControl w:val="0"/>
              <w:autoSpaceDE w:val="0"/>
              <w:autoSpaceDN w:val="0"/>
              <w:adjustRightInd w:val="0"/>
              <w:rPr>
                <w:rFonts w:asciiTheme="majorHAnsi" w:hAnsiTheme="majorHAnsi" w:cs="Times New Roman"/>
                <w:b/>
                <w:color w:val="000000" w:themeColor="text1"/>
              </w:rPr>
            </w:pPr>
            <w:r w:rsidRPr="00EE0139">
              <w:rPr>
                <w:rFonts w:asciiTheme="majorHAnsi" w:hAnsiTheme="majorHAnsi" w:cs="Times New Roman"/>
                <w:b/>
                <w:color w:val="000000" w:themeColor="text1"/>
              </w:rPr>
              <w:t>Nurses/midwives</w:t>
            </w:r>
          </w:p>
        </w:tc>
        <w:tc>
          <w:tcPr>
            <w:tcW w:w="1341"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243"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p>
        </w:tc>
      </w:tr>
      <w:tr w:rsidR="005516D7" w:rsidRPr="0063687C" w:rsidTr="002605E3">
        <w:tc>
          <w:tcPr>
            <w:tcW w:w="1950" w:type="dxa"/>
          </w:tcPr>
          <w:p w:rsidR="005516D7" w:rsidRPr="00EE0139" w:rsidRDefault="005516D7" w:rsidP="002605E3">
            <w:pPr>
              <w:widowControl w:val="0"/>
              <w:autoSpaceDE w:val="0"/>
              <w:autoSpaceDN w:val="0"/>
              <w:adjustRightInd w:val="0"/>
              <w:ind w:firstLine="90"/>
              <w:rPr>
                <w:rFonts w:asciiTheme="majorHAnsi" w:hAnsiTheme="majorHAnsi" w:cs="Times New Roman"/>
                <w:color w:val="000000" w:themeColor="text1"/>
              </w:rPr>
            </w:pPr>
            <w:r w:rsidRPr="00EE0139">
              <w:rPr>
                <w:rFonts w:asciiTheme="majorHAnsi" w:hAnsiTheme="majorHAnsi" w:cs="Times New Roman"/>
                <w:color w:val="000000" w:themeColor="text1"/>
              </w:rPr>
              <w:t>Supply</w:t>
            </w:r>
          </w:p>
        </w:tc>
        <w:tc>
          <w:tcPr>
            <w:tcW w:w="134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208*</w:t>
            </w:r>
          </w:p>
        </w:tc>
        <w:tc>
          <w:tcPr>
            <w:tcW w:w="1243"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81</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100</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19</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3</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5</w:t>
            </w:r>
          </w:p>
        </w:tc>
      </w:tr>
      <w:tr w:rsidR="005516D7" w:rsidRPr="0063687C" w:rsidTr="002605E3">
        <w:tc>
          <w:tcPr>
            <w:tcW w:w="1950" w:type="dxa"/>
          </w:tcPr>
          <w:p w:rsidR="005516D7" w:rsidRPr="00EE0139" w:rsidRDefault="005516D7" w:rsidP="002605E3">
            <w:pPr>
              <w:widowControl w:val="0"/>
              <w:autoSpaceDE w:val="0"/>
              <w:autoSpaceDN w:val="0"/>
              <w:adjustRightInd w:val="0"/>
              <w:ind w:firstLine="90"/>
              <w:rPr>
                <w:rFonts w:asciiTheme="majorHAnsi" w:hAnsiTheme="majorHAnsi" w:cs="Times New Roman"/>
                <w:color w:val="000000" w:themeColor="text1"/>
              </w:rPr>
            </w:pPr>
            <w:r w:rsidRPr="00EE0139">
              <w:rPr>
                <w:rFonts w:asciiTheme="majorHAnsi" w:hAnsiTheme="majorHAnsi" w:cs="Times New Roman"/>
                <w:color w:val="000000" w:themeColor="text1"/>
              </w:rPr>
              <w:t>Demand</w:t>
            </w:r>
          </w:p>
        </w:tc>
        <w:tc>
          <w:tcPr>
            <w:tcW w:w="134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165</w:t>
            </w:r>
          </w:p>
        </w:tc>
        <w:tc>
          <w:tcPr>
            <w:tcW w:w="1243"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73</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84</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0</w:t>
            </w:r>
          </w:p>
        </w:tc>
        <w:tc>
          <w:tcPr>
            <w:tcW w:w="1129"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3</w:t>
            </w:r>
          </w:p>
        </w:tc>
        <w:tc>
          <w:tcPr>
            <w:tcW w:w="1131" w:type="dxa"/>
          </w:tcPr>
          <w:p w:rsidR="005516D7" w:rsidRPr="0063687C" w:rsidRDefault="005516D7" w:rsidP="002605E3">
            <w:pPr>
              <w:widowControl w:val="0"/>
              <w:autoSpaceDE w:val="0"/>
              <w:autoSpaceDN w:val="0"/>
              <w:adjustRightInd w:val="0"/>
              <w:jc w:val="center"/>
              <w:rPr>
                <w:rFonts w:asciiTheme="majorHAnsi" w:hAnsiTheme="majorHAnsi" w:cs="Times New Roman"/>
              </w:rPr>
            </w:pPr>
            <w:r w:rsidRPr="0063687C">
              <w:rPr>
                <w:rFonts w:asciiTheme="majorHAnsi" w:hAnsiTheme="majorHAnsi" w:cs="Times New Roman"/>
              </w:rPr>
              <w:t>5</w:t>
            </w:r>
          </w:p>
        </w:tc>
      </w:tr>
      <w:tr w:rsidR="005516D7" w:rsidRPr="0063687C" w:rsidTr="002605E3">
        <w:tc>
          <w:tcPr>
            <w:tcW w:w="9054" w:type="dxa"/>
            <w:gridSpan w:val="7"/>
          </w:tcPr>
          <w:p w:rsidR="005516D7" w:rsidRPr="00EE0139" w:rsidRDefault="005516D7" w:rsidP="002605E3">
            <w:pPr>
              <w:rPr>
                <w:rFonts w:asciiTheme="majorHAnsi" w:hAnsiTheme="majorHAnsi" w:cs="Times New Roman"/>
                <w:sz w:val="20"/>
                <w:szCs w:val="20"/>
              </w:rPr>
            </w:pPr>
            <w:r w:rsidRPr="00EE0139">
              <w:rPr>
                <w:rFonts w:asciiTheme="majorHAnsi" w:hAnsiTheme="majorHAnsi" w:cs="Times New Roman"/>
                <w:sz w:val="20"/>
                <w:szCs w:val="20"/>
              </w:rPr>
              <w:t xml:space="preserve">* Note that although 201 countries are included in the analysis, 2030 supply predictions are only made for 208 countries. Kosovo and St. Martin (French part) are excluded from the projections because they do not have population estimates for 2030. </w:t>
            </w:r>
          </w:p>
        </w:tc>
      </w:tr>
    </w:tbl>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B7734"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The projected supply of physicians and nurses/midwives per 1000 population for each future year was then multiplied by </w:t>
      </w:r>
      <w:r>
        <w:rPr>
          <w:rFonts w:asciiTheme="majorHAnsi" w:hAnsiTheme="majorHAnsi" w:cs="Times New Roman"/>
        </w:rPr>
        <w:t xml:space="preserve">projected </w:t>
      </w:r>
      <w:r w:rsidRPr="0063687C">
        <w:rPr>
          <w:rFonts w:asciiTheme="majorHAnsi" w:hAnsiTheme="majorHAnsi" w:cs="Times New Roman"/>
        </w:rPr>
        <w:t xml:space="preserve">population (medium fertility assumptions) in that year to obtain the absolute numbers of physicians and nurses/midwives. The formula is as follows: </w:t>
      </w:r>
    </w:p>
    <w:p w:rsidR="005516D7" w:rsidRPr="006B7734" w:rsidRDefault="005516D7" w:rsidP="005516D7">
      <w:pPr>
        <w:widowControl w:val="0"/>
        <w:autoSpaceDE w:val="0"/>
        <w:autoSpaceDN w:val="0"/>
        <w:adjustRightInd w:val="0"/>
        <w:spacing w:line="480" w:lineRule="auto"/>
        <w:ind w:firstLine="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6</w:t>
      </w:r>
      <w:r w:rsidRPr="0063687C">
        <w:rPr>
          <w:rFonts w:asciiTheme="majorHAnsi" w:hAnsiTheme="majorHAnsi" w:cs="Times New Roman"/>
        </w:rPr>
        <w:t xml:space="preserve">) </w:t>
      </w:r>
      <w:r w:rsidRPr="0063687C">
        <w:rPr>
          <w:rFonts w:asciiTheme="majorHAnsi" w:hAnsiTheme="majorHAnsi" w:cs="Times New Roman"/>
          <w:i/>
        </w:rPr>
        <w:t>Number of workers</w:t>
      </w:r>
      <w:r w:rsidRPr="0063687C">
        <w:rPr>
          <w:rFonts w:asciiTheme="majorHAnsi" w:hAnsiTheme="majorHAnsi" w:cs="Times New Roman"/>
        </w:rPr>
        <w:t xml:space="preserve"> = </w:t>
      </w:r>
      <w:r w:rsidRPr="0063687C">
        <w:rPr>
          <w:rFonts w:asciiTheme="majorHAnsi" w:hAnsiTheme="majorHAnsi" w:cs="Times New Roman"/>
          <w:i/>
        </w:rPr>
        <w:t>worker per 1000 population</w:t>
      </w:r>
      <w:r w:rsidRPr="0063687C">
        <w:rPr>
          <w:rFonts w:asciiTheme="majorHAnsi" w:hAnsiTheme="majorHAnsi" w:cs="Times New Roman"/>
        </w:rPr>
        <w:t xml:space="preserve"> * </w:t>
      </w:r>
      <w:r w:rsidRPr="0063687C">
        <w:rPr>
          <w:rFonts w:asciiTheme="majorHAnsi" w:hAnsiTheme="majorHAnsi" w:cs="Times New Roman"/>
          <w:i/>
        </w:rPr>
        <w:t>population in 2030</w:t>
      </w:r>
      <w:r w:rsidRPr="0063687C">
        <w:rPr>
          <w:rFonts w:asciiTheme="majorHAnsi" w:hAnsiTheme="majorHAnsi" w:cs="Times New Roman"/>
        </w:rPr>
        <w:t>/1000</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To obtain estimates for the other cadres, we apply the standardized approach adopted by the team and which was previously applied to the need-based worker estimates. The income group-specific multiplier</w:t>
      </w:r>
      <w:r w:rsidRPr="0063687C">
        <w:rPr>
          <w:rStyle w:val="FootnoteReference"/>
          <w:rFonts w:asciiTheme="majorHAnsi" w:hAnsiTheme="majorHAnsi" w:cs="Times New Roman"/>
        </w:rPr>
        <w:footnoteReference w:id="2"/>
      </w:r>
      <w:r w:rsidRPr="0063687C">
        <w:rPr>
          <w:rFonts w:asciiTheme="majorHAnsi" w:hAnsiTheme="majorHAnsi" w:cs="Times New Roman"/>
        </w:rPr>
        <w:t xml:space="preserve"> was multiplied with a constant ratio of 3.517 and the physician density, according to the following formulas according to the method applied </w:t>
      </w:r>
      <w:r w:rsidRPr="00EE0139">
        <w:rPr>
          <w:rFonts w:asciiTheme="majorHAnsi" w:hAnsiTheme="majorHAnsi" w:cs="Times New Roman"/>
        </w:rPr>
        <w:t>by WHO (2016):</w:t>
      </w:r>
      <w:r w:rsidRPr="0063687C">
        <w:rPr>
          <w:rFonts w:asciiTheme="majorHAnsi" w:hAnsiTheme="majorHAnsi" w:cs="Times New Roman"/>
        </w:rPr>
        <w:t xml:space="preserve"> </w:t>
      </w:r>
    </w:p>
    <w:p w:rsidR="005516D7" w:rsidRPr="0063687C" w:rsidRDefault="005516D7" w:rsidP="005516D7">
      <w:pPr>
        <w:rPr>
          <w:rFonts w:asciiTheme="majorHAnsi" w:hAnsiTheme="majorHAnsi" w:cs="Times New Roman"/>
        </w:rPr>
      </w:pPr>
    </w:p>
    <w:tbl>
      <w:tblPr>
        <w:tblStyle w:val="TableGrid"/>
        <w:tblW w:w="8982" w:type="dxa"/>
        <w:tblInd w:w="648" w:type="dxa"/>
        <w:tblLook w:val="04A0" w:firstRow="1" w:lastRow="0" w:firstColumn="1" w:lastColumn="0" w:noHBand="0" w:noVBand="1"/>
      </w:tblPr>
      <w:tblGrid>
        <w:gridCol w:w="2430"/>
        <w:gridCol w:w="6552"/>
      </w:tblGrid>
      <w:tr w:rsidR="005516D7" w:rsidRPr="0063687C" w:rsidTr="002605E3">
        <w:tc>
          <w:tcPr>
            <w:tcW w:w="2430"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High income</w:t>
            </w:r>
          </w:p>
        </w:tc>
        <w:tc>
          <w:tcPr>
            <w:tcW w:w="6552"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Other ca</w:t>
            </w:r>
            <w:r>
              <w:rPr>
                <w:rFonts w:asciiTheme="majorHAnsi" w:hAnsiTheme="majorHAnsi" w:cs="Times New Roman"/>
              </w:rPr>
              <w:t>dres per 1000 = 0.373 * (3.517</w:t>
            </w:r>
            <w:r w:rsidRPr="0063687C">
              <w:rPr>
                <w:rFonts w:asciiTheme="majorHAnsi" w:hAnsiTheme="majorHAnsi" w:cs="Times New Roman"/>
              </w:rPr>
              <w:t>) * physicians per 1000</w:t>
            </w:r>
          </w:p>
        </w:tc>
      </w:tr>
      <w:tr w:rsidR="005516D7" w:rsidRPr="0063687C" w:rsidTr="002605E3">
        <w:tc>
          <w:tcPr>
            <w:tcW w:w="2430"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Upper middle income</w:t>
            </w:r>
          </w:p>
        </w:tc>
        <w:tc>
          <w:tcPr>
            <w:tcW w:w="6552"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Other cadres per 1000 = 0.406 * (3.517) * physicians per 1000</w:t>
            </w:r>
          </w:p>
        </w:tc>
      </w:tr>
      <w:tr w:rsidR="005516D7" w:rsidRPr="0063687C" w:rsidTr="002605E3">
        <w:tc>
          <w:tcPr>
            <w:tcW w:w="2430"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Lower middle income</w:t>
            </w:r>
          </w:p>
        </w:tc>
        <w:tc>
          <w:tcPr>
            <w:tcW w:w="6552"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Other cadres per 1000 = 0.549 * (3.517) * physicians per 1000</w:t>
            </w:r>
          </w:p>
        </w:tc>
      </w:tr>
      <w:tr w:rsidR="005516D7" w:rsidRPr="0063687C" w:rsidTr="002605E3">
        <w:tc>
          <w:tcPr>
            <w:tcW w:w="2430"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Low income</w:t>
            </w:r>
          </w:p>
        </w:tc>
        <w:tc>
          <w:tcPr>
            <w:tcW w:w="6552" w:type="dxa"/>
          </w:tcPr>
          <w:p w:rsidR="005516D7" w:rsidRPr="0063687C" w:rsidRDefault="005516D7" w:rsidP="002605E3">
            <w:pPr>
              <w:rPr>
                <w:rFonts w:asciiTheme="majorHAnsi" w:hAnsiTheme="majorHAnsi" w:cs="Times New Roman"/>
              </w:rPr>
            </w:pPr>
            <w:r w:rsidRPr="0063687C">
              <w:rPr>
                <w:rFonts w:asciiTheme="majorHAnsi" w:hAnsiTheme="majorHAnsi" w:cs="Times New Roman"/>
              </w:rPr>
              <w:t>Other cadres per 1000 = 0.595 * (3.517) * physicians per 1000</w:t>
            </w:r>
          </w:p>
        </w:tc>
      </w:tr>
    </w:tbl>
    <w:p w:rsidR="005516D7" w:rsidRPr="0063687C" w:rsidRDefault="005516D7" w:rsidP="005516D7">
      <w:pPr>
        <w:rPr>
          <w:rFonts w:asciiTheme="majorHAnsi" w:hAnsiTheme="majorHAnsi" w:cs="Times New Roman"/>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The resulting density of other cadres was then multiplied by population size (see Eq 1</w:t>
      </w:r>
      <w:r>
        <w:rPr>
          <w:rFonts w:asciiTheme="majorHAnsi" w:hAnsiTheme="majorHAnsi" w:cs="Times New Roman"/>
        </w:rPr>
        <w:t>5</w:t>
      </w:r>
      <w:r w:rsidRPr="0063687C">
        <w:rPr>
          <w:rFonts w:asciiTheme="majorHAnsi" w:hAnsiTheme="majorHAnsi" w:cs="Times New Roman"/>
        </w:rPr>
        <w:t>) to obtain the absolute number of workers in other cadres.</w:t>
      </w:r>
    </w:p>
    <w:p w:rsidR="005516D7" w:rsidRPr="0063687C" w:rsidRDefault="005516D7" w:rsidP="005516D7">
      <w:pPr>
        <w:spacing w:line="480" w:lineRule="auto"/>
        <w:rPr>
          <w:rFonts w:asciiTheme="majorHAnsi" w:hAnsiTheme="majorHAnsi" w:cs="Times New Roman"/>
          <w:b/>
        </w:rPr>
      </w:pPr>
    </w:p>
    <w:p w:rsidR="005516D7" w:rsidRPr="0063687C" w:rsidRDefault="005516D7" w:rsidP="005516D7">
      <w:pPr>
        <w:spacing w:line="480" w:lineRule="auto"/>
        <w:rPr>
          <w:rFonts w:asciiTheme="majorHAnsi" w:hAnsiTheme="majorHAnsi" w:cs="Times New Roman"/>
          <w:b/>
        </w:rPr>
      </w:pPr>
      <w:r>
        <w:rPr>
          <w:rFonts w:asciiTheme="majorHAnsi" w:hAnsiTheme="majorHAnsi" w:cs="Times New Roman"/>
          <w:b/>
        </w:rPr>
        <w:t>A</w:t>
      </w:r>
      <w:r w:rsidRPr="0063687C">
        <w:rPr>
          <w:rFonts w:asciiTheme="majorHAnsi" w:hAnsiTheme="majorHAnsi" w:cs="Times New Roman"/>
          <w:b/>
        </w:rPr>
        <w:t xml:space="preserve">5. Calculating </w:t>
      </w:r>
      <w:r>
        <w:rPr>
          <w:rFonts w:asciiTheme="majorHAnsi" w:hAnsiTheme="majorHAnsi" w:cs="Times New Roman"/>
          <w:b/>
        </w:rPr>
        <w:t xml:space="preserve">worker surplus or </w:t>
      </w:r>
      <w:r w:rsidRPr="0063687C">
        <w:rPr>
          <w:rFonts w:asciiTheme="majorHAnsi" w:hAnsiTheme="majorHAnsi" w:cs="Times New Roman"/>
          <w:b/>
        </w:rPr>
        <w:t xml:space="preserve">shortages </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The surplus or shortage of workers for each country </w:t>
      </w:r>
      <w:r w:rsidRPr="0063687C">
        <w:rPr>
          <w:rFonts w:asciiTheme="majorHAnsi" w:hAnsiTheme="majorHAnsi" w:cs="Times New Roman"/>
          <w:i/>
        </w:rPr>
        <w:t>c</w:t>
      </w:r>
      <w:r w:rsidRPr="0063687C">
        <w:rPr>
          <w:rFonts w:asciiTheme="majorHAnsi" w:hAnsiTheme="majorHAnsi" w:cs="Times New Roman"/>
        </w:rPr>
        <w:t xml:space="preserve"> and year </w:t>
      </w:r>
      <w:r w:rsidRPr="0063687C">
        <w:rPr>
          <w:rFonts w:asciiTheme="majorHAnsi" w:hAnsiTheme="majorHAnsi" w:cs="Times New Roman"/>
          <w:i/>
        </w:rPr>
        <w:t xml:space="preserve">t </w:t>
      </w:r>
      <w:r w:rsidRPr="0063687C">
        <w:rPr>
          <w:rFonts w:asciiTheme="majorHAnsi" w:hAnsiTheme="majorHAnsi" w:cs="Times New Roman"/>
        </w:rPr>
        <w:t>is calculated as the difference between what is demanded what is supplied:</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ind w:firstLine="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7</w:t>
      </w:r>
      <w:r w:rsidRPr="0063687C">
        <w:rPr>
          <w:rFonts w:asciiTheme="majorHAnsi" w:hAnsiTheme="majorHAnsi" w:cs="Times New Roman"/>
        </w:rPr>
        <w:t>)</w:t>
      </w:r>
      <w:r w:rsidRPr="0063687C">
        <w:rPr>
          <w:rFonts w:asciiTheme="majorHAnsi" w:hAnsiTheme="majorHAnsi" w:cs="Times New Roman"/>
        </w:rPr>
        <w:tab/>
      </w:r>
      <w:r w:rsidRPr="00DF461D">
        <w:rPr>
          <w:rFonts w:asciiTheme="majorHAnsi" w:hAnsiTheme="majorHAnsi" w:cs="Times New Roman"/>
          <w:i/>
        </w:rPr>
        <w:t>Difference (Surplus/</w:t>
      </w:r>
      <w:r w:rsidRPr="0063687C">
        <w:rPr>
          <w:rFonts w:asciiTheme="majorHAnsi" w:hAnsiTheme="majorHAnsi" w:cs="Times New Roman"/>
          <w:i/>
        </w:rPr>
        <w:t>Shortage</w:t>
      </w:r>
      <w:r>
        <w:rPr>
          <w:rFonts w:asciiTheme="majorHAnsi" w:hAnsiTheme="majorHAnsi" w:cs="Times New Roman"/>
          <w:i/>
        </w:rPr>
        <w:t>)</w:t>
      </w:r>
      <w:r w:rsidRPr="0063687C">
        <w:rPr>
          <w:rFonts w:asciiTheme="majorHAnsi" w:hAnsiTheme="majorHAnsi" w:cs="Times New Roman"/>
          <w:i/>
          <w:vertAlign w:val="subscript"/>
        </w:rPr>
        <w:t>ct</w:t>
      </w:r>
      <w:r w:rsidRPr="0063687C">
        <w:rPr>
          <w:rFonts w:asciiTheme="majorHAnsi" w:hAnsiTheme="majorHAnsi" w:cs="Times New Roman"/>
        </w:rPr>
        <w:t xml:space="preserve"> = </w:t>
      </w:r>
      <w:r w:rsidRPr="0063687C">
        <w:rPr>
          <w:rFonts w:asciiTheme="majorHAnsi" w:hAnsiTheme="majorHAnsi" w:cs="Times New Roman"/>
          <w:i/>
        </w:rPr>
        <w:t>Workers</w:t>
      </w:r>
      <w:r>
        <w:rPr>
          <w:rFonts w:asciiTheme="majorHAnsi" w:hAnsiTheme="majorHAnsi" w:cs="Times New Roman"/>
          <w:i/>
          <w:vertAlign w:val="subscript"/>
        </w:rPr>
        <w:t xml:space="preserve"> </w:t>
      </w:r>
      <w:r>
        <w:rPr>
          <w:rFonts w:asciiTheme="majorHAnsi" w:hAnsiTheme="majorHAnsi" w:cs="Times New Roman"/>
          <w:i/>
        </w:rPr>
        <w:t>supplied</w:t>
      </w:r>
      <w:r w:rsidRPr="0063687C">
        <w:rPr>
          <w:rFonts w:asciiTheme="majorHAnsi" w:hAnsiTheme="majorHAnsi" w:cs="Times New Roman"/>
          <w:i/>
          <w:vertAlign w:val="subscript"/>
        </w:rPr>
        <w:t>ct</w:t>
      </w:r>
      <w:r w:rsidRPr="0063687C">
        <w:rPr>
          <w:rFonts w:asciiTheme="majorHAnsi" w:hAnsiTheme="majorHAnsi" w:cs="Times New Roman"/>
        </w:rPr>
        <w:t xml:space="preserve"> – </w:t>
      </w:r>
      <w:r w:rsidRPr="0063687C">
        <w:rPr>
          <w:rFonts w:asciiTheme="majorHAnsi" w:hAnsiTheme="majorHAnsi" w:cs="Times New Roman"/>
          <w:i/>
        </w:rPr>
        <w:t xml:space="preserve">Workers </w:t>
      </w:r>
      <w:r>
        <w:rPr>
          <w:rFonts w:asciiTheme="majorHAnsi" w:hAnsiTheme="majorHAnsi" w:cs="Times New Roman"/>
          <w:i/>
        </w:rPr>
        <w:t>demanded</w:t>
      </w:r>
      <w:r w:rsidRPr="0063687C">
        <w:rPr>
          <w:rFonts w:asciiTheme="majorHAnsi" w:hAnsiTheme="majorHAnsi" w:cs="Times New Roman"/>
          <w:i/>
          <w:vertAlign w:val="subscript"/>
        </w:rPr>
        <w:t>ct</w:t>
      </w:r>
    </w:p>
    <w:p w:rsidR="005516D7" w:rsidRPr="0063687C" w:rsidRDefault="005516D7" w:rsidP="005516D7">
      <w:pPr>
        <w:spacing w:line="480" w:lineRule="auto"/>
        <w:rPr>
          <w:rFonts w:asciiTheme="majorHAnsi" w:hAnsiTheme="majorHAnsi" w:cs="Times New Roman"/>
          <w:b/>
        </w:rPr>
      </w:pPr>
    </w:p>
    <w:p w:rsidR="005516D7" w:rsidRPr="0063687C" w:rsidRDefault="005516D7" w:rsidP="005516D7">
      <w:pPr>
        <w:spacing w:line="480" w:lineRule="auto"/>
        <w:rPr>
          <w:rFonts w:asciiTheme="majorHAnsi" w:hAnsiTheme="majorHAnsi" w:cs="Times New Roman"/>
          <w:b/>
        </w:rPr>
      </w:pPr>
      <w:r>
        <w:rPr>
          <w:rFonts w:asciiTheme="majorHAnsi" w:hAnsiTheme="majorHAnsi" w:cs="Times New Roman"/>
          <w:b/>
        </w:rPr>
        <w:t>A</w:t>
      </w:r>
      <w:r w:rsidRPr="0063687C">
        <w:rPr>
          <w:rFonts w:asciiTheme="majorHAnsi" w:hAnsiTheme="majorHAnsi" w:cs="Times New Roman"/>
          <w:b/>
        </w:rPr>
        <w:t>6. Aggregation by region and income level</w:t>
      </w:r>
    </w:p>
    <w:p w:rsidR="005516D7" w:rsidRPr="0063687C" w:rsidRDefault="005516D7" w:rsidP="005516D7">
      <w:pPr>
        <w:widowControl w:val="0"/>
        <w:spacing w:line="480" w:lineRule="auto"/>
        <w:rPr>
          <w:rFonts w:asciiTheme="majorHAnsi" w:hAnsiTheme="majorHAnsi" w:cs="Times New Roman"/>
        </w:rPr>
      </w:pPr>
      <w:r w:rsidRPr="0063687C">
        <w:rPr>
          <w:rFonts w:asciiTheme="majorHAnsi" w:hAnsiTheme="majorHAnsi" w:cs="Times New Roman"/>
        </w:rPr>
        <w:t xml:space="preserve">We report </w:t>
      </w:r>
      <w:r>
        <w:rPr>
          <w:rFonts w:asciiTheme="majorHAnsi" w:hAnsiTheme="majorHAnsi" w:cs="Times New Roman"/>
        </w:rPr>
        <w:t>projected</w:t>
      </w:r>
      <w:r w:rsidRPr="0063687C">
        <w:rPr>
          <w:rFonts w:asciiTheme="majorHAnsi" w:hAnsiTheme="majorHAnsi" w:cs="Times New Roman"/>
        </w:rPr>
        <w:t xml:space="preserve"> health worker demand, supply, and shortage estimates by regions and income levels as defined by the World Bank (see data.worldbank.org/about/country-and-lending-groups). </w:t>
      </w:r>
    </w:p>
    <w:p w:rsidR="005516D7" w:rsidRPr="0063687C" w:rsidRDefault="005516D7" w:rsidP="005516D7">
      <w:pPr>
        <w:widowControl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r w:rsidRPr="0063687C">
        <w:rPr>
          <w:rFonts w:asciiTheme="majorHAnsi" w:hAnsiTheme="majorHAnsi" w:cs="Times New Roman"/>
        </w:rPr>
        <w:t xml:space="preserve">Demand </w:t>
      </w:r>
      <w:r>
        <w:rPr>
          <w:rFonts w:asciiTheme="majorHAnsi" w:hAnsiTheme="majorHAnsi" w:cs="Times New Roman"/>
        </w:rPr>
        <w:t>projection</w:t>
      </w:r>
      <w:r w:rsidRPr="0063687C">
        <w:rPr>
          <w:rFonts w:asciiTheme="majorHAnsi" w:hAnsiTheme="majorHAnsi" w:cs="Times New Roman"/>
        </w:rPr>
        <w:t xml:space="preserve">s were only made for 165 countries for which sufficient data for input parameters were available. In reporting aggregate shortages, we only include countries for which there is </w:t>
      </w:r>
      <w:r>
        <w:rPr>
          <w:rFonts w:asciiTheme="majorHAnsi" w:hAnsiTheme="majorHAnsi" w:cs="Times New Roman"/>
        </w:rPr>
        <w:t>a projected</w:t>
      </w:r>
      <w:r w:rsidRPr="0063687C">
        <w:rPr>
          <w:rFonts w:asciiTheme="majorHAnsi" w:hAnsiTheme="majorHAnsi" w:cs="Times New Roman"/>
        </w:rPr>
        <w:t xml:space="preserve"> demand-based shortage in 2013 or in 2030. In other words, countries that are estimated to have health worker surpluses in 2013 or in 2030 are not counted toward shortage totals in respective years (i.e. a zero shortage is assumed). This is consistent with the assumption that there are no transnational movements of workers (i.e. shortages and surpluses do not net out across countries), following the approach of WHO (2006). </w:t>
      </w: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Pr="0063687C" w:rsidRDefault="005516D7" w:rsidP="005516D7">
      <w:pPr>
        <w:widowControl w:val="0"/>
        <w:autoSpaceDE w:val="0"/>
        <w:autoSpaceDN w:val="0"/>
        <w:adjustRightInd w:val="0"/>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Default="005516D7" w:rsidP="005516D7">
      <w:pPr>
        <w:spacing w:line="480" w:lineRule="auto"/>
        <w:rPr>
          <w:rFonts w:asciiTheme="majorHAnsi" w:hAnsiTheme="majorHAnsi" w:cs="Times New Roman"/>
          <w:b/>
        </w:rPr>
      </w:pPr>
    </w:p>
    <w:p w:rsidR="005516D7" w:rsidRPr="00A07221" w:rsidRDefault="005516D7" w:rsidP="005516D7">
      <w:pPr>
        <w:spacing w:line="480" w:lineRule="auto"/>
        <w:rPr>
          <w:rFonts w:asciiTheme="majorHAnsi" w:hAnsiTheme="majorHAnsi" w:cs="Times New Roman"/>
        </w:rPr>
      </w:pPr>
      <w:bookmarkStart w:id="0" w:name="_GoBack"/>
      <w:bookmarkEnd w:id="0"/>
      <w:r w:rsidRPr="00A07221">
        <w:rPr>
          <w:rFonts w:asciiTheme="majorHAnsi" w:hAnsiTheme="majorHAnsi" w:cs="Times New Roman"/>
          <w:b/>
        </w:rPr>
        <w:t>Annex B:  Estimation of GDP Projections to 2030</w:t>
      </w:r>
      <w:r w:rsidRPr="00A07221">
        <w:rPr>
          <w:rStyle w:val="FootnoteReference"/>
          <w:rFonts w:asciiTheme="majorHAnsi" w:hAnsiTheme="majorHAnsi" w:cs="Times New Roman"/>
          <w:b/>
        </w:rPr>
        <w:footnoteReference w:id="3"/>
      </w:r>
    </w:p>
    <w:p w:rsidR="005516D7" w:rsidRDefault="005516D7" w:rsidP="005516D7">
      <w:pPr>
        <w:widowControl w:val="0"/>
        <w:autoSpaceDE w:val="0"/>
        <w:autoSpaceDN w:val="0"/>
        <w:adjustRightInd w:val="0"/>
        <w:spacing w:line="480" w:lineRule="auto"/>
        <w:rPr>
          <w:rFonts w:asciiTheme="majorHAnsi" w:hAnsiTheme="majorHAnsi" w:cs="Times New Roman"/>
        </w:rPr>
      </w:pPr>
    </w:p>
    <w:p w:rsidR="005516D7" w:rsidRPr="006B7734" w:rsidRDefault="005516D7" w:rsidP="005516D7">
      <w:pPr>
        <w:widowControl w:val="0"/>
        <w:autoSpaceDE w:val="0"/>
        <w:autoSpaceDN w:val="0"/>
        <w:adjustRightInd w:val="0"/>
        <w:spacing w:line="480" w:lineRule="auto"/>
        <w:rPr>
          <w:rFonts w:asciiTheme="majorHAnsi" w:hAnsiTheme="majorHAnsi" w:cs="Times New Roman"/>
          <w:u w:val="single"/>
        </w:rPr>
      </w:pPr>
      <w:r w:rsidRPr="00C968CD">
        <w:rPr>
          <w:rFonts w:asciiTheme="majorHAnsi" w:hAnsiTheme="majorHAnsi" w:cs="Times New Roman"/>
          <w:u w:val="single"/>
        </w:rPr>
        <w:t xml:space="preserve">Estimation </w:t>
      </w:r>
      <w:r>
        <w:rPr>
          <w:rFonts w:asciiTheme="majorHAnsi" w:hAnsiTheme="majorHAnsi" w:cs="Times New Roman"/>
          <w:u w:val="single"/>
        </w:rPr>
        <w:t>M</w:t>
      </w:r>
      <w:r w:rsidRPr="00C968CD">
        <w:rPr>
          <w:rFonts w:asciiTheme="majorHAnsi" w:hAnsiTheme="majorHAnsi" w:cs="Times New Roman"/>
          <w:u w:val="single"/>
        </w:rPr>
        <w:t>ethod</w:t>
      </w:r>
    </w:p>
    <w:p w:rsidR="005516D7" w:rsidRPr="00C968CD" w:rsidRDefault="005516D7" w:rsidP="005516D7">
      <w:pPr>
        <w:pStyle w:val="ListParagraph"/>
        <w:widowControl w:val="0"/>
        <w:numPr>
          <w:ilvl w:val="0"/>
          <w:numId w:val="11"/>
        </w:numPr>
        <w:autoSpaceDE w:val="0"/>
        <w:autoSpaceDN w:val="0"/>
        <w:adjustRightInd w:val="0"/>
        <w:spacing w:after="120" w:line="480" w:lineRule="auto"/>
        <w:contextualSpacing w:val="0"/>
        <w:rPr>
          <w:rFonts w:asciiTheme="majorHAnsi" w:hAnsiTheme="majorHAnsi" w:cs="Times New Roman"/>
        </w:rPr>
      </w:pPr>
      <w:r w:rsidRPr="00C968CD">
        <w:rPr>
          <w:rFonts w:asciiTheme="majorHAnsi" w:hAnsiTheme="majorHAnsi" w:cs="Times New Roman"/>
        </w:rPr>
        <w:t>Data from 1995 to 2020 are obtained from the World Economic Outlook database.</w:t>
      </w:r>
      <w:r w:rsidRPr="00C968CD">
        <w:rPr>
          <w:rFonts w:asciiTheme="majorHAnsi" w:hAnsiTheme="majorHAnsi" w:cs="Times New Roman"/>
        </w:rPr>
        <w:tab/>
      </w:r>
    </w:p>
    <w:p w:rsidR="005516D7" w:rsidRPr="00C968CD" w:rsidRDefault="005516D7" w:rsidP="005516D7">
      <w:pPr>
        <w:pStyle w:val="ListParagraph"/>
        <w:widowControl w:val="0"/>
        <w:numPr>
          <w:ilvl w:val="0"/>
          <w:numId w:val="11"/>
        </w:numPr>
        <w:autoSpaceDE w:val="0"/>
        <w:autoSpaceDN w:val="0"/>
        <w:adjustRightInd w:val="0"/>
        <w:spacing w:after="120" w:line="480" w:lineRule="auto"/>
        <w:contextualSpacing w:val="0"/>
        <w:rPr>
          <w:rFonts w:asciiTheme="majorHAnsi" w:hAnsiTheme="majorHAnsi" w:cs="Times New Roman"/>
        </w:rPr>
      </w:pPr>
      <w:r w:rsidRPr="00C968CD">
        <w:rPr>
          <w:rFonts w:asciiTheme="majorHAnsi" w:hAnsiTheme="majorHAnsi" w:cs="Times New Roman"/>
        </w:rPr>
        <w:t>Data from 2014 to 2020 are IMF estimates.</w:t>
      </w:r>
      <w:r w:rsidRPr="00C968CD">
        <w:rPr>
          <w:rFonts w:asciiTheme="majorHAnsi" w:hAnsiTheme="majorHAnsi" w:cs="Times New Roman"/>
        </w:rPr>
        <w:tab/>
      </w:r>
    </w:p>
    <w:p w:rsidR="005516D7" w:rsidRPr="00C968CD" w:rsidRDefault="005516D7" w:rsidP="005516D7">
      <w:pPr>
        <w:pStyle w:val="ListParagraph"/>
        <w:widowControl w:val="0"/>
        <w:numPr>
          <w:ilvl w:val="0"/>
          <w:numId w:val="11"/>
        </w:numPr>
        <w:autoSpaceDE w:val="0"/>
        <w:autoSpaceDN w:val="0"/>
        <w:adjustRightInd w:val="0"/>
        <w:spacing w:after="120" w:line="480" w:lineRule="auto"/>
        <w:contextualSpacing w:val="0"/>
        <w:rPr>
          <w:rFonts w:asciiTheme="majorHAnsi" w:hAnsiTheme="majorHAnsi" w:cs="Times New Roman"/>
        </w:rPr>
      </w:pPr>
      <w:r w:rsidRPr="00C968CD">
        <w:rPr>
          <w:rFonts w:asciiTheme="majorHAnsi" w:hAnsiTheme="majorHAnsi" w:cs="Times New Roman"/>
        </w:rPr>
        <w:t>Data from 2020 to 2035 are projections based on the following assumptions:</w:t>
      </w:r>
      <w:r w:rsidRPr="00C968CD">
        <w:rPr>
          <w:rFonts w:asciiTheme="majorHAnsi" w:hAnsiTheme="majorHAnsi" w:cs="Times New Roman"/>
        </w:rPr>
        <w:tab/>
      </w:r>
    </w:p>
    <w:p w:rsidR="005516D7" w:rsidRPr="00C968CD" w:rsidRDefault="005516D7" w:rsidP="005516D7">
      <w:pPr>
        <w:pStyle w:val="ListParagraph"/>
        <w:widowControl w:val="0"/>
        <w:numPr>
          <w:ilvl w:val="0"/>
          <w:numId w:val="9"/>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Cobb-Douglas production function with constant returns to scale: Y = A*K^(1-alpha)*L^(alpha)</w:t>
      </w:r>
    </w:p>
    <w:p w:rsidR="005516D7" w:rsidRPr="00C968CD" w:rsidRDefault="005516D7" w:rsidP="005516D7">
      <w:pPr>
        <w:pStyle w:val="ListParagraph"/>
        <w:widowControl w:val="0"/>
        <w:numPr>
          <w:ilvl w:val="0"/>
          <w:numId w:val="9"/>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Labor share (alpha) = 1/3</w:t>
      </w:r>
    </w:p>
    <w:p w:rsidR="005516D7" w:rsidRPr="00C968CD" w:rsidRDefault="005516D7" w:rsidP="005516D7">
      <w:pPr>
        <w:pStyle w:val="ListParagraph"/>
        <w:widowControl w:val="0"/>
        <w:numPr>
          <w:ilvl w:val="0"/>
          <w:numId w:val="9"/>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TFP growth (A) and Capital growth (K) are constant at steady state</w:t>
      </w:r>
    </w:p>
    <w:p w:rsidR="005516D7" w:rsidRPr="00C968CD" w:rsidRDefault="005516D7" w:rsidP="005516D7">
      <w:pPr>
        <w:pStyle w:val="ListParagraph"/>
        <w:widowControl w:val="0"/>
        <w:numPr>
          <w:ilvl w:val="0"/>
          <w:numId w:val="9"/>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Labor force growth is equal to population growth</w:t>
      </w:r>
    </w:p>
    <w:p w:rsidR="005516D7" w:rsidRPr="00C968CD" w:rsidRDefault="005516D7" w:rsidP="005516D7">
      <w:pPr>
        <w:pStyle w:val="ListParagraph"/>
        <w:widowControl w:val="0"/>
        <w:numPr>
          <w:ilvl w:val="0"/>
          <w:numId w:val="9"/>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Data on population growth are taken from the UN-DESA World Population Prospects 2012 (medium fertility assumption)</w:t>
      </w:r>
      <w:r w:rsidRPr="00C968CD">
        <w:rPr>
          <w:rFonts w:asciiTheme="majorHAnsi" w:hAnsiTheme="majorHAnsi" w:cs="Times New Roman"/>
        </w:rPr>
        <w:tab/>
      </w:r>
    </w:p>
    <w:p w:rsidR="005516D7" w:rsidRPr="00C968CD" w:rsidRDefault="005516D7" w:rsidP="005516D7">
      <w:pPr>
        <w:widowControl w:val="0"/>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ab/>
      </w:r>
    </w:p>
    <w:p w:rsidR="005516D7" w:rsidRPr="00C968CD" w:rsidRDefault="005516D7" w:rsidP="005516D7">
      <w:pPr>
        <w:widowControl w:val="0"/>
        <w:autoSpaceDE w:val="0"/>
        <w:autoSpaceDN w:val="0"/>
        <w:adjustRightInd w:val="0"/>
        <w:spacing w:line="480" w:lineRule="auto"/>
        <w:rPr>
          <w:rFonts w:asciiTheme="majorHAnsi" w:hAnsiTheme="majorHAnsi" w:cs="Times New Roman"/>
          <w:u w:val="single"/>
        </w:rPr>
      </w:pPr>
      <w:r>
        <w:rPr>
          <w:rFonts w:asciiTheme="majorHAnsi" w:hAnsiTheme="majorHAnsi" w:cs="Times New Roman"/>
          <w:u w:val="single"/>
        </w:rPr>
        <w:t>Steps</w:t>
      </w:r>
    </w:p>
    <w:p w:rsidR="005516D7" w:rsidRPr="00C968CD" w:rsidRDefault="005516D7" w:rsidP="005516D7">
      <w:pPr>
        <w:pStyle w:val="ListParagraph"/>
        <w:widowControl w:val="0"/>
        <w:numPr>
          <w:ilvl w:val="0"/>
          <w:numId w:val="10"/>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 xml:space="preserve">Derive the projections for annual growth rates of real GDP --&gt; </w:t>
      </w:r>
      <w:r>
        <w:rPr>
          <w:rFonts w:asciiTheme="majorHAnsi" w:hAnsiTheme="majorHAnsi" w:cs="Times New Roman"/>
        </w:rPr>
        <w:t>(World Economic Outlook data base (</w:t>
      </w:r>
      <w:r w:rsidRPr="00C968CD">
        <w:rPr>
          <w:rFonts w:asciiTheme="majorHAnsi" w:hAnsiTheme="majorHAnsi" w:cs="Times New Roman"/>
        </w:rPr>
        <w:t>WEO_NGDP_RPCH</w:t>
      </w:r>
      <w:r>
        <w:rPr>
          <w:rFonts w:asciiTheme="majorHAnsi" w:hAnsiTheme="majorHAnsi" w:cs="Times New Roman"/>
        </w:rPr>
        <w:t>)</w:t>
      </w:r>
      <w:r w:rsidRPr="00C968CD">
        <w:rPr>
          <w:rFonts w:asciiTheme="majorHAnsi" w:hAnsiTheme="majorHAnsi" w:cs="Times New Roman"/>
        </w:rPr>
        <w:tab/>
      </w:r>
    </w:p>
    <w:p w:rsidR="005516D7" w:rsidRPr="00C968CD" w:rsidRDefault="005516D7" w:rsidP="005516D7">
      <w:pPr>
        <w:pStyle w:val="ListParagraph"/>
        <w:widowControl w:val="0"/>
        <w:numPr>
          <w:ilvl w:val="0"/>
          <w:numId w:val="10"/>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Rebase the WDI constant GDP series (2011 GDP deflator = 100) in LCU --&gt; WDI_GDP_constant_LCU2011</w:t>
      </w:r>
    </w:p>
    <w:p w:rsidR="005516D7" w:rsidRPr="00C968CD" w:rsidRDefault="005516D7" w:rsidP="005516D7">
      <w:pPr>
        <w:pStyle w:val="ListParagraph"/>
        <w:widowControl w:val="0"/>
        <w:numPr>
          <w:ilvl w:val="0"/>
          <w:numId w:val="10"/>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Derive the projections for real GDP at 2011 prices using projected growth rates (2021-2035) to real GDP estimates from 2020 onward --&gt; REAL GDP PER CAPITA</w:t>
      </w:r>
      <w:r w:rsidRPr="00C968CD">
        <w:rPr>
          <w:rFonts w:asciiTheme="majorHAnsi" w:hAnsiTheme="majorHAnsi" w:cs="Times New Roman"/>
        </w:rPr>
        <w:tab/>
      </w:r>
    </w:p>
    <w:p w:rsidR="005516D7" w:rsidRPr="00C968CD" w:rsidRDefault="005516D7" w:rsidP="005516D7">
      <w:pPr>
        <w:pStyle w:val="ListParagraph"/>
        <w:widowControl w:val="0"/>
        <w:numPr>
          <w:ilvl w:val="0"/>
          <w:numId w:val="10"/>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Apply WPP 2012 population projections based on medium fertility assumption to derive projected real GDP per capita (expressed in million LCU per capita) --&gt; REAL GDP PER CAPITA</w:t>
      </w:r>
      <w:r w:rsidRPr="00C968CD">
        <w:rPr>
          <w:rFonts w:asciiTheme="majorHAnsi" w:hAnsiTheme="majorHAnsi" w:cs="Times New Roman"/>
        </w:rPr>
        <w:tab/>
      </w:r>
    </w:p>
    <w:p w:rsidR="005516D7" w:rsidRPr="00C968CD" w:rsidRDefault="005516D7" w:rsidP="005516D7">
      <w:pPr>
        <w:pStyle w:val="ListParagraph"/>
        <w:widowControl w:val="0"/>
        <w:numPr>
          <w:ilvl w:val="0"/>
          <w:numId w:val="10"/>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2011 PPP factors are applied to convert constant GDP in LCU to internati</w:t>
      </w:r>
      <w:r>
        <w:rPr>
          <w:rFonts w:asciiTheme="majorHAnsi" w:hAnsiTheme="majorHAnsi" w:cs="Times New Roman"/>
        </w:rPr>
        <w:t>onal $ --&gt; REAL GDP PER CAPITA</w:t>
      </w:r>
    </w:p>
    <w:p w:rsidR="005516D7" w:rsidRPr="00C968CD" w:rsidRDefault="005516D7" w:rsidP="005516D7">
      <w:pPr>
        <w:pStyle w:val="ListParagraph"/>
        <w:widowControl w:val="0"/>
        <w:numPr>
          <w:ilvl w:val="0"/>
          <w:numId w:val="10"/>
        </w:numPr>
        <w:autoSpaceDE w:val="0"/>
        <w:autoSpaceDN w:val="0"/>
        <w:adjustRightInd w:val="0"/>
        <w:spacing w:line="480" w:lineRule="auto"/>
        <w:rPr>
          <w:rFonts w:asciiTheme="majorHAnsi" w:hAnsiTheme="majorHAnsi" w:cs="Times New Roman"/>
        </w:rPr>
      </w:pPr>
      <w:r w:rsidRPr="00C968CD">
        <w:rPr>
          <w:rFonts w:asciiTheme="majorHAnsi" w:hAnsiTheme="majorHAnsi" w:cs="Times New Roman"/>
        </w:rPr>
        <w:t>A multilevel model with country and region random effects is estimated to derive GNI projections from GDP projections  --&gt; REAL GNI PER CAPITA</w:t>
      </w:r>
      <w:r w:rsidRPr="00C968CD">
        <w:rPr>
          <w:rFonts w:asciiTheme="majorHAnsi" w:hAnsiTheme="majorHAnsi" w:cs="Times New Roman"/>
        </w:rPr>
        <w:tab/>
      </w:r>
    </w:p>
    <w:p w:rsidR="005516D7" w:rsidRDefault="005516D7" w:rsidP="005516D7">
      <w:pPr>
        <w:widowControl w:val="0"/>
        <w:autoSpaceDE w:val="0"/>
        <w:autoSpaceDN w:val="0"/>
        <w:adjustRightInd w:val="0"/>
        <w:spacing w:line="480" w:lineRule="auto"/>
        <w:rPr>
          <w:rFonts w:asciiTheme="majorHAnsi" w:hAnsiTheme="majorHAnsi" w:cs="Times New Roman"/>
        </w:rPr>
      </w:pPr>
    </w:p>
    <w:p w:rsidR="005516D7" w:rsidRDefault="005516D7" w:rsidP="005516D7">
      <w:pPr>
        <w:widowControl w:val="0"/>
        <w:autoSpaceDE w:val="0"/>
        <w:autoSpaceDN w:val="0"/>
        <w:adjustRightInd w:val="0"/>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p>
    <w:p w:rsidR="005516D7" w:rsidRPr="00A07221" w:rsidRDefault="005516D7" w:rsidP="005516D7">
      <w:pPr>
        <w:spacing w:line="480" w:lineRule="auto"/>
        <w:rPr>
          <w:rFonts w:asciiTheme="majorHAnsi" w:hAnsiTheme="majorHAnsi" w:cs="Times New Roman"/>
        </w:rPr>
      </w:pPr>
      <w:r w:rsidRPr="00A07221">
        <w:rPr>
          <w:rFonts w:asciiTheme="majorHAnsi" w:hAnsiTheme="majorHAnsi" w:cs="Times New Roman"/>
          <w:b/>
        </w:rPr>
        <w:t>Annex C:  Projecting out-of-pocket expenditures</w:t>
      </w:r>
    </w:p>
    <w:p w:rsidR="005516D7" w:rsidRPr="0063687C" w:rsidRDefault="005516D7" w:rsidP="005516D7">
      <w:pPr>
        <w:widowControl w:val="0"/>
        <w:spacing w:line="480" w:lineRule="auto"/>
        <w:rPr>
          <w:rFonts w:asciiTheme="majorHAnsi" w:hAnsiTheme="majorHAnsi" w:cs="Times New Roman"/>
          <w:b/>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 xml:space="preserve">Future values of OOP spending per capita are needed as input parameters into the demand model </w:t>
      </w:r>
      <w:r>
        <w:rPr>
          <w:rFonts w:asciiTheme="majorHAnsi" w:hAnsiTheme="majorHAnsi" w:cs="Times New Roman"/>
        </w:rPr>
        <w:t>projections</w:t>
      </w:r>
      <w:r w:rsidRPr="0063687C">
        <w:rPr>
          <w:rFonts w:asciiTheme="majorHAnsi" w:hAnsiTheme="majorHAnsi" w:cs="Times New Roman"/>
        </w:rPr>
        <w:t xml:space="preserve"> to predict future values of physicians per 1000 population. Based on historical data for total health expenditures per capita (PPP constant 2011 international $) and the percentage of total health expenditures spent OOP, we calculate the OOP health expenditures per capita for each country from 1995 to 2013 based on the following formula for each country </w:t>
      </w:r>
      <w:r w:rsidRPr="0063687C">
        <w:rPr>
          <w:rFonts w:asciiTheme="majorHAnsi" w:hAnsiTheme="majorHAnsi" w:cs="Times New Roman"/>
          <w:i/>
        </w:rPr>
        <w:t xml:space="preserve">c </w:t>
      </w:r>
      <w:r w:rsidRPr="0063687C">
        <w:rPr>
          <w:rFonts w:asciiTheme="majorHAnsi" w:hAnsiTheme="majorHAnsi" w:cs="Times New Roman"/>
        </w:rPr>
        <w:t xml:space="preserve">in year </w:t>
      </w:r>
      <w:r w:rsidRPr="0063687C">
        <w:rPr>
          <w:rFonts w:asciiTheme="majorHAnsi" w:hAnsiTheme="majorHAnsi" w:cs="Times New Roman"/>
          <w:i/>
        </w:rPr>
        <w:t>t</w:t>
      </w:r>
      <w:r w:rsidRPr="0063687C">
        <w:rPr>
          <w:rFonts w:asciiTheme="majorHAnsi" w:hAnsiTheme="majorHAnsi" w:cs="Times New Roman"/>
        </w:rPr>
        <w:t xml:space="preserve">: </w:t>
      </w:r>
    </w:p>
    <w:p w:rsidR="005516D7" w:rsidRPr="0063687C" w:rsidRDefault="005516D7" w:rsidP="005516D7">
      <w:pPr>
        <w:spacing w:line="480" w:lineRule="auto"/>
        <w:ind w:left="1440" w:hanging="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8</w:t>
      </w:r>
      <w:r w:rsidRPr="0063687C">
        <w:rPr>
          <w:rFonts w:asciiTheme="majorHAnsi" w:hAnsiTheme="majorHAnsi" w:cs="Times New Roman"/>
        </w:rPr>
        <w:t xml:space="preserve">) </w:t>
      </w:r>
      <w:r w:rsidRPr="0063687C">
        <w:rPr>
          <w:rFonts w:asciiTheme="majorHAnsi" w:hAnsiTheme="majorHAnsi" w:cs="Times New Roman"/>
        </w:rPr>
        <w:tab/>
      </w:r>
      <w:r w:rsidRPr="0063687C">
        <w:rPr>
          <w:rFonts w:asciiTheme="majorHAnsi" w:hAnsiTheme="majorHAnsi" w:cs="Times New Roman"/>
          <w:i/>
        </w:rPr>
        <w:t>OOPPC</w:t>
      </w:r>
      <w:r w:rsidRPr="0063687C">
        <w:rPr>
          <w:rFonts w:asciiTheme="majorHAnsi" w:hAnsiTheme="majorHAnsi" w:cs="Times New Roman"/>
          <w:i/>
          <w:vertAlign w:val="subscript"/>
        </w:rPr>
        <w:t>ct</w:t>
      </w:r>
      <w:r w:rsidRPr="0063687C">
        <w:rPr>
          <w:rFonts w:asciiTheme="majorHAnsi" w:hAnsiTheme="majorHAnsi" w:cs="Times New Roman"/>
          <w:vertAlign w:val="subscript"/>
        </w:rPr>
        <w:t xml:space="preserve"> </w:t>
      </w:r>
      <w:r w:rsidRPr="0063687C">
        <w:rPr>
          <w:rFonts w:asciiTheme="majorHAnsi" w:hAnsiTheme="majorHAnsi" w:cs="Times New Roman"/>
        </w:rPr>
        <w:t xml:space="preserve">= </w:t>
      </w:r>
      <w:r w:rsidRPr="0063687C">
        <w:rPr>
          <w:rFonts w:asciiTheme="majorHAnsi" w:hAnsiTheme="majorHAnsi" w:cs="Times New Roman"/>
          <w:i/>
        </w:rPr>
        <w:t>% total health expenditures spent OOP</w:t>
      </w:r>
      <w:r w:rsidRPr="0063687C">
        <w:rPr>
          <w:rFonts w:asciiTheme="majorHAnsi" w:hAnsiTheme="majorHAnsi" w:cs="Times New Roman"/>
          <w:i/>
          <w:vertAlign w:val="subscript"/>
        </w:rPr>
        <w:t>ct</w:t>
      </w:r>
      <w:r w:rsidRPr="0063687C">
        <w:rPr>
          <w:rFonts w:asciiTheme="majorHAnsi" w:hAnsiTheme="majorHAnsi" w:cs="Times New Roman"/>
        </w:rPr>
        <w:t>*</w:t>
      </w:r>
      <w:r w:rsidRPr="0063687C">
        <w:rPr>
          <w:rFonts w:asciiTheme="majorHAnsi" w:hAnsiTheme="majorHAnsi" w:cs="Times New Roman"/>
          <w:i/>
        </w:rPr>
        <w:t>Total health expenditure per capita</w:t>
      </w:r>
      <w:r w:rsidRPr="0063687C">
        <w:rPr>
          <w:rFonts w:asciiTheme="majorHAnsi" w:hAnsiTheme="majorHAnsi" w:cs="Times New Roman"/>
          <w:i/>
          <w:vertAlign w:val="subscript"/>
        </w:rPr>
        <w:t>ct</w:t>
      </w: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For 27 countries where health expenditure information was completely missing, year-specific mean OOP spending per capita by region and income group were substituted. These countries were as follows: American Samoa, Aruba, Bermuda, Cayman Islands, Channel Islands, Curacao, Faeroe Islands, French Polynesia, Greenland, Guam, Hong Kong, Isle of Man, DPRK, Kosovo, Liechtenstein, Macao, New Caledonia, Northern Mariana, Puerto Rico, Sint Maarten, Somalia, St. Martin, Taiwan, Turks and Caicos, Virgin Islands, West Bank and Gaza, and Zimbabwe.</w:t>
      </w:r>
    </w:p>
    <w:p w:rsidR="005516D7" w:rsidRPr="0063687C" w:rsidRDefault="005516D7" w:rsidP="005516D7">
      <w:pPr>
        <w:spacing w:line="480" w:lineRule="auto"/>
        <w:rPr>
          <w:rFonts w:asciiTheme="majorHAnsi" w:hAnsiTheme="majorHAnsi" w:cs="Times New Roman"/>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 xml:space="preserve">To select the appropriate model, the data was split into two parts: </w:t>
      </w:r>
    </w:p>
    <w:p w:rsidR="005516D7" w:rsidRPr="0063687C" w:rsidRDefault="005516D7" w:rsidP="005516D7">
      <w:pPr>
        <w:pStyle w:val="ListParagraph"/>
        <w:numPr>
          <w:ilvl w:val="0"/>
          <w:numId w:val="7"/>
        </w:numPr>
        <w:spacing w:line="480" w:lineRule="auto"/>
        <w:rPr>
          <w:rFonts w:asciiTheme="majorHAnsi" w:hAnsiTheme="majorHAnsi" w:cs="Times New Roman"/>
        </w:rPr>
      </w:pPr>
      <w:r w:rsidRPr="0063687C">
        <w:rPr>
          <w:rFonts w:asciiTheme="majorHAnsi" w:hAnsiTheme="majorHAnsi" w:cs="Times New Roman"/>
        </w:rPr>
        <w:t>Initialization dataset included data for years 1995 – 2008.</w:t>
      </w:r>
    </w:p>
    <w:p w:rsidR="005516D7" w:rsidRPr="0063687C" w:rsidRDefault="005516D7" w:rsidP="005516D7">
      <w:pPr>
        <w:pStyle w:val="ListParagraph"/>
        <w:numPr>
          <w:ilvl w:val="0"/>
          <w:numId w:val="7"/>
        </w:numPr>
        <w:spacing w:line="480" w:lineRule="auto"/>
        <w:rPr>
          <w:rFonts w:asciiTheme="majorHAnsi" w:hAnsiTheme="majorHAnsi" w:cs="Times New Roman"/>
        </w:rPr>
      </w:pPr>
      <w:r w:rsidRPr="0063687C">
        <w:rPr>
          <w:rFonts w:asciiTheme="majorHAnsi" w:hAnsiTheme="majorHAnsi" w:cs="Times New Roman"/>
        </w:rPr>
        <w:t xml:space="preserve">Testing dataset included data for years 2009 – 2013 (except for OOPPC variable, which was set to missing). </w:t>
      </w:r>
    </w:p>
    <w:p w:rsidR="005516D7" w:rsidRPr="0063687C" w:rsidRDefault="005516D7" w:rsidP="005516D7">
      <w:pPr>
        <w:spacing w:line="480" w:lineRule="auto"/>
        <w:rPr>
          <w:rFonts w:asciiTheme="majorHAnsi" w:hAnsiTheme="majorHAnsi" w:cs="Times New Roman"/>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To project future values of OOP spending per capita, we tested eight models w</w:t>
      </w:r>
      <w:r>
        <w:rPr>
          <w:rFonts w:asciiTheme="majorHAnsi" w:hAnsiTheme="majorHAnsi" w:cs="Times New Roman"/>
        </w:rPr>
        <w:t xml:space="preserve">ith the initialization dataset: </w:t>
      </w:r>
    </w:p>
    <w:p w:rsidR="005516D7" w:rsidRPr="006B7734"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For each country </w:t>
      </w:r>
      <w:r w:rsidRPr="0063687C">
        <w:rPr>
          <w:rFonts w:asciiTheme="majorHAnsi" w:hAnsiTheme="majorHAnsi" w:cs="Times New Roman"/>
          <w:i/>
        </w:rPr>
        <w:t>c</w:t>
      </w:r>
      <w:r w:rsidRPr="0063687C">
        <w:rPr>
          <w:rFonts w:asciiTheme="majorHAnsi" w:hAnsiTheme="majorHAnsi" w:cs="Times New Roman"/>
        </w:rPr>
        <w:t>, a moving average for 18 prior periods without weights was estimated:</w:t>
      </w:r>
    </w:p>
    <w:p w:rsidR="005516D7" w:rsidRPr="0063687C" w:rsidRDefault="005516D7" w:rsidP="005516D7">
      <w:pPr>
        <w:spacing w:line="480" w:lineRule="auto"/>
        <w:ind w:firstLine="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9</w:t>
      </w:r>
      <w:r w:rsidRPr="0063687C">
        <w:rPr>
          <w:rFonts w:asciiTheme="majorHAnsi" w:hAnsiTheme="majorHAnsi" w:cs="Times New Roman"/>
        </w:rPr>
        <w:t xml:space="preserve">) </w:t>
      </w:r>
      <w:r w:rsidRPr="0063687C">
        <w:rPr>
          <w:rFonts w:asciiTheme="majorHAnsi" w:hAnsiTheme="majorHAnsi" w:cs="Times New Roman"/>
        </w:rPr>
        <w:tab/>
      </w:r>
      <m:oMath>
        <m:sSub>
          <m:sSubPr>
            <m:ctrlPr>
              <w:rPr>
                <w:rFonts w:ascii="Cambria Math" w:hAnsi="Cambria Math" w:cs="Times New Roman"/>
                <w:i/>
                <w:iCs/>
              </w:rPr>
            </m:ctrlPr>
          </m:sSubPr>
          <m:e>
            <m:r>
              <w:rPr>
                <w:rFonts w:ascii="Cambria Math" w:hAnsi="Cambria Math" w:cs="Times New Roman"/>
              </w:rPr>
              <m:t>OOPPC</m:t>
            </m:r>
          </m:e>
          <m:sub>
            <m:r>
              <w:rPr>
                <w:rFonts w:ascii="Cambria Math" w:hAnsi="Cambria Math" w:cs="Times New Roman"/>
              </w:rPr>
              <m:t>ct</m:t>
            </m:r>
          </m:sub>
        </m:sSub>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18</m:t>
            </m:r>
          </m:den>
        </m:f>
        <m:nary>
          <m:naryPr>
            <m:chr m:val="∑"/>
            <m:limLoc m:val="undOvr"/>
            <m:ctrlPr>
              <w:rPr>
                <w:rFonts w:ascii="Cambria Math" w:hAnsi="Cambria Math" w:cs="Times New Roman"/>
                <w:i/>
                <w:iCs/>
              </w:rPr>
            </m:ctrlPr>
          </m:naryPr>
          <m:sub>
            <m:r>
              <w:rPr>
                <w:rFonts w:ascii="Cambria Math" w:hAnsi="Cambria Math" w:cs="Times New Roman"/>
              </w:rPr>
              <m:t>x=1</m:t>
            </m:r>
          </m:sub>
          <m:sup>
            <m:r>
              <w:rPr>
                <w:rFonts w:ascii="Cambria Math" w:hAnsi="Cambria Math" w:cs="Times New Roman"/>
              </w:rPr>
              <m:t>18</m:t>
            </m:r>
          </m:sup>
          <m:e>
            <m:sSub>
              <m:sSubPr>
                <m:ctrlPr>
                  <w:rPr>
                    <w:rFonts w:ascii="Cambria Math" w:hAnsi="Cambria Math" w:cs="Times New Roman"/>
                    <w:i/>
                    <w:iCs/>
                  </w:rPr>
                </m:ctrlPr>
              </m:sSubPr>
              <m:e>
                <m:r>
                  <w:rPr>
                    <w:rFonts w:ascii="Cambria Math" w:hAnsi="Cambria Math" w:cs="Times New Roman"/>
                  </w:rPr>
                  <m:t>OOPPC</m:t>
                </m:r>
              </m:e>
              <m:sub>
                <m:r>
                  <w:rPr>
                    <w:rFonts w:ascii="Cambria Math" w:hAnsi="Cambria Math" w:cs="Times New Roman"/>
                  </w:rPr>
                  <m:t>c,t-x</m:t>
                </m:r>
              </m:sub>
            </m:sSub>
          </m:e>
        </m:nary>
      </m:oMath>
    </w:p>
    <w:p w:rsidR="005516D7" w:rsidRPr="0063687C" w:rsidRDefault="005516D7" w:rsidP="005516D7">
      <w:pPr>
        <w:spacing w:line="480" w:lineRule="auto"/>
        <w:ind w:left="720"/>
        <w:rPr>
          <w:rFonts w:asciiTheme="majorHAnsi" w:hAnsiTheme="majorHAnsi" w:cs="Times New Roman"/>
        </w:rPr>
      </w:pPr>
      <w:r w:rsidRPr="0063687C">
        <w:rPr>
          <w:rFonts w:asciiTheme="majorHAnsi" w:hAnsiTheme="majorHAnsi" w:cs="Times New Roman"/>
        </w:rPr>
        <w:t>A total of 18 previous periods was chosen to maximize the number of prior year observations possible to base projections off of (e.g. the projection for 2030 needs at least 17 lags to use prior information from 2013).</w:t>
      </w:r>
    </w:p>
    <w:p w:rsidR="005516D7" w:rsidRPr="006B7734"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For each country </w:t>
      </w:r>
      <w:r w:rsidRPr="0063687C">
        <w:rPr>
          <w:rFonts w:asciiTheme="majorHAnsi" w:hAnsiTheme="majorHAnsi" w:cs="Times New Roman"/>
          <w:i/>
        </w:rPr>
        <w:t>c</w:t>
      </w:r>
      <w:r w:rsidRPr="0063687C">
        <w:rPr>
          <w:rFonts w:asciiTheme="majorHAnsi" w:hAnsiTheme="majorHAnsi" w:cs="Times New Roman"/>
        </w:rPr>
        <w:t>, a moving average for 14 prior periods with weights was estimated, with the more distant observations progressively receiving smaller weights:</w:t>
      </w:r>
    </w:p>
    <w:p w:rsidR="005516D7" w:rsidRPr="0063687C" w:rsidRDefault="005516D7" w:rsidP="005516D7">
      <w:pPr>
        <w:spacing w:line="480" w:lineRule="auto"/>
        <w:ind w:firstLine="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10</w:t>
      </w:r>
      <w:r w:rsidRPr="0063687C">
        <w:rPr>
          <w:rFonts w:asciiTheme="majorHAnsi" w:hAnsiTheme="majorHAnsi" w:cs="Times New Roman"/>
        </w:rPr>
        <w:t xml:space="preserve">) </w:t>
      </w:r>
      <w:r w:rsidRPr="0063687C">
        <w:rPr>
          <w:rFonts w:asciiTheme="majorHAnsi" w:hAnsiTheme="majorHAnsi" w:cs="Times New Roman"/>
        </w:rPr>
        <w:tab/>
      </w:r>
      <m:oMath>
        <m:sSub>
          <m:sSubPr>
            <m:ctrlPr>
              <w:rPr>
                <w:rFonts w:ascii="Cambria Math" w:hAnsi="Cambria Math" w:cs="Times New Roman"/>
                <w:i/>
                <w:iCs/>
              </w:rPr>
            </m:ctrlPr>
          </m:sSubPr>
          <m:e>
            <m:r>
              <w:rPr>
                <w:rFonts w:ascii="Cambria Math" w:hAnsi="Cambria Math" w:cs="Times New Roman"/>
              </w:rPr>
              <m:t>OOPPC</m:t>
            </m:r>
          </m:e>
          <m:sub>
            <m:r>
              <w:rPr>
                <w:rFonts w:ascii="Cambria Math" w:hAnsi="Cambria Math" w:cs="Times New Roman"/>
              </w:rPr>
              <m:t>ct</m:t>
            </m:r>
          </m:sub>
        </m:sSub>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171</m:t>
            </m:r>
          </m:den>
        </m:f>
        <m:nary>
          <m:naryPr>
            <m:chr m:val="∑"/>
            <m:limLoc m:val="undOvr"/>
            <m:ctrlPr>
              <w:rPr>
                <w:rFonts w:ascii="Cambria Math" w:hAnsi="Cambria Math" w:cs="Times New Roman"/>
                <w:i/>
                <w:iCs/>
              </w:rPr>
            </m:ctrlPr>
          </m:naryPr>
          <m:sub>
            <m:r>
              <w:rPr>
                <w:rFonts w:ascii="Cambria Math" w:hAnsi="Cambria Math" w:cs="Times New Roman"/>
              </w:rPr>
              <m:t>x=1</m:t>
            </m:r>
          </m:sub>
          <m:sup>
            <m:r>
              <w:rPr>
                <w:rFonts w:ascii="Cambria Math" w:hAnsi="Cambria Math" w:cs="Times New Roman"/>
              </w:rPr>
              <m:t>18</m:t>
            </m:r>
          </m:sup>
          <m:e>
            <m:sSub>
              <m:sSubPr>
                <m:ctrlPr>
                  <w:rPr>
                    <w:rFonts w:ascii="Cambria Math" w:hAnsi="Cambria Math" w:cs="Times New Roman"/>
                    <w:i/>
                    <w:iCs/>
                  </w:rPr>
                </m:ctrlPr>
              </m:sSubPr>
              <m:e>
                <m:r>
                  <w:rPr>
                    <w:rFonts w:ascii="Cambria Math" w:hAnsi="Cambria Math" w:cs="Times New Roman"/>
                  </w:rPr>
                  <m:t>(18-x)OOPPC</m:t>
                </m:r>
              </m:e>
              <m:sub>
                <m:r>
                  <w:rPr>
                    <w:rFonts w:ascii="Cambria Math" w:hAnsi="Cambria Math" w:cs="Times New Roman"/>
                  </w:rPr>
                  <m:t>c,t-x</m:t>
                </m:r>
              </m:sub>
            </m:sSub>
          </m:e>
        </m:nary>
      </m:oMath>
    </w:p>
    <w:p w:rsidR="005516D7" w:rsidRPr="006B7734"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For each country </w:t>
      </w:r>
      <w:r w:rsidRPr="0063687C">
        <w:rPr>
          <w:rFonts w:asciiTheme="majorHAnsi" w:hAnsiTheme="majorHAnsi" w:cs="Times New Roman"/>
          <w:i/>
        </w:rPr>
        <w:t>c</w:t>
      </w:r>
      <w:r w:rsidRPr="0063687C">
        <w:rPr>
          <w:rFonts w:asciiTheme="majorHAnsi" w:hAnsiTheme="majorHAnsi" w:cs="Times New Roman"/>
        </w:rPr>
        <w:t>, double-exponential smoothing over 14 prior periods was applied:</w:t>
      </w:r>
    </w:p>
    <w:p w:rsidR="005516D7" w:rsidRPr="0063687C" w:rsidRDefault="005516D7" w:rsidP="005516D7">
      <w:pPr>
        <w:pStyle w:val="ListParagraph"/>
        <w:spacing w:line="480" w:lineRule="auto"/>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11</w:t>
      </w:r>
      <w:r w:rsidRPr="0063687C">
        <w:rPr>
          <w:rFonts w:asciiTheme="majorHAnsi" w:hAnsiTheme="majorHAnsi" w:cs="Times New Roman"/>
        </w:rPr>
        <w:t xml:space="preserve">) </w:t>
      </w:r>
      <w:r w:rsidRPr="0063687C">
        <w:rPr>
          <w:rFonts w:asciiTheme="majorHAnsi" w:hAnsiTheme="majorHAnsi" w:cs="Times New Roman"/>
        </w:rPr>
        <w:tab/>
      </w:r>
      <w:r w:rsidRPr="0063687C">
        <w:rPr>
          <w:rFonts w:asciiTheme="majorHAnsi" w:hAnsiTheme="majorHAnsi" w:cs="Times New Roman"/>
          <w:i/>
        </w:rPr>
        <w:t>S</w:t>
      </w:r>
      <w:r w:rsidRPr="0063687C">
        <w:rPr>
          <w:rFonts w:asciiTheme="majorHAnsi" w:hAnsiTheme="majorHAnsi" w:cs="Times New Roman"/>
          <w:i/>
          <w:vertAlign w:val="subscript"/>
        </w:rPr>
        <w:t>ct</w:t>
      </w:r>
      <w:r w:rsidRPr="0063687C">
        <w:rPr>
          <w:rFonts w:asciiTheme="majorHAnsi" w:hAnsiTheme="majorHAnsi" w:cs="Times New Roman"/>
          <w:vertAlign w:val="superscript"/>
        </w:rPr>
        <w:t>[2]</w:t>
      </w:r>
      <w:r w:rsidRPr="0063687C">
        <w:rPr>
          <w:rFonts w:asciiTheme="majorHAnsi" w:hAnsiTheme="majorHAnsi" w:cs="Times New Roman"/>
        </w:rPr>
        <w:t xml:space="preserve"> = α</w:t>
      </w:r>
      <w:r w:rsidRPr="0063687C">
        <w:rPr>
          <w:rFonts w:asciiTheme="majorHAnsi" w:hAnsiTheme="majorHAnsi" w:cs="Times New Roman"/>
          <w:i/>
        </w:rPr>
        <w:t>S</w:t>
      </w:r>
      <w:r w:rsidRPr="0063687C">
        <w:rPr>
          <w:rFonts w:asciiTheme="majorHAnsi" w:hAnsiTheme="majorHAnsi" w:cs="Times New Roman"/>
          <w:i/>
          <w:vertAlign w:val="subscript"/>
        </w:rPr>
        <w:t>ct</w:t>
      </w:r>
      <w:r w:rsidRPr="0063687C">
        <w:rPr>
          <w:rFonts w:asciiTheme="majorHAnsi" w:hAnsiTheme="majorHAnsi" w:cs="Times New Roman"/>
        </w:rPr>
        <w:t xml:space="preserve"> + (1-α)</w:t>
      </w:r>
      <w:r w:rsidRPr="0063687C">
        <w:rPr>
          <w:rFonts w:asciiTheme="majorHAnsi" w:hAnsiTheme="majorHAnsi" w:cs="Times New Roman"/>
          <w:i/>
        </w:rPr>
        <w:t>S</w:t>
      </w:r>
      <w:r w:rsidRPr="0063687C">
        <w:rPr>
          <w:rFonts w:asciiTheme="majorHAnsi" w:hAnsiTheme="majorHAnsi" w:cs="Times New Roman"/>
          <w:i/>
          <w:vertAlign w:val="subscript"/>
        </w:rPr>
        <w:t>c,t-1</w:t>
      </w:r>
      <w:r w:rsidRPr="0063687C">
        <w:rPr>
          <w:rFonts w:asciiTheme="majorHAnsi" w:hAnsiTheme="majorHAnsi" w:cs="Times New Roman"/>
          <w:vertAlign w:val="superscript"/>
        </w:rPr>
        <w:t>[2]</w:t>
      </w:r>
      <w:r w:rsidRPr="0063687C">
        <w:rPr>
          <w:rFonts w:asciiTheme="majorHAnsi" w:hAnsiTheme="majorHAnsi" w:cs="Times New Roman"/>
        </w:rPr>
        <w:t xml:space="preserve">, </w:t>
      </w:r>
    </w:p>
    <w:p w:rsidR="005516D7" w:rsidRPr="0063687C" w:rsidRDefault="005516D7" w:rsidP="005516D7">
      <w:pPr>
        <w:spacing w:line="480" w:lineRule="auto"/>
        <w:ind w:left="720"/>
        <w:rPr>
          <w:rFonts w:asciiTheme="majorHAnsi" w:hAnsiTheme="majorHAnsi" w:cs="Times New Roman"/>
        </w:rPr>
      </w:pPr>
      <w:r w:rsidRPr="0063687C">
        <w:rPr>
          <w:rFonts w:asciiTheme="majorHAnsi" w:hAnsiTheme="majorHAnsi" w:cs="Times New Roman"/>
        </w:rPr>
        <w:t xml:space="preserve">where </w:t>
      </w:r>
      <w:r w:rsidRPr="0063687C">
        <w:rPr>
          <w:rFonts w:asciiTheme="majorHAnsi" w:hAnsiTheme="majorHAnsi" w:cs="Times New Roman"/>
          <w:i/>
        </w:rPr>
        <w:t>S</w:t>
      </w:r>
      <w:r w:rsidRPr="0063687C">
        <w:rPr>
          <w:rFonts w:asciiTheme="majorHAnsi" w:hAnsiTheme="majorHAnsi" w:cs="Times New Roman"/>
          <w:i/>
          <w:vertAlign w:val="subscript"/>
        </w:rPr>
        <w:t>ct</w:t>
      </w:r>
      <w:r w:rsidRPr="0063687C">
        <w:rPr>
          <w:rFonts w:asciiTheme="majorHAnsi" w:hAnsiTheme="majorHAnsi" w:cs="Times New Roman"/>
          <w:vertAlign w:val="superscript"/>
        </w:rPr>
        <w:t xml:space="preserve">[2] </w:t>
      </w:r>
      <w:r w:rsidRPr="0063687C">
        <w:rPr>
          <w:rFonts w:asciiTheme="majorHAnsi" w:hAnsiTheme="majorHAnsi" w:cs="Times New Roman"/>
        </w:rPr>
        <w:t xml:space="preserve">is the smoothed original series from </w:t>
      </w:r>
      <w:r w:rsidRPr="0063687C">
        <w:rPr>
          <w:rFonts w:asciiTheme="majorHAnsi" w:hAnsiTheme="majorHAnsi" w:cs="Times New Roman"/>
          <w:i/>
        </w:rPr>
        <w:t>S</w:t>
      </w:r>
      <w:r w:rsidRPr="0063687C">
        <w:rPr>
          <w:rFonts w:asciiTheme="majorHAnsi" w:hAnsiTheme="majorHAnsi" w:cs="Times New Roman"/>
          <w:i/>
          <w:vertAlign w:val="subscript"/>
        </w:rPr>
        <w:t>ct</w:t>
      </w:r>
      <w:r w:rsidRPr="0063687C">
        <w:rPr>
          <w:rFonts w:asciiTheme="majorHAnsi" w:hAnsiTheme="majorHAnsi" w:cs="Times New Roman"/>
        </w:rPr>
        <w:t xml:space="preserve"> = α</w:t>
      </w:r>
      <w:r w:rsidRPr="0063687C">
        <w:rPr>
          <w:rFonts w:asciiTheme="majorHAnsi" w:hAnsiTheme="majorHAnsi" w:cs="Times New Roman"/>
          <w:i/>
        </w:rPr>
        <w:t>X</w:t>
      </w:r>
      <w:r w:rsidRPr="0063687C">
        <w:rPr>
          <w:rFonts w:asciiTheme="majorHAnsi" w:hAnsiTheme="majorHAnsi" w:cs="Times New Roman"/>
          <w:i/>
          <w:vertAlign w:val="subscript"/>
        </w:rPr>
        <w:t>ct</w:t>
      </w:r>
      <w:r w:rsidRPr="0063687C">
        <w:rPr>
          <w:rFonts w:asciiTheme="majorHAnsi" w:hAnsiTheme="majorHAnsi" w:cs="Times New Roman"/>
        </w:rPr>
        <w:t xml:space="preserve"> + (1-α)</w:t>
      </w:r>
      <w:r w:rsidRPr="0063687C">
        <w:rPr>
          <w:rFonts w:asciiTheme="majorHAnsi" w:hAnsiTheme="majorHAnsi" w:cs="Times New Roman"/>
          <w:i/>
        </w:rPr>
        <w:t>S</w:t>
      </w:r>
      <w:r w:rsidRPr="0063687C">
        <w:rPr>
          <w:rFonts w:asciiTheme="majorHAnsi" w:hAnsiTheme="majorHAnsi" w:cs="Times New Roman"/>
          <w:i/>
          <w:vertAlign w:val="subscript"/>
        </w:rPr>
        <w:t>c,t-1</w:t>
      </w:r>
      <w:r w:rsidRPr="0063687C">
        <w:rPr>
          <w:rFonts w:asciiTheme="majorHAnsi" w:hAnsiTheme="majorHAnsi" w:cs="Times New Roman"/>
        </w:rPr>
        <w:t xml:space="preserve">, and α is the smoothing parameter estimated by minimizes the in-sample sum-of-squared </w:t>
      </w:r>
      <w:r>
        <w:rPr>
          <w:rFonts w:asciiTheme="majorHAnsi" w:hAnsiTheme="majorHAnsi" w:cs="Times New Roman"/>
        </w:rPr>
        <w:t>predicted</w:t>
      </w:r>
      <w:r w:rsidRPr="0063687C">
        <w:rPr>
          <w:rFonts w:asciiTheme="majorHAnsi" w:hAnsiTheme="majorHAnsi" w:cs="Times New Roman"/>
        </w:rPr>
        <w:t xml:space="preserve"> errors; </w:t>
      </w:r>
      <w:r w:rsidRPr="0063687C">
        <w:rPr>
          <w:rFonts w:asciiTheme="majorHAnsi" w:hAnsiTheme="majorHAnsi" w:cs="Times New Roman"/>
          <w:i/>
        </w:rPr>
        <w:t>X</w:t>
      </w:r>
      <w:r w:rsidRPr="0063687C">
        <w:rPr>
          <w:rFonts w:asciiTheme="majorHAnsi" w:hAnsiTheme="majorHAnsi" w:cs="Times New Roman"/>
          <w:i/>
          <w:vertAlign w:val="subscript"/>
        </w:rPr>
        <w:t>ct</w:t>
      </w:r>
      <w:r w:rsidRPr="0063687C">
        <w:rPr>
          <w:rFonts w:asciiTheme="majorHAnsi" w:hAnsiTheme="majorHAnsi" w:cs="Times New Roman"/>
          <w:vertAlign w:val="subscript"/>
        </w:rPr>
        <w:t xml:space="preserve"> </w:t>
      </w:r>
      <w:r w:rsidRPr="0063687C">
        <w:rPr>
          <w:rFonts w:asciiTheme="majorHAnsi" w:hAnsiTheme="majorHAnsi" w:cs="Times New Roman"/>
        </w:rPr>
        <w:t>is the original series.</w:t>
      </w:r>
    </w:p>
    <w:p w:rsidR="005516D7" w:rsidRPr="006B7734"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For each country </w:t>
      </w:r>
      <w:r w:rsidRPr="0063687C">
        <w:rPr>
          <w:rFonts w:asciiTheme="majorHAnsi" w:hAnsiTheme="majorHAnsi" w:cs="Times New Roman"/>
          <w:i/>
        </w:rPr>
        <w:t>c</w:t>
      </w:r>
      <w:r w:rsidRPr="0063687C">
        <w:rPr>
          <w:rFonts w:asciiTheme="majorHAnsi" w:hAnsiTheme="majorHAnsi" w:cs="Times New Roman"/>
        </w:rPr>
        <w:t xml:space="preserve">, we estimated the following regression where </w:t>
      </w:r>
      <w:r w:rsidRPr="0063687C">
        <w:rPr>
          <w:rFonts w:asciiTheme="majorHAnsi" w:hAnsiTheme="majorHAnsi" w:cs="Times New Roman"/>
          <w:color w:val="000000"/>
        </w:rPr>
        <w:t>β</w:t>
      </w:r>
      <w:r w:rsidRPr="0063687C">
        <w:rPr>
          <w:rFonts w:asciiTheme="majorHAnsi" w:hAnsiTheme="majorHAnsi" w:cs="Times New Roman"/>
        </w:rPr>
        <w:t xml:space="preserve"> represents the yearly difference in OOPPC over the previous year, and ε</w:t>
      </w:r>
      <w:r w:rsidRPr="0063687C">
        <w:rPr>
          <w:rFonts w:asciiTheme="majorHAnsi" w:hAnsiTheme="majorHAnsi" w:cs="Times New Roman"/>
          <w:i/>
          <w:vertAlign w:val="subscript"/>
        </w:rPr>
        <w:t xml:space="preserve">ct </w:t>
      </w:r>
      <w:r w:rsidRPr="0063687C">
        <w:rPr>
          <w:rFonts w:asciiTheme="majorHAnsi" w:hAnsiTheme="majorHAnsi" w:cs="Times New Roman"/>
        </w:rPr>
        <w:t>is a random error term:</w:t>
      </w:r>
    </w:p>
    <w:p w:rsidR="005516D7" w:rsidRPr="006B7734" w:rsidRDefault="005516D7" w:rsidP="005516D7">
      <w:pPr>
        <w:pStyle w:val="ListParagraph"/>
        <w:spacing w:line="480" w:lineRule="auto"/>
        <w:rPr>
          <w:rFonts w:asciiTheme="majorHAnsi" w:hAnsiTheme="majorHAnsi" w:cs="Times New Roman"/>
          <w:i/>
          <w:vertAlign w:val="subscript"/>
        </w:rPr>
      </w:pPr>
      <w:r w:rsidRPr="0063687C">
        <w:rPr>
          <w:rFonts w:asciiTheme="majorHAnsi" w:hAnsiTheme="majorHAnsi" w:cs="Times New Roman"/>
        </w:rPr>
        <w:t xml:space="preserve">(Eq </w:t>
      </w:r>
      <w:r>
        <w:rPr>
          <w:rFonts w:asciiTheme="majorHAnsi" w:hAnsiTheme="majorHAnsi" w:cs="Times New Roman"/>
        </w:rPr>
        <w:t>12</w:t>
      </w:r>
      <w:r w:rsidRPr="0063687C">
        <w:rPr>
          <w:rFonts w:asciiTheme="majorHAnsi" w:hAnsiTheme="majorHAnsi" w:cs="Times New Roman"/>
        </w:rPr>
        <w:t xml:space="preserve">) </w:t>
      </w:r>
      <w:r w:rsidRPr="0063687C">
        <w:rPr>
          <w:rFonts w:asciiTheme="majorHAnsi" w:hAnsiTheme="majorHAnsi" w:cs="Times New Roman"/>
        </w:rPr>
        <w:tab/>
      </w:r>
      <w:r w:rsidRPr="0063687C">
        <w:rPr>
          <w:rFonts w:asciiTheme="majorHAnsi" w:hAnsiTheme="majorHAnsi" w:cs="Times New Roman"/>
          <w:i/>
        </w:rPr>
        <w:t>OOPPC</w:t>
      </w:r>
      <w:r w:rsidRPr="0063687C">
        <w:rPr>
          <w:rFonts w:asciiTheme="majorHAnsi" w:hAnsiTheme="majorHAnsi" w:cs="Times New Roman"/>
          <w:i/>
          <w:vertAlign w:val="subscript"/>
        </w:rPr>
        <w:t>ct</w:t>
      </w:r>
      <w:r w:rsidRPr="0063687C">
        <w:rPr>
          <w:rFonts w:asciiTheme="majorHAnsi" w:hAnsiTheme="majorHAnsi" w:cs="Times New Roman"/>
          <w:vertAlign w:val="subscript"/>
        </w:rPr>
        <w:t xml:space="preserve"> </w:t>
      </w:r>
      <w:r w:rsidRPr="0063687C">
        <w:rPr>
          <w:rFonts w:asciiTheme="majorHAnsi" w:hAnsiTheme="majorHAnsi" w:cs="Times New Roman"/>
        </w:rPr>
        <w:t>= α + β</w:t>
      </w:r>
      <w:r w:rsidRPr="0063687C">
        <w:rPr>
          <w:rFonts w:asciiTheme="majorHAnsi" w:hAnsiTheme="majorHAnsi" w:cs="Times New Roman"/>
          <w:i/>
        </w:rPr>
        <w:t>Year trend</w:t>
      </w:r>
      <w:r w:rsidRPr="0063687C">
        <w:rPr>
          <w:rFonts w:asciiTheme="majorHAnsi" w:hAnsiTheme="majorHAnsi" w:cs="Times New Roman"/>
          <w:i/>
          <w:vertAlign w:val="subscript"/>
        </w:rPr>
        <w:t>ct</w:t>
      </w:r>
      <w:r w:rsidRPr="0063687C">
        <w:rPr>
          <w:rFonts w:asciiTheme="majorHAnsi" w:hAnsiTheme="majorHAnsi" w:cs="Times New Roman"/>
        </w:rPr>
        <w:t xml:space="preserve"> + ε</w:t>
      </w:r>
      <w:r w:rsidRPr="0063687C">
        <w:rPr>
          <w:rFonts w:asciiTheme="majorHAnsi" w:hAnsiTheme="majorHAnsi" w:cs="Times New Roman"/>
          <w:i/>
          <w:vertAlign w:val="subscript"/>
        </w:rPr>
        <w:t>ct</w:t>
      </w:r>
    </w:p>
    <w:p w:rsidR="005516D7" w:rsidRPr="0063687C"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For each country </w:t>
      </w:r>
      <w:r w:rsidRPr="0063687C">
        <w:rPr>
          <w:rFonts w:asciiTheme="majorHAnsi" w:hAnsiTheme="majorHAnsi" w:cs="Times New Roman"/>
          <w:i/>
        </w:rPr>
        <w:t>c</w:t>
      </w:r>
      <w:r w:rsidRPr="0063687C">
        <w:rPr>
          <w:rFonts w:asciiTheme="majorHAnsi" w:hAnsiTheme="majorHAnsi" w:cs="Times New Roman"/>
        </w:rPr>
        <w:t xml:space="preserve">, we estimated the following regression that additionally accounts for non-linearities in the time trend of OOP: </w:t>
      </w:r>
    </w:p>
    <w:p w:rsidR="005516D7" w:rsidRPr="0063687C" w:rsidRDefault="005516D7" w:rsidP="005516D7">
      <w:pPr>
        <w:pStyle w:val="ListParagraph"/>
        <w:spacing w:line="480" w:lineRule="auto"/>
        <w:rPr>
          <w:rFonts w:asciiTheme="majorHAnsi" w:hAnsiTheme="majorHAnsi" w:cs="Times New Roman"/>
        </w:rPr>
      </w:pPr>
    </w:p>
    <w:p w:rsidR="005516D7" w:rsidRPr="0063687C" w:rsidRDefault="005516D7" w:rsidP="005516D7">
      <w:pPr>
        <w:pStyle w:val="ListParagraph"/>
        <w:spacing w:line="480" w:lineRule="auto"/>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13</w:t>
      </w:r>
      <w:r w:rsidRPr="0063687C">
        <w:rPr>
          <w:rFonts w:asciiTheme="majorHAnsi" w:hAnsiTheme="majorHAnsi" w:cs="Times New Roman"/>
        </w:rPr>
        <w:t xml:space="preserve">) </w:t>
      </w:r>
      <w:r w:rsidRPr="0063687C">
        <w:rPr>
          <w:rFonts w:asciiTheme="majorHAnsi" w:hAnsiTheme="majorHAnsi" w:cs="Times New Roman"/>
        </w:rPr>
        <w:tab/>
      </w:r>
      <w:r w:rsidRPr="0063687C">
        <w:rPr>
          <w:rFonts w:asciiTheme="majorHAnsi" w:hAnsiTheme="majorHAnsi" w:cs="Times New Roman"/>
          <w:i/>
        </w:rPr>
        <w:t>OOPPC</w:t>
      </w:r>
      <w:r w:rsidRPr="0063687C">
        <w:rPr>
          <w:rFonts w:asciiTheme="majorHAnsi" w:hAnsiTheme="majorHAnsi" w:cs="Times New Roman"/>
          <w:i/>
          <w:vertAlign w:val="subscript"/>
        </w:rPr>
        <w:t>ct</w:t>
      </w:r>
      <w:r w:rsidRPr="0063687C">
        <w:rPr>
          <w:rFonts w:asciiTheme="majorHAnsi" w:hAnsiTheme="majorHAnsi" w:cs="Times New Roman"/>
          <w:vertAlign w:val="subscript"/>
        </w:rPr>
        <w:t xml:space="preserve"> </w:t>
      </w:r>
      <w:r w:rsidRPr="0063687C">
        <w:rPr>
          <w:rFonts w:asciiTheme="majorHAnsi" w:hAnsiTheme="majorHAnsi" w:cs="Times New Roman"/>
        </w:rPr>
        <w:t>= α + β</w:t>
      </w:r>
      <w:r w:rsidRPr="0063687C">
        <w:rPr>
          <w:rFonts w:asciiTheme="majorHAnsi" w:hAnsiTheme="majorHAnsi" w:cs="Times New Roman"/>
          <w:vertAlign w:val="subscript"/>
        </w:rPr>
        <w:t>1</w:t>
      </w:r>
      <w:r w:rsidRPr="0063687C">
        <w:rPr>
          <w:rFonts w:asciiTheme="majorHAnsi" w:hAnsiTheme="majorHAnsi" w:cs="Times New Roman"/>
          <w:i/>
        </w:rPr>
        <w:t>Year trend</w:t>
      </w:r>
      <w:r w:rsidRPr="0063687C">
        <w:rPr>
          <w:rFonts w:asciiTheme="majorHAnsi" w:hAnsiTheme="majorHAnsi" w:cs="Times New Roman"/>
          <w:i/>
          <w:vertAlign w:val="subscript"/>
        </w:rPr>
        <w:t>ct</w:t>
      </w:r>
      <w:r w:rsidRPr="0063687C">
        <w:rPr>
          <w:rFonts w:asciiTheme="majorHAnsi" w:hAnsiTheme="majorHAnsi" w:cs="Times New Roman"/>
        </w:rPr>
        <w:t xml:space="preserve"> + β</w:t>
      </w:r>
      <w:r w:rsidRPr="0063687C">
        <w:rPr>
          <w:rFonts w:asciiTheme="majorHAnsi" w:hAnsiTheme="majorHAnsi" w:cs="Times New Roman"/>
          <w:vertAlign w:val="subscript"/>
        </w:rPr>
        <w:t>2</w:t>
      </w:r>
      <w:r w:rsidRPr="0063687C">
        <w:rPr>
          <w:rFonts w:asciiTheme="majorHAnsi" w:hAnsiTheme="majorHAnsi" w:cs="Times New Roman"/>
        </w:rPr>
        <w:t>(</w:t>
      </w:r>
      <w:r w:rsidRPr="0063687C">
        <w:rPr>
          <w:rFonts w:asciiTheme="majorHAnsi" w:hAnsiTheme="majorHAnsi" w:cs="Times New Roman"/>
          <w:i/>
        </w:rPr>
        <w:t>Year trend</w:t>
      </w:r>
      <w:r w:rsidRPr="0063687C">
        <w:rPr>
          <w:rFonts w:asciiTheme="majorHAnsi" w:hAnsiTheme="majorHAnsi" w:cs="Times New Roman"/>
          <w:i/>
          <w:vertAlign w:val="subscript"/>
        </w:rPr>
        <w:t>ct</w:t>
      </w:r>
      <w:r w:rsidRPr="0063687C">
        <w:rPr>
          <w:rFonts w:asciiTheme="majorHAnsi" w:hAnsiTheme="majorHAnsi" w:cs="Times New Roman"/>
          <w:i/>
        </w:rPr>
        <w:t>)</w:t>
      </w:r>
      <w:r w:rsidRPr="0063687C">
        <w:rPr>
          <w:rFonts w:asciiTheme="majorHAnsi" w:hAnsiTheme="majorHAnsi" w:cs="Times New Roman"/>
          <w:vertAlign w:val="superscript"/>
        </w:rPr>
        <w:t>2</w:t>
      </w:r>
      <w:r w:rsidRPr="0063687C">
        <w:rPr>
          <w:rFonts w:asciiTheme="majorHAnsi" w:hAnsiTheme="majorHAnsi" w:cs="Times New Roman"/>
        </w:rPr>
        <w:t xml:space="preserve"> + ε</w:t>
      </w:r>
      <w:r w:rsidRPr="0063687C">
        <w:rPr>
          <w:rFonts w:asciiTheme="majorHAnsi" w:hAnsiTheme="majorHAnsi" w:cs="Times New Roman"/>
          <w:i/>
          <w:vertAlign w:val="subscript"/>
        </w:rPr>
        <w:t>ct</w:t>
      </w:r>
    </w:p>
    <w:p w:rsidR="005516D7" w:rsidRPr="006B7734"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For all countries </w:t>
      </w:r>
      <w:r w:rsidRPr="0063687C">
        <w:rPr>
          <w:rFonts w:asciiTheme="majorHAnsi" w:hAnsiTheme="majorHAnsi" w:cs="Times New Roman"/>
          <w:i/>
        </w:rPr>
        <w:t>c</w:t>
      </w:r>
      <w:r w:rsidRPr="0063687C">
        <w:rPr>
          <w:rFonts w:asciiTheme="majorHAnsi" w:hAnsiTheme="majorHAnsi" w:cs="Times New Roman"/>
        </w:rPr>
        <w:t>, we estimated the following pooled regression that includes country fixed effects (γ</w:t>
      </w:r>
      <w:r w:rsidRPr="0063687C">
        <w:rPr>
          <w:rFonts w:asciiTheme="majorHAnsi" w:hAnsiTheme="majorHAnsi" w:cs="Times New Roman"/>
          <w:vertAlign w:val="subscript"/>
        </w:rPr>
        <w:t>c</w:t>
      </w:r>
      <w:r w:rsidRPr="0063687C">
        <w:rPr>
          <w:rFonts w:asciiTheme="majorHAnsi" w:hAnsiTheme="majorHAnsi" w:cs="Times New Roman"/>
        </w:rPr>
        <w:t xml:space="preserve">) as well as a flexible time trend: </w:t>
      </w:r>
    </w:p>
    <w:p w:rsidR="005516D7" w:rsidRPr="0063687C" w:rsidRDefault="005516D7" w:rsidP="005516D7">
      <w:pPr>
        <w:pStyle w:val="ListParagraph"/>
        <w:spacing w:line="480" w:lineRule="auto"/>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14</w:t>
      </w:r>
      <w:r w:rsidRPr="0063687C">
        <w:rPr>
          <w:rFonts w:asciiTheme="majorHAnsi" w:hAnsiTheme="majorHAnsi" w:cs="Times New Roman"/>
        </w:rPr>
        <w:t>)</w:t>
      </w:r>
      <w:r w:rsidRPr="0063687C">
        <w:rPr>
          <w:rFonts w:asciiTheme="majorHAnsi" w:hAnsiTheme="majorHAnsi" w:cs="Times New Roman"/>
        </w:rPr>
        <w:tab/>
      </w:r>
      <w:r w:rsidRPr="0063687C">
        <w:rPr>
          <w:rFonts w:asciiTheme="majorHAnsi" w:hAnsiTheme="majorHAnsi" w:cs="Times New Roman"/>
          <w:i/>
        </w:rPr>
        <w:t>OOPPC</w:t>
      </w:r>
      <w:r w:rsidRPr="0063687C">
        <w:rPr>
          <w:rFonts w:asciiTheme="majorHAnsi" w:hAnsiTheme="majorHAnsi" w:cs="Times New Roman"/>
          <w:i/>
          <w:vertAlign w:val="subscript"/>
        </w:rPr>
        <w:t xml:space="preserve">ct </w:t>
      </w:r>
      <w:r w:rsidRPr="0063687C">
        <w:rPr>
          <w:rFonts w:asciiTheme="majorHAnsi" w:hAnsiTheme="majorHAnsi" w:cs="Times New Roman"/>
        </w:rPr>
        <w:t>= α</w:t>
      </w:r>
      <w:r w:rsidRPr="0063687C">
        <w:rPr>
          <w:rFonts w:asciiTheme="majorHAnsi" w:hAnsiTheme="majorHAnsi" w:cs="Times New Roman"/>
          <w:vertAlign w:val="subscript"/>
        </w:rPr>
        <w:t>c</w:t>
      </w:r>
      <w:r w:rsidRPr="0063687C">
        <w:rPr>
          <w:rFonts w:asciiTheme="majorHAnsi" w:hAnsiTheme="majorHAnsi" w:cs="Times New Roman"/>
        </w:rPr>
        <w:t xml:space="preserve"> + β</w:t>
      </w:r>
      <w:r w:rsidRPr="0063687C">
        <w:rPr>
          <w:rFonts w:asciiTheme="majorHAnsi" w:hAnsiTheme="majorHAnsi" w:cs="Times New Roman"/>
          <w:vertAlign w:val="subscript"/>
        </w:rPr>
        <w:t>1</w:t>
      </w:r>
      <w:r w:rsidRPr="0063687C">
        <w:rPr>
          <w:rFonts w:asciiTheme="majorHAnsi" w:hAnsiTheme="majorHAnsi" w:cs="Times New Roman"/>
          <w:i/>
        </w:rPr>
        <w:t>Year trend</w:t>
      </w:r>
      <w:r w:rsidRPr="0063687C">
        <w:rPr>
          <w:rFonts w:asciiTheme="majorHAnsi" w:hAnsiTheme="majorHAnsi" w:cs="Times New Roman"/>
          <w:i/>
          <w:vertAlign w:val="subscript"/>
        </w:rPr>
        <w:t>ct</w:t>
      </w:r>
      <w:r w:rsidRPr="0063687C">
        <w:rPr>
          <w:rFonts w:asciiTheme="majorHAnsi" w:hAnsiTheme="majorHAnsi" w:cs="Times New Roman"/>
        </w:rPr>
        <w:t xml:space="preserve"> + β</w:t>
      </w:r>
      <w:r w:rsidRPr="0063687C">
        <w:rPr>
          <w:rFonts w:asciiTheme="majorHAnsi" w:hAnsiTheme="majorHAnsi" w:cs="Times New Roman"/>
          <w:vertAlign w:val="subscript"/>
        </w:rPr>
        <w:t>2</w:t>
      </w:r>
      <w:r w:rsidRPr="0063687C">
        <w:rPr>
          <w:rFonts w:asciiTheme="majorHAnsi" w:hAnsiTheme="majorHAnsi" w:cs="Times New Roman"/>
        </w:rPr>
        <w:t>(</w:t>
      </w:r>
      <w:r w:rsidRPr="0063687C">
        <w:rPr>
          <w:rFonts w:asciiTheme="majorHAnsi" w:hAnsiTheme="majorHAnsi" w:cs="Times New Roman"/>
          <w:i/>
        </w:rPr>
        <w:t>Year trend</w:t>
      </w:r>
      <w:r w:rsidRPr="0063687C">
        <w:rPr>
          <w:rFonts w:asciiTheme="majorHAnsi" w:hAnsiTheme="majorHAnsi" w:cs="Times New Roman"/>
          <w:i/>
          <w:vertAlign w:val="subscript"/>
        </w:rPr>
        <w:t>ct</w:t>
      </w:r>
      <w:r w:rsidRPr="0063687C">
        <w:rPr>
          <w:rFonts w:asciiTheme="majorHAnsi" w:hAnsiTheme="majorHAnsi" w:cs="Times New Roman"/>
        </w:rPr>
        <w:t>)</w:t>
      </w:r>
      <w:r w:rsidRPr="0063687C">
        <w:rPr>
          <w:rFonts w:asciiTheme="majorHAnsi" w:hAnsiTheme="majorHAnsi" w:cs="Times New Roman"/>
          <w:vertAlign w:val="superscript"/>
        </w:rPr>
        <w:t>2</w:t>
      </w:r>
      <w:r w:rsidRPr="0063687C">
        <w:rPr>
          <w:rFonts w:asciiTheme="majorHAnsi" w:hAnsiTheme="majorHAnsi" w:cs="Times New Roman"/>
        </w:rPr>
        <w:t xml:space="preserve"> + γ</w:t>
      </w:r>
      <w:r w:rsidRPr="0063687C">
        <w:rPr>
          <w:rFonts w:asciiTheme="majorHAnsi" w:hAnsiTheme="majorHAnsi" w:cs="Times New Roman"/>
          <w:vertAlign w:val="subscript"/>
        </w:rPr>
        <w:t xml:space="preserve">c </w:t>
      </w:r>
      <w:r w:rsidRPr="0063687C">
        <w:rPr>
          <w:rFonts w:asciiTheme="majorHAnsi" w:hAnsiTheme="majorHAnsi" w:cs="Times New Roman"/>
        </w:rPr>
        <w:t>+ ε</w:t>
      </w:r>
      <w:r w:rsidRPr="0063687C">
        <w:rPr>
          <w:rFonts w:asciiTheme="majorHAnsi" w:hAnsiTheme="majorHAnsi" w:cs="Times New Roman"/>
          <w:i/>
          <w:vertAlign w:val="subscript"/>
        </w:rPr>
        <w:t>ct</w:t>
      </w:r>
    </w:p>
    <w:p w:rsidR="005516D7" w:rsidRPr="006B7734"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For all countries </w:t>
      </w:r>
      <w:r w:rsidRPr="0063687C">
        <w:rPr>
          <w:rFonts w:asciiTheme="majorHAnsi" w:hAnsiTheme="majorHAnsi" w:cs="Times New Roman"/>
          <w:i/>
        </w:rPr>
        <w:t>c</w:t>
      </w:r>
      <w:r w:rsidRPr="0063687C">
        <w:rPr>
          <w:rFonts w:asciiTheme="majorHAnsi" w:hAnsiTheme="majorHAnsi" w:cs="Times New Roman"/>
        </w:rPr>
        <w:t>, we estimated the following pooled regression that includes three dummy indicators for World Bank (W</w:t>
      </w:r>
      <w:r w:rsidRPr="0063687C">
        <w:rPr>
          <w:rFonts w:asciiTheme="majorHAnsi" w:hAnsiTheme="majorHAnsi" w:cs="Times New Roman"/>
          <w:vertAlign w:val="subscript"/>
        </w:rPr>
        <w:t>r</w:t>
      </w:r>
      <w:r w:rsidRPr="0063687C">
        <w:rPr>
          <w:rFonts w:asciiTheme="majorHAnsi" w:hAnsiTheme="majorHAnsi" w:cs="Times New Roman"/>
        </w:rPr>
        <w:t xml:space="preserve">) income group classifications as well as a flexible time trend: </w:t>
      </w:r>
    </w:p>
    <w:p w:rsidR="005516D7" w:rsidRPr="006B7734" w:rsidRDefault="005516D7" w:rsidP="005516D7">
      <w:pPr>
        <w:pStyle w:val="ListParagraph"/>
        <w:spacing w:line="480" w:lineRule="auto"/>
        <w:rPr>
          <w:rFonts w:asciiTheme="majorHAnsi" w:hAnsiTheme="majorHAnsi" w:cs="Times New Roman"/>
        </w:rPr>
      </w:pPr>
      <w:r w:rsidRPr="0063687C">
        <w:rPr>
          <w:rFonts w:asciiTheme="majorHAnsi" w:hAnsiTheme="majorHAnsi" w:cs="Times New Roman"/>
        </w:rPr>
        <w:t>(Eq 1</w:t>
      </w:r>
      <w:r>
        <w:rPr>
          <w:rFonts w:asciiTheme="majorHAnsi" w:hAnsiTheme="majorHAnsi" w:cs="Times New Roman"/>
        </w:rPr>
        <w:t>5</w:t>
      </w:r>
      <w:r w:rsidRPr="0063687C">
        <w:rPr>
          <w:rFonts w:asciiTheme="majorHAnsi" w:hAnsiTheme="majorHAnsi" w:cs="Times New Roman"/>
        </w:rPr>
        <w:t>)</w:t>
      </w:r>
      <w:r w:rsidRPr="0063687C">
        <w:rPr>
          <w:rFonts w:asciiTheme="majorHAnsi" w:hAnsiTheme="majorHAnsi" w:cs="Times New Roman"/>
        </w:rPr>
        <w:tab/>
        <w:t>OOPPC</w:t>
      </w:r>
      <w:r w:rsidRPr="0063687C">
        <w:rPr>
          <w:rFonts w:asciiTheme="majorHAnsi" w:hAnsiTheme="majorHAnsi" w:cs="Times New Roman"/>
          <w:vertAlign w:val="subscript"/>
        </w:rPr>
        <w:t xml:space="preserve">crt </w:t>
      </w:r>
      <w:r w:rsidRPr="0063687C">
        <w:rPr>
          <w:rFonts w:asciiTheme="majorHAnsi" w:hAnsiTheme="majorHAnsi" w:cs="Times New Roman"/>
        </w:rPr>
        <w:t>= α</w:t>
      </w:r>
      <w:r w:rsidRPr="0063687C">
        <w:rPr>
          <w:rFonts w:asciiTheme="majorHAnsi" w:hAnsiTheme="majorHAnsi" w:cs="Times New Roman"/>
          <w:vertAlign w:val="subscript"/>
        </w:rPr>
        <w:t>r</w:t>
      </w:r>
      <w:r w:rsidRPr="0063687C">
        <w:rPr>
          <w:rFonts w:asciiTheme="majorHAnsi" w:hAnsiTheme="majorHAnsi" w:cs="Times New Roman"/>
        </w:rPr>
        <w:t xml:space="preserve"> + β</w:t>
      </w:r>
      <w:r w:rsidRPr="0063687C">
        <w:rPr>
          <w:rFonts w:asciiTheme="majorHAnsi" w:hAnsiTheme="majorHAnsi" w:cs="Times New Roman"/>
          <w:vertAlign w:val="subscript"/>
        </w:rPr>
        <w:t>1</w:t>
      </w:r>
      <w:r w:rsidRPr="0063687C">
        <w:rPr>
          <w:rFonts w:asciiTheme="majorHAnsi" w:hAnsiTheme="majorHAnsi" w:cs="Times New Roman"/>
          <w:i/>
        </w:rPr>
        <w:t>Year trend</w:t>
      </w:r>
      <w:r w:rsidRPr="0063687C">
        <w:rPr>
          <w:rFonts w:asciiTheme="majorHAnsi" w:hAnsiTheme="majorHAnsi" w:cs="Times New Roman"/>
          <w:i/>
          <w:vertAlign w:val="subscript"/>
        </w:rPr>
        <w:t>crt</w:t>
      </w:r>
      <w:r w:rsidRPr="0063687C">
        <w:rPr>
          <w:rFonts w:asciiTheme="majorHAnsi" w:hAnsiTheme="majorHAnsi" w:cs="Times New Roman"/>
        </w:rPr>
        <w:t xml:space="preserve"> + β</w:t>
      </w:r>
      <w:r w:rsidRPr="0063687C">
        <w:rPr>
          <w:rFonts w:asciiTheme="majorHAnsi" w:hAnsiTheme="majorHAnsi" w:cs="Times New Roman"/>
          <w:vertAlign w:val="subscript"/>
        </w:rPr>
        <w:t>2</w:t>
      </w:r>
      <w:r w:rsidRPr="0063687C">
        <w:rPr>
          <w:rFonts w:asciiTheme="majorHAnsi" w:hAnsiTheme="majorHAnsi" w:cs="Times New Roman"/>
        </w:rPr>
        <w:t>(</w:t>
      </w:r>
      <w:r w:rsidRPr="0063687C">
        <w:rPr>
          <w:rFonts w:asciiTheme="majorHAnsi" w:hAnsiTheme="majorHAnsi" w:cs="Times New Roman"/>
          <w:i/>
        </w:rPr>
        <w:t>Year trend</w:t>
      </w:r>
      <w:r w:rsidRPr="0063687C">
        <w:rPr>
          <w:rFonts w:asciiTheme="majorHAnsi" w:hAnsiTheme="majorHAnsi" w:cs="Times New Roman"/>
          <w:i/>
          <w:vertAlign w:val="subscript"/>
        </w:rPr>
        <w:t>crt</w:t>
      </w:r>
      <w:r w:rsidRPr="0063687C">
        <w:rPr>
          <w:rFonts w:asciiTheme="majorHAnsi" w:hAnsiTheme="majorHAnsi" w:cs="Times New Roman"/>
        </w:rPr>
        <w:t>)</w:t>
      </w:r>
      <w:r w:rsidRPr="0063687C">
        <w:rPr>
          <w:rFonts w:asciiTheme="majorHAnsi" w:hAnsiTheme="majorHAnsi" w:cs="Times New Roman"/>
          <w:vertAlign w:val="superscript"/>
        </w:rPr>
        <w:t>2</w:t>
      </w:r>
      <w:r w:rsidRPr="0063687C">
        <w:rPr>
          <w:rFonts w:asciiTheme="majorHAnsi" w:hAnsiTheme="majorHAnsi" w:cs="Times New Roman"/>
        </w:rPr>
        <w:t xml:space="preserve"> + </w:t>
      </w:r>
      <w:r w:rsidRPr="0063687C">
        <w:rPr>
          <w:rFonts w:asciiTheme="majorHAnsi" w:hAnsiTheme="majorHAnsi" w:cs="Times New Roman"/>
          <w:noProof/>
          <w:position w:val="-28"/>
        </w:rPr>
        <w:drawing>
          <wp:inline distT="0" distB="0" distL="0" distR="0" wp14:anchorId="75E3F43A" wp14:editId="451D4FBA">
            <wp:extent cx="398145" cy="4318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 cy="431800"/>
                    </a:xfrm>
                    <a:prstGeom prst="rect">
                      <a:avLst/>
                    </a:prstGeom>
                    <a:noFill/>
                    <a:ln>
                      <a:noFill/>
                    </a:ln>
                  </pic:spPr>
                </pic:pic>
              </a:graphicData>
            </a:graphic>
          </wp:inline>
        </w:drawing>
      </w:r>
      <w:r w:rsidRPr="0063687C">
        <w:rPr>
          <w:rFonts w:asciiTheme="majorHAnsi" w:hAnsiTheme="majorHAnsi" w:cs="Times New Roman"/>
        </w:rPr>
        <w:t>δ</w:t>
      </w:r>
      <w:r w:rsidRPr="0063687C">
        <w:rPr>
          <w:rFonts w:asciiTheme="majorHAnsi" w:hAnsiTheme="majorHAnsi" w:cs="Times New Roman"/>
          <w:vertAlign w:val="subscript"/>
        </w:rPr>
        <w:t>r</w:t>
      </w:r>
      <w:r w:rsidRPr="0063687C">
        <w:rPr>
          <w:rFonts w:asciiTheme="majorHAnsi" w:hAnsiTheme="majorHAnsi" w:cs="Times New Roman"/>
        </w:rPr>
        <w:t xml:space="preserve"> + ε</w:t>
      </w:r>
      <w:r w:rsidRPr="0063687C">
        <w:rPr>
          <w:rFonts w:asciiTheme="majorHAnsi" w:hAnsiTheme="majorHAnsi" w:cs="Times New Roman"/>
          <w:i/>
          <w:vertAlign w:val="subscript"/>
        </w:rPr>
        <w:t>ct</w:t>
      </w:r>
    </w:p>
    <w:p w:rsidR="005516D7" w:rsidRPr="0063687C" w:rsidRDefault="005516D7" w:rsidP="005516D7">
      <w:pPr>
        <w:pStyle w:val="ListParagraph"/>
        <w:numPr>
          <w:ilvl w:val="0"/>
          <w:numId w:val="4"/>
        </w:numPr>
        <w:spacing w:line="480" w:lineRule="auto"/>
        <w:rPr>
          <w:rFonts w:asciiTheme="majorHAnsi" w:hAnsiTheme="majorHAnsi" w:cs="Times New Roman"/>
        </w:rPr>
      </w:pPr>
      <w:r w:rsidRPr="0063687C">
        <w:rPr>
          <w:rFonts w:asciiTheme="majorHAnsi" w:hAnsiTheme="majorHAnsi" w:cs="Times New Roman"/>
        </w:rPr>
        <w:t xml:space="preserve">The same regression for Equation </w:t>
      </w:r>
      <w:r>
        <w:rPr>
          <w:rFonts w:asciiTheme="majorHAnsi" w:hAnsiTheme="majorHAnsi" w:cs="Times New Roman"/>
        </w:rPr>
        <w:t>9</w:t>
      </w:r>
      <w:r w:rsidRPr="0063687C">
        <w:rPr>
          <w:rFonts w:asciiTheme="majorHAnsi" w:hAnsiTheme="majorHAnsi" w:cs="Times New Roman"/>
        </w:rPr>
        <w:t>, but correcting for AR1 serial correlation.</w:t>
      </w:r>
    </w:p>
    <w:p w:rsidR="005516D7" w:rsidRPr="0063687C" w:rsidRDefault="005516D7" w:rsidP="005516D7">
      <w:pPr>
        <w:spacing w:line="480" w:lineRule="auto"/>
        <w:rPr>
          <w:rFonts w:asciiTheme="majorHAnsi" w:hAnsiTheme="majorHAnsi" w:cs="Times New Roman"/>
        </w:rPr>
      </w:pPr>
    </w:p>
    <w:p w:rsidR="005516D7" w:rsidRDefault="005516D7" w:rsidP="005516D7">
      <w:pPr>
        <w:spacing w:line="480" w:lineRule="auto"/>
        <w:rPr>
          <w:rFonts w:asciiTheme="majorHAnsi" w:hAnsiTheme="majorHAnsi" w:cs="Times New Roman"/>
        </w:rPr>
      </w:pPr>
      <w:r w:rsidRPr="0063687C">
        <w:rPr>
          <w:rFonts w:asciiTheme="majorHAnsi" w:hAnsiTheme="majorHAnsi" w:cs="Times New Roman"/>
        </w:rPr>
        <w:t xml:space="preserve">The estimated parameters were then applied to the testing dataset to obtain predicted values for 2009 through 2013. These predicted values were then compared with actual data in 2009-2013. To assess the fit of each model, we again calculate the mean square root of the squared error, displayed in Table </w:t>
      </w:r>
      <w:r>
        <w:rPr>
          <w:rFonts w:asciiTheme="majorHAnsi" w:hAnsiTheme="majorHAnsi" w:cs="Times New Roman"/>
        </w:rPr>
        <w:t>A4</w:t>
      </w:r>
      <w:r w:rsidRPr="0063687C">
        <w:rPr>
          <w:rFonts w:asciiTheme="majorHAnsi" w:hAnsiTheme="majorHAnsi" w:cs="Times New Roman"/>
        </w:rPr>
        <w:t>.</w:t>
      </w:r>
    </w:p>
    <w:p w:rsidR="005516D7" w:rsidRPr="0063687C" w:rsidRDefault="005516D7" w:rsidP="005516D7">
      <w:pPr>
        <w:spacing w:line="480" w:lineRule="auto"/>
        <w:ind w:firstLine="720"/>
        <w:rPr>
          <w:rFonts w:asciiTheme="majorHAnsi" w:hAnsiTheme="majorHAnsi" w:cs="Times New Roman"/>
        </w:rPr>
      </w:pPr>
      <w:r w:rsidRPr="0063687C">
        <w:rPr>
          <w:rFonts w:asciiTheme="majorHAnsi" w:hAnsiTheme="majorHAnsi" w:cs="Times New Roman"/>
        </w:rPr>
        <w:t xml:space="preserve">(Eq </w:t>
      </w:r>
      <w:r>
        <w:rPr>
          <w:rFonts w:asciiTheme="majorHAnsi" w:hAnsiTheme="majorHAnsi" w:cs="Times New Roman"/>
        </w:rPr>
        <w:t>16</w:t>
      </w:r>
      <w:r w:rsidRPr="0063687C">
        <w:rPr>
          <w:rFonts w:asciiTheme="majorHAnsi" w:hAnsiTheme="majorHAnsi" w:cs="Times New Roman"/>
        </w:rPr>
        <w:t xml:space="preserve">) </w:t>
      </w:r>
      <w:r w:rsidRPr="0063687C">
        <w:rPr>
          <w:rFonts w:asciiTheme="majorHAnsi" w:hAnsiTheme="majorHAnsi" w:cs="Times New Roman"/>
        </w:rPr>
        <w:tab/>
      </w:r>
      <w:r w:rsidRPr="000C4FE2">
        <w:rPr>
          <w:rFonts w:asciiTheme="majorHAnsi" w:hAnsiTheme="majorHAnsi" w:cs="Times New Roman"/>
        </w:rPr>
        <w:t xml:space="preserve">Mean error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CT</m:t>
            </m:r>
          </m:den>
        </m:f>
        <m:nary>
          <m:naryPr>
            <m:chr m:val="∑"/>
            <m:limLoc m:val="undOvr"/>
            <m:subHide m:val="1"/>
            <m:supHide m:val="1"/>
            <m:ctrlPr>
              <w:rPr>
                <w:rFonts w:ascii="Cambria Math" w:hAnsi="Cambria Math" w:cs="Times New Roman"/>
                <w:i/>
              </w:rPr>
            </m:ctrlPr>
          </m:naryPr>
          <m:sub/>
          <m:sup/>
          <m:e>
            <m:rad>
              <m:radPr>
                <m:degHide m:val="1"/>
                <m:ctrlPr>
                  <w:rPr>
                    <w:rFonts w:ascii="Cambria Math" w:hAnsi="Cambria Math" w:cs="Times New Roman"/>
                    <w:i/>
                  </w:rPr>
                </m:ctrlPr>
              </m:radPr>
              <m:deg/>
              <m:e>
                <m:sSup>
                  <m:sSupPr>
                    <m:ctrlPr>
                      <w:rPr>
                        <w:rFonts w:ascii="Cambria Math" w:hAnsi="Cambria Math" w:cs="Times New Roman"/>
                        <w:i/>
                      </w:rPr>
                    </m:ctrlPr>
                  </m:sSupPr>
                  <m:e>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(OOPPC</m:t>
                            </m:r>
                          </m:e>
                          <m:sub>
                            <m:r>
                              <w:rPr>
                                <w:rFonts w:ascii="Cambria Math" w:hAnsi="Cambria Math" w:cs="Times New Roman"/>
                              </w:rPr>
                              <m:t>ct</m:t>
                            </m:r>
                          </m:sub>
                        </m:sSub>
                      </m:e>
                    </m:ac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OOPPC</m:t>
                        </m:r>
                      </m:e>
                      <m:sub>
                        <m:r>
                          <w:rPr>
                            <w:rFonts w:ascii="Cambria Math" w:hAnsi="Cambria Math" w:cs="Times New Roman"/>
                          </w:rPr>
                          <m:t>ct</m:t>
                        </m:r>
                      </m:sub>
                    </m:sSub>
                    <m:r>
                      <w:rPr>
                        <w:rFonts w:ascii="Cambria Math" w:hAnsi="Cambria Math" w:cs="Times New Roman"/>
                      </w:rPr>
                      <m:t>)</m:t>
                    </m:r>
                  </m:e>
                  <m:sup>
                    <m:r>
                      <w:rPr>
                        <w:rFonts w:ascii="Cambria Math" w:hAnsi="Cambria Math" w:cs="Times New Roman"/>
                      </w:rPr>
                      <m:t>2</m:t>
                    </m:r>
                  </m:sup>
                </m:sSup>
              </m:e>
            </m:rad>
          </m:e>
        </m:nary>
      </m:oMath>
    </w:p>
    <w:p w:rsidR="005516D7" w:rsidRPr="0063687C" w:rsidRDefault="005516D7" w:rsidP="005516D7">
      <w:pPr>
        <w:rPr>
          <w:rFonts w:asciiTheme="majorHAnsi" w:hAnsiTheme="majorHAnsi" w:cs="Times New Roman"/>
        </w:rPr>
      </w:pPr>
    </w:p>
    <w:tbl>
      <w:tblPr>
        <w:tblStyle w:val="LightLis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278"/>
        <w:gridCol w:w="1350"/>
        <w:gridCol w:w="1800"/>
        <w:gridCol w:w="3420"/>
      </w:tblGrid>
      <w:tr w:rsidR="005516D7" w:rsidRPr="0063687C" w:rsidTr="002605E3">
        <w:tc>
          <w:tcPr>
            <w:tcW w:w="7848" w:type="dxa"/>
            <w:gridSpan w:val="4"/>
          </w:tcPr>
          <w:p w:rsidR="005516D7" w:rsidRPr="00EE0139" w:rsidRDefault="005516D7" w:rsidP="002605E3">
            <w:pPr>
              <w:rPr>
                <w:rFonts w:asciiTheme="majorHAnsi" w:eastAsia="Times New Roman" w:hAnsiTheme="majorHAnsi" w:cs="Times New Roman"/>
                <w:b/>
                <w:lang w:eastAsia="en-GB"/>
              </w:rPr>
            </w:pPr>
            <w:r w:rsidRPr="00EE0139">
              <w:rPr>
                <w:rFonts w:asciiTheme="majorHAnsi" w:eastAsia="Times New Roman" w:hAnsiTheme="majorHAnsi" w:cs="Times New Roman"/>
                <w:b/>
                <w:lang w:eastAsia="en-GB"/>
              </w:rPr>
              <w:t xml:space="preserve">Table </w:t>
            </w:r>
            <w:r>
              <w:rPr>
                <w:rFonts w:asciiTheme="majorHAnsi" w:eastAsia="Times New Roman" w:hAnsiTheme="majorHAnsi" w:cs="Times New Roman"/>
                <w:b/>
                <w:lang w:eastAsia="en-GB"/>
              </w:rPr>
              <w:t>A4</w:t>
            </w:r>
            <w:r w:rsidRPr="00EE0139">
              <w:rPr>
                <w:rFonts w:asciiTheme="majorHAnsi" w:eastAsia="Times New Roman" w:hAnsiTheme="majorHAnsi" w:cs="Times New Roman"/>
                <w:b/>
                <w:lang w:eastAsia="en-GB"/>
              </w:rPr>
              <w:t xml:space="preserve"> </w:t>
            </w:r>
            <w:r w:rsidRPr="00EE0139">
              <w:rPr>
                <w:rFonts w:asciiTheme="majorHAnsi" w:hAnsiTheme="majorHAnsi" w:cs="Times New Roman"/>
                <w:b/>
                <w:color w:val="000000"/>
              </w:rPr>
              <w:t>Mean errors for out-of-pocket health spending projection models</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b/>
                <w:color w:val="000000" w:themeColor="text1"/>
                <w:lang w:eastAsia="en-GB"/>
              </w:rPr>
            </w:pPr>
            <w:r w:rsidRPr="00EE0139">
              <w:rPr>
                <w:rFonts w:asciiTheme="majorHAnsi" w:eastAsia="Times New Roman" w:hAnsiTheme="majorHAnsi" w:cs="Times New Roman"/>
                <w:b/>
                <w:color w:val="000000" w:themeColor="text1"/>
                <w:lang w:eastAsia="en-GB"/>
              </w:rPr>
              <w:t>Model</w:t>
            </w:r>
          </w:p>
        </w:tc>
        <w:tc>
          <w:tcPr>
            <w:tcW w:w="1350" w:type="dxa"/>
            <w:hideMark/>
          </w:tcPr>
          <w:p w:rsidR="005516D7" w:rsidRPr="00EE0139" w:rsidRDefault="005516D7" w:rsidP="002605E3">
            <w:pPr>
              <w:rPr>
                <w:rFonts w:asciiTheme="majorHAnsi" w:eastAsia="Times New Roman" w:hAnsiTheme="majorHAnsi" w:cs="Times New Roman"/>
                <w:b/>
                <w:i/>
                <w:color w:val="000000" w:themeColor="text1"/>
                <w:lang w:eastAsia="en-GB"/>
              </w:rPr>
            </w:pPr>
            <w:r w:rsidRPr="00EE0139">
              <w:rPr>
                <w:rFonts w:asciiTheme="majorHAnsi" w:eastAsia="Times New Roman" w:hAnsiTheme="majorHAnsi" w:cs="Times New Roman"/>
                <w:b/>
                <w:i/>
                <w:color w:val="000000" w:themeColor="text1"/>
                <w:lang w:eastAsia="en-GB"/>
              </w:rPr>
              <w:t>N=C*T</w:t>
            </w:r>
          </w:p>
        </w:tc>
        <w:tc>
          <w:tcPr>
            <w:tcW w:w="1800" w:type="dxa"/>
            <w:hideMark/>
          </w:tcPr>
          <w:p w:rsidR="005516D7" w:rsidRPr="00EE0139" w:rsidRDefault="005516D7" w:rsidP="002605E3">
            <w:pPr>
              <w:rPr>
                <w:rFonts w:asciiTheme="majorHAnsi" w:eastAsia="Times New Roman" w:hAnsiTheme="majorHAnsi" w:cs="Times New Roman"/>
                <w:b/>
                <w:color w:val="000000" w:themeColor="text1"/>
                <w:lang w:eastAsia="en-GB"/>
              </w:rPr>
            </w:pPr>
            <w:r w:rsidRPr="00EE0139">
              <w:rPr>
                <w:rFonts w:asciiTheme="majorHAnsi" w:eastAsia="Times New Roman" w:hAnsiTheme="majorHAnsi" w:cs="Times New Roman"/>
                <w:b/>
                <w:color w:val="000000" w:themeColor="text1"/>
                <w:lang w:eastAsia="en-GB"/>
              </w:rPr>
              <w:t>Mean</w:t>
            </w:r>
          </w:p>
        </w:tc>
        <w:tc>
          <w:tcPr>
            <w:tcW w:w="3420" w:type="dxa"/>
          </w:tcPr>
          <w:p w:rsidR="005516D7" w:rsidRPr="00EE0139" w:rsidRDefault="005516D7" w:rsidP="002605E3">
            <w:pPr>
              <w:rPr>
                <w:rFonts w:asciiTheme="majorHAnsi" w:eastAsia="Times New Roman" w:hAnsiTheme="majorHAnsi" w:cs="Times New Roman"/>
                <w:b/>
                <w:color w:val="000000" w:themeColor="text1"/>
                <w:lang w:eastAsia="en-GB"/>
              </w:rPr>
            </w:pPr>
            <w:r w:rsidRPr="00EE0139">
              <w:rPr>
                <w:rFonts w:asciiTheme="majorHAnsi" w:eastAsia="Times New Roman" w:hAnsiTheme="majorHAnsi" w:cs="Times New Roman"/>
                <w:b/>
                <w:color w:val="000000" w:themeColor="text1"/>
                <w:lang w:eastAsia="en-GB"/>
              </w:rPr>
              <w:t>Standard deviation</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1</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1075</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104.7602</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120.2658</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2</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1075</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87.52218</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101.3041</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3</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1070</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41.89035</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77.43136</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4</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1075</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218.3716</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173.5767</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5</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1075</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225.382</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166.4547</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6</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1075</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100.8074</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81.81804</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7</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1040</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147.0227</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134.1653</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8</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1075</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94.51554</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76.15938</w:t>
            </w:r>
          </w:p>
        </w:tc>
      </w:tr>
      <w:tr w:rsidR="005516D7" w:rsidRPr="0063687C" w:rsidTr="002605E3">
        <w:tc>
          <w:tcPr>
            <w:tcW w:w="1278" w:type="dxa"/>
            <w:hideMark/>
          </w:tcPr>
          <w:p w:rsidR="005516D7" w:rsidRPr="00EE0139" w:rsidRDefault="005516D7" w:rsidP="002605E3">
            <w:pPr>
              <w:rPr>
                <w:rFonts w:asciiTheme="majorHAnsi" w:eastAsia="Times New Roman" w:hAnsiTheme="majorHAnsi" w:cs="Times New Roman"/>
                <w:lang w:eastAsia="en-GB"/>
              </w:rPr>
            </w:pPr>
            <w:r w:rsidRPr="00EE0139">
              <w:rPr>
                <w:rFonts w:asciiTheme="majorHAnsi" w:eastAsia="Times New Roman" w:hAnsiTheme="majorHAnsi" w:cs="Times New Roman"/>
                <w:lang w:eastAsia="en-GB"/>
              </w:rPr>
              <w:t>9</w:t>
            </w:r>
          </w:p>
        </w:tc>
        <w:tc>
          <w:tcPr>
            <w:tcW w:w="135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1075</w:t>
            </w:r>
          </w:p>
        </w:tc>
        <w:tc>
          <w:tcPr>
            <w:tcW w:w="1800" w:type="dxa"/>
            <w:hideMark/>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44.60224</w:t>
            </w:r>
          </w:p>
        </w:tc>
        <w:tc>
          <w:tcPr>
            <w:tcW w:w="3420" w:type="dxa"/>
          </w:tcPr>
          <w:p w:rsidR="005516D7" w:rsidRPr="0063687C" w:rsidRDefault="005516D7" w:rsidP="002605E3">
            <w:pPr>
              <w:rPr>
                <w:rFonts w:asciiTheme="majorHAnsi" w:eastAsia="Times New Roman" w:hAnsiTheme="majorHAnsi" w:cs="Times New Roman"/>
                <w:lang w:eastAsia="en-GB"/>
              </w:rPr>
            </w:pPr>
            <w:r w:rsidRPr="0063687C">
              <w:rPr>
                <w:rFonts w:asciiTheme="majorHAnsi" w:eastAsia="Times New Roman" w:hAnsiTheme="majorHAnsi" w:cs="Times New Roman"/>
                <w:lang w:eastAsia="en-GB"/>
              </w:rPr>
              <w:t>58.05829</w:t>
            </w:r>
          </w:p>
        </w:tc>
      </w:tr>
    </w:tbl>
    <w:p w:rsidR="005516D7" w:rsidRPr="0063687C" w:rsidRDefault="005516D7" w:rsidP="005516D7">
      <w:pPr>
        <w:spacing w:line="480" w:lineRule="auto"/>
        <w:rPr>
          <w:rFonts w:asciiTheme="majorHAnsi" w:hAnsiTheme="majorHAnsi" w:cs="Times New Roman"/>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 xml:space="preserve">Models 2 and 3 (Table </w:t>
      </w:r>
      <w:r>
        <w:rPr>
          <w:rFonts w:asciiTheme="majorHAnsi" w:hAnsiTheme="majorHAnsi" w:cs="Times New Roman"/>
        </w:rPr>
        <w:t>A4</w:t>
      </w:r>
      <w:r w:rsidRPr="0063687C">
        <w:rPr>
          <w:rFonts w:asciiTheme="majorHAnsi" w:hAnsiTheme="majorHAnsi" w:cs="Times New Roman"/>
        </w:rPr>
        <w:t xml:space="preserve">) were found to have the smallest </w:t>
      </w:r>
      <w:r>
        <w:rPr>
          <w:rFonts w:asciiTheme="majorHAnsi" w:hAnsiTheme="majorHAnsi" w:cs="Times New Roman"/>
        </w:rPr>
        <w:t>prediction</w:t>
      </w:r>
      <w:r w:rsidRPr="0063687C">
        <w:rPr>
          <w:rFonts w:asciiTheme="majorHAnsi" w:hAnsiTheme="majorHAnsi" w:cs="Times New Roman"/>
        </w:rPr>
        <w:t xml:space="preserve"> error among the first eight. Moreover, we average the predictions resulting from Methods 2 and 3, which can improve </w:t>
      </w:r>
      <w:r>
        <w:rPr>
          <w:rFonts w:asciiTheme="majorHAnsi" w:hAnsiTheme="majorHAnsi" w:cs="Times New Roman"/>
        </w:rPr>
        <w:t>prediction</w:t>
      </w:r>
      <w:r w:rsidRPr="0063687C">
        <w:rPr>
          <w:rFonts w:asciiTheme="majorHAnsi" w:hAnsiTheme="majorHAnsi" w:cs="Times New Roman"/>
        </w:rPr>
        <w:t xml:space="preserve"> accuracy (Makridakis et al., 2008). To further improve prediction accuracy, we have selected the optimal method (i.e. which minimizes the square root of the squared error) for each country, rather than across all observations. Thus, for example, method 9 may minimize </w:t>
      </w:r>
      <w:r>
        <w:rPr>
          <w:rFonts w:asciiTheme="majorHAnsi" w:hAnsiTheme="majorHAnsi" w:cs="Times New Roman"/>
        </w:rPr>
        <w:t>prediction</w:t>
      </w:r>
      <w:r w:rsidRPr="0063687C">
        <w:rPr>
          <w:rFonts w:asciiTheme="majorHAnsi" w:hAnsiTheme="majorHAnsi" w:cs="Times New Roman"/>
        </w:rPr>
        <w:t xml:space="preserve"> errors in country A, but weighted average may minimize error in country B. Rather than force one method on all countries uniformly, we have allowed the optimal model selection to be country-specific. This indeed has led to further substantial reduction in the average </w:t>
      </w:r>
      <w:r>
        <w:rPr>
          <w:rFonts w:asciiTheme="majorHAnsi" w:hAnsiTheme="majorHAnsi" w:cs="Times New Roman"/>
        </w:rPr>
        <w:t>prediction</w:t>
      </w:r>
      <w:r w:rsidRPr="0063687C">
        <w:rPr>
          <w:rFonts w:asciiTheme="majorHAnsi" w:hAnsiTheme="majorHAnsi" w:cs="Times New Roman"/>
        </w:rPr>
        <w:t xml:space="preserve"> error across all observations (with mean squared error now being 22.0), and therefore this is our preferred approach. </w:t>
      </w:r>
    </w:p>
    <w:p w:rsidR="005516D7" w:rsidRPr="0063687C" w:rsidRDefault="005516D7" w:rsidP="005516D7">
      <w:pPr>
        <w:spacing w:line="480" w:lineRule="auto"/>
        <w:rPr>
          <w:rFonts w:asciiTheme="majorHAnsi" w:hAnsiTheme="majorHAnsi" w:cs="Times New Roman"/>
        </w:rPr>
      </w:pPr>
    </w:p>
    <w:p w:rsidR="005516D7" w:rsidRPr="0063687C" w:rsidRDefault="005516D7" w:rsidP="005516D7">
      <w:pPr>
        <w:spacing w:line="480" w:lineRule="auto"/>
        <w:rPr>
          <w:rFonts w:asciiTheme="majorHAnsi" w:hAnsiTheme="majorHAnsi" w:cs="Times New Roman"/>
        </w:rPr>
      </w:pPr>
      <w:r w:rsidRPr="0063687C">
        <w:rPr>
          <w:rFonts w:asciiTheme="majorHAnsi" w:hAnsiTheme="majorHAnsi" w:cs="Times New Roman"/>
        </w:rPr>
        <w:t xml:space="preserve">The predicted values for </w:t>
      </w:r>
      <w:r w:rsidRPr="0063687C">
        <w:rPr>
          <w:rFonts w:asciiTheme="majorHAnsi" w:hAnsiTheme="majorHAnsi" w:cs="Times New Roman"/>
          <w:i/>
        </w:rPr>
        <w:t>OOPPC</w:t>
      </w:r>
      <w:r w:rsidRPr="0063687C">
        <w:rPr>
          <w:rFonts w:asciiTheme="majorHAnsi" w:hAnsiTheme="majorHAnsi" w:cs="Times New Roman"/>
        </w:rPr>
        <w:t xml:space="preserve"> were then used as inputs into the overall demand model. In six countries (Brunei, Burundi, Cote d'Ivoire, Lebanon, Qatar, Serbia), the OOPPC projection using the combined method yield predicted values below zero for certain future years. For these countries, estimates from Model 2 alone were used as the </w:t>
      </w:r>
      <w:r>
        <w:rPr>
          <w:rFonts w:asciiTheme="majorHAnsi" w:hAnsiTheme="majorHAnsi" w:cs="Times New Roman"/>
        </w:rPr>
        <w:t xml:space="preserve">projected values. </w:t>
      </w:r>
    </w:p>
    <w:p w:rsidR="00A16ED8" w:rsidRDefault="00A16ED8"/>
    <w:sectPr w:rsidR="00A16ED8" w:rsidSect="003C37D0">
      <w:footerReference w:type="even" r:id="rId13"/>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6D7" w:rsidRDefault="005516D7" w:rsidP="005516D7">
      <w:r>
        <w:separator/>
      </w:r>
    </w:p>
  </w:endnote>
  <w:endnote w:type="continuationSeparator" w:id="0">
    <w:p w:rsidR="005516D7" w:rsidRDefault="005516D7" w:rsidP="0055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471" w:rsidRDefault="005516D7" w:rsidP="006368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F6471" w:rsidRDefault="005516D7" w:rsidP="006368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471" w:rsidRPr="00535D7F" w:rsidRDefault="005516D7" w:rsidP="0063687C">
    <w:pPr>
      <w:pStyle w:val="Footer"/>
      <w:framePr w:wrap="around" w:vAnchor="text" w:hAnchor="margin" w:xAlign="right" w:y="1"/>
      <w:rPr>
        <w:rStyle w:val="PageNumber"/>
        <w:rFonts w:ascii="Times New Roman" w:hAnsi="Times New Roman" w:cs="Times New Roman"/>
        <w:sz w:val="20"/>
        <w:szCs w:val="20"/>
      </w:rPr>
    </w:pPr>
    <w:r w:rsidRPr="00535D7F">
      <w:rPr>
        <w:rStyle w:val="PageNumber"/>
        <w:rFonts w:ascii="Times New Roman" w:hAnsi="Times New Roman" w:cs="Times New Roman"/>
        <w:sz w:val="20"/>
        <w:szCs w:val="20"/>
      </w:rPr>
      <w:fldChar w:fldCharType="begin"/>
    </w:r>
    <w:r w:rsidRPr="00535D7F">
      <w:rPr>
        <w:rStyle w:val="PageNumber"/>
        <w:rFonts w:ascii="Times New Roman" w:hAnsi="Times New Roman" w:cs="Times New Roman"/>
        <w:sz w:val="20"/>
        <w:szCs w:val="20"/>
      </w:rPr>
      <w:instrText xml:space="preserve">PAGE  </w:instrText>
    </w:r>
    <w:r w:rsidRPr="00535D7F">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1</w:t>
    </w:r>
    <w:r w:rsidRPr="00535D7F">
      <w:rPr>
        <w:rStyle w:val="PageNumber"/>
        <w:rFonts w:ascii="Times New Roman" w:hAnsi="Times New Roman" w:cs="Times New Roman"/>
        <w:sz w:val="20"/>
        <w:szCs w:val="20"/>
      </w:rPr>
      <w:fldChar w:fldCharType="end"/>
    </w:r>
  </w:p>
  <w:p w:rsidR="00AF6471" w:rsidRDefault="005516D7" w:rsidP="0063687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6D7" w:rsidRDefault="005516D7" w:rsidP="005516D7">
      <w:r>
        <w:separator/>
      </w:r>
    </w:p>
  </w:footnote>
  <w:footnote w:type="continuationSeparator" w:id="0">
    <w:p w:rsidR="005516D7" w:rsidRDefault="005516D7" w:rsidP="005516D7">
      <w:r>
        <w:continuationSeparator/>
      </w:r>
    </w:p>
  </w:footnote>
  <w:footnote w:id="1">
    <w:p w:rsidR="005516D7" w:rsidRPr="0005270B" w:rsidRDefault="005516D7" w:rsidP="005516D7">
      <w:pPr>
        <w:pStyle w:val="FootnoteText"/>
        <w:rPr>
          <w:rFonts w:asciiTheme="majorHAnsi" w:hAnsiTheme="majorHAnsi" w:cs="Times New Roman"/>
        </w:rPr>
      </w:pPr>
      <w:r w:rsidRPr="0005270B">
        <w:rPr>
          <w:rStyle w:val="FootnoteReference"/>
          <w:rFonts w:asciiTheme="majorHAnsi" w:hAnsiTheme="majorHAnsi" w:cs="Times New Roman"/>
        </w:rPr>
        <w:footnoteRef/>
      </w:r>
      <w:r w:rsidRPr="0005270B">
        <w:rPr>
          <w:rFonts w:asciiTheme="majorHAnsi" w:hAnsiTheme="majorHAnsi" w:cs="Times New Roman"/>
        </w:rPr>
        <w:t xml:space="preserve"> Note, because of empirical data for nurses/midwives has more missings, growth rates could be estimated from the historical trend for comparatively fewer numbers of countries. A higher level of aggregation is needed (i.e. income level, rather than region and income level) to obtain suitable median substitution values across a sufficient number of countries within the grouping.</w:t>
      </w:r>
    </w:p>
  </w:footnote>
  <w:footnote w:id="2">
    <w:p w:rsidR="005516D7" w:rsidRPr="00832B3A" w:rsidRDefault="005516D7" w:rsidP="005516D7">
      <w:pPr>
        <w:pStyle w:val="FootnoteText"/>
        <w:rPr>
          <w:rFonts w:asciiTheme="majorHAnsi" w:hAnsiTheme="majorHAnsi"/>
        </w:rPr>
      </w:pPr>
      <w:r w:rsidRPr="00832B3A">
        <w:rPr>
          <w:rStyle w:val="FootnoteReference"/>
          <w:rFonts w:asciiTheme="majorHAnsi" w:hAnsiTheme="majorHAnsi" w:cs="Times New Roman"/>
        </w:rPr>
        <w:footnoteRef/>
      </w:r>
      <w:r w:rsidRPr="00832B3A">
        <w:rPr>
          <w:rFonts w:asciiTheme="majorHAnsi" w:hAnsiTheme="majorHAnsi" w:cs="Times New Roman"/>
        </w:rPr>
        <w:t xml:space="preserve"> The multiplier was determined via a separate methodology within the needs-based worker threshold analysis (WHO 2016).</w:t>
      </w:r>
    </w:p>
  </w:footnote>
  <w:footnote w:id="3">
    <w:p w:rsidR="005516D7" w:rsidRPr="00A07221" w:rsidRDefault="005516D7" w:rsidP="005516D7">
      <w:pPr>
        <w:pStyle w:val="FootnoteText"/>
        <w:rPr>
          <w:rFonts w:asciiTheme="majorHAnsi" w:hAnsiTheme="majorHAnsi"/>
        </w:rPr>
      </w:pPr>
      <w:r w:rsidRPr="00A07221">
        <w:rPr>
          <w:rStyle w:val="FootnoteReference"/>
          <w:rFonts w:asciiTheme="majorHAnsi" w:hAnsiTheme="majorHAnsi"/>
        </w:rPr>
        <w:footnoteRef/>
      </w:r>
      <w:r w:rsidRPr="00A07221">
        <w:rPr>
          <w:rFonts w:asciiTheme="majorHAnsi" w:hAnsiTheme="majorHAnsi"/>
        </w:rPr>
        <w:t xml:space="preserve">   GDP estimation for 2030 was prepared by Patrick Eozenou (Health Economist, World Bank) for the working paper by Olusoji Adeyi, Caroline Ly, Patrick Eozenou, Allyala Nandakumar, Ariel Pablos-Mendez and Timothy Evans, "The economic transition of health in Africa: a call for progressive pragmatism to shape the future of health financing".  </w:t>
      </w:r>
    </w:p>
    <w:p w:rsidR="005516D7" w:rsidRDefault="005516D7" w:rsidP="005516D7">
      <w:pPr>
        <w:pStyle w:val="FootnoteText"/>
      </w:pPr>
    </w:p>
    <w:p w:rsidR="005516D7" w:rsidRDefault="005516D7" w:rsidP="005516D7">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D27"/>
    <w:multiLevelType w:val="hybridMultilevel"/>
    <w:tmpl w:val="7944B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5677C"/>
    <w:multiLevelType w:val="hybridMultilevel"/>
    <w:tmpl w:val="F516F7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D71B8"/>
    <w:multiLevelType w:val="hybridMultilevel"/>
    <w:tmpl w:val="FBE08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2376F"/>
    <w:multiLevelType w:val="hybridMultilevel"/>
    <w:tmpl w:val="DDBA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836AD3"/>
    <w:multiLevelType w:val="hybridMultilevel"/>
    <w:tmpl w:val="DDBA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EA3A7A"/>
    <w:multiLevelType w:val="hybridMultilevel"/>
    <w:tmpl w:val="11067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4B15AC"/>
    <w:multiLevelType w:val="hybridMultilevel"/>
    <w:tmpl w:val="12A6B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956793"/>
    <w:multiLevelType w:val="hybridMultilevel"/>
    <w:tmpl w:val="5CF23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42609FE"/>
    <w:multiLevelType w:val="hybridMultilevel"/>
    <w:tmpl w:val="EC6A3B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A364CC"/>
    <w:multiLevelType w:val="hybridMultilevel"/>
    <w:tmpl w:val="52109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0A21AC"/>
    <w:multiLevelType w:val="hybridMultilevel"/>
    <w:tmpl w:val="FED00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1024E3"/>
    <w:multiLevelType w:val="hybridMultilevel"/>
    <w:tmpl w:val="8D14B4F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1F04B4D"/>
    <w:multiLevelType w:val="hybridMultilevel"/>
    <w:tmpl w:val="15944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ED63258"/>
    <w:multiLevelType w:val="hybridMultilevel"/>
    <w:tmpl w:val="4694EEE8"/>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0"/>
  </w:num>
  <w:num w:numId="4">
    <w:abstractNumId w:val="1"/>
  </w:num>
  <w:num w:numId="5">
    <w:abstractNumId w:val="3"/>
  </w:num>
  <w:num w:numId="6">
    <w:abstractNumId w:val="10"/>
  </w:num>
  <w:num w:numId="7">
    <w:abstractNumId w:val="4"/>
  </w:num>
  <w:num w:numId="8">
    <w:abstractNumId w:val="8"/>
  </w:num>
  <w:num w:numId="9">
    <w:abstractNumId w:val="6"/>
  </w:num>
  <w:num w:numId="10">
    <w:abstractNumId w:val="9"/>
  </w:num>
  <w:num w:numId="11">
    <w:abstractNumId w:val="7"/>
  </w:num>
  <w:num w:numId="12">
    <w:abstractNumId w:val="2"/>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6D7"/>
    <w:rsid w:val="000B75AC"/>
    <w:rsid w:val="005516D7"/>
    <w:rsid w:val="00A16ED8"/>
    <w:rsid w:val="00C84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CE46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6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6D7"/>
    <w:rPr>
      <w:color w:val="0000FF" w:themeColor="hyperlink"/>
      <w:u w:val="single"/>
    </w:rPr>
  </w:style>
  <w:style w:type="paragraph" w:styleId="Footer">
    <w:name w:val="footer"/>
    <w:basedOn w:val="Normal"/>
    <w:link w:val="FooterChar"/>
    <w:uiPriority w:val="99"/>
    <w:unhideWhenUsed/>
    <w:rsid w:val="005516D7"/>
    <w:pPr>
      <w:tabs>
        <w:tab w:val="center" w:pos="4320"/>
        <w:tab w:val="right" w:pos="8640"/>
      </w:tabs>
    </w:pPr>
  </w:style>
  <w:style w:type="character" w:customStyle="1" w:styleId="FooterChar">
    <w:name w:val="Footer Char"/>
    <w:basedOn w:val="DefaultParagraphFont"/>
    <w:link w:val="Footer"/>
    <w:uiPriority w:val="99"/>
    <w:rsid w:val="005516D7"/>
  </w:style>
  <w:style w:type="character" w:styleId="PageNumber">
    <w:name w:val="page number"/>
    <w:basedOn w:val="DefaultParagraphFont"/>
    <w:uiPriority w:val="99"/>
    <w:semiHidden/>
    <w:unhideWhenUsed/>
    <w:rsid w:val="005516D7"/>
  </w:style>
  <w:style w:type="character" w:styleId="FootnoteReference">
    <w:name w:val="footnote reference"/>
    <w:basedOn w:val="DefaultParagraphFont"/>
    <w:uiPriority w:val="99"/>
    <w:unhideWhenUsed/>
    <w:rsid w:val="005516D7"/>
    <w:rPr>
      <w:vertAlign w:val="superscript"/>
    </w:rPr>
  </w:style>
  <w:style w:type="paragraph" w:styleId="Caption">
    <w:name w:val="caption"/>
    <w:basedOn w:val="Normal"/>
    <w:next w:val="Normal"/>
    <w:uiPriority w:val="35"/>
    <w:unhideWhenUsed/>
    <w:qFormat/>
    <w:rsid w:val="005516D7"/>
    <w:pPr>
      <w:keepNext/>
      <w:spacing w:after="200"/>
    </w:pPr>
    <w:rPr>
      <w:rFonts w:asciiTheme="majorHAnsi" w:hAnsiTheme="majorHAnsi"/>
      <w:b/>
      <w:bCs/>
      <w:szCs w:val="18"/>
    </w:rPr>
  </w:style>
  <w:style w:type="paragraph" w:styleId="FootnoteText">
    <w:name w:val="footnote text"/>
    <w:basedOn w:val="Normal"/>
    <w:link w:val="FootnoteTextChar"/>
    <w:uiPriority w:val="99"/>
    <w:unhideWhenUsed/>
    <w:rsid w:val="005516D7"/>
    <w:rPr>
      <w:sz w:val="20"/>
    </w:rPr>
  </w:style>
  <w:style w:type="character" w:customStyle="1" w:styleId="FootnoteTextChar">
    <w:name w:val="Footnote Text Char"/>
    <w:basedOn w:val="DefaultParagraphFont"/>
    <w:link w:val="FootnoteText"/>
    <w:uiPriority w:val="99"/>
    <w:rsid w:val="005516D7"/>
    <w:rPr>
      <w:sz w:val="20"/>
    </w:rPr>
  </w:style>
  <w:style w:type="paragraph" w:styleId="ListParagraph">
    <w:name w:val="List Paragraph"/>
    <w:basedOn w:val="Normal"/>
    <w:uiPriority w:val="34"/>
    <w:qFormat/>
    <w:rsid w:val="005516D7"/>
    <w:pPr>
      <w:ind w:left="720"/>
      <w:contextualSpacing/>
    </w:pPr>
  </w:style>
  <w:style w:type="table" w:styleId="TableGrid">
    <w:name w:val="Table Grid"/>
    <w:basedOn w:val="TableNormal"/>
    <w:uiPriority w:val="59"/>
    <w:rsid w:val="005516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5516D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5516D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LineNumber">
    <w:name w:val="line number"/>
    <w:basedOn w:val="DefaultParagraphFont"/>
    <w:uiPriority w:val="99"/>
    <w:semiHidden/>
    <w:unhideWhenUsed/>
    <w:rsid w:val="005516D7"/>
  </w:style>
  <w:style w:type="paragraph" w:styleId="BalloonText">
    <w:name w:val="Balloon Text"/>
    <w:basedOn w:val="Normal"/>
    <w:link w:val="BalloonTextChar"/>
    <w:uiPriority w:val="99"/>
    <w:semiHidden/>
    <w:unhideWhenUsed/>
    <w:rsid w:val="005516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16D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6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6D7"/>
    <w:rPr>
      <w:color w:val="0000FF" w:themeColor="hyperlink"/>
      <w:u w:val="single"/>
    </w:rPr>
  </w:style>
  <w:style w:type="paragraph" w:styleId="Footer">
    <w:name w:val="footer"/>
    <w:basedOn w:val="Normal"/>
    <w:link w:val="FooterChar"/>
    <w:uiPriority w:val="99"/>
    <w:unhideWhenUsed/>
    <w:rsid w:val="005516D7"/>
    <w:pPr>
      <w:tabs>
        <w:tab w:val="center" w:pos="4320"/>
        <w:tab w:val="right" w:pos="8640"/>
      </w:tabs>
    </w:pPr>
  </w:style>
  <w:style w:type="character" w:customStyle="1" w:styleId="FooterChar">
    <w:name w:val="Footer Char"/>
    <w:basedOn w:val="DefaultParagraphFont"/>
    <w:link w:val="Footer"/>
    <w:uiPriority w:val="99"/>
    <w:rsid w:val="005516D7"/>
  </w:style>
  <w:style w:type="character" w:styleId="PageNumber">
    <w:name w:val="page number"/>
    <w:basedOn w:val="DefaultParagraphFont"/>
    <w:uiPriority w:val="99"/>
    <w:semiHidden/>
    <w:unhideWhenUsed/>
    <w:rsid w:val="005516D7"/>
  </w:style>
  <w:style w:type="character" w:styleId="FootnoteReference">
    <w:name w:val="footnote reference"/>
    <w:basedOn w:val="DefaultParagraphFont"/>
    <w:uiPriority w:val="99"/>
    <w:unhideWhenUsed/>
    <w:rsid w:val="005516D7"/>
    <w:rPr>
      <w:vertAlign w:val="superscript"/>
    </w:rPr>
  </w:style>
  <w:style w:type="paragraph" w:styleId="Caption">
    <w:name w:val="caption"/>
    <w:basedOn w:val="Normal"/>
    <w:next w:val="Normal"/>
    <w:uiPriority w:val="35"/>
    <w:unhideWhenUsed/>
    <w:qFormat/>
    <w:rsid w:val="005516D7"/>
    <w:pPr>
      <w:keepNext/>
      <w:spacing w:after="200"/>
    </w:pPr>
    <w:rPr>
      <w:rFonts w:asciiTheme="majorHAnsi" w:hAnsiTheme="majorHAnsi"/>
      <w:b/>
      <w:bCs/>
      <w:szCs w:val="18"/>
    </w:rPr>
  </w:style>
  <w:style w:type="paragraph" w:styleId="FootnoteText">
    <w:name w:val="footnote text"/>
    <w:basedOn w:val="Normal"/>
    <w:link w:val="FootnoteTextChar"/>
    <w:uiPriority w:val="99"/>
    <w:unhideWhenUsed/>
    <w:rsid w:val="005516D7"/>
    <w:rPr>
      <w:sz w:val="20"/>
    </w:rPr>
  </w:style>
  <w:style w:type="character" w:customStyle="1" w:styleId="FootnoteTextChar">
    <w:name w:val="Footnote Text Char"/>
    <w:basedOn w:val="DefaultParagraphFont"/>
    <w:link w:val="FootnoteText"/>
    <w:uiPriority w:val="99"/>
    <w:rsid w:val="005516D7"/>
    <w:rPr>
      <w:sz w:val="20"/>
    </w:rPr>
  </w:style>
  <w:style w:type="paragraph" w:styleId="ListParagraph">
    <w:name w:val="List Paragraph"/>
    <w:basedOn w:val="Normal"/>
    <w:uiPriority w:val="34"/>
    <w:qFormat/>
    <w:rsid w:val="005516D7"/>
    <w:pPr>
      <w:ind w:left="720"/>
      <w:contextualSpacing/>
    </w:pPr>
  </w:style>
  <w:style w:type="table" w:styleId="TableGrid">
    <w:name w:val="Table Grid"/>
    <w:basedOn w:val="TableNormal"/>
    <w:uiPriority w:val="59"/>
    <w:rsid w:val="005516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5516D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5516D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LineNumber">
    <w:name w:val="line number"/>
    <w:basedOn w:val="DefaultParagraphFont"/>
    <w:uiPriority w:val="99"/>
    <w:semiHidden/>
    <w:unhideWhenUsed/>
    <w:rsid w:val="005516D7"/>
  </w:style>
  <w:style w:type="paragraph" w:styleId="BalloonText">
    <w:name w:val="Balloon Text"/>
    <w:basedOn w:val="Normal"/>
    <w:link w:val="BalloonTextChar"/>
    <w:uiPriority w:val="99"/>
    <w:semiHidden/>
    <w:unhideWhenUsed/>
    <w:rsid w:val="005516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16D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image" Target="media/image3.wmf"/><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image" Target="media/image1.png"/><Relationship Id="rId10" Type="http://schemas.openxmlformats.org/officeDocument/2006/relationships/hyperlink" Target="http://www.ers.usda.gov/data-products/international-macroeconomic-data-set.asp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Liu2:Files:Research:Jenny:Workforce:fig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15538595180826"/>
          <c:y val="0.0204220558202859"/>
          <c:w val="0.845606937557377"/>
          <c:h val="0.617263012171211"/>
        </c:manualLayout>
      </c:layout>
      <c:lineChart>
        <c:grouping val="standard"/>
        <c:varyColors val="0"/>
        <c:ser>
          <c:idx val="1"/>
          <c:order val="0"/>
          <c:tx>
            <c:strRef>
              <c:f>Sheet1!$A$2</c:f>
              <c:strCache>
                <c:ptCount val="1"/>
                <c:pt idx="0">
                  <c:v>S: projected supply</c:v>
                </c:pt>
              </c:strCache>
            </c:strRef>
          </c:tx>
          <c:spPr>
            <a:ln w="31750">
              <a:solidFill>
                <a:schemeClr val="tx1"/>
              </a:solidFill>
            </a:ln>
          </c:spPr>
          <c:marker>
            <c:symbol val="none"/>
          </c:marker>
          <c:cat>
            <c:numRef>
              <c:f>Sheet1!$B$1:$F$1</c:f>
              <c:numCache>
                <c:formatCode>General</c:formatCode>
                <c:ptCount val="5"/>
                <c:pt idx="0">
                  <c:v>2010.0</c:v>
                </c:pt>
                <c:pt idx="1">
                  <c:v>2015.0</c:v>
                </c:pt>
                <c:pt idx="2">
                  <c:v>2020.0</c:v>
                </c:pt>
                <c:pt idx="3">
                  <c:v>2025.0</c:v>
                </c:pt>
                <c:pt idx="4">
                  <c:v>2030.0</c:v>
                </c:pt>
              </c:numCache>
            </c:numRef>
          </c:cat>
          <c:val>
            <c:numRef>
              <c:f>Sheet1!$B$2:$F$2</c:f>
              <c:numCache>
                <c:formatCode>General</c:formatCode>
                <c:ptCount val="5"/>
                <c:pt idx="0">
                  <c:v>1.5</c:v>
                </c:pt>
                <c:pt idx="1">
                  <c:v>1.9</c:v>
                </c:pt>
                <c:pt idx="2">
                  <c:v>2.3</c:v>
                </c:pt>
                <c:pt idx="3">
                  <c:v>2.8</c:v>
                </c:pt>
                <c:pt idx="4">
                  <c:v>3.4</c:v>
                </c:pt>
              </c:numCache>
            </c:numRef>
          </c:val>
          <c:smooth val="0"/>
        </c:ser>
        <c:ser>
          <c:idx val="2"/>
          <c:order val="1"/>
          <c:tx>
            <c:strRef>
              <c:f>Sheet1!$A$3</c:f>
              <c:strCache>
                <c:ptCount val="1"/>
                <c:pt idx="0">
                  <c:v>D1: forecasted demand (senario with surplus)</c:v>
                </c:pt>
              </c:strCache>
            </c:strRef>
          </c:tx>
          <c:spPr>
            <a:ln w="31750">
              <a:solidFill>
                <a:schemeClr val="bg1">
                  <a:lumMod val="65000"/>
                </a:schemeClr>
              </a:solidFill>
            </a:ln>
          </c:spPr>
          <c:marker>
            <c:symbol val="circle"/>
            <c:size val="7"/>
            <c:spPr>
              <a:solidFill>
                <a:schemeClr val="bg1">
                  <a:lumMod val="65000"/>
                </a:schemeClr>
              </a:solidFill>
              <a:ln>
                <a:solidFill>
                  <a:schemeClr val="bg1">
                    <a:lumMod val="65000"/>
                  </a:schemeClr>
                </a:solidFill>
              </a:ln>
            </c:spPr>
          </c:marker>
          <c:cat>
            <c:numRef>
              <c:f>Sheet1!$B$1:$F$1</c:f>
              <c:numCache>
                <c:formatCode>General</c:formatCode>
                <c:ptCount val="5"/>
                <c:pt idx="0">
                  <c:v>2010.0</c:v>
                </c:pt>
                <c:pt idx="1">
                  <c:v>2015.0</c:v>
                </c:pt>
                <c:pt idx="2">
                  <c:v>2020.0</c:v>
                </c:pt>
                <c:pt idx="3">
                  <c:v>2025.0</c:v>
                </c:pt>
                <c:pt idx="4">
                  <c:v>2030.0</c:v>
                </c:pt>
              </c:numCache>
            </c:numRef>
          </c:cat>
          <c:val>
            <c:numRef>
              <c:f>Sheet1!$B$3:$F$3</c:f>
              <c:numCache>
                <c:formatCode>General</c:formatCode>
                <c:ptCount val="5"/>
                <c:pt idx="0">
                  <c:v>1.25</c:v>
                </c:pt>
                <c:pt idx="1">
                  <c:v>1.65</c:v>
                </c:pt>
                <c:pt idx="2">
                  <c:v>1.85</c:v>
                </c:pt>
                <c:pt idx="3">
                  <c:v>1.95</c:v>
                </c:pt>
                <c:pt idx="4">
                  <c:v>2.25</c:v>
                </c:pt>
              </c:numCache>
            </c:numRef>
          </c:val>
          <c:smooth val="0"/>
        </c:ser>
        <c:ser>
          <c:idx val="3"/>
          <c:order val="2"/>
          <c:tx>
            <c:strRef>
              <c:f>Sheet1!$A$4</c:f>
              <c:strCache>
                <c:ptCount val="1"/>
                <c:pt idx="0">
                  <c:v>D2: forecasted demand (scenario with shortage)</c:v>
                </c:pt>
              </c:strCache>
            </c:strRef>
          </c:tx>
          <c:spPr>
            <a:ln w="31750">
              <a:solidFill>
                <a:schemeClr val="bg1">
                  <a:lumMod val="65000"/>
                </a:schemeClr>
              </a:solidFill>
              <a:prstDash val="sysDash"/>
            </a:ln>
          </c:spPr>
          <c:marker>
            <c:symbol val="circle"/>
            <c:size val="7"/>
            <c:spPr>
              <a:solidFill>
                <a:schemeClr val="bg1">
                  <a:lumMod val="65000"/>
                </a:schemeClr>
              </a:solidFill>
              <a:ln>
                <a:solidFill>
                  <a:schemeClr val="bg1">
                    <a:lumMod val="65000"/>
                  </a:schemeClr>
                </a:solidFill>
              </a:ln>
            </c:spPr>
          </c:marker>
          <c:cat>
            <c:numRef>
              <c:f>Sheet1!$B$1:$F$1</c:f>
              <c:numCache>
                <c:formatCode>General</c:formatCode>
                <c:ptCount val="5"/>
                <c:pt idx="0">
                  <c:v>2010.0</c:v>
                </c:pt>
                <c:pt idx="1">
                  <c:v>2015.0</c:v>
                </c:pt>
                <c:pt idx="2">
                  <c:v>2020.0</c:v>
                </c:pt>
                <c:pt idx="3">
                  <c:v>2025.0</c:v>
                </c:pt>
                <c:pt idx="4">
                  <c:v>2030.0</c:v>
                </c:pt>
              </c:numCache>
            </c:numRef>
          </c:cat>
          <c:val>
            <c:numRef>
              <c:f>Sheet1!$B$4:$F$4</c:f>
              <c:numCache>
                <c:formatCode>General</c:formatCode>
                <c:ptCount val="5"/>
                <c:pt idx="0">
                  <c:v>1.75</c:v>
                </c:pt>
                <c:pt idx="1">
                  <c:v>2.349999999999999</c:v>
                </c:pt>
                <c:pt idx="2">
                  <c:v>3.05</c:v>
                </c:pt>
                <c:pt idx="3">
                  <c:v>3.849999999999999</c:v>
                </c:pt>
                <c:pt idx="4">
                  <c:v>4.75</c:v>
                </c:pt>
              </c:numCache>
            </c:numRef>
          </c:val>
          <c:smooth val="0"/>
        </c:ser>
        <c:ser>
          <c:idx val="4"/>
          <c:order val="3"/>
          <c:tx>
            <c:strRef>
              <c:f>Sheet1!$A$5</c:f>
              <c:strCache>
                <c:ptCount val="1"/>
                <c:pt idx="0">
                  <c:v>N: estimated need based on benchmark utilization</c:v>
                </c:pt>
              </c:strCache>
            </c:strRef>
          </c:tx>
          <c:spPr>
            <a:ln w="31750">
              <a:solidFill>
                <a:schemeClr val="accent1"/>
              </a:solidFill>
            </a:ln>
          </c:spPr>
          <c:marker>
            <c:symbol val="square"/>
            <c:size val="8"/>
            <c:spPr>
              <a:solidFill>
                <a:schemeClr val="accent1"/>
              </a:solidFill>
              <a:ln>
                <a:solidFill>
                  <a:schemeClr val="accent1"/>
                </a:solidFill>
              </a:ln>
            </c:spPr>
          </c:marker>
          <c:cat>
            <c:numRef>
              <c:f>Sheet1!$B$1:$F$1</c:f>
              <c:numCache>
                <c:formatCode>General</c:formatCode>
                <c:ptCount val="5"/>
                <c:pt idx="0">
                  <c:v>2010.0</c:v>
                </c:pt>
                <c:pt idx="1">
                  <c:v>2015.0</c:v>
                </c:pt>
                <c:pt idx="2">
                  <c:v>2020.0</c:v>
                </c:pt>
                <c:pt idx="3">
                  <c:v>2025.0</c:v>
                </c:pt>
                <c:pt idx="4">
                  <c:v>2030.0</c:v>
                </c:pt>
              </c:numCache>
            </c:numRef>
          </c:cat>
          <c:val>
            <c:numRef>
              <c:f>Sheet1!$B$5:$F$5</c:f>
              <c:numCache>
                <c:formatCode>General</c:formatCode>
                <c:ptCount val="5"/>
                <c:pt idx="0">
                  <c:v>1.625</c:v>
                </c:pt>
                <c:pt idx="1">
                  <c:v>2.125</c:v>
                </c:pt>
                <c:pt idx="2">
                  <c:v>2.675</c:v>
                </c:pt>
                <c:pt idx="3">
                  <c:v>3.325</c:v>
                </c:pt>
                <c:pt idx="4">
                  <c:v>4.075</c:v>
                </c:pt>
              </c:numCache>
            </c:numRef>
          </c:val>
          <c:smooth val="0"/>
        </c:ser>
        <c:dLbls>
          <c:showLegendKey val="0"/>
          <c:showVal val="0"/>
          <c:showCatName val="0"/>
          <c:showSerName val="0"/>
          <c:showPercent val="0"/>
          <c:showBubbleSize val="0"/>
        </c:dLbls>
        <c:marker val="1"/>
        <c:smooth val="0"/>
        <c:axId val="-1038437128"/>
        <c:axId val="-985353576"/>
      </c:lineChart>
      <c:catAx>
        <c:axId val="-1038437128"/>
        <c:scaling>
          <c:orientation val="minMax"/>
        </c:scaling>
        <c:delete val="0"/>
        <c:axPos val="b"/>
        <c:numFmt formatCode="General" sourceLinked="1"/>
        <c:majorTickMark val="out"/>
        <c:minorTickMark val="none"/>
        <c:tickLblPos val="nextTo"/>
        <c:txPr>
          <a:bodyPr/>
          <a:lstStyle/>
          <a:p>
            <a:pPr>
              <a:defRPr sz="1000">
                <a:latin typeface="+mj-lt"/>
              </a:defRPr>
            </a:pPr>
            <a:endParaRPr lang="en-US"/>
          </a:p>
        </c:txPr>
        <c:crossAx val="-985353576"/>
        <c:crosses val="autoZero"/>
        <c:auto val="1"/>
        <c:lblAlgn val="ctr"/>
        <c:lblOffset val="100"/>
        <c:noMultiLvlLbl val="0"/>
      </c:catAx>
      <c:valAx>
        <c:axId val="-985353576"/>
        <c:scaling>
          <c:orientation val="minMax"/>
        </c:scaling>
        <c:delete val="0"/>
        <c:axPos val="l"/>
        <c:majorGridlines/>
        <c:title>
          <c:tx>
            <c:rich>
              <a:bodyPr rot="-5400000" vert="horz"/>
              <a:lstStyle/>
              <a:p>
                <a:pPr>
                  <a:defRPr sz="1000">
                    <a:latin typeface="+mj-lt"/>
                  </a:defRPr>
                </a:pPr>
                <a:r>
                  <a:rPr lang="en-US" sz="1000" baseline="0">
                    <a:latin typeface="+mj-lt"/>
                  </a:rPr>
                  <a:t>Health workers (per 1000 Population)</a:t>
                </a:r>
                <a:endParaRPr lang="en-US" sz="1000">
                  <a:latin typeface="+mj-lt"/>
                </a:endParaRPr>
              </a:p>
            </c:rich>
          </c:tx>
          <c:layout>
            <c:manualLayout>
              <c:xMode val="edge"/>
              <c:yMode val="edge"/>
              <c:x val="0.00840147279960251"/>
              <c:y val="0.0519966445651067"/>
            </c:manualLayout>
          </c:layout>
          <c:overlay val="0"/>
        </c:title>
        <c:numFmt formatCode="#,##0.00" sourceLinked="0"/>
        <c:majorTickMark val="out"/>
        <c:minorTickMark val="none"/>
        <c:tickLblPos val="nextTo"/>
        <c:txPr>
          <a:bodyPr/>
          <a:lstStyle/>
          <a:p>
            <a:pPr>
              <a:defRPr sz="1000">
                <a:latin typeface="+mj-lt"/>
              </a:defRPr>
            </a:pPr>
            <a:endParaRPr lang="en-US"/>
          </a:p>
        </c:txPr>
        <c:crossAx val="-1038437128"/>
        <c:crosses val="autoZero"/>
        <c:crossBetween val="between"/>
      </c:valAx>
    </c:plotArea>
    <c:legend>
      <c:legendPos val="r"/>
      <c:layout>
        <c:manualLayout>
          <c:xMode val="edge"/>
          <c:yMode val="edge"/>
          <c:x val="0.00327595908012543"/>
          <c:y val="0.760783289289181"/>
          <c:w val="0.561741430879436"/>
          <c:h val="0.22598694854924"/>
        </c:manualLayout>
      </c:layout>
      <c:overlay val="0"/>
      <c:txPr>
        <a:bodyPr/>
        <a:lstStyle/>
        <a:p>
          <a:pPr algn="l">
            <a:defRPr sz="1100">
              <a:latin typeface="+mj-lt"/>
            </a:defRPr>
          </a:pPr>
          <a:endParaRPr lang="en-US"/>
        </a:p>
      </c:txPr>
    </c:legend>
    <c:plotVisOnly val="1"/>
    <c:dispBlanksAs val="gap"/>
    <c:showDLblsOverMax val="0"/>
  </c:chart>
  <c:spPr>
    <a:ln>
      <a:noFill/>
    </a:ln>
  </c:spPr>
  <c:txPr>
    <a:bodyPr/>
    <a:lstStyle/>
    <a:p>
      <a:pPr>
        <a:defRPr sz="12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4986</Words>
  <Characters>28422</Characters>
  <Application>Microsoft Macintosh Word</Application>
  <DocSecurity>0</DocSecurity>
  <Lines>236</Lines>
  <Paragraphs>66</Paragraphs>
  <ScaleCrop>false</ScaleCrop>
  <Company>UCSf</Company>
  <LinksUpToDate>false</LinksUpToDate>
  <CharactersWithSpaces>33342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Liu</dc:creator>
  <cp:keywords/>
  <dc:description/>
  <cp:lastModifiedBy>Jenny Liu</cp:lastModifiedBy>
  <cp:revision>1</cp:revision>
  <dcterms:created xsi:type="dcterms:W3CDTF">2016-11-13T19:57:00Z</dcterms:created>
  <dcterms:modified xsi:type="dcterms:W3CDTF">2016-11-13T19:58:00Z</dcterms:modified>
</cp:coreProperties>
</file>