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2DD" w:rsidRPr="000215D5" w:rsidRDefault="00D202DD" w:rsidP="00D202DD">
      <w:pPr>
        <w:spacing w:after="0" w:line="480" w:lineRule="auto"/>
        <w:jc w:val="both"/>
      </w:pPr>
      <w:r w:rsidRPr="000215D5">
        <w:t xml:space="preserve">Additional file </w:t>
      </w:r>
      <w:r>
        <w:t>3</w:t>
      </w:r>
    </w:p>
    <w:p w:rsidR="002744EF" w:rsidRPr="00262941" w:rsidRDefault="002744EF" w:rsidP="002744EF">
      <w:pPr>
        <w:widowControl w:val="0"/>
        <w:tabs>
          <w:tab w:val="right" w:leader="underscore" w:pos="9356"/>
        </w:tabs>
        <w:spacing w:after="0" w:line="240" w:lineRule="auto"/>
        <w:jc w:val="both"/>
        <w:rPr>
          <w:b/>
          <w:sz w:val="18"/>
          <w:szCs w:val="18"/>
        </w:rPr>
      </w:pPr>
      <w:r w:rsidRPr="00262941">
        <w:rPr>
          <w:b/>
          <w:sz w:val="18"/>
          <w:szCs w:val="18"/>
        </w:rPr>
        <w:t xml:space="preserve">Table </w:t>
      </w:r>
      <w:r w:rsidR="00A3593A">
        <w:rPr>
          <w:b/>
          <w:sz w:val="18"/>
          <w:szCs w:val="18"/>
        </w:rPr>
        <w:t>S</w:t>
      </w:r>
      <w:r w:rsidR="00A3593A">
        <w:rPr>
          <w:b/>
          <w:sz w:val="18"/>
          <w:szCs w:val="18"/>
        </w:rPr>
        <w:t>2</w:t>
      </w:r>
      <w:r w:rsidRPr="00262941">
        <w:rPr>
          <w:b/>
          <w:sz w:val="18"/>
          <w:szCs w:val="18"/>
        </w:rPr>
        <w:t>.</w:t>
      </w:r>
      <w:r w:rsidRPr="00262941">
        <w:rPr>
          <w:sz w:val="18"/>
          <w:szCs w:val="18"/>
        </w:rPr>
        <w:t xml:space="preserve"> Intervention</w:t>
      </w:r>
      <w:r w:rsidR="00BB79CD">
        <w:rPr>
          <w:sz w:val="18"/>
          <w:szCs w:val="18"/>
        </w:rPr>
        <w:t>s</w:t>
      </w:r>
      <w:r w:rsidRPr="00262941">
        <w:rPr>
          <w:sz w:val="18"/>
          <w:szCs w:val="18"/>
        </w:rPr>
        <w:t xml:space="preserve"> to address supply, geographic and level of care maldistribution by area of political intervention</w:t>
      </w:r>
    </w:p>
    <w:tbl>
      <w:tblPr>
        <w:tblW w:w="14175" w:type="dxa"/>
        <w:tblLayout w:type="fixed"/>
        <w:tblLook w:val="04A0"/>
      </w:tblPr>
      <w:tblGrid>
        <w:gridCol w:w="5387"/>
        <w:gridCol w:w="1276"/>
        <w:gridCol w:w="1134"/>
        <w:gridCol w:w="1180"/>
        <w:gridCol w:w="330"/>
        <w:gridCol w:w="758"/>
        <w:gridCol w:w="1180"/>
        <w:gridCol w:w="1797"/>
        <w:gridCol w:w="1133"/>
      </w:tblGrid>
      <w:tr w:rsidR="002744EF" w:rsidRPr="008B19D6" w:rsidTr="00673311">
        <w:trPr>
          <w:trHeight w:val="354"/>
        </w:trPr>
        <w:tc>
          <w:tcPr>
            <w:tcW w:w="5387" w:type="dxa"/>
            <w:tcBorders>
              <w:top w:val="nil"/>
              <w:left w:val="nil"/>
              <w:bottom w:val="nil"/>
              <w:right w:val="nil"/>
            </w:tcBorders>
            <w:shd w:val="clear" w:color="auto" w:fill="auto"/>
            <w:noWrap/>
            <w:vAlign w:val="bottom"/>
            <w:hideMark/>
          </w:tcPr>
          <w:p w:rsidR="002744EF" w:rsidRPr="008B19D6" w:rsidRDefault="002744EF" w:rsidP="00BF5934">
            <w:pPr>
              <w:suppressAutoHyphens w:val="0"/>
              <w:spacing w:after="0" w:line="240" w:lineRule="auto"/>
              <w:rPr>
                <w:rFonts w:ascii="Times New Roman" w:eastAsia="Times New Roman" w:hAnsi="Times New Roman"/>
                <w:color w:val="auto"/>
                <w:sz w:val="24"/>
                <w:szCs w:val="24"/>
                <w:lang w:val="en-US"/>
              </w:rPr>
            </w:pPr>
          </w:p>
        </w:tc>
        <w:tc>
          <w:tcPr>
            <w:tcW w:w="3920" w:type="dxa"/>
            <w:gridSpan w:val="4"/>
            <w:tcBorders>
              <w:top w:val="nil"/>
              <w:left w:val="nil"/>
              <w:bottom w:val="single" w:sz="4" w:space="0" w:color="auto"/>
              <w:right w:val="nil"/>
            </w:tcBorders>
            <w:shd w:val="clear" w:color="000000" w:fill="BFBFBF"/>
            <w:noWrap/>
            <w:vAlign w:val="center"/>
            <w:hideMark/>
          </w:tcPr>
          <w:p w:rsidR="002744EF" w:rsidRPr="008B19D6" w:rsidRDefault="002744EF" w:rsidP="00BF5934">
            <w:pPr>
              <w:suppressAutoHyphens w:val="0"/>
              <w:spacing w:after="0" w:line="240" w:lineRule="auto"/>
              <w:jc w:val="center"/>
              <w:rPr>
                <w:rFonts w:eastAsia="Times New Roman"/>
                <w:color w:val="000000"/>
                <w:sz w:val="18"/>
                <w:szCs w:val="18"/>
                <w:lang w:val="en-US"/>
              </w:rPr>
            </w:pPr>
            <w:r w:rsidRPr="008B19D6">
              <w:rPr>
                <w:rFonts w:eastAsia="Times New Roman"/>
                <w:color w:val="000000"/>
                <w:sz w:val="18"/>
                <w:szCs w:val="18"/>
                <w:lang w:val="en-US"/>
              </w:rPr>
              <w:t>Challenges</w:t>
            </w:r>
          </w:p>
        </w:tc>
        <w:tc>
          <w:tcPr>
            <w:tcW w:w="4868" w:type="dxa"/>
            <w:gridSpan w:val="4"/>
            <w:tcBorders>
              <w:top w:val="nil"/>
              <w:left w:val="nil"/>
              <w:bottom w:val="single" w:sz="4" w:space="0" w:color="auto"/>
              <w:right w:val="nil"/>
            </w:tcBorders>
            <w:shd w:val="clear" w:color="000000" w:fill="BFBFBF"/>
            <w:noWrap/>
            <w:vAlign w:val="center"/>
            <w:hideMark/>
          </w:tcPr>
          <w:p w:rsidR="002744EF" w:rsidRPr="008B19D6" w:rsidRDefault="002744EF" w:rsidP="00BF5934">
            <w:pPr>
              <w:suppressAutoHyphens w:val="0"/>
              <w:spacing w:after="0" w:line="240" w:lineRule="auto"/>
              <w:jc w:val="center"/>
              <w:rPr>
                <w:rFonts w:eastAsia="Times New Roman"/>
                <w:color w:val="000000"/>
                <w:sz w:val="18"/>
                <w:szCs w:val="18"/>
                <w:lang w:val="en-US"/>
              </w:rPr>
            </w:pPr>
            <w:r w:rsidRPr="008B19D6">
              <w:rPr>
                <w:rFonts w:eastAsia="Times New Roman"/>
                <w:color w:val="000000"/>
                <w:sz w:val="18"/>
                <w:szCs w:val="18"/>
                <w:lang w:val="en-US"/>
              </w:rPr>
              <w:t>Areas of Political Interventions</w:t>
            </w:r>
          </w:p>
        </w:tc>
      </w:tr>
      <w:tr w:rsidR="002744EF" w:rsidRPr="008B19D6" w:rsidTr="00673311">
        <w:trPr>
          <w:trHeight w:val="673"/>
        </w:trPr>
        <w:tc>
          <w:tcPr>
            <w:tcW w:w="5387" w:type="dxa"/>
            <w:tcBorders>
              <w:top w:val="single" w:sz="4" w:space="0" w:color="auto"/>
              <w:left w:val="nil"/>
              <w:bottom w:val="single" w:sz="4" w:space="0" w:color="auto"/>
              <w:right w:val="nil"/>
            </w:tcBorders>
            <w:shd w:val="clear" w:color="000000" w:fill="F2F2F2"/>
            <w:vAlign w:val="center"/>
            <w:hideMark/>
          </w:tcPr>
          <w:p w:rsidR="002744EF" w:rsidRPr="008B19D6" w:rsidRDefault="002744EF" w:rsidP="00BF5934">
            <w:pPr>
              <w:suppressAutoHyphens w:val="0"/>
              <w:spacing w:after="0" w:line="360" w:lineRule="auto"/>
              <w:jc w:val="center"/>
              <w:rPr>
                <w:rFonts w:eastAsia="Times New Roman"/>
                <w:color w:val="000000"/>
                <w:sz w:val="18"/>
                <w:szCs w:val="18"/>
                <w:lang w:val="en-US"/>
              </w:rPr>
            </w:pPr>
            <w:r w:rsidRPr="008B19D6">
              <w:rPr>
                <w:rFonts w:eastAsia="Times New Roman"/>
                <w:color w:val="000000"/>
                <w:sz w:val="18"/>
                <w:szCs w:val="18"/>
                <w:lang w:val="en-US"/>
              </w:rPr>
              <w:t>Political Intervention</w:t>
            </w:r>
          </w:p>
        </w:tc>
        <w:tc>
          <w:tcPr>
            <w:tcW w:w="1276" w:type="dxa"/>
            <w:tcBorders>
              <w:top w:val="nil"/>
              <w:left w:val="nil"/>
              <w:bottom w:val="single" w:sz="4" w:space="0" w:color="auto"/>
              <w:right w:val="nil"/>
            </w:tcBorders>
            <w:shd w:val="clear" w:color="000000" w:fill="F2F2F2"/>
            <w:vAlign w:val="center"/>
            <w:hideMark/>
          </w:tcPr>
          <w:p w:rsidR="002744EF" w:rsidRPr="008B19D6" w:rsidRDefault="002744EF" w:rsidP="00BF5934">
            <w:pPr>
              <w:suppressAutoHyphens w:val="0"/>
              <w:spacing w:after="0" w:line="240" w:lineRule="auto"/>
              <w:jc w:val="center"/>
              <w:rPr>
                <w:rFonts w:eastAsia="Times New Roman"/>
                <w:color w:val="000000"/>
                <w:sz w:val="18"/>
                <w:szCs w:val="18"/>
                <w:lang w:val="en-US"/>
              </w:rPr>
            </w:pPr>
            <w:r w:rsidRPr="008B19D6">
              <w:rPr>
                <w:rFonts w:eastAsia="Times New Roman"/>
                <w:color w:val="000000"/>
                <w:sz w:val="18"/>
                <w:szCs w:val="18"/>
                <w:lang w:val="en-US"/>
              </w:rPr>
              <w:t>Geographical distribution</w:t>
            </w:r>
          </w:p>
        </w:tc>
        <w:tc>
          <w:tcPr>
            <w:tcW w:w="1134" w:type="dxa"/>
            <w:tcBorders>
              <w:top w:val="nil"/>
              <w:left w:val="nil"/>
              <w:bottom w:val="single" w:sz="4" w:space="0" w:color="auto"/>
              <w:right w:val="nil"/>
            </w:tcBorders>
            <w:shd w:val="clear" w:color="000000" w:fill="F2F2F2"/>
            <w:vAlign w:val="center"/>
            <w:hideMark/>
          </w:tcPr>
          <w:p w:rsidR="002744EF" w:rsidRPr="008B19D6" w:rsidRDefault="002744EF" w:rsidP="00BF5934">
            <w:pPr>
              <w:suppressAutoHyphens w:val="0"/>
              <w:spacing w:after="0" w:line="240" w:lineRule="auto"/>
              <w:jc w:val="center"/>
              <w:rPr>
                <w:rFonts w:eastAsia="Times New Roman"/>
                <w:color w:val="000000"/>
                <w:sz w:val="18"/>
                <w:szCs w:val="18"/>
                <w:lang w:val="en-US"/>
              </w:rPr>
            </w:pPr>
            <w:r w:rsidRPr="008B19D6">
              <w:rPr>
                <w:rFonts w:eastAsia="Times New Roman"/>
                <w:color w:val="000000"/>
                <w:sz w:val="18"/>
                <w:szCs w:val="18"/>
                <w:lang w:val="en-US"/>
              </w:rPr>
              <w:t>Level distribution</w:t>
            </w:r>
          </w:p>
        </w:tc>
        <w:tc>
          <w:tcPr>
            <w:tcW w:w="1180" w:type="dxa"/>
            <w:tcBorders>
              <w:top w:val="nil"/>
              <w:left w:val="nil"/>
              <w:bottom w:val="single" w:sz="4" w:space="0" w:color="auto"/>
              <w:right w:val="single" w:sz="4" w:space="0" w:color="auto"/>
            </w:tcBorders>
            <w:shd w:val="clear" w:color="000000" w:fill="F2F2F2"/>
            <w:vAlign w:val="center"/>
            <w:hideMark/>
          </w:tcPr>
          <w:p w:rsidR="002744EF" w:rsidRPr="008B19D6" w:rsidRDefault="002744EF" w:rsidP="00BF5934">
            <w:pPr>
              <w:suppressAutoHyphens w:val="0"/>
              <w:spacing w:after="0" w:line="240" w:lineRule="auto"/>
              <w:jc w:val="center"/>
              <w:rPr>
                <w:rFonts w:eastAsia="Times New Roman"/>
                <w:color w:val="000000"/>
                <w:sz w:val="18"/>
                <w:szCs w:val="18"/>
                <w:lang w:val="en-US"/>
              </w:rPr>
            </w:pPr>
            <w:r w:rsidRPr="008B19D6">
              <w:rPr>
                <w:rFonts w:eastAsia="Times New Roman"/>
                <w:color w:val="000000"/>
                <w:sz w:val="18"/>
                <w:szCs w:val="18"/>
                <w:lang w:val="en-US"/>
              </w:rPr>
              <w:t>Shortages  of physicians</w:t>
            </w:r>
          </w:p>
        </w:tc>
        <w:tc>
          <w:tcPr>
            <w:tcW w:w="1088" w:type="dxa"/>
            <w:gridSpan w:val="2"/>
            <w:tcBorders>
              <w:top w:val="nil"/>
              <w:left w:val="nil"/>
              <w:bottom w:val="single" w:sz="4" w:space="0" w:color="auto"/>
              <w:right w:val="nil"/>
            </w:tcBorders>
            <w:shd w:val="clear" w:color="000000" w:fill="F2F2F2"/>
            <w:vAlign w:val="center"/>
            <w:hideMark/>
          </w:tcPr>
          <w:p w:rsidR="002744EF" w:rsidRPr="008B19D6" w:rsidRDefault="002744EF" w:rsidP="00BF5934">
            <w:pPr>
              <w:suppressAutoHyphens w:val="0"/>
              <w:spacing w:after="0" w:line="240" w:lineRule="auto"/>
              <w:jc w:val="center"/>
              <w:rPr>
                <w:rFonts w:eastAsia="Times New Roman"/>
                <w:color w:val="000000"/>
                <w:sz w:val="18"/>
                <w:szCs w:val="18"/>
                <w:lang w:val="en-US"/>
              </w:rPr>
            </w:pPr>
            <w:r w:rsidRPr="008B19D6">
              <w:rPr>
                <w:rFonts w:eastAsia="Times New Roman"/>
                <w:color w:val="000000"/>
                <w:sz w:val="18"/>
                <w:szCs w:val="18"/>
                <w:lang w:val="en-US"/>
              </w:rPr>
              <w:t>Policies on production</w:t>
            </w:r>
          </w:p>
        </w:tc>
        <w:tc>
          <w:tcPr>
            <w:tcW w:w="1180" w:type="dxa"/>
            <w:tcBorders>
              <w:top w:val="nil"/>
              <w:left w:val="nil"/>
              <w:bottom w:val="single" w:sz="4" w:space="0" w:color="auto"/>
              <w:right w:val="nil"/>
            </w:tcBorders>
            <w:shd w:val="clear" w:color="000000" w:fill="F2F2F2"/>
            <w:vAlign w:val="center"/>
            <w:hideMark/>
          </w:tcPr>
          <w:p w:rsidR="002744EF" w:rsidRPr="008B19D6" w:rsidRDefault="002744EF" w:rsidP="00BF5934">
            <w:pPr>
              <w:suppressAutoHyphens w:val="0"/>
              <w:spacing w:after="0" w:line="240" w:lineRule="auto"/>
              <w:jc w:val="center"/>
              <w:rPr>
                <w:rFonts w:eastAsia="Times New Roman"/>
                <w:color w:val="000000"/>
                <w:sz w:val="18"/>
                <w:szCs w:val="18"/>
                <w:lang w:val="en-US"/>
              </w:rPr>
            </w:pPr>
            <w:r w:rsidRPr="008B19D6">
              <w:rPr>
                <w:rFonts w:eastAsia="Times New Roman"/>
                <w:color w:val="000000"/>
                <w:sz w:val="18"/>
                <w:szCs w:val="18"/>
                <w:lang w:val="en-US"/>
              </w:rPr>
              <w:t xml:space="preserve">Address inflows and outflows </w:t>
            </w:r>
          </w:p>
        </w:tc>
        <w:tc>
          <w:tcPr>
            <w:tcW w:w="1797" w:type="dxa"/>
            <w:tcBorders>
              <w:top w:val="nil"/>
              <w:left w:val="nil"/>
              <w:bottom w:val="single" w:sz="4" w:space="0" w:color="auto"/>
              <w:right w:val="nil"/>
            </w:tcBorders>
            <w:shd w:val="clear" w:color="000000" w:fill="F2F2F2"/>
            <w:vAlign w:val="center"/>
            <w:hideMark/>
          </w:tcPr>
          <w:p w:rsidR="002744EF" w:rsidRPr="008B19D6" w:rsidRDefault="002744EF" w:rsidP="00BF5934">
            <w:pPr>
              <w:suppressAutoHyphens w:val="0"/>
              <w:spacing w:after="0" w:line="240" w:lineRule="auto"/>
              <w:jc w:val="center"/>
              <w:rPr>
                <w:rFonts w:eastAsia="Times New Roman"/>
                <w:color w:val="000000"/>
                <w:sz w:val="18"/>
                <w:szCs w:val="18"/>
                <w:lang w:val="en-US"/>
              </w:rPr>
            </w:pPr>
            <w:r w:rsidRPr="008B19D6">
              <w:rPr>
                <w:rFonts w:eastAsia="Times New Roman"/>
                <w:color w:val="000000"/>
                <w:sz w:val="18"/>
                <w:szCs w:val="18"/>
                <w:lang w:val="en-US"/>
              </w:rPr>
              <w:t>Address maldistribution and inefficiencies</w:t>
            </w:r>
          </w:p>
        </w:tc>
        <w:tc>
          <w:tcPr>
            <w:tcW w:w="1133" w:type="dxa"/>
            <w:tcBorders>
              <w:top w:val="nil"/>
              <w:left w:val="nil"/>
              <w:bottom w:val="single" w:sz="4" w:space="0" w:color="auto"/>
              <w:right w:val="nil"/>
            </w:tcBorders>
            <w:shd w:val="clear" w:color="000000" w:fill="F2F2F2"/>
            <w:vAlign w:val="center"/>
            <w:hideMark/>
          </w:tcPr>
          <w:p w:rsidR="002744EF" w:rsidRPr="008B19D6" w:rsidRDefault="002744EF" w:rsidP="00BF5934">
            <w:pPr>
              <w:suppressAutoHyphens w:val="0"/>
              <w:spacing w:after="0" w:line="240" w:lineRule="auto"/>
              <w:jc w:val="center"/>
              <w:rPr>
                <w:rFonts w:eastAsia="Times New Roman"/>
                <w:color w:val="000000"/>
                <w:sz w:val="18"/>
                <w:szCs w:val="18"/>
                <w:lang w:val="en-US"/>
              </w:rPr>
            </w:pPr>
            <w:r w:rsidRPr="008B19D6">
              <w:rPr>
                <w:rFonts w:eastAsia="Times New Roman"/>
                <w:color w:val="000000"/>
                <w:sz w:val="18"/>
                <w:szCs w:val="18"/>
                <w:lang w:val="en-US"/>
              </w:rPr>
              <w:t>Regulate the private sector</w:t>
            </w:r>
          </w:p>
        </w:tc>
      </w:tr>
      <w:tr w:rsidR="002744EF" w:rsidRPr="00262941" w:rsidTr="00673311">
        <w:trPr>
          <w:trHeight w:val="344"/>
        </w:trPr>
        <w:tc>
          <w:tcPr>
            <w:tcW w:w="538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360" w:lineRule="auto"/>
              <w:rPr>
                <w:rFonts w:eastAsia="Times New Roman"/>
                <w:color w:val="000000"/>
                <w:sz w:val="18"/>
                <w:szCs w:val="18"/>
                <w:lang w:val="en-US"/>
              </w:rPr>
            </w:pPr>
            <w:r w:rsidRPr="00262941">
              <w:rPr>
                <w:rFonts w:eastAsia="Times New Roman"/>
                <w:color w:val="000000"/>
                <w:sz w:val="18"/>
                <w:szCs w:val="18"/>
                <w:lang w:val="en-US"/>
              </w:rPr>
              <w:t xml:space="preserve">a) Increase in the </w:t>
            </w:r>
            <w:proofErr w:type="spellStart"/>
            <w:r w:rsidRPr="00262941">
              <w:rPr>
                <w:rFonts w:eastAsia="Times New Roman"/>
                <w:color w:val="000000"/>
                <w:sz w:val="18"/>
                <w:szCs w:val="18"/>
                <w:lang w:val="en-US"/>
              </w:rPr>
              <w:t>numerus</w:t>
            </w:r>
            <w:proofErr w:type="spellEnd"/>
            <w:r w:rsidRPr="00262941">
              <w:rPr>
                <w:rFonts w:eastAsia="Times New Roman"/>
                <w:color w:val="000000"/>
                <w:sz w:val="18"/>
                <w:szCs w:val="18"/>
                <w:lang w:val="en-US"/>
              </w:rPr>
              <w:t xml:space="preserve"> </w:t>
            </w:r>
            <w:proofErr w:type="spellStart"/>
            <w:r w:rsidRPr="00262941">
              <w:rPr>
                <w:rFonts w:eastAsia="Times New Roman"/>
                <w:color w:val="000000"/>
                <w:sz w:val="18"/>
                <w:szCs w:val="18"/>
                <w:lang w:val="en-US"/>
              </w:rPr>
              <w:t>clausus</w:t>
            </w:r>
            <w:proofErr w:type="spellEnd"/>
            <w:r w:rsidRPr="00262941">
              <w:rPr>
                <w:rFonts w:eastAsia="Times New Roman"/>
                <w:color w:val="000000"/>
                <w:sz w:val="18"/>
                <w:szCs w:val="18"/>
                <w:lang w:val="en-US"/>
              </w:rPr>
              <w:t xml:space="preserve"> - 1998 </w:t>
            </w:r>
          </w:p>
        </w:tc>
        <w:tc>
          <w:tcPr>
            <w:tcW w:w="1276"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34"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80" w:type="dxa"/>
            <w:tcBorders>
              <w:top w:val="nil"/>
              <w:left w:val="nil"/>
              <w:bottom w:val="single" w:sz="4" w:space="0" w:color="auto"/>
              <w:right w:val="single" w:sz="4" w:space="0" w:color="auto"/>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088" w:type="dxa"/>
            <w:gridSpan w:val="2"/>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80"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79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33"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480" w:lineRule="auto"/>
              <w:jc w:val="center"/>
              <w:rPr>
                <w:rFonts w:eastAsia="Times New Roman"/>
                <w:color w:val="000000"/>
                <w:sz w:val="16"/>
                <w:szCs w:val="16"/>
                <w:lang w:val="en-US"/>
              </w:rPr>
            </w:pPr>
            <w:r w:rsidRPr="00262941">
              <w:rPr>
                <w:rFonts w:eastAsia="Times New Roman"/>
                <w:color w:val="000000"/>
                <w:sz w:val="16"/>
                <w:szCs w:val="16"/>
                <w:lang w:val="en-US"/>
              </w:rPr>
              <w:t> </w:t>
            </w:r>
          </w:p>
        </w:tc>
      </w:tr>
      <w:tr w:rsidR="002744EF" w:rsidRPr="00262941" w:rsidTr="00673311">
        <w:trPr>
          <w:trHeight w:val="297"/>
        </w:trPr>
        <w:tc>
          <w:tcPr>
            <w:tcW w:w="538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rPr>
                <w:rFonts w:eastAsia="Times New Roman"/>
                <w:color w:val="000000"/>
                <w:sz w:val="18"/>
                <w:szCs w:val="18"/>
                <w:lang w:val="en-US"/>
              </w:rPr>
            </w:pPr>
            <w:r w:rsidRPr="00262941">
              <w:rPr>
                <w:rFonts w:eastAsia="Times New Roman"/>
                <w:color w:val="000000"/>
                <w:sz w:val="18"/>
                <w:szCs w:val="18"/>
                <w:lang w:val="en-US"/>
              </w:rPr>
              <w:t>b) Opening of new medical schools - 2001 and 2004</w:t>
            </w:r>
          </w:p>
        </w:tc>
        <w:tc>
          <w:tcPr>
            <w:tcW w:w="1276"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34"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80" w:type="dxa"/>
            <w:tcBorders>
              <w:top w:val="nil"/>
              <w:left w:val="nil"/>
              <w:bottom w:val="single" w:sz="4" w:space="0" w:color="auto"/>
              <w:right w:val="single" w:sz="4" w:space="0" w:color="auto"/>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088" w:type="dxa"/>
            <w:gridSpan w:val="2"/>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80"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79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33"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480" w:lineRule="auto"/>
              <w:jc w:val="center"/>
              <w:rPr>
                <w:rFonts w:eastAsia="Times New Roman"/>
                <w:color w:val="000000"/>
                <w:sz w:val="16"/>
                <w:szCs w:val="16"/>
                <w:lang w:val="en-US"/>
              </w:rPr>
            </w:pPr>
            <w:r w:rsidRPr="00262941">
              <w:rPr>
                <w:rFonts w:eastAsia="Times New Roman"/>
                <w:color w:val="000000"/>
                <w:sz w:val="16"/>
                <w:szCs w:val="16"/>
                <w:lang w:val="en-US"/>
              </w:rPr>
              <w:t> </w:t>
            </w:r>
          </w:p>
        </w:tc>
      </w:tr>
      <w:tr w:rsidR="002744EF" w:rsidRPr="00262941" w:rsidTr="00673311">
        <w:trPr>
          <w:trHeight w:val="303"/>
        </w:trPr>
        <w:tc>
          <w:tcPr>
            <w:tcW w:w="538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rPr>
                <w:rFonts w:eastAsia="Times New Roman"/>
                <w:color w:val="000000"/>
                <w:sz w:val="18"/>
                <w:szCs w:val="18"/>
                <w:lang w:val="en-US"/>
              </w:rPr>
            </w:pPr>
            <w:r w:rsidRPr="00262941">
              <w:rPr>
                <w:rFonts w:eastAsia="Times New Roman"/>
                <w:color w:val="000000"/>
                <w:sz w:val="18"/>
                <w:szCs w:val="18"/>
                <w:lang w:val="en-US"/>
              </w:rPr>
              <w:t>c) Increase of residency places - 2006</w:t>
            </w:r>
          </w:p>
        </w:tc>
        <w:tc>
          <w:tcPr>
            <w:tcW w:w="1276"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34"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80" w:type="dxa"/>
            <w:tcBorders>
              <w:top w:val="nil"/>
              <w:left w:val="nil"/>
              <w:bottom w:val="single" w:sz="4" w:space="0" w:color="auto"/>
              <w:right w:val="single" w:sz="4" w:space="0" w:color="auto"/>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088" w:type="dxa"/>
            <w:gridSpan w:val="2"/>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80"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79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33"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480" w:lineRule="auto"/>
              <w:jc w:val="center"/>
              <w:rPr>
                <w:rFonts w:eastAsia="Times New Roman"/>
                <w:color w:val="000000"/>
                <w:sz w:val="16"/>
                <w:szCs w:val="16"/>
                <w:lang w:val="en-US"/>
              </w:rPr>
            </w:pPr>
            <w:r w:rsidRPr="00262941">
              <w:rPr>
                <w:rFonts w:eastAsia="Times New Roman"/>
                <w:color w:val="000000"/>
                <w:sz w:val="16"/>
                <w:szCs w:val="16"/>
                <w:lang w:val="en-US"/>
              </w:rPr>
              <w:t> </w:t>
            </w:r>
          </w:p>
        </w:tc>
      </w:tr>
      <w:tr w:rsidR="002744EF" w:rsidRPr="00262941" w:rsidTr="00673311">
        <w:trPr>
          <w:trHeight w:val="709"/>
        </w:trPr>
        <w:tc>
          <w:tcPr>
            <w:tcW w:w="538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rPr>
                <w:rFonts w:eastAsia="Times New Roman"/>
                <w:color w:val="000000"/>
                <w:sz w:val="18"/>
                <w:szCs w:val="18"/>
                <w:lang w:val="en-US"/>
              </w:rPr>
            </w:pPr>
            <w:r w:rsidRPr="00262941">
              <w:rPr>
                <w:rFonts w:eastAsia="Times New Roman"/>
                <w:color w:val="000000"/>
                <w:sz w:val="18"/>
                <w:szCs w:val="18"/>
                <w:lang w:val="en-US"/>
              </w:rPr>
              <w:t xml:space="preserve">d) Regulation of re-hiring of retired physicians (benefits include accumulation of the pension with a third of the remuneration) - 2010 </w:t>
            </w:r>
          </w:p>
        </w:tc>
        <w:tc>
          <w:tcPr>
            <w:tcW w:w="1276"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34" w:type="dxa"/>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80" w:type="dxa"/>
            <w:tcBorders>
              <w:top w:val="nil"/>
              <w:left w:val="nil"/>
              <w:bottom w:val="single" w:sz="4" w:space="0" w:color="auto"/>
              <w:right w:val="single" w:sz="4" w:space="0" w:color="auto"/>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088" w:type="dxa"/>
            <w:gridSpan w:val="2"/>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80" w:type="dxa"/>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79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33"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480" w:lineRule="auto"/>
              <w:jc w:val="center"/>
              <w:rPr>
                <w:rFonts w:eastAsia="Times New Roman"/>
                <w:color w:val="000000"/>
                <w:sz w:val="16"/>
                <w:szCs w:val="16"/>
                <w:lang w:val="en-US"/>
              </w:rPr>
            </w:pPr>
            <w:r w:rsidRPr="00262941">
              <w:rPr>
                <w:rFonts w:eastAsia="Times New Roman"/>
                <w:color w:val="000000"/>
                <w:sz w:val="16"/>
                <w:szCs w:val="16"/>
                <w:lang w:val="en-US"/>
              </w:rPr>
              <w:t> </w:t>
            </w:r>
          </w:p>
        </w:tc>
      </w:tr>
      <w:tr w:rsidR="002744EF" w:rsidRPr="00262941" w:rsidTr="001C2FD3">
        <w:trPr>
          <w:trHeight w:val="546"/>
        </w:trPr>
        <w:tc>
          <w:tcPr>
            <w:tcW w:w="538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rPr>
                <w:rFonts w:eastAsia="Times New Roman"/>
                <w:color w:val="000000"/>
                <w:sz w:val="18"/>
                <w:szCs w:val="18"/>
                <w:lang w:val="en-US"/>
              </w:rPr>
            </w:pPr>
            <w:r w:rsidRPr="00262941">
              <w:rPr>
                <w:rFonts w:eastAsia="Times New Roman"/>
                <w:color w:val="000000"/>
                <w:sz w:val="18"/>
                <w:szCs w:val="18"/>
                <w:lang w:val="en-US"/>
              </w:rPr>
              <w:t>e) Reserved vacancies (receive a monthly amount of residency grant) - 2004</w:t>
            </w:r>
          </w:p>
        </w:tc>
        <w:tc>
          <w:tcPr>
            <w:tcW w:w="1276" w:type="dxa"/>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34" w:type="dxa"/>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80" w:type="dxa"/>
            <w:tcBorders>
              <w:top w:val="nil"/>
              <w:left w:val="nil"/>
              <w:bottom w:val="single" w:sz="4" w:space="0" w:color="auto"/>
              <w:right w:val="single" w:sz="4" w:space="0" w:color="auto"/>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088" w:type="dxa"/>
            <w:gridSpan w:val="2"/>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80"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79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financial*</w:t>
            </w:r>
          </w:p>
        </w:tc>
        <w:tc>
          <w:tcPr>
            <w:tcW w:w="1133"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480" w:lineRule="auto"/>
              <w:jc w:val="center"/>
              <w:rPr>
                <w:rFonts w:eastAsia="Times New Roman"/>
                <w:color w:val="000000"/>
                <w:sz w:val="16"/>
                <w:szCs w:val="16"/>
                <w:lang w:val="en-US"/>
              </w:rPr>
            </w:pPr>
            <w:r w:rsidRPr="00262941">
              <w:rPr>
                <w:rFonts w:eastAsia="Times New Roman"/>
                <w:color w:val="000000"/>
                <w:sz w:val="16"/>
                <w:szCs w:val="16"/>
                <w:lang w:val="en-US"/>
              </w:rPr>
              <w:t> </w:t>
            </w:r>
          </w:p>
        </w:tc>
      </w:tr>
      <w:tr w:rsidR="002744EF" w:rsidRPr="00262941" w:rsidTr="00673311">
        <w:trPr>
          <w:trHeight w:val="558"/>
        </w:trPr>
        <w:tc>
          <w:tcPr>
            <w:tcW w:w="538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rPr>
                <w:rFonts w:eastAsia="Times New Roman"/>
                <w:color w:val="000000"/>
                <w:sz w:val="18"/>
                <w:szCs w:val="18"/>
                <w:lang w:val="en-US"/>
              </w:rPr>
            </w:pPr>
            <w:r w:rsidRPr="00262941">
              <w:rPr>
                <w:rFonts w:eastAsia="Times New Roman"/>
                <w:color w:val="000000"/>
                <w:sz w:val="18"/>
                <w:szCs w:val="18"/>
                <w:lang w:val="en-US"/>
              </w:rPr>
              <w:t>f) Partial Mobility of professionals (sets an amount of daily allowance and applicable transports) - 1998</w:t>
            </w:r>
          </w:p>
        </w:tc>
        <w:tc>
          <w:tcPr>
            <w:tcW w:w="1276" w:type="dxa"/>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34"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80" w:type="dxa"/>
            <w:tcBorders>
              <w:top w:val="nil"/>
              <w:left w:val="nil"/>
              <w:bottom w:val="single" w:sz="4" w:space="0" w:color="auto"/>
              <w:right w:val="single" w:sz="4" w:space="0" w:color="auto"/>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088" w:type="dxa"/>
            <w:gridSpan w:val="2"/>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80"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79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financial*</w:t>
            </w:r>
          </w:p>
        </w:tc>
        <w:tc>
          <w:tcPr>
            <w:tcW w:w="1133"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480" w:lineRule="auto"/>
              <w:jc w:val="center"/>
              <w:rPr>
                <w:rFonts w:eastAsia="Times New Roman"/>
                <w:color w:val="000000"/>
                <w:sz w:val="16"/>
                <w:szCs w:val="16"/>
                <w:lang w:val="en-US"/>
              </w:rPr>
            </w:pPr>
            <w:r w:rsidRPr="00262941">
              <w:rPr>
                <w:rFonts w:eastAsia="Times New Roman"/>
                <w:color w:val="000000"/>
                <w:sz w:val="16"/>
                <w:szCs w:val="16"/>
                <w:lang w:val="en-US"/>
              </w:rPr>
              <w:t> </w:t>
            </w:r>
          </w:p>
        </w:tc>
      </w:tr>
      <w:tr w:rsidR="002744EF" w:rsidRPr="00262941" w:rsidTr="00673311">
        <w:trPr>
          <w:trHeight w:val="756"/>
        </w:trPr>
        <w:tc>
          <w:tcPr>
            <w:tcW w:w="5387" w:type="dxa"/>
            <w:tcBorders>
              <w:top w:val="nil"/>
              <w:left w:val="nil"/>
              <w:bottom w:val="single" w:sz="4" w:space="0" w:color="auto"/>
              <w:right w:val="nil"/>
            </w:tcBorders>
            <w:shd w:val="clear" w:color="auto" w:fill="auto"/>
            <w:vAlign w:val="center"/>
          </w:tcPr>
          <w:p w:rsidR="002744EF" w:rsidRPr="00262941" w:rsidRDefault="002744EF" w:rsidP="00BF5934">
            <w:pPr>
              <w:suppressAutoHyphens w:val="0"/>
              <w:spacing w:after="0" w:line="240" w:lineRule="auto"/>
              <w:rPr>
                <w:rFonts w:eastAsia="Times New Roman"/>
                <w:color w:val="000000"/>
                <w:sz w:val="18"/>
                <w:szCs w:val="18"/>
                <w:lang w:val="en-US"/>
              </w:rPr>
            </w:pPr>
            <w:r w:rsidRPr="00262941">
              <w:rPr>
                <w:rFonts w:eastAsia="Times New Roman"/>
                <w:color w:val="000000"/>
                <w:sz w:val="18"/>
                <w:szCs w:val="18"/>
                <w:lang w:val="en-US"/>
              </w:rPr>
              <w:t>h) Financial and non-financial incentives to work in an underserved area (non-financial incentives, such as children’s school transfer guarantee and increasing the holiday leave by two days) - 2015</w:t>
            </w:r>
          </w:p>
        </w:tc>
        <w:tc>
          <w:tcPr>
            <w:tcW w:w="1276" w:type="dxa"/>
            <w:tcBorders>
              <w:top w:val="nil"/>
              <w:left w:val="nil"/>
              <w:bottom w:val="single" w:sz="4" w:space="0" w:color="auto"/>
              <w:right w:val="nil"/>
            </w:tcBorders>
            <w:shd w:val="clear" w:color="auto" w:fill="auto"/>
            <w:vAlign w:val="center"/>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34" w:type="dxa"/>
            <w:tcBorders>
              <w:top w:val="nil"/>
              <w:left w:val="nil"/>
              <w:bottom w:val="single" w:sz="4" w:space="0" w:color="auto"/>
              <w:right w:val="nil"/>
            </w:tcBorders>
            <w:shd w:val="clear" w:color="auto" w:fill="auto"/>
            <w:vAlign w:val="center"/>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80" w:type="dxa"/>
            <w:tcBorders>
              <w:top w:val="nil"/>
              <w:left w:val="nil"/>
              <w:bottom w:val="single" w:sz="4" w:space="0" w:color="auto"/>
              <w:right w:val="single" w:sz="4" w:space="0" w:color="auto"/>
            </w:tcBorders>
            <w:shd w:val="clear" w:color="auto" w:fill="auto"/>
            <w:vAlign w:val="center"/>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088" w:type="dxa"/>
            <w:gridSpan w:val="2"/>
            <w:tcBorders>
              <w:top w:val="nil"/>
              <w:left w:val="nil"/>
              <w:bottom w:val="single" w:sz="4" w:space="0" w:color="auto"/>
              <w:right w:val="nil"/>
            </w:tcBorders>
            <w:shd w:val="clear" w:color="auto" w:fill="auto"/>
            <w:vAlign w:val="center"/>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80" w:type="dxa"/>
            <w:tcBorders>
              <w:top w:val="nil"/>
              <w:left w:val="nil"/>
              <w:bottom w:val="single" w:sz="4" w:space="0" w:color="auto"/>
              <w:right w:val="nil"/>
            </w:tcBorders>
            <w:shd w:val="clear" w:color="auto" w:fill="auto"/>
            <w:vAlign w:val="center"/>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797" w:type="dxa"/>
            <w:tcBorders>
              <w:top w:val="nil"/>
              <w:left w:val="nil"/>
              <w:bottom w:val="single" w:sz="4" w:space="0" w:color="auto"/>
              <w:right w:val="nil"/>
            </w:tcBorders>
            <w:shd w:val="clear" w:color="auto" w:fill="auto"/>
            <w:vAlign w:val="center"/>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financial and personal and professional support*</w:t>
            </w:r>
          </w:p>
        </w:tc>
        <w:tc>
          <w:tcPr>
            <w:tcW w:w="1133" w:type="dxa"/>
            <w:tcBorders>
              <w:top w:val="nil"/>
              <w:left w:val="nil"/>
              <w:bottom w:val="single" w:sz="4" w:space="0" w:color="auto"/>
              <w:right w:val="nil"/>
            </w:tcBorders>
            <w:shd w:val="clear" w:color="auto" w:fill="auto"/>
            <w:vAlign w:val="center"/>
          </w:tcPr>
          <w:p w:rsidR="002744EF" w:rsidRPr="00262941" w:rsidRDefault="002744EF" w:rsidP="00BF5934">
            <w:pPr>
              <w:suppressAutoHyphens w:val="0"/>
              <w:spacing w:after="0" w:line="480" w:lineRule="auto"/>
              <w:jc w:val="center"/>
              <w:rPr>
                <w:rFonts w:eastAsia="Times New Roman"/>
                <w:color w:val="000000"/>
                <w:sz w:val="16"/>
                <w:szCs w:val="16"/>
                <w:lang w:val="en-US"/>
              </w:rPr>
            </w:pPr>
          </w:p>
        </w:tc>
      </w:tr>
      <w:tr w:rsidR="002744EF" w:rsidRPr="00262941" w:rsidTr="00673311">
        <w:trPr>
          <w:trHeight w:val="421"/>
        </w:trPr>
        <w:tc>
          <w:tcPr>
            <w:tcW w:w="538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rPr>
                <w:rFonts w:eastAsia="Times New Roman"/>
                <w:color w:val="000000"/>
                <w:sz w:val="18"/>
                <w:szCs w:val="18"/>
                <w:lang w:val="en-US"/>
              </w:rPr>
            </w:pPr>
            <w:r w:rsidRPr="00262941">
              <w:rPr>
                <w:rFonts w:eastAsia="Times New Roman"/>
                <w:color w:val="000000"/>
                <w:sz w:val="18"/>
                <w:szCs w:val="18"/>
                <w:lang w:val="en-US"/>
              </w:rPr>
              <w:t>h) Bilateral agreement Uruguay - 2008</w:t>
            </w:r>
          </w:p>
        </w:tc>
        <w:tc>
          <w:tcPr>
            <w:tcW w:w="1276" w:type="dxa"/>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34" w:type="dxa"/>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80" w:type="dxa"/>
            <w:tcBorders>
              <w:top w:val="nil"/>
              <w:left w:val="nil"/>
              <w:bottom w:val="single" w:sz="4" w:space="0" w:color="auto"/>
              <w:right w:val="single" w:sz="4" w:space="0" w:color="auto"/>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088" w:type="dxa"/>
            <w:gridSpan w:val="2"/>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80" w:type="dxa"/>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79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bilateral agreement*</w:t>
            </w:r>
          </w:p>
        </w:tc>
        <w:tc>
          <w:tcPr>
            <w:tcW w:w="1133"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480" w:lineRule="auto"/>
              <w:jc w:val="center"/>
              <w:rPr>
                <w:rFonts w:eastAsia="Times New Roman"/>
                <w:color w:val="000000"/>
                <w:sz w:val="16"/>
                <w:szCs w:val="16"/>
                <w:lang w:val="en-US"/>
              </w:rPr>
            </w:pPr>
            <w:r w:rsidRPr="00262941">
              <w:rPr>
                <w:rFonts w:eastAsia="Times New Roman"/>
                <w:color w:val="000000"/>
                <w:sz w:val="16"/>
                <w:szCs w:val="16"/>
                <w:lang w:val="en-US"/>
              </w:rPr>
              <w:t> </w:t>
            </w:r>
          </w:p>
        </w:tc>
      </w:tr>
      <w:tr w:rsidR="002744EF" w:rsidRPr="00262941" w:rsidTr="00673311">
        <w:trPr>
          <w:trHeight w:val="413"/>
        </w:trPr>
        <w:tc>
          <w:tcPr>
            <w:tcW w:w="538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rPr>
                <w:rFonts w:eastAsia="Times New Roman"/>
                <w:color w:val="000000"/>
                <w:sz w:val="18"/>
                <w:szCs w:val="18"/>
                <w:lang w:val="en-US"/>
              </w:rPr>
            </w:pPr>
            <w:r w:rsidRPr="00262941">
              <w:rPr>
                <w:rFonts w:eastAsia="Times New Roman"/>
                <w:color w:val="000000"/>
                <w:sz w:val="18"/>
                <w:szCs w:val="18"/>
                <w:lang w:val="en-US"/>
              </w:rPr>
              <w:t>h) Bilateral agreement Cuba -2009, 2012 e 2014</w:t>
            </w:r>
          </w:p>
        </w:tc>
        <w:tc>
          <w:tcPr>
            <w:tcW w:w="1276" w:type="dxa"/>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34" w:type="dxa"/>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80" w:type="dxa"/>
            <w:tcBorders>
              <w:top w:val="nil"/>
              <w:left w:val="nil"/>
              <w:bottom w:val="single" w:sz="4" w:space="0" w:color="auto"/>
              <w:right w:val="single" w:sz="4" w:space="0" w:color="auto"/>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088" w:type="dxa"/>
            <w:gridSpan w:val="2"/>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80" w:type="dxa"/>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79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bilateral agreement*</w:t>
            </w:r>
          </w:p>
        </w:tc>
        <w:tc>
          <w:tcPr>
            <w:tcW w:w="1133"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480" w:lineRule="auto"/>
              <w:jc w:val="center"/>
              <w:rPr>
                <w:rFonts w:eastAsia="Times New Roman"/>
                <w:color w:val="000000"/>
                <w:sz w:val="16"/>
                <w:szCs w:val="16"/>
                <w:lang w:val="en-US"/>
              </w:rPr>
            </w:pPr>
            <w:r w:rsidRPr="00262941">
              <w:rPr>
                <w:rFonts w:eastAsia="Times New Roman"/>
                <w:color w:val="000000"/>
                <w:sz w:val="16"/>
                <w:szCs w:val="16"/>
                <w:lang w:val="en-US"/>
              </w:rPr>
              <w:t> </w:t>
            </w:r>
          </w:p>
        </w:tc>
      </w:tr>
      <w:tr w:rsidR="002744EF" w:rsidRPr="00262941" w:rsidTr="00673311">
        <w:trPr>
          <w:trHeight w:val="405"/>
        </w:trPr>
        <w:tc>
          <w:tcPr>
            <w:tcW w:w="538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rPr>
                <w:rFonts w:eastAsia="Times New Roman"/>
                <w:color w:val="000000"/>
                <w:sz w:val="18"/>
                <w:szCs w:val="18"/>
                <w:lang w:val="en-US"/>
              </w:rPr>
            </w:pPr>
            <w:r w:rsidRPr="00262941">
              <w:rPr>
                <w:rFonts w:eastAsia="Times New Roman"/>
                <w:color w:val="000000"/>
                <w:sz w:val="18"/>
                <w:szCs w:val="18"/>
                <w:lang w:val="en-US"/>
              </w:rPr>
              <w:t>h) Bilateral agreement Colombia - 2011</w:t>
            </w:r>
          </w:p>
        </w:tc>
        <w:tc>
          <w:tcPr>
            <w:tcW w:w="1276" w:type="dxa"/>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34" w:type="dxa"/>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80" w:type="dxa"/>
            <w:tcBorders>
              <w:top w:val="nil"/>
              <w:left w:val="nil"/>
              <w:bottom w:val="single" w:sz="4" w:space="0" w:color="auto"/>
              <w:right w:val="single" w:sz="4" w:space="0" w:color="auto"/>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088" w:type="dxa"/>
            <w:gridSpan w:val="2"/>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80" w:type="dxa"/>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79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bilateral agreement*</w:t>
            </w:r>
          </w:p>
        </w:tc>
        <w:tc>
          <w:tcPr>
            <w:tcW w:w="1133"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480" w:lineRule="auto"/>
              <w:jc w:val="center"/>
              <w:rPr>
                <w:rFonts w:eastAsia="Times New Roman"/>
                <w:color w:val="000000"/>
                <w:sz w:val="16"/>
                <w:szCs w:val="16"/>
                <w:lang w:val="en-US"/>
              </w:rPr>
            </w:pPr>
            <w:r w:rsidRPr="00262941">
              <w:rPr>
                <w:rFonts w:eastAsia="Times New Roman"/>
                <w:color w:val="000000"/>
                <w:sz w:val="16"/>
                <w:szCs w:val="16"/>
                <w:lang w:val="en-US"/>
              </w:rPr>
              <w:t> </w:t>
            </w:r>
          </w:p>
        </w:tc>
      </w:tr>
      <w:tr w:rsidR="002744EF" w:rsidRPr="00262941" w:rsidTr="00673311">
        <w:trPr>
          <w:trHeight w:val="425"/>
        </w:trPr>
        <w:tc>
          <w:tcPr>
            <w:tcW w:w="538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480" w:lineRule="auto"/>
              <w:rPr>
                <w:rFonts w:eastAsia="Times New Roman"/>
                <w:color w:val="000000"/>
                <w:sz w:val="18"/>
                <w:szCs w:val="18"/>
                <w:lang w:val="en-US"/>
              </w:rPr>
            </w:pPr>
            <w:r w:rsidRPr="00262941">
              <w:rPr>
                <w:rFonts w:eastAsia="Times New Roman"/>
                <w:color w:val="000000"/>
                <w:sz w:val="18"/>
                <w:szCs w:val="18"/>
                <w:lang w:val="en-US"/>
              </w:rPr>
              <w:t>h) Bilateral agreement Costa Rica - 2011</w:t>
            </w:r>
          </w:p>
        </w:tc>
        <w:tc>
          <w:tcPr>
            <w:tcW w:w="1276" w:type="dxa"/>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34" w:type="dxa"/>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80" w:type="dxa"/>
            <w:tcBorders>
              <w:top w:val="nil"/>
              <w:left w:val="nil"/>
              <w:bottom w:val="single" w:sz="4" w:space="0" w:color="auto"/>
              <w:right w:val="single" w:sz="4" w:space="0" w:color="auto"/>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088" w:type="dxa"/>
            <w:gridSpan w:val="2"/>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80" w:type="dxa"/>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79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bilateral agreement*</w:t>
            </w:r>
          </w:p>
        </w:tc>
        <w:tc>
          <w:tcPr>
            <w:tcW w:w="1133"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480" w:lineRule="auto"/>
              <w:jc w:val="center"/>
              <w:rPr>
                <w:rFonts w:eastAsia="Times New Roman"/>
                <w:color w:val="000000"/>
                <w:sz w:val="16"/>
                <w:szCs w:val="16"/>
                <w:lang w:val="en-US"/>
              </w:rPr>
            </w:pPr>
            <w:r w:rsidRPr="00262941">
              <w:rPr>
                <w:rFonts w:eastAsia="Times New Roman"/>
                <w:color w:val="000000"/>
                <w:sz w:val="16"/>
                <w:szCs w:val="16"/>
                <w:lang w:val="en-US"/>
              </w:rPr>
              <w:t> </w:t>
            </w:r>
          </w:p>
        </w:tc>
      </w:tr>
      <w:tr w:rsidR="002744EF" w:rsidRPr="00262941" w:rsidTr="00673311">
        <w:trPr>
          <w:trHeight w:val="417"/>
        </w:trPr>
        <w:tc>
          <w:tcPr>
            <w:tcW w:w="5387" w:type="dxa"/>
            <w:tcBorders>
              <w:top w:val="nil"/>
              <w:left w:val="nil"/>
              <w:bottom w:val="single" w:sz="4" w:space="0" w:color="auto"/>
              <w:right w:val="nil"/>
            </w:tcBorders>
            <w:shd w:val="clear" w:color="auto" w:fill="auto"/>
            <w:vAlign w:val="center"/>
          </w:tcPr>
          <w:p w:rsidR="002744EF" w:rsidRPr="00262941" w:rsidRDefault="002744EF" w:rsidP="00BF5934">
            <w:pPr>
              <w:suppressAutoHyphens w:val="0"/>
              <w:spacing w:after="0" w:line="240" w:lineRule="auto"/>
              <w:rPr>
                <w:rFonts w:eastAsia="Times New Roman"/>
                <w:color w:val="000000"/>
                <w:sz w:val="18"/>
                <w:szCs w:val="18"/>
                <w:lang w:val="en-US"/>
              </w:rPr>
            </w:pPr>
            <w:r w:rsidRPr="00262941">
              <w:rPr>
                <w:rFonts w:eastAsia="Times New Roman"/>
                <w:color w:val="000000"/>
                <w:sz w:val="18"/>
                <w:szCs w:val="18"/>
                <w:lang w:val="en-US"/>
              </w:rPr>
              <w:t>j) Primary health care reform - 2005</w:t>
            </w:r>
          </w:p>
        </w:tc>
        <w:tc>
          <w:tcPr>
            <w:tcW w:w="1276" w:type="dxa"/>
            <w:tcBorders>
              <w:top w:val="nil"/>
              <w:left w:val="nil"/>
              <w:bottom w:val="single" w:sz="4" w:space="0" w:color="auto"/>
              <w:right w:val="nil"/>
            </w:tcBorders>
            <w:shd w:val="clear" w:color="auto" w:fill="auto"/>
            <w:vAlign w:val="center"/>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34" w:type="dxa"/>
            <w:tcBorders>
              <w:top w:val="nil"/>
              <w:left w:val="nil"/>
              <w:bottom w:val="single" w:sz="4" w:space="0" w:color="auto"/>
              <w:right w:val="nil"/>
            </w:tcBorders>
            <w:shd w:val="clear" w:color="auto" w:fill="auto"/>
            <w:vAlign w:val="center"/>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80" w:type="dxa"/>
            <w:tcBorders>
              <w:top w:val="nil"/>
              <w:left w:val="nil"/>
              <w:bottom w:val="single" w:sz="4" w:space="0" w:color="auto"/>
              <w:right w:val="single" w:sz="4" w:space="0" w:color="auto"/>
            </w:tcBorders>
            <w:shd w:val="clear" w:color="auto" w:fill="auto"/>
            <w:vAlign w:val="center"/>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088" w:type="dxa"/>
            <w:gridSpan w:val="2"/>
            <w:tcBorders>
              <w:top w:val="nil"/>
              <w:left w:val="nil"/>
              <w:bottom w:val="single" w:sz="4" w:space="0" w:color="auto"/>
              <w:right w:val="nil"/>
            </w:tcBorders>
            <w:shd w:val="clear" w:color="auto" w:fill="auto"/>
            <w:vAlign w:val="center"/>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80" w:type="dxa"/>
            <w:tcBorders>
              <w:top w:val="nil"/>
              <w:left w:val="nil"/>
              <w:bottom w:val="single" w:sz="4" w:space="0" w:color="auto"/>
              <w:right w:val="nil"/>
            </w:tcBorders>
            <w:shd w:val="clear" w:color="auto" w:fill="auto"/>
            <w:vAlign w:val="center"/>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797" w:type="dxa"/>
            <w:tcBorders>
              <w:top w:val="nil"/>
              <w:left w:val="nil"/>
              <w:bottom w:val="single" w:sz="4" w:space="0" w:color="auto"/>
              <w:right w:val="nil"/>
            </w:tcBorders>
            <w:shd w:val="clear" w:color="auto" w:fill="auto"/>
            <w:vAlign w:val="center"/>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xml:space="preserve">personal and professional support* </w:t>
            </w:r>
          </w:p>
        </w:tc>
        <w:tc>
          <w:tcPr>
            <w:tcW w:w="1133" w:type="dxa"/>
            <w:tcBorders>
              <w:top w:val="nil"/>
              <w:left w:val="nil"/>
              <w:bottom w:val="single" w:sz="4" w:space="0" w:color="auto"/>
              <w:right w:val="nil"/>
            </w:tcBorders>
            <w:shd w:val="clear" w:color="auto" w:fill="auto"/>
            <w:vAlign w:val="center"/>
          </w:tcPr>
          <w:p w:rsidR="002744EF" w:rsidRPr="00262941" w:rsidRDefault="002744EF" w:rsidP="00BF5934">
            <w:pPr>
              <w:suppressAutoHyphens w:val="0"/>
              <w:spacing w:after="0" w:line="480" w:lineRule="auto"/>
              <w:jc w:val="center"/>
              <w:rPr>
                <w:rFonts w:eastAsia="Times New Roman"/>
                <w:color w:val="000000"/>
                <w:sz w:val="16"/>
                <w:szCs w:val="16"/>
                <w:lang w:val="en-US"/>
              </w:rPr>
            </w:pPr>
            <w:r w:rsidRPr="00262941">
              <w:rPr>
                <w:rFonts w:eastAsia="Times New Roman"/>
                <w:color w:val="000000"/>
                <w:sz w:val="16"/>
                <w:szCs w:val="16"/>
                <w:lang w:val="en-US"/>
              </w:rPr>
              <w:t> </w:t>
            </w:r>
          </w:p>
        </w:tc>
      </w:tr>
      <w:tr w:rsidR="002744EF" w:rsidRPr="00262941" w:rsidTr="00673311">
        <w:trPr>
          <w:trHeight w:val="261"/>
        </w:trPr>
        <w:tc>
          <w:tcPr>
            <w:tcW w:w="538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rPr>
                <w:rFonts w:eastAsia="Times New Roman"/>
                <w:color w:val="000000"/>
                <w:sz w:val="18"/>
                <w:szCs w:val="18"/>
                <w:lang w:val="en-US"/>
              </w:rPr>
            </w:pPr>
            <w:proofErr w:type="spellStart"/>
            <w:r w:rsidRPr="00262941">
              <w:rPr>
                <w:rFonts w:eastAsia="Times New Roman"/>
                <w:color w:val="000000"/>
                <w:sz w:val="18"/>
                <w:szCs w:val="18"/>
                <w:lang w:val="en-US"/>
              </w:rPr>
              <w:t>i</w:t>
            </w:r>
            <w:proofErr w:type="spellEnd"/>
            <w:r w:rsidRPr="00262941">
              <w:rPr>
                <w:rFonts w:eastAsia="Times New Roman"/>
                <w:color w:val="000000"/>
                <w:sz w:val="18"/>
                <w:szCs w:val="18"/>
                <w:lang w:val="en-US"/>
              </w:rPr>
              <w:t>) Quota of 25% of residency places for GPs - 2006</w:t>
            </w:r>
          </w:p>
        </w:tc>
        <w:tc>
          <w:tcPr>
            <w:tcW w:w="1276"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134" w:type="dxa"/>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80" w:type="dxa"/>
            <w:tcBorders>
              <w:top w:val="nil"/>
              <w:left w:val="nil"/>
              <w:bottom w:val="single" w:sz="4" w:space="0" w:color="auto"/>
              <w:right w:val="single" w:sz="4" w:space="0" w:color="auto"/>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088" w:type="dxa"/>
            <w:gridSpan w:val="2"/>
            <w:tcBorders>
              <w:top w:val="nil"/>
              <w:left w:val="nil"/>
              <w:bottom w:val="single" w:sz="4" w:space="0" w:color="auto"/>
              <w:right w:val="nil"/>
            </w:tcBorders>
            <w:shd w:val="clear" w:color="auto" w:fill="auto"/>
            <w:vAlign w:val="center"/>
            <w:hideMark/>
          </w:tcPr>
          <w:p w:rsidR="002744EF" w:rsidRPr="00262941" w:rsidRDefault="00A43CA7" w:rsidP="00BF5934">
            <w:pPr>
              <w:suppressAutoHyphens w:val="0"/>
              <w:spacing w:after="0" w:line="240" w:lineRule="auto"/>
              <w:jc w:val="center"/>
              <w:rPr>
                <w:rFonts w:eastAsia="Times New Roman"/>
                <w:color w:val="000000"/>
                <w:sz w:val="16"/>
                <w:szCs w:val="16"/>
                <w:lang w:val="en-US"/>
              </w:rPr>
            </w:pPr>
            <w:r>
              <w:rPr>
                <w:rFonts w:eastAsia="Times New Roman"/>
                <w:color w:val="000000"/>
                <w:sz w:val="16"/>
                <w:szCs w:val="16"/>
                <w:lang w:val="en-US"/>
              </w:rPr>
              <w:sym w:font="Wingdings" w:char="F0FC"/>
            </w:r>
          </w:p>
        </w:tc>
        <w:tc>
          <w:tcPr>
            <w:tcW w:w="1180"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 </w:t>
            </w:r>
          </w:p>
        </w:tc>
        <w:tc>
          <w:tcPr>
            <w:tcW w:w="1797"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240" w:lineRule="auto"/>
              <w:jc w:val="center"/>
              <w:rPr>
                <w:rFonts w:eastAsia="Times New Roman"/>
                <w:color w:val="000000"/>
                <w:sz w:val="16"/>
                <w:szCs w:val="16"/>
                <w:lang w:val="en-US"/>
              </w:rPr>
            </w:pPr>
            <w:r w:rsidRPr="00262941">
              <w:rPr>
                <w:rFonts w:eastAsia="Times New Roman"/>
                <w:color w:val="000000"/>
                <w:sz w:val="16"/>
                <w:szCs w:val="16"/>
                <w:lang w:val="en-US"/>
              </w:rPr>
              <w:t>administrative*</w:t>
            </w:r>
          </w:p>
        </w:tc>
        <w:tc>
          <w:tcPr>
            <w:tcW w:w="1133" w:type="dxa"/>
            <w:tcBorders>
              <w:top w:val="nil"/>
              <w:left w:val="nil"/>
              <w:bottom w:val="single" w:sz="4" w:space="0" w:color="auto"/>
              <w:right w:val="nil"/>
            </w:tcBorders>
            <w:shd w:val="clear" w:color="auto" w:fill="auto"/>
            <w:vAlign w:val="center"/>
            <w:hideMark/>
          </w:tcPr>
          <w:p w:rsidR="002744EF" w:rsidRPr="00262941" w:rsidRDefault="002744EF" w:rsidP="00BF5934">
            <w:pPr>
              <w:suppressAutoHyphens w:val="0"/>
              <w:spacing w:after="0" w:line="480" w:lineRule="auto"/>
              <w:jc w:val="center"/>
              <w:rPr>
                <w:rFonts w:eastAsia="Times New Roman"/>
                <w:color w:val="000000"/>
                <w:sz w:val="16"/>
                <w:szCs w:val="16"/>
                <w:lang w:val="en-US"/>
              </w:rPr>
            </w:pPr>
            <w:r w:rsidRPr="00262941">
              <w:rPr>
                <w:rFonts w:eastAsia="Times New Roman"/>
                <w:color w:val="000000"/>
                <w:sz w:val="16"/>
                <w:szCs w:val="16"/>
                <w:lang w:val="en-US"/>
              </w:rPr>
              <w:t> </w:t>
            </w:r>
          </w:p>
        </w:tc>
      </w:tr>
    </w:tbl>
    <w:p w:rsidR="007E7BC3" w:rsidRDefault="002744EF">
      <w:pPr>
        <w:spacing w:after="0" w:line="240" w:lineRule="auto"/>
        <w:jc w:val="both"/>
      </w:pPr>
      <w:r w:rsidRPr="00262941">
        <w:rPr>
          <w:rFonts w:asciiTheme="minorHAnsi" w:hAnsiTheme="minorHAnsi"/>
          <w:sz w:val="16"/>
          <w:szCs w:val="16"/>
        </w:rPr>
        <w:t xml:space="preserve">*Interventions (policy and regulation) to attract, recruit or retain the health workers to a determinant region, level or specialty can be divided into five categories specifically to tackle the geographical workforce maldistribution. The areas of action of interventions are: regulatory administrative; educational; financial; personal and professional support </w:t>
      </w:r>
      <w:r w:rsidR="007E7BC3" w:rsidRPr="00262941">
        <w:rPr>
          <w:rFonts w:asciiTheme="minorHAnsi" w:hAnsiTheme="minorHAnsi"/>
          <w:sz w:val="16"/>
          <w:szCs w:val="16"/>
        </w:rPr>
        <w:fldChar w:fldCharType="begin" w:fldLock="1"/>
      </w:r>
      <w:r w:rsidR="000C1801">
        <w:rPr>
          <w:rFonts w:asciiTheme="minorHAnsi" w:hAnsiTheme="minorHAnsi"/>
          <w:sz w:val="16"/>
          <w:szCs w:val="16"/>
        </w:rPr>
        <w:instrText>ADDIN CSL_CITATION { "citationItems" : [ { "id" : "ITEM-1", "itemData" : { "ISBN" : "978924156014", "abstract" : "Policy-makers in all countries, regardless of their level of economic development, struggle to achieve health equity and to meet the health needs of their populations, especially vulnerable and disadvantaged groups. One of their most complex challenges is ensuring people living in rural and remote locations have access to trained health workers. Skilled and motivated health workers in sufficient numbers at the right place and at the right time are critical to deliver effective health services and improve health outcomes. A shortage of qualified health workers in remote and rural areas impedes access to health-care services for a significant percentage of the population, slows progress towards attaining the Millennium Development Goals and challenges the aspirations of achieving health for all. The World Health Organization (WHO) has produced these recommenda- tions in response to requests from global leaders, civil society and Member States.", "author" : [ { "dropping-particle" : "", "family" : "WHO", "given" : "", "non-dropping-particle" : "", "parse-names" : false, "suffix" : "" } ], "container-title" : "World Health Organization", "id" : "ITEM-1", "issue" : "February", "issued" : { "date-parts" : [ [ "2010" ] ] }, "number-of-pages" : "3-69", "publisher-place" : "Geneva, Switzerland", "title" : "Increasing access to health workers in remote and rural areas through improved retention", "type" : "report" }, "uris" : [ "http://www.mendeley.com/documents/?uuid=fbc0efe4-6a82-4565-8527-76bdd03bc937" ] }, { "id" : "ITEM-2", "itemData" : { "DOI" : "10.1186/1478-4491-4-12", "ISBN" : "1478-4491", "ISSN" : "1478-4491", "PMID" : "16729892", "abstract" : "Access to good-quality health services is crucial for the improvement of many health outcomes, such as those targeted by the Millennium Development Goals (MDGs) adopted by the international community in 2000. The health-related MDGs cannot be achieved if vulnerable populations do not have access to skilled personnel and to other necessary inputs. This paper focuses on the geographical dimension of access and on one of its critical determinants: the availability of qualified personnel. The objective of this paper is to offer a better understanding of the determinants of geographical imbalances in the distribution of health personnel, and to identify and assess the strategies developed to correct them. It reviews the recent literature on determinants, barriers and the effects of strategies that attempted to correct geographical imbalances, with a focus on empirical studies from developing and developed countries. An analysis of determinants of success and failures of strategies implemented, and a summary of lessons learnt, is included.", "author" : [ { "dropping-particle" : "", "family" : "Dussault", "given" : "Gilles", "non-dropping-particle" : "", "parse-names" : false, "suffix" : "" }, { "dropping-particle" : "", "family" : "Franceschini", "given" : "Maria Cristina", "non-dropping-particle" : "", "parse-names" : false, "suffix" : "" } ], "container-title" : "Human resources for health", "id" : "ITEM-2", "issued" : { "date-parts" : [ [ "2006" ] ] }, "page" : "12", "title" : "Not enough there, too many here: understanding geographical imbalances in the distribution of the health workforce.", "type" : "article-journal", "volume" : "4" }, "uris" : [ "http://www.mendeley.com/documents/?uuid=5e2fcb89-a119-4f87-a6b4-18ed63c03f63" ] }, { "id" : "ITEM-3", "itemData" : { "author" : [ { "dropping-particle" : "", "family" : "Barer", "given" : "Morris L.", "non-dropping-particle" : "", "parse-names" : false, "suffix" : "" }, { "dropping-particle" : "", "family" : "Wood", "given" : "Laura", "non-dropping-particle" : "", "parse-names" : false, "suffix" : "" } ], "id" : "ITEM-3", "issued" : { "date-parts" : [ [ "1997" ] ] }, "page" : "30", "publisher" : "The Univerity of British Columbia, Centre for Health Services and Policy Research, Health Human Resources Unit Research Reports", "publisher-place" : "Vancouver, BC", "title" : "Common Problems, Different 'Solutions': learging from international approaches to improving medical services access for underserved populations", "type" : "article" }, "uris" : [ "http://www.mendeley.com/documents/?uuid=5e93fa75-9ba1-4ee5-9cbe-072f2247702b" ] } ], "mendeley" : { "formattedCitation" : "[2,5,123]", "plainTextFormattedCitation" : "[2,5,123]", "previouslyFormattedCitation" : "[2,5,123]" }, "properties" : { "noteIndex" : 0 }, "schema" : "https://github.com/citation-style-language/schema/raw/master/csl-citation.json" }</w:instrText>
      </w:r>
      <w:r w:rsidR="007E7BC3" w:rsidRPr="00262941">
        <w:rPr>
          <w:rFonts w:asciiTheme="minorHAnsi" w:hAnsiTheme="minorHAnsi"/>
          <w:sz w:val="16"/>
          <w:szCs w:val="16"/>
        </w:rPr>
        <w:fldChar w:fldCharType="separate"/>
      </w:r>
      <w:r w:rsidR="000C1801" w:rsidRPr="00577047">
        <w:rPr>
          <w:rFonts w:asciiTheme="minorHAnsi" w:hAnsiTheme="minorHAnsi"/>
          <w:noProof/>
          <w:sz w:val="16"/>
          <w:szCs w:val="16"/>
        </w:rPr>
        <w:t>[2,5,123]</w:t>
      </w:r>
      <w:r w:rsidR="007E7BC3" w:rsidRPr="00262941">
        <w:rPr>
          <w:rFonts w:asciiTheme="minorHAnsi" w:hAnsiTheme="minorHAnsi"/>
          <w:sz w:val="16"/>
          <w:szCs w:val="16"/>
        </w:rPr>
        <w:fldChar w:fldCharType="end"/>
      </w:r>
      <w:r w:rsidR="000C1801" w:rsidRPr="00262941">
        <w:rPr>
          <w:rFonts w:asciiTheme="minorHAnsi" w:hAnsiTheme="minorHAnsi"/>
          <w:sz w:val="16"/>
          <w:szCs w:val="16"/>
        </w:rPr>
        <w:t>.</w:t>
      </w:r>
      <w:bookmarkStart w:id="0" w:name="_GoBack"/>
      <w:bookmarkEnd w:id="0"/>
    </w:p>
    <w:sectPr w:rsidR="007E7BC3" w:rsidSect="005B05D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a Paula Cavalcante Oliveira">
    <w15:presenceInfo w15:providerId="Windows Live" w15:userId="37d2e84ccfb9ca2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trackRevisions/>
  <w:defaultTabStop w:val="720"/>
  <w:hyphenationZone w:val="425"/>
  <w:characterSpacingControl w:val="doNotCompress"/>
  <w:compat/>
  <w:docVars>
    <w:docVar w:name="__Grammarly_42____i" w:val="H4sIAAAAAAAEAKtWckksSQxILCpxzi/NK1GyMqwFAAEhoTITAAAA"/>
    <w:docVar w:name="__Grammarly_42___1" w:val="H4sIAAAAAAAEAKtWcslP9kxRslIyNDY0MjM0tzQ3MrMwNDI1MzJQ0lEKTi0uzszPAykwqQUAlSDpmCwAAAA="/>
    <w:docVar w:name="Total_Editing_Time" w:val="0"/>
  </w:docVars>
  <w:rsids>
    <w:rsidRoot w:val="002744EF"/>
    <w:rsid w:val="000C1801"/>
    <w:rsid w:val="001C2FD3"/>
    <w:rsid w:val="002744EF"/>
    <w:rsid w:val="004574EF"/>
    <w:rsid w:val="00550EA6"/>
    <w:rsid w:val="005B05D4"/>
    <w:rsid w:val="00673311"/>
    <w:rsid w:val="007E7BC3"/>
    <w:rsid w:val="00A3593A"/>
    <w:rsid w:val="00A43CA7"/>
    <w:rsid w:val="00BB79CD"/>
    <w:rsid w:val="00D202DD"/>
    <w:rsid w:val="00D41BDA"/>
    <w:rsid w:val="00E12F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4EF"/>
    <w:pPr>
      <w:suppressAutoHyphens/>
    </w:pPr>
    <w:rPr>
      <w:rFonts w:ascii="Calibri" w:eastAsia="Droid Sans Fallback" w:hAnsi="Calibri" w:cs="Times New Roman"/>
      <w:color w:val="00000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2744EF"/>
  </w:style>
  <w:style w:type="paragraph" w:styleId="BalloonText">
    <w:name w:val="Balloon Text"/>
    <w:basedOn w:val="Normal"/>
    <w:link w:val="BalloonTextChar"/>
    <w:uiPriority w:val="99"/>
    <w:semiHidden/>
    <w:unhideWhenUsed/>
    <w:rsid w:val="00A43C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CA7"/>
    <w:rPr>
      <w:rFonts w:ascii="Segoe UI" w:eastAsia="Droid Sans Fallback" w:hAnsi="Segoe UI" w:cs="Segoe UI"/>
      <w:color w:val="00000A"/>
      <w:sz w:val="18"/>
      <w:szCs w:val="18"/>
      <w:lang w:val="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1021</Words>
  <Characters>5721</Characters>
  <Application>Microsoft Office Word</Application>
  <DocSecurity>0</DocSecurity>
  <Lines>476</Lines>
  <Paragraphs>249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Paula Cavalcante Oliveira</dc:creator>
  <cp:keywords/>
  <dc:description/>
  <cp:lastModifiedBy>VKIRAM</cp:lastModifiedBy>
  <cp:revision>5</cp:revision>
  <dcterms:created xsi:type="dcterms:W3CDTF">2017-01-24T21:47:00Z</dcterms:created>
  <dcterms:modified xsi:type="dcterms:W3CDTF">2017-02-17T02:53:00Z</dcterms:modified>
</cp:coreProperties>
</file>