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7CA" w:rsidRPr="00B07F13" w:rsidRDefault="00390030" w:rsidP="009E5D63">
      <w:pPr>
        <w:pStyle w:val="Heading1"/>
        <w:jc w:val="center"/>
      </w:pPr>
      <w:r>
        <w:t>Additional file 1</w:t>
      </w:r>
    </w:p>
    <w:p w:rsidR="009C0A2B" w:rsidRDefault="009C0A2B" w:rsidP="009E5D63">
      <w:pPr>
        <w:pStyle w:val="Heading2"/>
      </w:pPr>
      <w:r>
        <w:t>Cost table, modelled scenario</w:t>
      </w:r>
    </w:p>
    <w:p w:rsidR="008A52F6" w:rsidRDefault="00567D94" w:rsidP="008A52F6">
      <w:pPr>
        <w:jc w:val="both"/>
      </w:pPr>
      <w:r>
        <w:t xml:space="preserve">The costs for the intervention and control arm were modelled for the scenario in which each arm treated an equal number of children (n=617). </w:t>
      </w:r>
      <w:r w:rsidR="008A52F6">
        <w:t xml:space="preserve"> F</w:t>
      </w:r>
      <w:r w:rsidR="008A52F6" w:rsidRPr="001C6132">
        <w:t xml:space="preserve">ixed costs in the control arm were </w:t>
      </w:r>
      <w:r w:rsidR="008A52F6">
        <w:t xml:space="preserve">assumed adequate to cover over 600 children as this was feasible with similar resources </w:t>
      </w:r>
      <w:r w:rsidR="008A52F6" w:rsidRPr="001C6132">
        <w:t xml:space="preserve">in the intervention arm. Variable costs per child, including costs to households, and the cost of RUTF purchase, storage, security and transport were multiplied by </w:t>
      </w:r>
      <w:r w:rsidR="008A52F6">
        <w:t>617</w:t>
      </w:r>
      <w:r w:rsidR="008A52F6" w:rsidRPr="001C6132">
        <w:t xml:space="preserve"> </w:t>
      </w:r>
      <w:r w:rsidR="008A52F6">
        <w:t xml:space="preserve">to estimate a total cost. </w:t>
      </w:r>
    </w:p>
    <w:p w:rsidR="008A52F6" w:rsidRDefault="008A52F6" w:rsidP="008A52F6">
      <w:pPr>
        <w:jc w:val="both"/>
      </w:pPr>
      <w:r>
        <w:t xml:space="preserve">In this scenario most of the costs of CHW delivered care remain higher than outpatient facility care. However the costs to the beneficiary household are a third higher in the control arm reflecting the associated costs of travelling to the facility.   </w:t>
      </w:r>
    </w:p>
    <w:p w:rsidR="009C0A2B" w:rsidRDefault="009C0A2B" w:rsidP="009C0A2B">
      <w:pPr>
        <w:pStyle w:val="Caption"/>
      </w:pPr>
      <w:r w:rsidRPr="002E7BFE">
        <w:rPr>
          <w:b w:val="0"/>
          <w:color w:val="auto"/>
          <w:sz w:val="22"/>
          <w:szCs w:val="22"/>
        </w:rPr>
        <w:t xml:space="preserve">Table </w:t>
      </w:r>
      <w:r>
        <w:rPr>
          <w:b w:val="0"/>
          <w:color w:val="auto"/>
          <w:sz w:val="22"/>
          <w:szCs w:val="22"/>
        </w:rPr>
        <w:t>5:</w:t>
      </w:r>
      <w:r w:rsidRPr="002E7BFE">
        <w:rPr>
          <w:b w:val="0"/>
          <w:color w:val="auto"/>
          <w:sz w:val="22"/>
          <w:szCs w:val="22"/>
        </w:rPr>
        <w:t xml:space="preserve"> Costs per inputs for each arm in the </w:t>
      </w:r>
      <w:r w:rsidR="008732A4">
        <w:rPr>
          <w:b w:val="0"/>
          <w:color w:val="auto"/>
          <w:sz w:val="22"/>
          <w:szCs w:val="22"/>
        </w:rPr>
        <w:t xml:space="preserve">modelled scenario, with an </w:t>
      </w:r>
      <w:r>
        <w:rPr>
          <w:b w:val="0"/>
          <w:color w:val="auto"/>
          <w:sz w:val="22"/>
          <w:szCs w:val="22"/>
        </w:rPr>
        <w:t>equal</w:t>
      </w:r>
      <w:r w:rsidR="008732A4">
        <w:rPr>
          <w:b w:val="0"/>
          <w:color w:val="auto"/>
          <w:sz w:val="22"/>
          <w:szCs w:val="22"/>
        </w:rPr>
        <w:t xml:space="preserve"> number of</w:t>
      </w:r>
      <w:r>
        <w:rPr>
          <w:b w:val="0"/>
          <w:color w:val="auto"/>
          <w:sz w:val="22"/>
          <w:szCs w:val="22"/>
        </w:rPr>
        <w:t xml:space="preserve"> children treated in each arm</w:t>
      </w:r>
    </w:p>
    <w:tbl>
      <w:tblPr>
        <w:tblW w:w="8931" w:type="dxa"/>
        <w:tblInd w:w="108" w:type="dxa"/>
        <w:tblLook w:val="04A0" w:firstRow="1" w:lastRow="0" w:firstColumn="1" w:lastColumn="0" w:noHBand="0" w:noVBand="1"/>
      </w:tblPr>
      <w:tblGrid>
        <w:gridCol w:w="4156"/>
        <w:gridCol w:w="1009"/>
        <w:gridCol w:w="1356"/>
        <w:gridCol w:w="1134"/>
        <w:gridCol w:w="1276"/>
      </w:tblGrid>
      <w:tr w:rsidR="009C0A2B" w:rsidRPr="00FD55B5" w:rsidTr="00D60019">
        <w:trPr>
          <w:trHeight w:val="300"/>
        </w:trPr>
        <w:tc>
          <w:tcPr>
            <w:tcW w:w="4156" w:type="dxa"/>
            <w:tcBorders>
              <w:top w:val="single" w:sz="4" w:space="0" w:color="auto"/>
              <w:left w:val="nil"/>
              <w:bottom w:val="nil"/>
              <w:right w:val="nil"/>
            </w:tcBorders>
            <w:shd w:val="clear" w:color="auto" w:fill="auto"/>
            <w:noWrap/>
            <w:vAlign w:val="bottom"/>
            <w:hideMark/>
          </w:tcPr>
          <w:p w:rsidR="009C0A2B" w:rsidRPr="00FD55B5" w:rsidRDefault="009C0A2B" w:rsidP="00D60019">
            <w:pPr>
              <w:spacing w:after="0" w:line="240" w:lineRule="auto"/>
              <w:rPr>
                <w:rFonts w:ascii="Calibri" w:eastAsia="Times New Roman" w:hAnsi="Calibri" w:cs="Times New Roman"/>
                <w:color w:val="000000"/>
                <w:sz w:val="20"/>
                <w:szCs w:val="20"/>
                <w:lang w:eastAsia="en-GB"/>
              </w:rPr>
            </w:pPr>
            <w:r w:rsidRPr="00FD55B5">
              <w:rPr>
                <w:rFonts w:ascii="Calibri" w:eastAsia="Times New Roman" w:hAnsi="Calibri" w:cs="Times New Roman"/>
                <w:color w:val="000000"/>
                <w:sz w:val="20"/>
                <w:szCs w:val="20"/>
                <w:lang w:eastAsia="en-GB"/>
              </w:rPr>
              <w:t> </w:t>
            </w:r>
          </w:p>
        </w:tc>
        <w:tc>
          <w:tcPr>
            <w:tcW w:w="2365" w:type="dxa"/>
            <w:gridSpan w:val="2"/>
            <w:tcBorders>
              <w:top w:val="single" w:sz="4" w:space="0" w:color="auto"/>
              <w:left w:val="nil"/>
              <w:bottom w:val="nil"/>
              <w:right w:val="nil"/>
            </w:tcBorders>
            <w:shd w:val="clear" w:color="auto" w:fill="auto"/>
            <w:noWrap/>
            <w:vAlign w:val="bottom"/>
            <w:hideMark/>
          </w:tcPr>
          <w:p w:rsidR="009C0A2B" w:rsidRPr="00FD55B5" w:rsidRDefault="009C0A2B" w:rsidP="00D60019">
            <w:pPr>
              <w:spacing w:after="0" w:line="240" w:lineRule="auto"/>
              <w:jc w:val="center"/>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Intervention</w:t>
            </w:r>
          </w:p>
        </w:tc>
        <w:tc>
          <w:tcPr>
            <w:tcW w:w="2410" w:type="dxa"/>
            <w:gridSpan w:val="2"/>
            <w:tcBorders>
              <w:top w:val="single" w:sz="4" w:space="0" w:color="auto"/>
              <w:left w:val="nil"/>
              <w:bottom w:val="nil"/>
              <w:right w:val="nil"/>
            </w:tcBorders>
            <w:shd w:val="clear" w:color="auto" w:fill="auto"/>
            <w:noWrap/>
            <w:vAlign w:val="bottom"/>
            <w:hideMark/>
          </w:tcPr>
          <w:p w:rsidR="009C0A2B" w:rsidRPr="00FD55B5" w:rsidRDefault="009C0A2B" w:rsidP="00D60019">
            <w:pPr>
              <w:spacing w:after="0" w:line="240" w:lineRule="auto"/>
              <w:jc w:val="center"/>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Control</w:t>
            </w:r>
          </w:p>
        </w:tc>
      </w:tr>
      <w:tr w:rsidR="009C0A2B" w:rsidRPr="00FD55B5" w:rsidTr="00D60019">
        <w:trPr>
          <w:trHeight w:val="300"/>
        </w:trPr>
        <w:tc>
          <w:tcPr>
            <w:tcW w:w="4156" w:type="dxa"/>
            <w:tcBorders>
              <w:top w:val="nil"/>
              <w:left w:val="nil"/>
              <w:bottom w:val="single" w:sz="4" w:space="0" w:color="auto"/>
              <w:right w:val="nil"/>
            </w:tcBorders>
            <w:shd w:val="clear" w:color="auto" w:fill="auto"/>
            <w:noWrap/>
            <w:vAlign w:val="center"/>
            <w:hideMark/>
          </w:tcPr>
          <w:p w:rsidR="009C0A2B" w:rsidRPr="00FD55B5" w:rsidRDefault="009C0A2B" w:rsidP="00D60019">
            <w:pPr>
              <w:spacing w:after="0" w:line="240" w:lineRule="auto"/>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 </w:t>
            </w:r>
          </w:p>
        </w:tc>
        <w:tc>
          <w:tcPr>
            <w:tcW w:w="1009" w:type="dxa"/>
            <w:tcBorders>
              <w:top w:val="nil"/>
              <w:left w:val="nil"/>
              <w:bottom w:val="single" w:sz="4" w:space="0" w:color="auto"/>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USD</w:t>
            </w:r>
          </w:p>
        </w:tc>
        <w:tc>
          <w:tcPr>
            <w:tcW w:w="1356" w:type="dxa"/>
            <w:tcBorders>
              <w:top w:val="nil"/>
              <w:left w:val="nil"/>
              <w:bottom w:val="single" w:sz="4" w:space="0" w:color="auto"/>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 total costs</w:t>
            </w:r>
          </w:p>
        </w:tc>
        <w:tc>
          <w:tcPr>
            <w:tcW w:w="1134" w:type="dxa"/>
            <w:tcBorders>
              <w:top w:val="nil"/>
              <w:left w:val="nil"/>
              <w:bottom w:val="single" w:sz="4" w:space="0" w:color="auto"/>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USD</w:t>
            </w:r>
          </w:p>
        </w:tc>
        <w:tc>
          <w:tcPr>
            <w:tcW w:w="1276" w:type="dxa"/>
            <w:tcBorders>
              <w:top w:val="nil"/>
              <w:left w:val="nil"/>
              <w:bottom w:val="single" w:sz="4" w:space="0" w:color="auto"/>
              <w:right w:val="nil"/>
            </w:tcBorders>
            <w:shd w:val="clear" w:color="auto" w:fill="auto"/>
            <w:noWrap/>
            <w:vAlign w:val="bottom"/>
            <w:hideMark/>
          </w:tcPr>
          <w:p w:rsidR="009C0A2B" w:rsidRPr="00FD55B5" w:rsidRDefault="009C0A2B" w:rsidP="00D60019">
            <w:pPr>
              <w:spacing w:after="0" w:line="240" w:lineRule="auto"/>
              <w:jc w:val="right"/>
              <w:rPr>
                <w:rFonts w:ascii="Calibri" w:eastAsia="Times New Roman" w:hAnsi="Calibri" w:cs="Times New Roman"/>
                <w:b/>
                <w:bCs/>
                <w:color w:val="000000"/>
                <w:sz w:val="20"/>
                <w:szCs w:val="20"/>
                <w:lang w:eastAsia="en-GB"/>
              </w:rPr>
            </w:pPr>
            <w:r w:rsidRPr="00FD55B5">
              <w:rPr>
                <w:rFonts w:ascii="Calibri" w:eastAsia="Times New Roman" w:hAnsi="Calibri" w:cs="Times New Roman"/>
                <w:b/>
                <w:bCs/>
                <w:color w:val="000000"/>
                <w:sz w:val="20"/>
                <w:szCs w:val="20"/>
                <w:lang w:eastAsia="en-GB"/>
              </w:rPr>
              <w:t>% total costs</w:t>
            </w:r>
          </w:p>
        </w:tc>
      </w:tr>
      <w:tr w:rsidR="009C0A2B" w:rsidRPr="00FD55B5" w:rsidTr="00D60019">
        <w:trPr>
          <w:trHeight w:val="300"/>
        </w:trPr>
        <w:tc>
          <w:tcPr>
            <w:tcW w:w="4156"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Personnel</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86,143</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58.7%</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58,415</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50.2%</w:t>
            </w:r>
          </w:p>
        </w:tc>
      </w:tr>
      <w:tr w:rsidR="009C0A2B" w:rsidRPr="00FD55B5" w:rsidTr="00D60019">
        <w:trPr>
          <w:trHeight w:val="85"/>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 xml:space="preserve">CHWs </w:t>
            </w:r>
            <w:r w:rsidRPr="00FD55B5">
              <w:rPr>
                <w:rFonts w:ascii="Times New Roman" w:eastAsia="Times New Roman" w:hAnsi="Times New Roman" w:cs="Times New Roman"/>
                <w:i/>
                <w:iCs/>
                <w:color w:val="000000"/>
                <w:sz w:val="20"/>
                <w:szCs w:val="20"/>
                <w:lang w:eastAsia="en-GB"/>
              </w:rPr>
              <w:t>(salaried and volunteer)</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10,332</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7.0%</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3,982</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3.4%</w:t>
            </w:r>
          </w:p>
        </w:tc>
      </w:tr>
      <w:tr w:rsidR="009C0A2B" w:rsidRPr="00FD55B5" w:rsidTr="00D60019">
        <w:trPr>
          <w:trHeight w:val="300"/>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Local technical staff</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29,030</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19.8%</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22,085</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19.0%</w:t>
            </w:r>
          </w:p>
        </w:tc>
      </w:tr>
      <w:tr w:rsidR="009C0A2B" w:rsidRPr="00FD55B5" w:rsidTr="00D60019">
        <w:trPr>
          <w:trHeight w:val="78"/>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NGO management and technical staff</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43,036</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29.3%</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29,427</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25.3%</w:t>
            </w:r>
          </w:p>
        </w:tc>
      </w:tr>
      <w:tr w:rsidR="009C0A2B" w:rsidRPr="00FD55B5" w:rsidTr="00D60019">
        <w:trPr>
          <w:trHeight w:val="300"/>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 xml:space="preserve">Support staff </w:t>
            </w:r>
            <w:r w:rsidRPr="00FD55B5">
              <w:rPr>
                <w:rFonts w:ascii="Times New Roman" w:eastAsia="Times New Roman" w:hAnsi="Times New Roman" w:cs="Times New Roman"/>
                <w:i/>
                <w:iCs/>
                <w:color w:val="000000"/>
                <w:sz w:val="20"/>
                <w:szCs w:val="20"/>
                <w:lang w:eastAsia="en-GB"/>
              </w:rPr>
              <w:t>(logistics, finance, administrative)</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3,746</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2.6%</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2,921</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2.5%</w:t>
            </w:r>
          </w:p>
        </w:tc>
      </w:tr>
      <w:tr w:rsidR="009C0A2B" w:rsidRPr="00FD55B5" w:rsidTr="00D60019">
        <w:trPr>
          <w:trHeight w:val="157"/>
        </w:trPr>
        <w:tc>
          <w:tcPr>
            <w:tcW w:w="4156"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rPr>
                <w:rFonts w:ascii="Times New Roman" w:eastAsia="Times New Roman" w:hAnsi="Times New Roman" w:cs="Times New Roman"/>
                <w:b/>
                <w:bCs/>
                <w:color w:val="000000"/>
                <w:sz w:val="20"/>
                <w:szCs w:val="20"/>
                <w:lang w:eastAsia="en-GB"/>
              </w:rPr>
            </w:pP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rPr>
                <w:rFonts w:ascii="Times New Roman" w:eastAsia="Times New Roman" w:hAnsi="Times New Roman" w:cs="Times New Roman"/>
                <w:b/>
                <w:bCs/>
                <w:color w:val="000000"/>
                <w:sz w:val="20"/>
                <w:szCs w:val="20"/>
                <w:lang w:eastAsia="en-GB"/>
              </w:rPr>
            </w:pPr>
          </w:p>
        </w:tc>
      </w:tr>
      <w:tr w:rsidR="009C0A2B" w:rsidRPr="00FD55B5" w:rsidTr="00D60019">
        <w:trPr>
          <w:trHeight w:val="131"/>
        </w:trPr>
        <w:tc>
          <w:tcPr>
            <w:tcW w:w="4156"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Programme costs </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35,300</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24.1%</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32,648</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28.1%</w:t>
            </w:r>
          </w:p>
        </w:tc>
      </w:tr>
      <w:tr w:rsidR="009C0A2B" w:rsidRPr="00FD55B5" w:rsidTr="00D60019">
        <w:trPr>
          <w:trHeight w:val="191"/>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Office and programme materials</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1,756</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1.2%</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1,324</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1.1%</w:t>
            </w:r>
          </w:p>
        </w:tc>
      </w:tr>
      <w:tr w:rsidR="009C0A2B" w:rsidRPr="00FD55B5" w:rsidTr="00D60019">
        <w:trPr>
          <w:trHeight w:val="237"/>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 xml:space="preserve">RUTF </w:t>
            </w:r>
            <w:r w:rsidRPr="00FD55B5">
              <w:rPr>
                <w:rFonts w:ascii="Times New Roman" w:eastAsia="Times New Roman" w:hAnsi="Times New Roman" w:cs="Times New Roman"/>
                <w:i/>
                <w:iCs/>
                <w:color w:val="000000"/>
                <w:sz w:val="20"/>
                <w:szCs w:val="20"/>
                <w:lang w:eastAsia="en-GB"/>
              </w:rPr>
              <w:t>(supply)</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17,448</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11.9%</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17,448</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15.0%</w:t>
            </w:r>
          </w:p>
        </w:tc>
      </w:tr>
      <w:tr w:rsidR="009C0A2B" w:rsidRPr="00FD55B5" w:rsidTr="00D60019">
        <w:trPr>
          <w:trHeight w:val="155"/>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 xml:space="preserve">Training costs </w:t>
            </w:r>
            <w:r w:rsidRPr="00FD55B5">
              <w:rPr>
                <w:rFonts w:ascii="Times New Roman" w:eastAsia="Times New Roman" w:hAnsi="Times New Roman" w:cs="Times New Roman"/>
                <w:i/>
                <w:iCs/>
                <w:color w:val="000000"/>
                <w:sz w:val="20"/>
                <w:szCs w:val="20"/>
                <w:lang w:eastAsia="en-GB"/>
              </w:rPr>
              <w:t>(trainer, location, supplies)</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9,248</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6.3%</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7,407</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6.4%</w:t>
            </w:r>
          </w:p>
        </w:tc>
      </w:tr>
      <w:tr w:rsidR="009C0A2B" w:rsidRPr="00FD55B5" w:rsidTr="00D60019">
        <w:trPr>
          <w:trHeight w:val="201"/>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 xml:space="preserve">Supervision and monitoring </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6,849</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4.7%</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6,469</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5.6%</w:t>
            </w:r>
          </w:p>
        </w:tc>
      </w:tr>
      <w:tr w:rsidR="009C0A2B" w:rsidRPr="00FD55B5" w:rsidTr="00D60019">
        <w:trPr>
          <w:trHeight w:val="300"/>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rPr>
                <w:rFonts w:ascii="Times New Roman" w:eastAsia="Times New Roman" w:hAnsi="Times New Roman" w:cs="Times New Roman"/>
                <w:b/>
                <w:bCs/>
                <w:color w:val="000000"/>
                <w:sz w:val="20"/>
                <w:szCs w:val="20"/>
                <w:lang w:eastAsia="en-GB"/>
              </w:rPr>
            </w:pPr>
          </w:p>
        </w:tc>
      </w:tr>
      <w:tr w:rsidR="009C0A2B" w:rsidRPr="00FD55B5" w:rsidTr="00D60019">
        <w:trPr>
          <w:trHeight w:val="142"/>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Logistics</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19,082</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13.0%</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15,886</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13.7%</w:t>
            </w:r>
          </w:p>
        </w:tc>
      </w:tr>
      <w:tr w:rsidR="009C0A2B" w:rsidRPr="00FD55B5" w:rsidTr="00D60019">
        <w:trPr>
          <w:trHeight w:val="202"/>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 xml:space="preserve">Rent and utilities </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7,223</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4.9%</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4,471</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3.8%</w:t>
            </w:r>
          </w:p>
        </w:tc>
      </w:tr>
      <w:tr w:rsidR="009C0A2B" w:rsidRPr="00FD55B5" w:rsidTr="00D60019">
        <w:trPr>
          <w:trHeight w:val="107"/>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 xml:space="preserve">Transport </w:t>
            </w:r>
            <w:r w:rsidRPr="00FD55B5">
              <w:rPr>
                <w:rFonts w:ascii="Times New Roman" w:eastAsia="Times New Roman" w:hAnsi="Times New Roman" w:cs="Times New Roman"/>
                <w:i/>
                <w:iCs/>
                <w:color w:val="000000"/>
                <w:sz w:val="20"/>
                <w:szCs w:val="20"/>
                <w:lang w:eastAsia="en-GB"/>
              </w:rPr>
              <w:t>(car rental, maintenance and fuel)</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10,114</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6.9%</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9,669</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8.3%</w:t>
            </w:r>
          </w:p>
        </w:tc>
      </w:tr>
      <w:tr w:rsidR="009C0A2B" w:rsidRPr="00FD55B5" w:rsidTr="00D60019">
        <w:trPr>
          <w:trHeight w:val="78"/>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RUTF transport and storage</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1,745</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1.2%</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1,745</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1.5%</w:t>
            </w:r>
          </w:p>
        </w:tc>
      </w:tr>
      <w:tr w:rsidR="009C0A2B" w:rsidRPr="00FD55B5" w:rsidTr="00D60019">
        <w:trPr>
          <w:trHeight w:val="213"/>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b/>
                <w:bCs/>
                <w:color w:val="000000"/>
                <w:sz w:val="20"/>
                <w:szCs w:val="20"/>
                <w:lang w:eastAsia="en-GB"/>
              </w:rPr>
            </w:pP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rPr>
                <w:rFonts w:ascii="Times New Roman" w:eastAsia="Times New Roman" w:hAnsi="Times New Roman" w:cs="Times New Roman"/>
                <w:b/>
                <w:bCs/>
                <w:color w:val="000000"/>
                <w:sz w:val="20"/>
                <w:szCs w:val="20"/>
                <w:lang w:eastAsia="en-GB"/>
              </w:rPr>
            </w:pPr>
          </w:p>
        </w:tc>
      </w:tr>
      <w:tr w:rsidR="009C0A2B" w:rsidRPr="00FD55B5" w:rsidTr="00D60019">
        <w:trPr>
          <w:trHeight w:val="144"/>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Community contributions:</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6,218</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4.2%</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9,303</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8.0%</w:t>
            </w:r>
          </w:p>
        </w:tc>
      </w:tr>
      <w:tr w:rsidR="009C0A2B" w:rsidRPr="00FD55B5" w:rsidTr="00D60019">
        <w:trPr>
          <w:trHeight w:val="78"/>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 xml:space="preserve">Costs to households </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4,807</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3.3%</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9,286</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8.0%</w:t>
            </w:r>
          </w:p>
        </w:tc>
      </w:tr>
      <w:tr w:rsidR="009C0A2B" w:rsidRPr="00FD55B5" w:rsidTr="00D60019">
        <w:trPr>
          <w:trHeight w:val="249"/>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Opportunity costs for community leaders</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35</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0.0%</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17</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0.0%</w:t>
            </w:r>
          </w:p>
        </w:tc>
      </w:tr>
      <w:tr w:rsidR="009C0A2B" w:rsidRPr="00FD55B5" w:rsidTr="00D60019">
        <w:trPr>
          <w:trHeight w:val="139"/>
        </w:trPr>
        <w:tc>
          <w:tcPr>
            <w:tcW w:w="4156" w:type="dxa"/>
            <w:tcBorders>
              <w:top w:val="nil"/>
              <w:left w:val="nil"/>
              <w:bottom w:val="nil"/>
              <w:right w:val="nil"/>
            </w:tcBorders>
            <w:shd w:val="clear" w:color="auto" w:fill="auto"/>
            <w:vAlign w:val="center"/>
            <w:hideMark/>
          </w:tcPr>
          <w:p w:rsidR="009C0A2B" w:rsidRPr="00FD55B5" w:rsidRDefault="009C0A2B" w:rsidP="00D60019">
            <w:pPr>
              <w:spacing w:after="0" w:line="240" w:lineRule="auto"/>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 xml:space="preserve">Community-level rent </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1,376</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0.9%</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0</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0.0%</w:t>
            </w:r>
          </w:p>
        </w:tc>
      </w:tr>
      <w:tr w:rsidR="009C0A2B" w:rsidRPr="00FD55B5" w:rsidTr="00D60019">
        <w:trPr>
          <w:trHeight w:val="189"/>
        </w:trPr>
        <w:tc>
          <w:tcPr>
            <w:tcW w:w="4156" w:type="dxa"/>
            <w:tcBorders>
              <w:top w:val="single" w:sz="4" w:space="0" w:color="auto"/>
              <w:left w:val="nil"/>
              <w:bottom w:val="single" w:sz="4" w:space="0" w:color="auto"/>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Total</w:t>
            </w:r>
          </w:p>
        </w:tc>
        <w:tc>
          <w:tcPr>
            <w:tcW w:w="1009" w:type="dxa"/>
            <w:tcBorders>
              <w:top w:val="single" w:sz="4" w:space="0" w:color="auto"/>
              <w:left w:val="nil"/>
              <w:bottom w:val="single" w:sz="4" w:space="0" w:color="auto"/>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146,744</w:t>
            </w:r>
          </w:p>
        </w:tc>
        <w:tc>
          <w:tcPr>
            <w:tcW w:w="1356" w:type="dxa"/>
            <w:tcBorders>
              <w:top w:val="single" w:sz="4" w:space="0" w:color="auto"/>
              <w:left w:val="nil"/>
              <w:bottom w:val="single" w:sz="4" w:space="0" w:color="auto"/>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100.0%</w:t>
            </w:r>
          </w:p>
        </w:tc>
        <w:tc>
          <w:tcPr>
            <w:tcW w:w="1134" w:type="dxa"/>
            <w:tcBorders>
              <w:top w:val="single" w:sz="4" w:space="0" w:color="auto"/>
              <w:left w:val="nil"/>
              <w:bottom w:val="single" w:sz="4" w:space="0" w:color="auto"/>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116,251</w:t>
            </w:r>
          </w:p>
        </w:tc>
        <w:tc>
          <w:tcPr>
            <w:tcW w:w="1276" w:type="dxa"/>
            <w:tcBorders>
              <w:top w:val="single" w:sz="4" w:space="0" w:color="auto"/>
              <w:left w:val="nil"/>
              <w:bottom w:val="single" w:sz="4" w:space="0" w:color="auto"/>
              <w:right w:val="nil"/>
            </w:tcBorders>
            <w:shd w:val="clear" w:color="auto" w:fill="auto"/>
            <w:noWrap/>
            <w:vAlign w:val="bottom"/>
            <w:hideMark/>
          </w:tcPr>
          <w:p w:rsidR="009C0A2B" w:rsidRPr="00FD55B5" w:rsidRDefault="009C0A2B" w:rsidP="00D60019">
            <w:pPr>
              <w:spacing w:after="0" w:line="240" w:lineRule="auto"/>
              <w:jc w:val="right"/>
              <w:rPr>
                <w:rFonts w:ascii="Times New Roman" w:eastAsia="Times New Roman" w:hAnsi="Times New Roman" w:cs="Times New Roman"/>
                <w:b/>
                <w:bCs/>
                <w:color w:val="000000"/>
                <w:sz w:val="20"/>
                <w:szCs w:val="20"/>
                <w:lang w:eastAsia="en-GB"/>
              </w:rPr>
            </w:pPr>
            <w:r w:rsidRPr="00FD55B5">
              <w:rPr>
                <w:rFonts w:ascii="Times New Roman" w:eastAsia="Times New Roman" w:hAnsi="Times New Roman" w:cs="Times New Roman"/>
                <w:b/>
                <w:bCs/>
                <w:color w:val="000000"/>
                <w:sz w:val="20"/>
                <w:szCs w:val="20"/>
                <w:lang w:eastAsia="en-GB"/>
              </w:rPr>
              <w:t>100.0%</w:t>
            </w:r>
          </w:p>
        </w:tc>
      </w:tr>
      <w:tr w:rsidR="009C0A2B" w:rsidRPr="00FD55B5" w:rsidTr="00D60019">
        <w:trPr>
          <w:trHeight w:val="221"/>
        </w:trPr>
        <w:tc>
          <w:tcPr>
            <w:tcW w:w="4156"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Cost to Government</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8,394</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Calibri" w:eastAsia="Times New Roman" w:hAnsi="Calibri" w:cs="Times New Roman"/>
                <w:color w:val="000000"/>
                <w:sz w:val="20"/>
                <w:szCs w:val="20"/>
                <w:lang w:eastAsia="en-GB"/>
              </w:rPr>
            </w:pPr>
            <w:r w:rsidRPr="00FD55B5">
              <w:rPr>
                <w:rFonts w:ascii="Calibri" w:eastAsia="Times New Roman" w:hAnsi="Calibri" w:cs="Times New Roman"/>
                <w:color w:val="000000"/>
                <w:sz w:val="20"/>
                <w:szCs w:val="20"/>
                <w:lang w:eastAsia="en-GB"/>
              </w:rPr>
              <w:t>5.7%</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8,827</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Calibri" w:eastAsia="Times New Roman" w:hAnsi="Calibri" w:cs="Times New Roman"/>
                <w:color w:val="000000"/>
                <w:sz w:val="20"/>
                <w:szCs w:val="20"/>
                <w:lang w:eastAsia="en-GB"/>
              </w:rPr>
            </w:pPr>
            <w:r w:rsidRPr="00FD55B5">
              <w:rPr>
                <w:rFonts w:ascii="Calibri" w:eastAsia="Times New Roman" w:hAnsi="Calibri" w:cs="Times New Roman"/>
                <w:color w:val="000000"/>
                <w:sz w:val="20"/>
                <w:szCs w:val="20"/>
                <w:lang w:eastAsia="en-GB"/>
              </w:rPr>
              <w:t>7.6%</w:t>
            </w:r>
          </w:p>
        </w:tc>
      </w:tr>
      <w:tr w:rsidR="009C0A2B" w:rsidRPr="00FD55B5" w:rsidTr="00D60019">
        <w:trPr>
          <w:trHeight w:val="135"/>
        </w:trPr>
        <w:tc>
          <w:tcPr>
            <w:tcW w:w="4156"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Cost to Partners</w:t>
            </w:r>
          </w:p>
        </w:tc>
        <w:tc>
          <w:tcPr>
            <w:tcW w:w="1009"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132,131</w:t>
            </w:r>
          </w:p>
        </w:tc>
        <w:tc>
          <w:tcPr>
            <w:tcW w:w="135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Calibri" w:eastAsia="Times New Roman" w:hAnsi="Calibri" w:cs="Times New Roman"/>
                <w:color w:val="000000"/>
                <w:sz w:val="20"/>
                <w:szCs w:val="20"/>
                <w:lang w:eastAsia="en-GB"/>
              </w:rPr>
            </w:pPr>
            <w:r w:rsidRPr="00FD55B5">
              <w:rPr>
                <w:rFonts w:ascii="Calibri" w:eastAsia="Times New Roman" w:hAnsi="Calibri" w:cs="Times New Roman"/>
                <w:color w:val="000000"/>
                <w:sz w:val="20"/>
                <w:szCs w:val="20"/>
                <w:lang w:eastAsia="en-GB"/>
              </w:rPr>
              <w:t>90.0%</w:t>
            </w:r>
          </w:p>
        </w:tc>
        <w:tc>
          <w:tcPr>
            <w:tcW w:w="1134" w:type="dxa"/>
            <w:tcBorders>
              <w:top w:val="nil"/>
              <w:left w:val="nil"/>
              <w:bottom w:val="nil"/>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98,121</w:t>
            </w:r>
          </w:p>
        </w:tc>
        <w:tc>
          <w:tcPr>
            <w:tcW w:w="1276" w:type="dxa"/>
            <w:tcBorders>
              <w:top w:val="nil"/>
              <w:left w:val="nil"/>
              <w:bottom w:val="nil"/>
              <w:right w:val="nil"/>
            </w:tcBorders>
            <w:shd w:val="clear" w:color="auto" w:fill="auto"/>
            <w:noWrap/>
            <w:vAlign w:val="bottom"/>
            <w:hideMark/>
          </w:tcPr>
          <w:p w:rsidR="009C0A2B" w:rsidRPr="00FD55B5" w:rsidRDefault="009C0A2B" w:rsidP="00D60019">
            <w:pPr>
              <w:spacing w:after="0" w:line="240" w:lineRule="auto"/>
              <w:jc w:val="right"/>
              <w:rPr>
                <w:rFonts w:ascii="Calibri" w:eastAsia="Times New Roman" w:hAnsi="Calibri" w:cs="Times New Roman"/>
                <w:color w:val="000000"/>
                <w:sz w:val="20"/>
                <w:szCs w:val="20"/>
                <w:lang w:eastAsia="en-GB"/>
              </w:rPr>
            </w:pPr>
            <w:r w:rsidRPr="00FD55B5">
              <w:rPr>
                <w:rFonts w:ascii="Calibri" w:eastAsia="Times New Roman" w:hAnsi="Calibri" w:cs="Times New Roman"/>
                <w:color w:val="000000"/>
                <w:sz w:val="20"/>
                <w:szCs w:val="20"/>
                <w:lang w:eastAsia="en-GB"/>
              </w:rPr>
              <w:t>84.4%</w:t>
            </w:r>
          </w:p>
        </w:tc>
      </w:tr>
      <w:tr w:rsidR="009C0A2B" w:rsidRPr="00FD55B5" w:rsidTr="00D60019">
        <w:trPr>
          <w:trHeight w:val="167"/>
        </w:trPr>
        <w:tc>
          <w:tcPr>
            <w:tcW w:w="4156" w:type="dxa"/>
            <w:tcBorders>
              <w:top w:val="nil"/>
              <w:left w:val="nil"/>
              <w:bottom w:val="single" w:sz="4" w:space="0" w:color="auto"/>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Cost to Community</w:t>
            </w:r>
          </w:p>
        </w:tc>
        <w:tc>
          <w:tcPr>
            <w:tcW w:w="1009" w:type="dxa"/>
            <w:tcBorders>
              <w:top w:val="nil"/>
              <w:left w:val="nil"/>
              <w:bottom w:val="single" w:sz="4" w:space="0" w:color="auto"/>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6,218</w:t>
            </w:r>
          </w:p>
        </w:tc>
        <w:tc>
          <w:tcPr>
            <w:tcW w:w="1356" w:type="dxa"/>
            <w:tcBorders>
              <w:top w:val="nil"/>
              <w:left w:val="nil"/>
              <w:bottom w:val="single" w:sz="4" w:space="0" w:color="auto"/>
              <w:right w:val="nil"/>
            </w:tcBorders>
            <w:shd w:val="clear" w:color="auto" w:fill="auto"/>
            <w:noWrap/>
            <w:vAlign w:val="bottom"/>
            <w:hideMark/>
          </w:tcPr>
          <w:p w:rsidR="009C0A2B" w:rsidRPr="00FD55B5" w:rsidRDefault="009C0A2B" w:rsidP="00D60019">
            <w:pPr>
              <w:spacing w:after="0" w:line="240" w:lineRule="auto"/>
              <w:jc w:val="right"/>
              <w:rPr>
                <w:rFonts w:ascii="Calibri" w:eastAsia="Times New Roman" w:hAnsi="Calibri" w:cs="Times New Roman"/>
                <w:color w:val="000000"/>
                <w:sz w:val="20"/>
                <w:szCs w:val="20"/>
                <w:lang w:eastAsia="en-GB"/>
              </w:rPr>
            </w:pPr>
            <w:r w:rsidRPr="00FD55B5">
              <w:rPr>
                <w:rFonts w:ascii="Calibri" w:eastAsia="Times New Roman" w:hAnsi="Calibri" w:cs="Times New Roman"/>
                <w:color w:val="000000"/>
                <w:sz w:val="20"/>
                <w:szCs w:val="20"/>
                <w:lang w:eastAsia="en-GB"/>
              </w:rPr>
              <w:t>4.2%</w:t>
            </w:r>
          </w:p>
        </w:tc>
        <w:tc>
          <w:tcPr>
            <w:tcW w:w="1134" w:type="dxa"/>
            <w:tcBorders>
              <w:top w:val="nil"/>
              <w:left w:val="nil"/>
              <w:bottom w:val="single" w:sz="4" w:space="0" w:color="auto"/>
              <w:right w:val="nil"/>
            </w:tcBorders>
            <w:shd w:val="clear" w:color="auto" w:fill="auto"/>
            <w:noWrap/>
            <w:vAlign w:val="center"/>
            <w:hideMark/>
          </w:tcPr>
          <w:p w:rsidR="009C0A2B" w:rsidRPr="00FD55B5" w:rsidRDefault="009C0A2B" w:rsidP="00D60019">
            <w:pPr>
              <w:spacing w:after="0" w:line="240" w:lineRule="auto"/>
              <w:jc w:val="right"/>
              <w:rPr>
                <w:rFonts w:ascii="Times New Roman" w:eastAsia="Times New Roman" w:hAnsi="Times New Roman" w:cs="Times New Roman"/>
                <w:color w:val="000000"/>
                <w:sz w:val="20"/>
                <w:szCs w:val="20"/>
                <w:lang w:eastAsia="en-GB"/>
              </w:rPr>
            </w:pPr>
            <w:r w:rsidRPr="00FD55B5">
              <w:rPr>
                <w:rFonts w:ascii="Times New Roman" w:eastAsia="Times New Roman" w:hAnsi="Times New Roman" w:cs="Times New Roman"/>
                <w:color w:val="000000"/>
                <w:sz w:val="20"/>
                <w:szCs w:val="20"/>
                <w:lang w:eastAsia="en-GB"/>
              </w:rPr>
              <w:t>9,303</w:t>
            </w:r>
          </w:p>
        </w:tc>
        <w:tc>
          <w:tcPr>
            <w:tcW w:w="1276" w:type="dxa"/>
            <w:tcBorders>
              <w:top w:val="nil"/>
              <w:left w:val="nil"/>
              <w:bottom w:val="single" w:sz="4" w:space="0" w:color="auto"/>
              <w:right w:val="nil"/>
            </w:tcBorders>
            <w:shd w:val="clear" w:color="auto" w:fill="auto"/>
            <w:noWrap/>
            <w:vAlign w:val="bottom"/>
            <w:hideMark/>
          </w:tcPr>
          <w:p w:rsidR="009C0A2B" w:rsidRPr="00FD55B5" w:rsidRDefault="009C0A2B" w:rsidP="00D60019">
            <w:pPr>
              <w:spacing w:after="0" w:line="240" w:lineRule="auto"/>
              <w:jc w:val="right"/>
              <w:rPr>
                <w:rFonts w:ascii="Calibri" w:eastAsia="Times New Roman" w:hAnsi="Calibri" w:cs="Times New Roman"/>
                <w:color w:val="000000"/>
                <w:sz w:val="20"/>
                <w:szCs w:val="20"/>
                <w:lang w:eastAsia="en-GB"/>
              </w:rPr>
            </w:pPr>
            <w:r w:rsidRPr="00FD55B5">
              <w:rPr>
                <w:rFonts w:ascii="Calibri" w:eastAsia="Times New Roman" w:hAnsi="Calibri" w:cs="Times New Roman"/>
                <w:color w:val="000000"/>
                <w:sz w:val="20"/>
                <w:szCs w:val="20"/>
                <w:lang w:eastAsia="en-GB"/>
              </w:rPr>
              <w:t>8.0%</w:t>
            </w:r>
          </w:p>
        </w:tc>
      </w:tr>
    </w:tbl>
    <w:p w:rsidR="009C0A2B" w:rsidRDefault="009C0A2B" w:rsidP="009C0A2B"/>
    <w:p w:rsidR="00F8066C" w:rsidRPr="001C6132" w:rsidRDefault="00F8066C" w:rsidP="009E5D63">
      <w:pPr>
        <w:pStyle w:val="Heading2"/>
      </w:pPr>
      <w:r w:rsidRPr="001C6132">
        <w:lastRenderedPageBreak/>
        <w:t>Activity based costs</w:t>
      </w:r>
      <w:r>
        <w:t>,</w:t>
      </w:r>
      <w:r w:rsidRPr="001C6132">
        <w:t xml:space="preserve"> </w:t>
      </w:r>
      <w:r>
        <w:t xml:space="preserve">modelled </w:t>
      </w:r>
      <w:r w:rsidRPr="001C6132">
        <w:t>scenario</w:t>
      </w:r>
    </w:p>
    <w:p w:rsidR="00F8066C" w:rsidRPr="001C6132" w:rsidRDefault="00F8066C" w:rsidP="00F8066C">
      <w:pPr>
        <w:jc w:val="both"/>
      </w:pPr>
      <w:r w:rsidRPr="001C6132">
        <w:t>The allocation of costs per activity for the modelled scenario is similar across the two arms. However, variation appears in the proportion of costs incurred by beneficiaries (opportunity and actual), which were nearly twice as high for outpatient facility based care (8%) compared with CHW delivered care (4%).</w:t>
      </w:r>
    </w:p>
    <w:p w:rsidR="00F8066C" w:rsidRPr="001C6132" w:rsidRDefault="009E5D63" w:rsidP="00F8066C">
      <w:r>
        <w:t>Figure D</w:t>
      </w:r>
      <w:r w:rsidR="00F8066C" w:rsidRPr="001C6132">
        <w:t>: Activity-based costs for the control arm</w:t>
      </w:r>
      <w:r w:rsidR="00CE14FE">
        <w:t>,</w:t>
      </w:r>
      <w:r w:rsidR="00F8066C" w:rsidRPr="001C6132">
        <w:t xml:space="preserve"> </w:t>
      </w:r>
      <w:r w:rsidR="00CE14FE">
        <w:t>modelled scenario</w:t>
      </w:r>
      <w:bookmarkStart w:id="0" w:name="_GoBack"/>
      <w:bookmarkEnd w:id="0"/>
    </w:p>
    <w:p w:rsidR="00BF56A3" w:rsidRDefault="00E92E82">
      <w:r>
        <w:rPr>
          <w:noProof/>
          <w:lang w:val="en-US"/>
        </w:rPr>
        <w:drawing>
          <wp:inline distT="0" distB="0" distL="0" distR="0">
            <wp:extent cx="5929630" cy="18065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9630" cy="1806575"/>
                    </a:xfrm>
                    <a:prstGeom prst="rect">
                      <a:avLst/>
                    </a:prstGeom>
                    <a:noFill/>
                    <a:ln>
                      <a:noFill/>
                    </a:ln>
                  </pic:spPr>
                </pic:pic>
              </a:graphicData>
            </a:graphic>
          </wp:inline>
        </w:drawing>
      </w:r>
    </w:p>
    <w:p w:rsidR="00EF2CBC" w:rsidRDefault="00EF2CBC" w:rsidP="00CE0C5E">
      <w:pPr>
        <w:pStyle w:val="Heading2"/>
      </w:pPr>
      <w:r>
        <w:t>Univariate sensitivity analysis</w:t>
      </w:r>
    </w:p>
    <w:p w:rsidR="00EF2CBC" w:rsidRPr="001C6132" w:rsidRDefault="00EF2CBC" w:rsidP="00EF2CBC">
      <w:pPr>
        <w:jc w:val="both"/>
        <w:rPr>
          <w:highlight w:val="yellow"/>
        </w:rPr>
      </w:pPr>
      <w:r w:rsidRPr="001C6132">
        <w:t xml:space="preserve">In </w:t>
      </w:r>
      <w:r>
        <w:t>univariate sensitivity analyses</w:t>
      </w:r>
      <w:r w:rsidRPr="001C6132">
        <w:t>, the cost per child showed the highest level of uncertainty</w:t>
      </w:r>
      <w:r>
        <w:t xml:space="preserve">, resulting in a range </w:t>
      </w:r>
      <w:r w:rsidRPr="001C6132">
        <w:t xml:space="preserve">in cost per case recovered </w:t>
      </w:r>
      <w:r>
        <w:t xml:space="preserve">of </w:t>
      </w:r>
      <w:r w:rsidRPr="001C6132">
        <w:t xml:space="preserve">176 to 286 USD </w:t>
      </w:r>
      <w:r>
        <w:t xml:space="preserve">for </w:t>
      </w:r>
      <w:r w:rsidRPr="001C6132">
        <w:t xml:space="preserve">CHW delivered care and 151 to 245 USD for outpatient facility care. These results suggest that even taking into account plausible variation, </w:t>
      </w:r>
      <w:r>
        <w:t xml:space="preserve">assuming equal coverage, </w:t>
      </w:r>
      <w:r w:rsidRPr="001C6132">
        <w:t xml:space="preserve">the cost to recover a child would not exceed 300 USD </w:t>
      </w:r>
      <w:r>
        <w:t xml:space="preserve">when treated by CHWs </w:t>
      </w:r>
      <w:r w:rsidRPr="001C6132">
        <w:t xml:space="preserve">and 250 USD </w:t>
      </w:r>
      <w:r>
        <w:t>for</w:t>
      </w:r>
      <w:r w:rsidRPr="001C6132">
        <w:t xml:space="preserve"> outpatient facility-based care</w:t>
      </w:r>
      <w:r>
        <w:t xml:space="preserve">. </w:t>
      </w:r>
    </w:p>
    <w:p w:rsidR="00F8066C" w:rsidRPr="00F8066C" w:rsidRDefault="00F8066C" w:rsidP="00CE0C5E">
      <w:pPr>
        <w:pStyle w:val="Heading2"/>
      </w:pPr>
      <w:r w:rsidRPr="00F8066C">
        <w:t>Probabilistic sensitivity analysis</w:t>
      </w:r>
    </w:p>
    <w:p w:rsidR="00F8066C" w:rsidRPr="001C6132" w:rsidRDefault="00F8066C" w:rsidP="00F8066C">
      <w:pPr>
        <w:jc w:val="both"/>
      </w:pPr>
      <w:r w:rsidRPr="001C6132">
        <w:t xml:space="preserve">Figure E shows the acceptability curve from the CHW delivered care in the modelled scenario, demonstrating the probability that the intervention would be cost effective is 25%, 50% and 75% at a willingness to pay of 232, 252 and 272 USD per child recovered, respectively. The 95% CI around the mean cost per child recovered of 253 USD in this modelled scenario is 201 to 310 USD, a much larger margin than the base case. </w:t>
      </w:r>
    </w:p>
    <w:p w:rsidR="00F8066C" w:rsidRPr="001C6132" w:rsidRDefault="00F8066C" w:rsidP="00F8066C">
      <w:r w:rsidRPr="001C6132">
        <w:t>Figure E: Acceptability curve – CHW delivered care</w:t>
      </w:r>
      <w:r w:rsidR="00CE14FE">
        <w:t>,</w:t>
      </w:r>
      <w:r w:rsidRPr="001C6132">
        <w:t xml:space="preserve"> </w:t>
      </w:r>
      <w:r w:rsidR="00CE14FE">
        <w:t>modelled scenario</w:t>
      </w:r>
    </w:p>
    <w:p w:rsidR="00F8066C" w:rsidRPr="001C6132" w:rsidRDefault="00F8066C" w:rsidP="00F8066C">
      <w:r w:rsidRPr="001C6132">
        <w:rPr>
          <w:noProof/>
          <w:lang w:val="en-US"/>
        </w:rPr>
        <w:lastRenderedPageBreak/>
        <w:drawing>
          <wp:inline distT="0" distB="0" distL="0" distR="0" wp14:anchorId="290705E8" wp14:editId="0D7A5486">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8066C" w:rsidRPr="001C6132" w:rsidRDefault="00F8066C" w:rsidP="00F8066C">
      <w:pPr>
        <w:jc w:val="both"/>
      </w:pPr>
      <w:r w:rsidRPr="001C6132">
        <w:t xml:space="preserve">The acceptability curve in figure F indicates that in the modelled scenario, the probability that outpatient facility-based services would be cost-effective is 25%, 50% and 75% at a willingness to pay of 196, 213 and 231 USD respectively per child recovered. The 95% CI around the mean cost per child recovered of 214 USD is 170 to 263 USD, a larger margin than the base case. </w:t>
      </w:r>
    </w:p>
    <w:p w:rsidR="00F8066C" w:rsidRPr="001C6132" w:rsidRDefault="00F8066C" w:rsidP="00F8066C">
      <w:r w:rsidRPr="001C6132">
        <w:t>Figure F: Acceptability curve – outpatient facility-based care</w:t>
      </w:r>
      <w:r w:rsidR="00CE14FE">
        <w:t>,</w:t>
      </w:r>
      <w:r w:rsidRPr="001C6132">
        <w:t xml:space="preserve"> </w:t>
      </w:r>
      <w:r w:rsidR="00CE14FE">
        <w:t>modelled scenario</w:t>
      </w:r>
    </w:p>
    <w:p w:rsidR="00F8066C" w:rsidRPr="001C6132" w:rsidRDefault="00F8066C" w:rsidP="00F8066C">
      <w:r w:rsidRPr="001C6132">
        <w:rPr>
          <w:noProof/>
          <w:lang w:val="en-US"/>
        </w:rPr>
        <w:drawing>
          <wp:inline distT="0" distB="0" distL="0" distR="0" wp14:anchorId="290957D9" wp14:editId="667BD807">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066C" w:rsidRDefault="00F8066C"/>
    <w:sectPr w:rsidR="00F806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5B4" w:rsidRDefault="002375B4" w:rsidP="009E5D63">
      <w:pPr>
        <w:spacing w:after="0" w:line="240" w:lineRule="auto"/>
      </w:pPr>
      <w:r>
        <w:separator/>
      </w:r>
    </w:p>
  </w:endnote>
  <w:endnote w:type="continuationSeparator" w:id="0">
    <w:p w:rsidR="002375B4" w:rsidRDefault="002375B4" w:rsidP="009E5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5B4" w:rsidRDefault="002375B4" w:rsidP="009E5D63">
      <w:pPr>
        <w:spacing w:after="0" w:line="240" w:lineRule="auto"/>
      </w:pPr>
      <w:r>
        <w:separator/>
      </w:r>
    </w:p>
  </w:footnote>
  <w:footnote w:type="continuationSeparator" w:id="0">
    <w:p w:rsidR="002375B4" w:rsidRDefault="002375B4" w:rsidP="009E5D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896"/>
    <w:rsid w:val="002375B4"/>
    <w:rsid w:val="00390030"/>
    <w:rsid w:val="004F6979"/>
    <w:rsid w:val="00567D94"/>
    <w:rsid w:val="005D0201"/>
    <w:rsid w:val="007247CA"/>
    <w:rsid w:val="007A5E73"/>
    <w:rsid w:val="008732A4"/>
    <w:rsid w:val="008A52F6"/>
    <w:rsid w:val="009C0A2B"/>
    <w:rsid w:val="009E5D63"/>
    <w:rsid w:val="00A60A4D"/>
    <w:rsid w:val="00AB5896"/>
    <w:rsid w:val="00AE73C8"/>
    <w:rsid w:val="00B07F13"/>
    <w:rsid w:val="00BF56A3"/>
    <w:rsid w:val="00C55B24"/>
    <w:rsid w:val="00CE0C5E"/>
    <w:rsid w:val="00CE14FE"/>
    <w:rsid w:val="00DC05CB"/>
    <w:rsid w:val="00E92E82"/>
    <w:rsid w:val="00EE7B6B"/>
    <w:rsid w:val="00EF2CBC"/>
    <w:rsid w:val="00F80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66C"/>
    <w:rPr>
      <w:lang w:val="en-GB"/>
    </w:rPr>
  </w:style>
  <w:style w:type="paragraph" w:styleId="Heading1">
    <w:name w:val="heading 1"/>
    <w:basedOn w:val="Normal"/>
    <w:next w:val="Normal"/>
    <w:link w:val="Heading1Char"/>
    <w:uiPriority w:val="9"/>
    <w:qFormat/>
    <w:rsid w:val="009E5D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E5D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F13"/>
    <w:rPr>
      <w:rFonts w:ascii="Tahoma" w:hAnsi="Tahoma" w:cs="Tahoma"/>
      <w:sz w:val="16"/>
      <w:szCs w:val="16"/>
      <w:lang w:val="en-GB"/>
    </w:rPr>
  </w:style>
  <w:style w:type="character" w:customStyle="1" w:styleId="Heading2Char">
    <w:name w:val="Heading 2 Char"/>
    <w:basedOn w:val="DefaultParagraphFont"/>
    <w:link w:val="Heading2"/>
    <w:uiPriority w:val="9"/>
    <w:rsid w:val="009E5D63"/>
    <w:rPr>
      <w:rFonts w:asciiTheme="majorHAnsi" w:eastAsiaTheme="majorEastAsia" w:hAnsiTheme="majorHAnsi" w:cstheme="majorBidi"/>
      <w:b/>
      <w:bCs/>
      <w:color w:val="4F81BD" w:themeColor="accent1"/>
      <w:sz w:val="26"/>
      <w:szCs w:val="26"/>
      <w:lang w:val="en-GB"/>
    </w:rPr>
  </w:style>
  <w:style w:type="character" w:customStyle="1" w:styleId="Heading1Char">
    <w:name w:val="Heading 1 Char"/>
    <w:basedOn w:val="DefaultParagraphFont"/>
    <w:link w:val="Heading1"/>
    <w:uiPriority w:val="9"/>
    <w:rsid w:val="009E5D63"/>
    <w:rPr>
      <w:rFonts w:asciiTheme="majorHAnsi" w:eastAsiaTheme="majorEastAsia" w:hAnsiTheme="majorHAnsi" w:cstheme="majorBidi"/>
      <w:b/>
      <w:bCs/>
      <w:color w:val="365F91" w:themeColor="accent1" w:themeShade="BF"/>
      <w:sz w:val="28"/>
      <w:szCs w:val="28"/>
      <w:lang w:val="en-GB"/>
    </w:rPr>
  </w:style>
  <w:style w:type="paragraph" w:styleId="Header">
    <w:name w:val="header"/>
    <w:basedOn w:val="Normal"/>
    <w:link w:val="HeaderChar"/>
    <w:uiPriority w:val="99"/>
    <w:unhideWhenUsed/>
    <w:rsid w:val="009E5D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D63"/>
    <w:rPr>
      <w:lang w:val="en-GB"/>
    </w:rPr>
  </w:style>
  <w:style w:type="paragraph" w:styleId="Footer">
    <w:name w:val="footer"/>
    <w:basedOn w:val="Normal"/>
    <w:link w:val="FooterChar"/>
    <w:uiPriority w:val="99"/>
    <w:unhideWhenUsed/>
    <w:rsid w:val="009E5D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D63"/>
    <w:rPr>
      <w:lang w:val="en-GB"/>
    </w:rPr>
  </w:style>
  <w:style w:type="paragraph" w:styleId="Caption">
    <w:name w:val="caption"/>
    <w:basedOn w:val="Normal"/>
    <w:next w:val="Normal"/>
    <w:uiPriority w:val="35"/>
    <w:unhideWhenUsed/>
    <w:qFormat/>
    <w:rsid w:val="009C0A2B"/>
    <w:pPr>
      <w:spacing w:line="240" w:lineRule="auto"/>
    </w:pPr>
    <w:rPr>
      <w:rFonts w:eastAsiaTheme="minorEastAsia"/>
      <w:b/>
      <w:bCs/>
      <w:color w:val="4F81BD" w:themeColor="accent1"/>
      <w:sz w:val="18"/>
      <w:szCs w:val="18"/>
      <w:lang w:eastAsia="fr-FR"/>
    </w:rPr>
  </w:style>
  <w:style w:type="character" w:styleId="CommentReference">
    <w:name w:val="annotation reference"/>
    <w:basedOn w:val="DefaultParagraphFont"/>
    <w:uiPriority w:val="99"/>
    <w:semiHidden/>
    <w:unhideWhenUsed/>
    <w:rsid w:val="009C0A2B"/>
    <w:rPr>
      <w:sz w:val="16"/>
      <w:szCs w:val="16"/>
    </w:rPr>
  </w:style>
  <w:style w:type="paragraph" w:styleId="CommentText">
    <w:name w:val="annotation text"/>
    <w:basedOn w:val="Normal"/>
    <w:link w:val="CommentTextChar"/>
    <w:uiPriority w:val="99"/>
    <w:unhideWhenUsed/>
    <w:rsid w:val="009C0A2B"/>
    <w:pPr>
      <w:spacing w:line="240" w:lineRule="auto"/>
    </w:pPr>
    <w:rPr>
      <w:rFonts w:eastAsiaTheme="minorEastAsia"/>
      <w:sz w:val="20"/>
      <w:szCs w:val="20"/>
      <w:lang w:eastAsia="fr-FR"/>
    </w:rPr>
  </w:style>
  <w:style w:type="character" w:customStyle="1" w:styleId="CommentTextChar">
    <w:name w:val="Comment Text Char"/>
    <w:basedOn w:val="DefaultParagraphFont"/>
    <w:link w:val="CommentText"/>
    <w:uiPriority w:val="99"/>
    <w:rsid w:val="009C0A2B"/>
    <w:rPr>
      <w:rFonts w:eastAsiaTheme="minorEastAsia"/>
      <w:sz w:val="20"/>
      <w:szCs w:val="20"/>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66C"/>
    <w:rPr>
      <w:lang w:val="en-GB"/>
    </w:rPr>
  </w:style>
  <w:style w:type="paragraph" w:styleId="Heading1">
    <w:name w:val="heading 1"/>
    <w:basedOn w:val="Normal"/>
    <w:next w:val="Normal"/>
    <w:link w:val="Heading1Char"/>
    <w:uiPriority w:val="9"/>
    <w:qFormat/>
    <w:rsid w:val="009E5D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E5D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F13"/>
    <w:rPr>
      <w:rFonts w:ascii="Tahoma" w:hAnsi="Tahoma" w:cs="Tahoma"/>
      <w:sz w:val="16"/>
      <w:szCs w:val="16"/>
      <w:lang w:val="en-GB"/>
    </w:rPr>
  </w:style>
  <w:style w:type="character" w:customStyle="1" w:styleId="Heading2Char">
    <w:name w:val="Heading 2 Char"/>
    <w:basedOn w:val="DefaultParagraphFont"/>
    <w:link w:val="Heading2"/>
    <w:uiPriority w:val="9"/>
    <w:rsid w:val="009E5D63"/>
    <w:rPr>
      <w:rFonts w:asciiTheme="majorHAnsi" w:eastAsiaTheme="majorEastAsia" w:hAnsiTheme="majorHAnsi" w:cstheme="majorBidi"/>
      <w:b/>
      <w:bCs/>
      <w:color w:val="4F81BD" w:themeColor="accent1"/>
      <w:sz w:val="26"/>
      <w:szCs w:val="26"/>
      <w:lang w:val="en-GB"/>
    </w:rPr>
  </w:style>
  <w:style w:type="character" w:customStyle="1" w:styleId="Heading1Char">
    <w:name w:val="Heading 1 Char"/>
    <w:basedOn w:val="DefaultParagraphFont"/>
    <w:link w:val="Heading1"/>
    <w:uiPriority w:val="9"/>
    <w:rsid w:val="009E5D63"/>
    <w:rPr>
      <w:rFonts w:asciiTheme="majorHAnsi" w:eastAsiaTheme="majorEastAsia" w:hAnsiTheme="majorHAnsi" w:cstheme="majorBidi"/>
      <w:b/>
      <w:bCs/>
      <w:color w:val="365F91" w:themeColor="accent1" w:themeShade="BF"/>
      <w:sz w:val="28"/>
      <w:szCs w:val="28"/>
      <w:lang w:val="en-GB"/>
    </w:rPr>
  </w:style>
  <w:style w:type="paragraph" w:styleId="Header">
    <w:name w:val="header"/>
    <w:basedOn w:val="Normal"/>
    <w:link w:val="HeaderChar"/>
    <w:uiPriority w:val="99"/>
    <w:unhideWhenUsed/>
    <w:rsid w:val="009E5D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D63"/>
    <w:rPr>
      <w:lang w:val="en-GB"/>
    </w:rPr>
  </w:style>
  <w:style w:type="paragraph" w:styleId="Footer">
    <w:name w:val="footer"/>
    <w:basedOn w:val="Normal"/>
    <w:link w:val="FooterChar"/>
    <w:uiPriority w:val="99"/>
    <w:unhideWhenUsed/>
    <w:rsid w:val="009E5D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D63"/>
    <w:rPr>
      <w:lang w:val="en-GB"/>
    </w:rPr>
  </w:style>
  <w:style w:type="paragraph" w:styleId="Caption">
    <w:name w:val="caption"/>
    <w:basedOn w:val="Normal"/>
    <w:next w:val="Normal"/>
    <w:uiPriority w:val="35"/>
    <w:unhideWhenUsed/>
    <w:qFormat/>
    <w:rsid w:val="009C0A2B"/>
    <w:pPr>
      <w:spacing w:line="240" w:lineRule="auto"/>
    </w:pPr>
    <w:rPr>
      <w:rFonts w:eastAsiaTheme="minorEastAsia"/>
      <w:b/>
      <w:bCs/>
      <w:color w:val="4F81BD" w:themeColor="accent1"/>
      <w:sz w:val="18"/>
      <w:szCs w:val="18"/>
      <w:lang w:eastAsia="fr-FR"/>
    </w:rPr>
  </w:style>
  <w:style w:type="character" w:styleId="CommentReference">
    <w:name w:val="annotation reference"/>
    <w:basedOn w:val="DefaultParagraphFont"/>
    <w:uiPriority w:val="99"/>
    <w:semiHidden/>
    <w:unhideWhenUsed/>
    <w:rsid w:val="009C0A2B"/>
    <w:rPr>
      <w:sz w:val="16"/>
      <w:szCs w:val="16"/>
    </w:rPr>
  </w:style>
  <w:style w:type="paragraph" w:styleId="CommentText">
    <w:name w:val="annotation text"/>
    <w:basedOn w:val="Normal"/>
    <w:link w:val="CommentTextChar"/>
    <w:uiPriority w:val="99"/>
    <w:unhideWhenUsed/>
    <w:rsid w:val="009C0A2B"/>
    <w:pPr>
      <w:spacing w:line="240" w:lineRule="auto"/>
    </w:pPr>
    <w:rPr>
      <w:rFonts w:eastAsiaTheme="minorEastAsia"/>
      <w:sz w:val="20"/>
      <w:szCs w:val="20"/>
      <w:lang w:eastAsia="fr-FR"/>
    </w:rPr>
  </w:style>
  <w:style w:type="character" w:customStyle="1" w:styleId="CommentTextChar">
    <w:name w:val="Comment Text Char"/>
    <w:basedOn w:val="DefaultParagraphFont"/>
    <w:link w:val="CommentText"/>
    <w:uiPriority w:val="99"/>
    <w:rsid w:val="009C0A2B"/>
    <w:rPr>
      <w:rFonts w:eastAsiaTheme="minorEastAsia"/>
      <w:sz w:val="20"/>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p\Documents\Phase%20Inst\Projects\UK\C%20Project\1%20Mali\Data%20Analysis\CEA\Acceptability%20curve%20-%20C%20Project%20Mali%20UPDAT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p\Documents\Phase%20Inst\Projects\UK\C%20Project\1%20Mali\Data%20Analysis\CEA\Acceptability%20curve%20-%20C%20Project%20Mali%20UPDA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'curves - Int. scenario'!$B$38</c:f>
              <c:strCache>
                <c:ptCount val="1"/>
                <c:pt idx="0">
                  <c:v>ACCEPTABILITY</c:v>
                </c:pt>
              </c:strCache>
            </c:strRef>
          </c:tx>
          <c:spPr>
            <a:ln w="28575" cap="rnd">
              <a:solidFill>
                <a:schemeClr val="accent1"/>
              </a:solidFill>
              <a:round/>
            </a:ln>
            <a:effectLst/>
          </c:spPr>
          <c:marker>
            <c:symbol val="none"/>
          </c:marker>
          <c:cat>
            <c:numRef>
              <c:f>'curves - Int. scenario'!$A$39:$A$59</c:f>
              <c:numCache>
                <c:formatCode>General</c:formatCode>
                <c:ptCount val="21"/>
                <c:pt idx="0">
                  <c:v>0</c:v>
                </c:pt>
                <c:pt idx="1">
                  <c:v>25</c:v>
                </c:pt>
                <c:pt idx="2">
                  <c:v>50</c:v>
                </c:pt>
                <c:pt idx="3">
                  <c:v>75</c:v>
                </c:pt>
                <c:pt idx="4">
                  <c:v>100</c:v>
                </c:pt>
                <c:pt idx="5">
                  <c:v>125</c:v>
                </c:pt>
                <c:pt idx="6">
                  <c:v>150</c:v>
                </c:pt>
                <c:pt idx="7">
                  <c:v>175</c:v>
                </c:pt>
                <c:pt idx="8">
                  <c:v>200</c:v>
                </c:pt>
                <c:pt idx="9">
                  <c:v>225</c:v>
                </c:pt>
                <c:pt idx="10">
                  <c:v>250</c:v>
                </c:pt>
                <c:pt idx="11">
                  <c:v>275</c:v>
                </c:pt>
                <c:pt idx="12">
                  <c:v>300</c:v>
                </c:pt>
                <c:pt idx="13">
                  <c:v>325</c:v>
                </c:pt>
                <c:pt idx="14">
                  <c:v>350</c:v>
                </c:pt>
                <c:pt idx="15">
                  <c:v>375</c:v>
                </c:pt>
                <c:pt idx="16">
                  <c:v>400</c:v>
                </c:pt>
                <c:pt idx="17">
                  <c:v>425</c:v>
                </c:pt>
                <c:pt idx="18">
                  <c:v>450</c:v>
                </c:pt>
                <c:pt idx="19">
                  <c:v>475</c:v>
                </c:pt>
                <c:pt idx="20">
                  <c:v>500</c:v>
                </c:pt>
              </c:numCache>
            </c:numRef>
          </c:cat>
          <c:val>
            <c:numRef>
              <c:f>'curves - Int. scenario'!$B$39:$B$59</c:f>
              <c:numCache>
                <c:formatCode>General</c:formatCode>
                <c:ptCount val="21"/>
                <c:pt idx="0">
                  <c:v>0</c:v>
                </c:pt>
                <c:pt idx="1">
                  <c:v>0</c:v>
                </c:pt>
                <c:pt idx="2">
                  <c:v>0</c:v>
                </c:pt>
                <c:pt idx="3">
                  <c:v>0</c:v>
                </c:pt>
                <c:pt idx="4">
                  <c:v>0</c:v>
                </c:pt>
                <c:pt idx="5">
                  <c:v>0</c:v>
                </c:pt>
                <c:pt idx="6">
                  <c:v>0</c:v>
                </c:pt>
                <c:pt idx="7">
                  <c:v>8.1999999999999998E-4</c:v>
                </c:pt>
                <c:pt idx="8">
                  <c:v>2.2030000000000001E-2</c:v>
                </c:pt>
                <c:pt idx="9">
                  <c:v>0.15823999999999999</c:v>
                </c:pt>
                <c:pt idx="10">
                  <c:v>0.47602</c:v>
                </c:pt>
                <c:pt idx="11">
                  <c:v>0.79452999999999996</c:v>
                </c:pt>
                <c:pt idx="12">
                  <c:v>0.95204</c:v>
                </c:pt>
                <c:pt idx="13">
                  <c:v>0.99268999999999996</c:v>
                </c:pt>
                <c:pt idx="14">
                  <c:v>0.99926999999999999</c:v>
                </c:pt>
                <c:pt idx="15">
                  <c:v>0.99995999999999996</c:v>
                </c:pt>
                <c:pt idx="16">
                  <c:v>1</c:v>
                </c:pt>
                <c:pt idx="17">
                  <c:v>1</c:v>
                </c:pt>
                <c:pt idx="18">
                  <c:v>1</c:v>
                </c:pt>
                <c:pt idx="19">
                  <c:v>1</c:v>
                </c:pt>
                <c:pt idx="20">
                  <c:v>1</c:v>
                </c:pt>
              </c:numCache>
            </c:numRef>
          </c:val>
          <c:smooth val="0"/>
          <c:extLst xmlns:c16r2="http://schemas.microsoft.com/office/drawing/2015/06/chart">
            <c:ext xmlns:c16="http://schemas.microsoft.com/office/drawing/2014/chart" uri="{C3380CC4-5D6E-409C-BE32-E72D297353CC}">
              <c16:uniqueId val="{00000000-EC1E-44F2-A490-153F18D7301E}"/>
            </c:ext>
          </c:extLst>
        </c:ser>
        <c:dLbls>
          <c:showLegendKey val="0"/>
          <c:showVal val="0"/>
          <c:showCatName val="0"/>
          <c:showSerName val="0"/>
          <c:showPercent val="0"/>
          <c:showBubbleSize val="0"/>
        </c:dLbls>
        <c:marker val="1"/>
        <c:smooth val="0"/>
        <c:axId val="202871552"/>
        <c:axId val="202873472"/>
      </c:lineChart>
      <c:catAx>
        <c:axId val="202871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Willingness to Pay ($/child recovered)</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873472"/>
        <c:crosses val="autoZero"/>
        <c:auto val="1"/>
        <c:lblAlgn val="ctr"/>
        <c:lblOffset val="100"/>
        <c:noMultiLvlLbl val="0"/>
      </c:catAx>
      <c:valAx>
        <c:axId val="20287347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871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'curves - mom'!$A$54:$A$74</c:f>
              <c:numCache>
                <c:formatCode>General</c:formatCode>
                <c:ptCount val="21"/>
                <c:pt idx="0">
                  <c:v>0</c:v>
                </c:pt>
                <c:pt idx="1">
                  <c:v>25</c:v>
                </c:pt>
                <c:pt idx="2">
                  <c:v>50</c:v>
                </c:pt>
                <c:pt idx="3">
                  <c:v>75</c:v>
                </c:pt>
                <c:pt idx="4">
                  <c:v>100</c:v>
                </c:pt>
                <c:pt idx="5">
                  <c:v>125</c:v>
                </c:pt>
                <c:pt idx="6">
                  <c:v>150</c:v>
                </c:pt>
                <c:pt idx="7">
                  <c:v>175</c:v>
                </c:pt>
                <c:pt idx="8">
                  <c:v>200</c:v>
                </c:pt>
                <c:pt idx="9">
                  <c:v>225</c:v>
                </c:pt>
                <c:pt idx="10">
                  <c:v>250</c:v>
                </c:pt>
                <c:pt idx="11">
                  <c:v>275</c:v>
                </c:pt>
                <c:pt idx="12">
                  <c:v>300</c:v>
                </c:pt>
                <c:pt idx="13">
                  <c:v>325</c:v>
                </c:pt>
                <c:pt idx="14">
                  <c:v>350</c:v>
                </c:pt>
                <c:pt idx="15">
                  <c:v>375</c:v>
                </c:pt>
                <c:pt idx="16">
                  <c:v>400</c:v>
                </c:pt>
                <c:pt idx="17">
                  <c:v>425</c:v>
                </c:pt>
                <c:pt idx="18">
                  <c:v>450</c:v>
                </c:pt>
                <c:pt idx="19">
                  <c:v>475</c:v>
                </c:pt>
                <c:pt idx="20">
                  <c:v>500</c:v>
                </c:pt>
              </c:numCache>
            </c:numRef>
          </c:cat>
          <c:val>
            <c:numRef>
              <c:f>'curves - mom'!$B$54:$B$74</c:f>
              <c:numCache>
                <c:formatCode>General</c:formatCode>
                <c:ptCount val="21"/>
                <c:pt idx="0">
                  <c:v>0</c:v>
                </c:pt>
                <c:pt idx="1">
                  <c:v>0</c:v>
                </c:pt>
                <c:pt idx="2">
                  <c:v>0</c:v>
                </c:pt>
                <c:pt idx="3">
                  <c:v>0</c:v>
                </c:pt>
                <c:pt idx="4">
                  <c:v>0</c:v>
                </c:pt>
                <c:pt idx="5">
                  <c:v>0</c:v>
                </c:pt>
                <c:pt idx="6">
                  <c:v>1.32E-3</c:v>
                </c:pt>
                <c:pt idx="7">
                  <c:v>4.428E-2</c:v>
                </c:pt>
                <c:pt idx="8">
                  <c:v>0.29043000000000002</c:v>
                </c:pt>
                <c:pt idx="9">
                  <c:v>0.68984000000000001</c:v>
                </c:pt>
                <c:pt idx="10">
                  <c:v>0.92901999999999996</c:v>
                </c:pt>
                <c:pt idx="11">
                  <c:v>0.99156</c:v>
                </c:pt>
                <c:pt idx="12">
                  <c:v>0.99953999999999998</c:v>
                </c:pt>
                <c:pt idx="13">
                  <c:v>0.99997000000000003</c:v>
                </c:pt>
                <c:pt idx="14">
                  <c:v>1</c:v>
                </c:pt>
                <c:pt idx="15">
                  <c:v>1</c:v>
                </c:pt>
                <c:pt idx="16">
                  <c:v>1</c:v>
                </c:pt>
                <c:pt idx="17">
                  <c:v>1</c:v>
                </c:pt>
                <c:pt idx="18">
                  <c:v>1</c:v>
                </c:pt>
                <c:pt idx="19">
                  <c:v>1</c:v>
                </c:pt>
                <c:pt idx="20">
                  <c:v>1</c:v>
                </c:pt>
              </c:numCache>
            </c:numRef>
          </c:val>
          <c:smooth val="0"/>
          <c:extLst xmlns:c16r2="http://schemas.microsoft.com/office/drawing/2015/06/chart">
            <c:ext xmlns:c16="http://schemas.microsoft.com/office/drawing/2014/chart" uri="{C3380CC4-5D6E-409C-BE32-E72D297353CC}">
              <c16:uniqueId val="{00000000-3DA3-4447-9EA2-F1501CA5A9AF}"/>
            </c:ext>
          </c:extLst>
        </c:ser>
        <c:dLbls>
          <c:showLegendKey val="0"/>
          <c:showVal val="0"/>
          <c:showCatName val="0"/>
          <c:showSerName val="0"/>
          <c:showPercent val="0"/>
          <c:showBubbleSize val="0"/>
        </c:dLbls>
        <c:marker val="1"/>
        <c:smooth val="0"/>
        <c:axId val="202897664"/>
        <c:axId val="203108736"/>
      </c:lineChart>
      <c:catAx>
        <c:axId val="202897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Willingness to pay ($/child recovered)</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108736"/>
        <c:crosses val="autoZero"/>
        <c:auto val="1"/>
        <c:lblAlgn val="ctr"/>
        <c:lblOffset val="100"/>
        <c:noMultiLvlLbl val="0"/>
      </c:catAx>
      <c:valAx>
        <c:axId val="2031087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89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Action Against Hunger</Company>
  <LinksUpToDate>false</LinksUpToDate>
  <CharactersWithSpaces>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Puett</dc:creator>
  <cp:lastModifiedBy>Caluscusan, Paul Randley</cp:lastModifiedBy>
  <cp:revision>2</cp:revision>
  <dcterms:created xsi:type="dcterms:W3CDTF">2018-02-16T13:48:00Z</dcterms:created>
  <dcterms:modified xsi:type="dcterms:W3CDTF">2018-02-16T13:48:00Z</dcterms:modified>
</cp:coreProperties>
</file>