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6D6B1" w14:textId="22B7E632" w:rsidR="00862AF9" w:rsidRPr="00B46CB4" w:rsidRDefault="00F96D4F" w:rsidP="00E96A82">
      <w:pPr>
        <w:pStyle w:val="111heading"/>
        <w:jc w:val="center"/>
        <w:rPr>
          <w:rFonts w:ascii="Calibri" w:hAnsi="Calibri" w:hint="eastAsia"/>
          <w:b/>
          <w:sz w:val="28"/>
          <w:szCs w:val="28"/>
          <w:u w:val="none"/>
        </w:rPr>
      </w:pPr>
      <w:bookmarkStart w:id="0" w:name="_GoBack"/>
      <w:r w:rsidRPr="00B46CB4">
        <w:rPr>
          <w:rFonts w:ascii="Calibri" w:hAnsi="Calibri"/>
          <w:b/>
          <w:sz w:val="28"/>
          <w:szCs w:val="28"/>
          <w:u w:val="none"/>
        </w:rPr>
        <w:t xml:space="preserve">Web Appendix </w:t>
      </w:r>
      <w:r w:rsidR="00DC3FBF">
        <w:rPr>
          <w:rFonts w:ascii="Calibri" w:hAnsi="Calibri"/>
          <w:b/>
          <w:sz w:val="28"/>
          <w:szCs w:val="28"/>
          <w:u w:val="none"/>
        </w:rPr>
        <w:t>4</w:t>
      </w:r>
      <w:r w:rsidRPr="00B46CB4">
        <w:rPr>
          <w:rFonts w:ascii="Calibri" w:hAnsi="Calibri"/>
          <w:b/>
          <w:sz w:val="28"/>
          <w:szCs w:val="28"/>
          <w:u w:val="none"/>
        </w:rPr>
        <w:t xml:space="preserve">: Summary </w:t>
      </w:r>
      <w:r w:rsidR="00BF6CF8" w:rsidRPr="00B46CB4">
        <w:rPr>
          <w:rFonts w:ascii="Calibri" w:hAnsi="Calibri"/>
          <w:b/>
          <w:sz w:val="28"/>
          <w:szCs w:val="28"/>
          <w:u w:val="none"/>
        </w:rPr>
        <w:t>I</w:t>
      </w:r>
      <w:r w:rsidRPr="00B46CB4">
        <w:rPr>
          <w:rFonts w:ascii="Calibri" w:hAnsi="Calibri"/>
          <w:b/>
          <w:sz w:val="28"/>
          <w:szCs w:val="28"/>
          <w:u w:val="none"/>
        </w:rPr>
        <w:t xml:space="preserve">nformation </w:t>
      </w:r>
      <w:r w:rsidR="00204FA4" w:rsidRPr="00B46CB4">
        <w:rPr>
          <w:rFonts w:ascii="Calibri" w:hAnsi="Calibri"/>
          <w:b/>
          <w:sz w:val="28"/>
          <w:szCs w:val="28"/>
          <w:u w:val="none"/>
        </w:rPr>
        <w:t xml:space="preserve">by Topic from </w:t>
      </w:r>
      <w:r w:rsidRPr="00B46CB4">
        <w:rPr>
          <w:rFonts w:ascii="Calibri" w:hAnsi="Calibri"/>
          <w:b/>
          <w:sz w:val="28"/>
          <w:szCs w:val="28"/>
          <w:u w:val="none"/>
        </w:rPr>
        <w:t xml:space="preserve">the </w:t>
      </w:r>
      <w:r w:rsidR="00994959" w:rsidRPr="00B46CB4">
        <w:rPr>
          <w:rFonts w:ascii="Calibri" w:hAnsi="Calibri"/>
          <w:b/>
          <w:sz w:val="28"/>
          <w:szCs w:val="28"/>
          <w:u w:val="none"/>
        </w:rPr>
        <w:t>122</w:t>
      </w:r>
      <w:r w:rsidRPr="00B46CB4">
        <w:rPr>
          <w:rFonts w:ascii="Calibri" w:hAnsi="Calibri"/>
          <w:b/>
          <w:sz w:val="28"/>
          <w:szCs w:val="28"/>
          <w:u w:val="none"/>
        </w:rPr>
        <w:t xml:space="preserve"> </w:t>
      </w:r>
      <w:r w:rsidR="00BF6CF8" w:rsidRPr="00B46CB4">
        <w:rPr>
          <w:rFonts w:ascii="Calibri" w:hAnsi="Calibri"/>
          <w:b/>
          <w:sz w:val="28"/>
          <w:szCs w:val="28"/>
          <w:u w:val="none"/>
        </w:rPr>
        <w:t>R</w:t>
      </w:r>
      <w:r w:rsidRPr="00B46CB4">
        <w:rPr>
          <w:rFonts w:ascii="Calibri" w:hAnsi="Calibri"/>
          <w:b/>
          <w:sz w:val="28"/>
          <w:szCs w:val="28"/>
          <w:u w:val="none"/>
        </w:rPr>
        <w:t>eviews</w:t>
      </w:r>
      <w:bookmarkStart w:id="1" w:name="_Toc346537937"/>
    </w:p>
    <w:bookmarkEnd w:id="0"/>
    <w:p w14:paraId="276CA9AF" w14:textId="77777777" w:rsidR="00862AF9" w:rsidRPr="00B46CB4" w:rsidRDefault="00862AF9" w:rsidP="00E96A82">
      <w:pPr>
        <w:pStyle w:val="111heading"/>
        <w:rPr>
          <w:rFonts w:ascii="Calibri" w:hAnsi="Calibri" w:hint="eastAsia"/>
          <w:b/>
          <w:sz w:val="28"/>
          <w:szCs w:val="28"/>
          <w:u w:val="none"/>
        </w:rPr>
      </w:pPr>
    </w:p>
    <w:bookmarkEnd w:id="1"/>
    <w:p w14:paraId="022EDEEB" w14:textId="77777777" w:rsidR="00862AF9" w:rsidRPr="00862AF9" w:rsidRDefault="00862AF9" w:rsidP="00E96A82">
      <w:pPr>
        <w:spacing w:after="0"/>
        <w:rPr>
          <w:rFonts w:ascii="Calibri" w:hAnsi="Calibri"/>
        </w:rPr>
      </w:pPr>
    </w:p>
    <w:p w14:paraId="37A3360D" w14:textId="77777777" w:rsidR="00862AF9" w:rsidRPr="00862AF9" w:rsidRDefault="00862AF9" w:rsidP="00E96A82">
      <w:pPr>
        <w:spacing w:after="0"/>
        <w:rPr>
          <w:rFonts w:ascii="Calibri" w:hAnsi="Calibri"/>
        </w:rPr>
      </w:pPr>
    </w:p>
    <w:p w14:paraId="0B5D5549" w14:textId="169D8CB7" w:rsidR="00862AF9" w:rsidRPr="00204FA4" w:rsidRDefault="00862AF9" w:rsidP="00E96A82">
      <w:pPr>
        <w:spacing w:after="0"/>
        <w:rPr>
          <w:rFonts w:ascii="Calibri" w:hAnsi="Calibri"/>
          <w:b/>
          <w:sz w:val="24"/>
          <w:szCs w:val="24"/>
        </w:rPr>
      </w:pPr>
      <w:r w:rsidRPr="00204FA4">
        <w:rPr>
          <w:rFonts w:ascii="Calibri" w:hAnsi="Calibri"/>
          <w:b/>
          <w:sz w:val="24"/>
          <w:szCs w:val="24"/>
        </w:rPr>
        <w:t>Index of tables</w:t>
      </w:r>
    </w:p>
    <w:p w14:paraId="3C1D8554" w14:textId="77777777" w:rsidR="00D50402" w:rsidRDefault="00862AF9">
      <w:pPr>
        <w:pStyle w:val="TableofFigures"/>
        <w:tabs>
          <w:tab w:val="right" w:leader="dot" w:pos="12950"/>
        </w:tabs>
        <w:rPr>
          <w:rFonts w:hint="eastAsia"/>
          <w:noProof/>
          <w:lang w:eastAsia="ja-JP"/>
        </w:rPr>
      </w:pPr>
      <w:r w:rsidRPr="00204FA4">
        <w:rPr>
          <w:rFonts w:ascii="Calibri" w:hAnsi="Calibri"/>
        </w:rPr>
        <w:fldChar w:fldCharType="begin"/>
      </w:r>
      <w:r w:rsidRPr="00204FA4">
        <w:rPr>
          <w:rFonts w:ascii="Calibri" w:hAnsi="Calibri"/>
        </w:rPr>
        <w:instrText xml:space="preserve"> TOC \t "a table" \c </w:instrText>
      </w:r>
      <w:r w:rsidRPr="00204FA4">
        <w:rPr>
          <w:rFonts w:ascii="Calibri" w:hAnsi="Calibri"/>
        </w:rPr>
        <w:fldChar w:fldCharType="separate"/>
      </w:r>
      <w:r w:rsidR="00D50402" w:rsidRPr="00C83214">
        <w:rPr>
          <w:rFonts w:ascii="Calibri" w:hAnsi="Calibri" w:hint="eastAsia"/>
          <w:noProof/>
          <w:lang w:val="en-US"/>
        </w:rPr>
        <w:t>Table 1. Health system-related HIC reviews</w:t>
      </w:r>
      <w:r w:rsidR="00D50402">
        <w:rPr>
          <w:rFonts w:hint="eastAsia"/>
          <w:noProof/>
        </w:rPr>
        <w:tab/>
      </w:r>
      <w:r w:rsidR="00D50402">
        <w:rPr>
          <w:rFonts w:hint="eastAsia"/>
          <w:noProof/>
        </w:rPr>
        <w:fldChar w:fldCharType="begin"/>
      </w:r>
      <w:r w:rsidR="00D50402">
        <w:rPr>
          <w:rFonts w:hint="eastAsia"/>
          <w:noProof/>
        </w:rPr>
        <w:instrText xml:space="preserve"> PAGEREF </w:instrText>
      </w:r>
      <w:r w:rsidR="00D50402">
        <w:rPr>
          <w:noProof/>
        </w:rPr>
        <w:instrText>_Toc387399711 \h</w:instrText>
      </w:r>
      <w:r w:rsidR="00D50402">
        <w:rPr>
          <w:rFonts w:hint="eastAsia"/>
          <w:noProof/>
        </w:rPr>
        <w:instrText xml:space="preserve"> </w:instrText>
      </w:r>
      <w:r w:rsidR="00D50402">
        <w:rPr>
          <w:rFonts w:hint="eastAsia"/>
          <w:noProof/>
        </w:rPr>
      </w:r>
      <w:r w:rsidR="00D50402">
        <w:rPr>
          <w:rFonts w:hint="eastAsia"/>
          <w:noProof/>
        </w:rPr>
        <w:fldChar w:fldCharType="separate"/>
      </w:r>
      <w:r w:rsidR="00D50402">
        <w:rPr>
          <w:rFonts w:hint="eastAsia"/>
          <w:noProof/>
        </w:rPr>
        <w:t>2</w:t>
      </w:r>
      <w:r w:rsidR="00D50402">
        <w:rPr>
          <w:rFonts w:hint="eastAsia"/>
          <w:noProof/>
        </w:rPr>
        <w:fldChar w:fldCharType="end"/>
      </w:r>
    </w:p>
    <w:p w14:paraId="5390A99A"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2. Underserved population-related HIC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_Toc387399712 \h</w:instrText>
      </w:r>
      <w:r>
        <w:rPr>
          <w:rFonts w:hint="eastAsia"/>
          <w:noProof/>
        </w:rPr>
        <w:instrText xml:space="preserve"> </w:instrText>
      </w:r>
      <w:r>
        <w:rPr>
          <w:rFonts w:hint="eastAsia"/>
          <w:noProof/>
        </w:rPr>
      </w:r>
      <w:r>
        <w:rPr>
          <w:rFonts w:hint="eastAsia"/>
          <w:noProof/>
        </w:rPr>
        <w:fldChar w:fldCharType="separate"/>
      </w:r>
      <w:r>
        <w:rPr>
          <w:rFonts w:hint="eastAsia"/>
          <w:noProof/>
        </w:rPr>
        <w:t>3</w:t>
      </w:r>
      <w:r>
        <w:rPr>
          <w:rFonts w:hint="eastAsia"/>
          <w:noProof/>
        </w:rPr>
        <w:fldChar w:fldCharType="end"/>
      </w:r>
    </w:p>
    <w:p w14:paraId="6FC75AB9"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3. Maternal health and breastfeeding HIC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_Toc387399713 \h</w:instrText>
      </w:r>
      <w:r>
        <w:rPr>
          <w:rFonts w:hint="eastAsia"/>
          <w:noProof/>
        </w:rPr>
        <w:instrText xml:space="preserve"> </w:instrText>
      </w:r>
      <w:r>
        <w:rPr>
          <w:rFonts w:hint="eastAsia"/>
          <w:noProof/>
        </w:rPr>
      </w:r>
      <w:r>
        <w:rPr>
          <w:rFonts w:hint="eastAsia"/>
          <w:noProof/>
        </w:rPr>
        <w:fldChar w:fldCharType="separate"/>
      </w:r>
      <w:r>
        <w:rPr>
          <w:rFonts w:hint="eastAsia"/>
          <w:noProof/>
        </w:rPr>
        <w:t>4</w:t>
      </w:r>
      <w:r>
        <w:rPr>
          <w:rFonts w:hint="eastAsia"/>
          <w:noProof/>
        </w:rPr>
        <w:fldChar w:fldCharType="end"/>
      </w:r>
    </w:p>
    <w:p w14:paraId="4DF06CFB"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4. Non-communicable disease HIC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_Toc387399714 \h</w:instrText>
      </w:r>
      <w:r>
        <w:rPr>
          <w:rFonts w:hint="eastAsia"/>
          <w:noProof/>
        </w:rPr>
        <w:instrText xml:space="preserve"> </w:instrText>
      </w:r>
      <w:r>
        <w:rPr>
          <w:rFonts w:hint="eastAsia"/>
          <w:noProof/>
        </w:rPr>
      </w:r>
      <w:r>
        <w:rPr>
          <w:rFonts w:hint="eastAsia"/>
          <w:noProof/>
        </w:rPr>
        <w:fldChar w:fldCharType="separate"/>
      </w:r>
      <w:r>
        <w:rPr>
          <w:rFonts w:hint="eastAsia"/>
          <w:noProof/>
        </w:rPr>
        <w:t>5</w:t>
      </w:r>
      <w:r>
        <w:rPr>
          <w:rFonts w:hint="eastAsia"/>
          <w:noProof/>
        </w:rPr>
        <w:fldChar w:fldCharType="end"/>
      </w:r>
    </w:p>
    <w:p w14:paraId="1B91CA1A"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5. Other HIC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_Toc387399715 \h</w:instrText>
      </w:r>
      <w:r>
        <w:rPr>
          <w:rFonts w:hint="eastAsia"/>
          <w:noProof/>
        </w:rPr>
        <w:instrText xml:space="preserve"> </w:instrText>
      </w:r>
      <w:r>
        <w:rPr>
          <w:rFonts w:hint="eastAsia"/>
          <w:noProof/>
        </w:rPr>
      </w:r>
      <w:r>
        <w:rPr>
          <w:rFonts w:hint="eastAsia"/>
          <w:noProof/>
        </w:rPr>
        <w:fldChar w:fldCharType="separate"/>
      </w:r>
      <w:r>
        <w:rPr>
          <w:rFonts w:hint="eastAsia"/>
          <w:noProof/>
        </w:rPr>
        <w:t>8</w:t>
      </w:r>
      <w:r>
        <w:rPr>
          <w:rFonts w:hint="eastAsia"/>
          <w:noProof/>
        </w:rPr>
        <w:fldChar w:fldCharType="end"/>
      </w:r>
    </w:p>
    <w:p w14:paraId="43031705"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6. PHC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_Toc387399716 \h</w:instrText>
      </w:r>
      <w:r>
        <w:rPr>
          <w:rFonts w:hint="eastAsia"/>
          <w:noProof/>
        </w:rPr>
        <w:instrText xml:space="preserve"> </w:instrText>
      </w:r>
      <w:r>
        <w:rPr>
          <w:rFonts w:hint="eastAsia"/>
          <w:noProof/>
        </w:rPr>
      </w:r>
      <w:r>
        <w:rPr>
          <w:rFonts w:hint="eastAsia"/>
          <w:noProof/>
        </w:rPr>
        <w:fldChar w:fldCharType="separate"/>
      </w:r>
      <w:r>
        <w:rPr>
          <w:rFonts w:hint="eastAsia"/>
          <w:noProof/>
        </w:rPr>
        <w:t>9</w:t>
      </w:r>
      <w:r>
        <w:rPr>
          <w:rFonts w:hint="eastAsia"/>
          <w:noProof/>
        </w:rPr>
        <w:fldChar w:fldCharType="end"/>
      </w:r>
    </w:p>
    <w:p w14:paraId="6896F0E8"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7. Health system-related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_Toc387399717 \h</w:instrText>
      </w:r>
      <w:r>
        <w:rPr>
          <w:rFonts w:hint="eastAsia"/>
          <w:noProof/>
        </w:rPr>
        <w:instrText xml:space="preserve"> </w:instrText>
      </w:r>
      <w:r>
        <w:rPr>
          <w:rFonts w:hint="eastAsia"/>
          <w:noProof/>
        </w:rPr>
      </w:r>
      <w:r>
        <w:rPr>
          <w:rFonts w:hint="eastAsia"/>
          <w:noProof/>
        </w:rPr>
        <w:fldChar w:fldCharType="separate"/>
      </w:r>
      <w:r>
        <w:rPr>
          <w:rFonts w:hint="eastAsia"/>
          <w:noProof/>
        </w:rPr>
        <w:t>12</w:t>
      </w:r>
      <w:r>
        <w:rPr>
          <w:rFonts w:hint="eastAsia"/>
          <w:noProof/>
        </w:rPr>
        <w:fldChar w:fldCharType="end"/>
      </w:r>
    </w:p>
    <w:p w14:paraId="01A4E92C"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8. CBP rights and wellbeing-related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_Toc387399718 \h</w:instrText>
      </w:r>
      <w:r>
        <w:rPr>
          <w:rFonts w:hint="eastAsia"/>
          <w:noProof/>
        </w:rPr>
        <w:instrText xml:space="preserve"> </w:instrText>
      </w:r>
      <w:r>
        <w:rPr>
          <w:rFonts w:hint="eastAsia"/>
          <w:noProof/>
        </w:rPr>
      </w:r>
      <w:r>
        <w:rPr>
          <w:rFonts w:hint="eastAsia"/>
          <w:noProof/>
        </w:rPr>
        <w:fldChar w:fldCharType="separate"/>
      </w:r>
      <w:r>
        <w:rPr>
          <w:rFonts w:hint="eastAsia"/>
          <w:noProof/>
        </w:rPr>
        <w:t>13</w:t>
      </w:r>
      <w:r>
        <w:rPr>
          <w:rFonts w:hint="eastAsia"/>
          <w:noProof/>
        </w:rPr>
        <w:fldChar w:fldCharType="end"/>
      </w:r>
    </w:p>
    <w:p w14:paraId="2E91FE40"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9. Maternal and child health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_Toc387399719 \h</w:instrText>
      </w:r>
      <w:r>
        <w:rPr>
          <w:rFonts w:hint="eastAsia"/>
          <w:noProof/>
        </w:rPr>
        <w:instrText xml:space="preserve"> </w:instrText>
      </w:r>
      <w:r>
        <w:rPr>
          <w:rFonts w:hint="eastAsia"/>
          <w:noProof/>
        </w:rPr>
      </w:r>
      <w:r>
        <w:rPr>
          <w:rFonts w:hint="eastAsia"/>
          <w:noProof/>
        </w:rPr>
        <w:fldChar w:fldCharType="separate"/>
      </w:r>
      <w:r>
        <w:rPr>
          <w:rFonts w:hint="eastAsia"/>
          <w:noProof/>
        </w:rPr>
        <w:t>14</w:t>
      </w:r>
      <w:r>
        <w:rPr>
          <w:rFonts w:hint="eastAsia"/>
          <w:noProof/>
        </w:rPr>
        <w:fldChar w:fldCharType="end"/>
      </w:r>
    </w:p>
    <w:p w14:paraId="31D398BF"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10. Non-communicable disease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_Toc387399720 \h</w:instrText>
      </w:r>
      <w:r>
        <w:rPr>
          <w:rFonts w:hint="eastAsia"/>
          <w:noProof/>
        </w:rPr>
        <w:instrText xml:space="preserve"> </w:instrText>
      </w:r>
      <w:r>
        <w:rPr>
          <w:rFonts w:hint="eastAsia"/>
          <w:noProof/>
        </w:rPr>
      </w:r>
      <w:r>
        <w:rPr>
          <w:rFonts w:hint="eastAsia"/>
          <w:noProof/>
        </w:rPr>
        <w:fldChar w:fldCharType="separate"/>
      </w:r>
      <w:r>
        <w:rPr>
          <w:rFonts w:hint="eastAsia"/>
          <w:noProof/>
        </w:rPr>
        <w:t>23</w:t>
      </w:r>
      <w:r>
        <w:rPr>
          <w:rFonts w:hint="eastAsia"/>
          <w:noProof/>
        </w:rPr>
        <w:fldChar w:fldCharType="end"/>
      </w:r>
    </w:p>
    <w:p w14:paraId="1D979EE8" w14:textId="77777777" w:rsidR="00D50402" w:rsidRDefault="00D50402">
      <w:pPr>
        <w:pStyle w:val="TableofFigures"/>
        <w:tabs>
          <w:tab w:val="right" w:leader="dot" w:pos="12950"/>
        </w:tabs>
        <w:rPr>
          <w:rFonts w:hint="eastAsia"/>
          <w:noProof/>
          <w:lang w:eastAsia="ja-JP"/>
        </w:rPr>
      </w:pPr>
      <w:r w:rsidRPr="00C83214">
        <w:rPr>
          <w:rFonts w:ascii="Calibri" w:hAnsi="Calibri" w:hint="eastAsia"/>
          <w:noProof/>
          <w:lang w:val="en-US"/>
        </w:rPr>
        <w:t>Table 11. Infectious disease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_Toc387399721 \h</w:instrText>
      </w:r>
      <w:r>
        <w:rPr>
          <w:rFonts w:hint="eastAsia"/>
          <w:noProof/>
        </w:rPr>
        <w:instrText xml:space="preserve"> </w:instrText>
      </w:r>
      <w:r>
        <w:rPr>
          <w:rFonts w:hint="eastAsia"/>
          <w:noProof/>
        </w:rPr>
      </w:r>
      <w:r>
        <w:rPr>
          <w:rFonts w:hint="eastAsia"/>
          <w:noProof/>
        </w:rPr>
        <w:fldChar w:fldCharType="separate"/>
      </w:r>
      <w:r>
        <w:rPr>
          <w:rFonts w:hint="eastAsia"/>
          <w:noProof/>
        </w:rPr>
        <w:t>24</w:t>
      </w:r>
      <w:r>
        <w:rPr>
          <w:rFonts w:hint="eastAsia"/>
          <w:noProof/>
        </w:rPr>
        <w:fldChar w:fldCharType="end"/>
      </w:r>
    </w:p>
    <w:p w14:paraId="5CB7FF5C" w14:textId="77777777" w:rsidR="00D50402" w:rsidRDefault="00D50402">
      <w:pPr>
        <w:pStyle w:val="TableofFigures"/>
        <w:tabs>
          <w:tab w:val="right" w:leader="dot" w:pos="12950"/>
        </w:tabs>
        <w:rPr>
          <w:rFonts w:hint="eastAsia"/>
          <w:noProof/>
          <w:lang w:eastAsia="ja-JP"/>
        </w:rPr>
      </w:pPr>
      <w:r>
        <w:rPr>
          <w:rFonts w:hint="eastAsia"/>
          <w:noProof/>
        </w:rPr>
        <w:t>Table 12. Other LMIC reviews</w:t>
      </w:r>
      <w:r>
        <w:rPr>
          <w:rFonts w:hint="eastAsia"/>
          <w:noProof/>
        </w:rPr>
        <w:tab/>
      </w:r>
      <w:r>
        <w:rPr>
          <w:rFonts w:hint="eastAsia"/>
          <w:noProof/>
        </w:rPr>
        <w:fldChar w:fldCharType="begin"/>
      </w:r>
      <w:r>
        <w:rPr>
          <w:rFonts w:hint="eastAsia"/>
          <w:noProof/>
        </w:rPr>
        <w:instrText xml:space="preserve"> PAGEREF </w:instrText>
      </w:r>
      <w:r>
        <w:rPr>
          <w:noProof/>
        </w:rPr>
        <w:instrText>_Toc387399722 \h</w:instrText>
      </w:r>
      <w:r>
        <w:rPr>
          <w:rFonts w:hint="eastAsia"/>
          <w:noProof/>
        </w:rPr>
        <w:instrText xml:space="preserve"> </w:instrText>
      </w:r>
      <w:r>
        <w:rPr>
          <w:rFonts w:hint="eastAsia"/>
          <w:noProof/>
        </w:rPr>
      </w:r>
      <w:r>
        <w:rPr>
          <w:rFonts w:hint="eastAsia"/>
          <w:noProof/>
        </w:rPr>
        <w:fldChar w:fldCharType="separate"/>
      </w:r>
      <w:r>
        <w:rPr>
          <w:rFonts w:hint="eastAsia"/>
          <w:noProof/>
        </w:rPr>
        <w:t>29</w:t>
      </w:r>
      <w:r>
        <w:rPr>
          <w:rFonts w:hint="eastAsia"/>
          <w:noProof/>
        </w:rPr>
        <w:fldChar w:fldCharType="end"/>
      </w:r>
    </w:p>
    <w:p w14:paraId="7CCCBD34" w14:textId="1E0B29B1" w:rsidR="00862AF9" w:rsidRPr="00862AF9" w:rsidRDefault="00862AF9" w:rsidP="00E96A82">
      <w:pPr>
        <w:spacing w:after="0"/>
        <w:rPr>
          <w:rFonts w:ascii="Calibri" w:hAnsi="Calibri"/>
        </w:rPr>
      </w:pPr>
      <w:r w:rsidRPr="00204FA4">
        <w:rPr>
          <w:rFonts w:ascii="Calibri" w:hAnsi="Calibri"/>
          <w:sz w:val="24"/>
          <w:szCs w:val="24"/>
        </w:rPr>
        <w:fldChar w:fldCharType="end"/>
      </w:r>
    </w:p>
    <w:p w14:paraId="2D4B2A51" w14:textId="77777777" w:rsidR="00862AF9" w:rsidRPr="00862AF9" w:rsidRDefault="00862AF9" w:rsidP="00E96A82">
      <w:pPr>
        <w:spacing w:after="0"/>
        <w:rPr>
          <w:rFonts w:ascii="Calibri" w:hAnsi="Calibri"/>
        </w:rPr>
      </w:pPr>
      <w:r w:rsidRPr="00862AF9">
        <w:rPr>
          <w:rFonts w:ascii="Calibri" w:hAnsi="Calibri"/>
        </w:rPr>
        <w:br w:type="page"/>
      </w:r>
    </w:p>
    <w:p w14:paraId="1D5EEEF3" w14:textId="000402F8" w:rsidR="00862AF9" w:rsidRPr="00862AF9" w:rsidRDefault="00862AF9" w:rsidP="00E96A82">
      <w:pPr>
        <w:pStyle w:val="111heading"/>
        <w:rPr>
          <w:rFonts w:ascii="Calibri" w:hAnsi="Calibri" w:hint="eastAsia"/>
          <w:lang w:val="en-US"/>
        </w:rPr>
      </w:pPr>
      <w:r w:rsidRPr="00862AF9">
        <w:rPr>
          <w:rFonts w:ascii="Calibri" w:hAnsi="Calibri"/>
          <w:lang w:val="en-US"/>
        </w:rPr>
        <w:lastRenderedPageBreak/>
        <w:t>Community-based practitioner roles, capacities and health outcomes as reported in reviews from</w:t>
      </w:r>
      <w:r w:rsidR="00723656">
        <w:rPr>
          <w:rFonts w:ascii="Calibri" w:hAnsi="Calibri"/>
          <w:lang w:val="en-US"/>
        </w:rPr>
        <w:t xml:space="preserve"> high</w:t>
      </w:r>
      <w:r w:rsidR="006D3EF0">
        <w:rPr>
          <w:rFonts w:ascii="Calibri" w:hAnsi="Calibri"/>
          <w:lang w:val="en-US"/>
        </w:rPr>
        <w:t>-</w:t>
      </w:r>
      <w:r w:rsidR="00723656">
        <w:rPr>
          <w:rFonts w:ascii="Calibri" w:hAnsi="Calibri"/>
          <w:lang w:val="en-US"/>
        </w:rPr>
        <w:t>income countries (</w:t>
      </w:r>
      <w:r w:rsidRPr="00862AF9">
        <w:rPr>
          <w:rFonts w:ascii="Calibri" w:hAnsi="Calibri"/>
          <w:lang w:val="en-US"/>
        </w:rPr>
        <w:t>HICs</w:t>
      </w:r>
      <w:r w:rsidR="00723656">
        <w:rPr>
          <w:rFonts w:ascii="Calibri" w:hAnsi="Calibri"/>
          <w:lang w:val="en-US"/>
        </w:rPr>
        <w:t>)</w:t>
      </w:r>
    </w:p>
    <w:p w14:paraId="11204531" w14:textId="77777777" w:rsidR="00862AF9" w:rsidRPr="00862AF9" w:rsidRDefault="00862AF9" w:rsidP="00E96A82">
      <w:pPr>
        <w:spacing w:after="0"/>
        <w:rPr>
          <w:rFonts w:ascii="Calibri" w:hAnsi="Calibri"/>
        </w:rPr>
      </w:pPr>
    </w:p>
    <w:p w14:paraId="0A45EF0C" w14:textId="08CE429B" w:rsidR="00862AF9" w:rsidRDefault="00862AF9" w:rsidP="00E96A82">
      <w:pPr>
        <w:spacing w:after="0"/>
        <w:rPr>
          <w:rFonts w:ascii="Calibri" w:hAnsi="Calibri"/>
        </w:rPr>
      </w:pPr>
      <w:r w:rsidRPr="00862AF9">
        <w:rPr>
          <w:rFonts w:ascii="Calibri" w:hAnsi="Calibri"/>
        </w:rPr>
        <w:t>Four reviews examined CBPs in HIC settings addressing multiple health issues in the health system (</w:t>
      </w:r>
      <w:r w:rsidRPr="00862AF9">
        <w:rPr>
          <w:rFonts w:ascii="Calibri" w:hAnsi="Calibri"/>
        </w:rPr>
        <w:fldChar w:fldCharType="begin"/>
      </w:r>
      <w:r w:rsidRPr="00862AF9">
        <w:rPr>
          <w:rFonts w:ascii="Calibri" w:hAnsi="Calibri"/>
        </w:rPr>
        <w:instrText xml:space="preserve"> REF _Ref332752994 \h </w:instrText>
      </w:r>
      <w:r w:rsidRPr="00862AF9">
        <w:rPr>
          <w:rFonts w:ascii="Calibri" w:hAnsi="Calibri"/>
        </w:rPr>
      </w:r>
      <w:r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1</w:t>
      </w:r>
      <w:r w:rsidRPr="00862AF9">
        <w:rPr>
          <w:rFonts w:ascii="Calibri" w:hAnsi="Calibri"/>
        </w:rPr>
        <w:fldChar w:fldCharType="end"/>
      </w:r>
      <w:r w:rsidRPr="00862AF9">
        <w:rPr>
          <w:rFonts w:ascii="Calibri" w:hAnsi="Calibri"/>
        </w:rPr>
        <w:t xml:space="preserve">). </w:t>
      </w:r>
    </w:p>
    <w:p w14:paraId="745AF088" w14:textId="77777777" w:rsidR="00204FA4" w:rsidRPr="00862AF9" w:rsidRDefault="00204FA4"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17CC62C1" w14:textId="77777777" w:rsidTr="00204FA4">
        <w:trPr>
          <w:cantSplit/>
          <w:trHeight w:val="320"/>
        </w:trPr>
        <w:tc>
          <w:tcPr>
            <w:tcW w:w="13623" w:type="dxa"/>
            <w:gridSpan w:val="4"/>
            <w:tcBorders>
              <w:top w:val="nil"/>
              <w:left w:val="nil"/>
              <w:bottom w:val="single" w:sz="4" w:space="0" w:color="auto"/>
              <w:right w:val="nil"/>
            </w:tcBorders>
            <w:shd w:val="clear" w:color="000000" w:fill="auto"/>
            <w:noWrap/>
          </w:tcPr>
          <w:p w14:paraId="37F04679" w14:textId="34F29506" w:rsidR="00862AF9" w:rsidRPr="00862AF9" w:rsidRDefault="00862AF9" w:rsidP="00E96A82">
            <w:pPr>
              <w:pStyle w:val="atable"/>
              <w:rPr>
                <w:rFonts w:ascii="Calibri" w:eastAsia="Times New Roman" w:hAnsi="Calibri" w:cs="Times New Roman"/>
                <w:bCs/>
                <w:color w:val="000000"/>
                <w:szCs w:val="22"/>
                <w:lang w:val="en-US"/>
              </w:rPr>
            </w:pPr>
            <w:bookmarkStart w:id="2" w:name="_Ref332752994"/>
            <w:bookmarkStart w:id="3" w:name="_Toc346537971"/>
            <w:bookmarkStart w:id="4" w:name="_Toc387399711"/>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1</w:t>
            </w:r>
            <w:r w:rsidRPr="00862AF9">
              <w:rPr>
                <w:rFonts w:ascii="Calibri" w:hAnsi="Calibri"/>
                <w:szCs w:val="22"/>
                <w:lang w:val="en-US"/>
              </w:rPr>
              <w:fldChar w:fldCharType="end"/>
            </w:r>
            <w:bookmarkEnd w:id="2"/>
            <w:r w:rsidRPr="00862AF9">
              <w:rPr>
                <w:rFonts w:ascii="Calibri" w:hAnsi="Calibri"/>
                <w:szCs w:val="22"/>
                <w:lang w:val="en-US"/>
              </w:rPr>
              <w:t xml:space="preserve">. Health system-related </w:t>
            </w:r>
            <w:r w:rsidR="00723656">
              <w:rPr>
                <w:rFonts w:ascii="Calibri" w:hAnsi="Calibri"/>
                <w:szCs w:val="22"/>
                <w:lang w:val="en-US"/>
              </w:rPr>
              <w:t>HIC</w:t>
            </w:r>
            <w:r w:rsidRPr="00862AF9">
              <w:rPr>
                <w:rFonts w:ascii="Calibri" w:hAnsi="Calibri"/>
                <w:szCs w:val="22"/>
                <w:lang w:val="en-US"/>
              </w:rPr>
              <w:t xml:space="preserve"> reviews</w:t>
            </w:r>
            <w:bookmarkEnd w:id="3"/>
            <w:bookmarkEnd w:id="4"/>
          </w:p>
        </w:tc>
      </w:tr>
      <w:tr w:rsidR="00862AF9" w:rsidRPr="00862AF9" w14:paraId="226725A9" w14:textId="77777777" w:rsidTr="00204FA4">
        <w:trPr>
          <w:cantSplit/>
          <w:trHeight w:val="320"/>
        </w:trPr>
        <w:tc>
          <w:tcPr>
            <w:tcW w:w="1148" w:type="dxa"/>
            <w:tcBorders>
              <w:top w:val="single" w:sz="4" w:space="0" w:color="auto"/>
            </w:tcBorders>
            <w:shd w:val="clear" w:color="000000" w:fill="D9D9D9"/>
            <w:noWrap/>
            <w:vAlign w:val="bottom"/>
          </w:tcPr>
          <w:p w14:paraId="16F554F1"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tcPr>
          <w:p w14:paraId="5CC85852"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tcPr>
          <w:p w14:paraId="0CF13987"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tcPr>
          <w:p w14:paraId="1D38AD90"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682CA4EE" w14:textId="77777777" w:rsidTr="00204FA4">
        <w:trPr>
          <w:cantSplit/>
          <w:trHeight w:val="320"/>
        </w:trPr>
        <w:tc>
          <w:tcPr>
            <w:tcW w:w="1148" w:type="dxa"/>
            <w:shd w:val="clear" w:color="auto" w:fill="auto"/>
            <w:noWrap/>
            <w:vAlign w:val="bottom"/>
          </w:tcPr>
          <w:p w14:paraId="6A1C8EA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Dale</w:t>
            </w:r>
          </w:p>
        </w:tc>
        <w:tc>
          <w:tcPr>
            <w:tcW w:w="739" w:type="dxa"/>
            <w:shd w:val="clear" w:color="auto" w:fill="auto"/>
            <w:noWrap/>
            <w:vAlign w:val="bottom"/>
          </w:tcPr>
          <w:p w14:paraId="6499505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2008</w:t>
            </w:r>
          </w:p>
        </w:tc>
        <w:tc>
          <w:tcPr>
            <w:tcW w:w="900" w:type="dxa"/>
            <w:shd w:val="clear" w:color="auto" w:fill="auto"/>
            <w:noWrap/>
            <w:vAlign w:val="bottom"/>
          </w:tcPr>
          <w:p w14:paraId="68AD0CB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 MA</w:t>
            </w:r>
          </w:p>
        </w:tc>
        <w:tc>
          <w:tcPr>
            <w:tcW w:w="10836" w:type="dxa"/>
            <w:shd w:val="clear" w:color="auto" w:fill="auto"/>
            <w:noWrap/>
            <w:vAlign w:val="bottom"/>
          </w:tcPr>
          <w:p w14:paraId="51CE089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There is some evidence from HICs that peer-support telephone calls can be effective for certain health-related concerns (mammography screening, diet change in post-myocardial infraction patients, breastfeeding continuation, and reducing depressive symptoms in mothers with postnatal depression).</w:t>
            </w:r>
          </w:p>
        </w:tc>
      </w:tr>
      <w:tr w:rsidR="00862AF9" w:rsidRPr="00862AF9" w14:paraId="2F091517" w14:textId="77777777" w:rsidTr="00204FA4">
        <w:trPr>
          <w:cantSplit/>
          <w:trHeight w:val="320"/>
        </w:trPr>
        <w:tc>
          <w:tcPr>
            <w:tcW w:w="1148" w:type="dxa"/>
            <w:shd w:val="clear" w:color="auto" w:fill="auto"/>
            <w:noWrap/>
            <w:vAlign w:val="bottom"/>
          </w:tcPr>
          <w:p w14:paraId="13C0260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Lizarondo</w:t>
            </w:r>
          </w:p>
        </w:tc>
        <w:tc>
          <w:tcPr>
            <w:tcW w:w="739" w:type="dxa"/>
            <w:shd w:val="clear" w:color="auto" w:fill="auto"/>
            <w:noWrap/>
            <w:vAlign w:val="bottom"/>
          </w:tcPr>
          <w:p w14:paraId="4D7F1BF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2010</w:t>
            </w:r>
          </w:p>
        </w:tc>
        <w:tc>
          <w:tcPr>
            <w:tcW w:w="900" w:type="dxa"/>
            <w:shd w:val="clear" w:color="auto" w:fill="auto"/>
            <w:noWrap/>
            <w:vAlign w:val="bottom"/>
          </w:tcPr>
          <w:p w14:paraId="20612C5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4AEE3236"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There is consensus in the HIC literature that allied health assistants (AHAs) make a valuable contribution to allied health care. However, ongoing barriers to their effective use persist. AHAs have duties that require contact with patients (such as administration of clinical services, preparation of patients, patient education, and supervision of patients) and duties that do not require direct patient contact (such as administrative and clerical duties).</w:t>
            </w:r>
          </w:p>
        </w:tc>
      </w:tr>
      <w:tr w:rsidR="00862AF9" w:rsidRPr="00862AF9" w14:paraId="6D861545" w14:textId="77777777" w:rsidTr="00204FA4">
        <w:trPr>
          <w:cantSplit/>
          <w:trHeight w:val="320"/>
        </w:trPr>
        <w:tc>
          <w:tcPr>
            <w:tcW w:w="1148" w:type="dxa"/>
            <w:shd w:val="clear" w:color="auto" w:fill="auto"/>
            <w:noWrap/>
            <w:vAlign w:val="bottom"/>
          </w:tcPr>
          <w:p w14:paraId="0A7AD42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South</w:t>
            </w:r>
          </w:p>
        </w:tc>
        <w:tc>
          <w:tcPr>
            <w:tcW w:w="739" w:type="dxa"/>
            <w:shd w:val="clear" w:color="auto" w:fill="auto"/>
            <w:noWrap/>
            <w:vAlign w:val="bottom"/>
          </w:tcPr>
          <w:p w14:paraId="252A540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2013</w:t>
            </w:r>
          </w:p>
        </w:tc>
        <w:tc>
          <w:tcPr>
            <w:tcW w:w="900" w:type="dxa"/>
            <w:shd w:val="clear" w:color="auto" w:fill="auto"/>
            <w:noWrap/>
            <w:vAlign w:val="bottom"/>
          </w:tcPr>
          <w:p w14:paraId="63E68BA6"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NSR</w:t>
            </w:r>
          </w:p>
        </w:tc>
        <w:tc>
          <w:tcPr>
            <w:tcW w:w="10836" w:type="dxa"/>
            <w:shd w:val="clear" w:color="auto" w:fill="auto"/>
            <w:noWrap/>
            <w:vAlign w:val="bottom"/>
          </w:tcPr>
          <w:p w14:paraId="1E8849DB" w14:textId="2BC442F6"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 xml:space="preserve">In HICs, the features of lay health worker </w:t>
            </w:r>
            <w:r w:rsidR="00596987">
              <w:rPr>
                <w:rFonts w:ascii="Calibri" w:hAnsi="Calibri"/>
                <w:sz w:val="20"/>
                <w:szCs w:val="20"/>
              </w:rPr>
              <w:t>program</w:t>
            </w:r>
            <w:r w:rsidRPr="00862AF9">
              <w:rPr>
                <w:rFonts w:ascii="Calibri" w:hAnsi="Calibri"/>
                <w:sz w:val="20"/>
                <w:szCs w:val="20"/>
              </w:rPr>
              <w:t xml:space="preserve">s can be grouped into four dimensions: intervention, role, professional support/service and the community. More account needs to be taken of the variations among lay health worker </w:t>
            </w:r>
            <w:r w:rsidR="00596987">
              <w:rPr>
                <w:rFonts w:ascii="Calibri" w:hAnsi="Calibri"/>
                <w:sz w:val="20"/>
                <w:szCs w:val="20"/>
              </w:rPr>
              <w:t>program</w:t>
            </w:r>
            <w:r w:rsidRPr="00862AF9">
              <w:rPr>
                <w:rFonts w:ascii="Calibri" w:hAnsi="Calibri"/>
                <w:sz w:val="20"/>
                <w:szCs w:val="20"/>
              </w:rPr>
              <w:t xml:space="preserve">s. The dimensions of lay health worker </w:t>
            </w:r>
            <w:r w:rsidR="00596987">
              <w:rPr>
                <w:rFonts w:ascii="Calibri" w:hAnsi="Calibri"/>
                <w:sz w:val="20"/>
                <w:szCs w:val="20"/>
              </w:rPr>
              <w:t>program</w:t>
            </w:r>
            <w:r w:rsidRPr="00862AF9">
              <w:rPr>
                <w:rFonts w:ascii="Calibri" w:hAnsi="Calibri"/>
                <w:sz w:val="20"/>
                <w:szCs w:val="20"/>
              </w:rPr>
              <w:t xml:space="preserve">s should not be mutually exclusive, as many </w:t>
            </w:r>
            <w:r w:rsidR="00596987">
              <w:rPr>
                <w:rFonts w:ascii="Calibri" w:hAnsi="Calibri"/>
                <w:sz w:val="20"/>
                <w:szCs w:val="20"/>
              </w:rPr>
              <w:t>program</w:t>
            </w:r>
            <w:r w:rsidRPr="00862AF9">
              <w:rPr>
                <w:rFonts w:ascii="Calibri" w:hAnsi="Calibri"/>
                <w:sz w:val="20"/>
                <w:szCs w:val="20"/>
              </w:rPr>
              <w:t xml:space="preserve">s seek to combine various roles in a hybrid fashion, and furthermore roles may evolve over time. Bridging models (where CHWs connect underserved communities to health services) are prominent in studies carried out in North America; however, the roles can also involve peer education and culturally appropriate support. </w:t>
            </w:r>
          </w:p>
        </w:tc>
      </w:tr>
      <w:tr w:rsidR="00862AF9" w:rsidRPr="00862AF9" w14:paraId="38DB0F4E" w14:textId="77777777" w:rsidTr="00204FA4">
        <w:trPr>
          <w:cantSplit/>
          <w:trHeight w:val="320"/>
        </w:trPr>
        <w:tc>
          <w:tcPr>
            <w:tcW w:w="1148" w:type="dxa"/>
            <w:shd w:val="clear" w:color="auto" w:fill="auto"/>
            <w:noWrap/>
            <w:vAlign w:val="bottom"/>
          </w:tcPr>
          <w:p w14:paraId="4BEAF98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Stanhope</w:t>
            </w:r>
          </w:p>
        </w:tc>
        <w:tc>
          <w:tcPr>
            <w:tcW w:w="739" w:type="dxa"/>
            <w:shd w:val="clear" w:color="auto" w:fill="auto"/>
            <w:noWrap/>
            <w:vAlign w:val="bottom"/>
          </w:tcPr>
          <w:p w14:paraId="10741E8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2013</w:t>
            </w:r>
          </w:p>
        </w:tc>
        <w:tc>
          <w:tcPr>
            <w:tcW w:w="900" w:type="dxa"/>
            <w:shd w:val="clear" w:color="auto" w:fill="auto"/>
            <w:noWrap/>
            <w:vAlign w:val="bottom"/>
          </w:tcPr>
          <w:p w14:paraId="51C4743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w:t>
            </w:r>
          </w:p>
        </w:tc>
        <w:tc>
          <w:tcPr>
            <w:tcW w:w="10836" w:type="dxa"/>
            <w:shd w:val="clear" w:color="auto" w:fill="auto"/>
            <w:noWrap/>
            <w:vAlign w:val="bottom"/>
          </w:tcPr>
          <w:p w14:paraId="78AA506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Allied health assistants (AHAs) in HICs are being employed in a range of settings, and they appear to be effective in terms of process measures and stakeholder perceptions. AHAs are well-accepted by clients, provide clients with more therapy time (e.g., for speech therapy or physiotherapy), and free up time for health professionals to perform other duties.</w:t>
            </w:r>
          </w:p>
        </w:tc>
      </w:tr>
    </w:tbl>
    <w:p w14:paraId="46E6EA4B" w14:textId="77777777" w:rsidR="00862AF9" w:rsidRPr="00862AF9" w:rsidRDefault="00862AF9" w:rsidP="00E96A82">
      <w:pPr>
        <w:spacing w:after="0"/>
        <w:rPr>
          <w:rFonts w:ascii="Calibri" w:hAnsi="Calibri"/>
        </w:rPr>
      </w:pPr>
    </w:p>
    <w:p w14:paraId="23B7199D" w14:textId="3C99F2A9" w:rsidR="00862AF9" w:rsidRPr="00862AF9" w:rsidRDefault="00151E75" w:rsidP="00E96A82">
      <w:pPr>
        <w:spacing w:after="0"/>
        <w:rPr>
          <w:rFonts w:ascii="Calibri" w:hAnsi="Calibri"/>
        </w:rPr>
      </w:pPr>
      <w:r>
        <w:rPr>
          <w:rFonts w:ascii="Calibri" w:hAnsi="Calibri"/>
        </w:rPr>
        <w:t>Seven</w:t>
      </w:r>
      <w:r w:rsidR="00954485" w:rsidRPr="00862AF9">
        <w:rPr>
          <w:rFonts w:ascii="Calibri" w:hAnsi="Calibri"/>
        </w:rPr>
        <w:t xml:space="preserve"> </w:t>
      </w:r>
      <w:r w:rsidR="00862AF9" w:rsidRPr="00862AF9">
        <w:rPr>
          <w:rFonts w:ascii="Calibri" w:hAnsi="Calibri"/>
        </w:rPr>
        <w:t xml:space="preserve">reviews examined CBPs in HIC settings addressing health issues specifically facing underserved populations: </w:t>
      </w:r>
      <w:r>
        <w:rPr>
          <w:rFonts w:ascii="Calibri" w:hAnsi="Calibri"/>
        </w:rPr>
        <w:t>five</w:t>
      </w:r>
      <w:r w:rsidRPr="00862AF9">
        <w:rPr>
          <w:rFonts w:ascii="Calibri" w:hAnsi="Calibri"/>
        </w:rPr>
        <w:t xml:space="preserve"> </w:t>
      </w:r>
      <w:r w:rsidR="00862AF9" w:rsidRPr="00862AF9">
        <w:rPr>
          <w:rFonts w:ascii="Calibri" w:hAnsi="Calibri"/>
        </w:rPr>
        <w:t>on racial and ethnic health disparities in the US (including one specifically on US Hispanics/Latinos)</w:t>
      </w:r>
      <w:r w:rsidR="006D3EF0">
        <w:rPr>
          <w:rFonts w:ascii="Calibri" w:hAnsi="Calibri"/>
        </w:rPr>
        <w:t>,</w:t>
      </w:r>
      <w:r w:rsidR="00954485">
        <w:rPr>
          <w:rFonts w:ascii="Calibri" w:hAnsi="Calibri"/>
        </w:rPr>
        <w:t xml:space="preserve"> one on immigrant and ethnic minority adults in the US and Canada,</w:t>
      </w:r>
      <w:r w:rsidR="00862AF9" w:rsidRPr="00862AF9">
        <w:rPr>
          <w:rFonts w:ascii="Calibri" w:hAnsi="Calibri"/>
        </w:rPr>
        <w:t xml:space="preserve"> and one on Aboriginal health in Australia (</w:t>
      </w:r>
      <w:r w:rsidR="00862AF9" w:rsidRPr="00862AF9">
        <w:rPr>
          <w:rFonts w:ascii="Calibri" w:hAnsi="Calibri"/>
        </w:rPr>
        <w:fldChar w:fldCharType="begin"/>
      </w:r>
      <w:r w:rsidR="00862AF9" w:rsidRPr="00862AF9">
        <w:rPr>
          <w:rFonts w:ascii="Calibri" w:hAnsi="Calibri"/>
        </w:rPr>
        <w:instrText xml:space="preserve"> REF _Ref345330140 \h </w:instrText>
      </w:r>
      <w:r w:rsidR="00862AF9" w:rsidRPr="00862AF9">
        <w:rPr>
          <w:rFonts w:ascii="Calibri" w:hAnsi="Calibri"/>
        </w:rPr>
      </w:r>
      <w:r w:rsidR="00862AF9"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2</w:t>
      </w:r>
      <w:r w:rsidR="00862AF9" w:rsidRPr="00862AF9">
        <w:rPr>
          <w:rFonts w:ascii="Calibri" w:hAnsi="Calibri"/>
        </w:rPr>
        <w:fldChar w:fldCharType="end"/>
      </w:r>
      <w:r w:rsidR="00862AF9" w:rsidRPr="00862AF9">
        <w:rPr>
          <w:rFonts w:ascii="Calibri" w:hAnsi="Calibri"/>
        </w:rPr>
        <w:t>).</w:t>
      </w:r>
    </w:p>
    <w:p w14:paraId="425E51C2" w14:textId="77777777" w:rsidR="00862AF9" w:rsidRPr="00862AF9" w:rsidRDefault="00862AF9" w:rsidP="00E96A82">
      <w:pPr>
        <w:spacing w:after="0"/>
        <w:rPr>
          <w:rFonts w:ascii="Calibri" w:hAnsi="Calibri"/>
        </w:rPr>
      </w:pPr>
      <w:bookmarkStart w:id="5" w:name="_Ref332753278"/>
      <w:r w:rsidRPr="00862AF9">
        <w:rPr>
          <w:rFonts w:ascii="Calibri" w:hAnsi="Calibri"/>
        </w:rPr>
        <w:br w:type="page"/>
      </w: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600D873D" w14:textId="77777777" w:rsidTr="00204FA4">
        <w:trPr>
          <w:trHeight w:val="320"/>
          <w:tblHeader/>
        </w:trPr>
        <w:tc>
          <w:tcPr>
            <w:tcW w:w="13623" w:type="dxa"/>
            <w:gridSpan w:val="4"/>
            <w:tcBorders>
              <w:top w:val="nil"/>
              <w:left w:val="nil"/>
              <w:bottom w:val="single" w:sz="4" w:space="0" w:color="auto"/>
              <w:right w:val="nil"/>
            </w:tcBorders>
            <w:shd w:val="clear" w:color="000000" w:fill="auto"/>
            <w:noWrap/>
          </w:tcPr>
          <w:p w14:paraId="60921A73" w14:textId="78FF113C" w:rsidR="00862AF9" w:rsidRPr="00862AF9" w:rsidRDefault="00862AF9" w:rsidP="00E96A82">
            <w:pPr>
              <w:pStyle w:val="atable"/>
              <w:rPr>
                <w:rFonts w:ascii="Calibri" w:eastAsia="Times New Roman" w:hAnsi="Calibri" w:cs="Times New Roman"/>
                <w:bCs/>
                <w:color w:val="000000"/>
                <w:szCs w:val="22"/>
                <w:lang w:val="en-US"/>
              </w:rPr>
            </w:pPr>
            <w:bookmarkStart w:id="6" w:name="_Ref345330140"/>
            <w:bookmarkStart w:id="7" w:name="_Toc346537972"/>
            <w:bookmarkStart w:id="8" w:name="_Toc387399712"/>
            <w:r w:rsidRPr="00862AF9">
              <w:rPr>
                <w:rFonts w:ascii="Calibri" w:hAnsi="Calibri"/>
                <w:szCs w:val="22"/>
                <w:lang w:val="en-US"/>
              </w:rPr>
              <w:lastRenderedPageBreak/>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2</w:t>
            </w:r>
            <w:r w:rsidRPr="00862AF9">
              <w:rPr>
                <w:rFonts w:ascii="Calibri" w:hAnsi="Calibri"/>
                <w:szCs w:val="22"/>
                <w:lang w:val="en-US"/>
              </w:rPr>
              <w:fldChar w:fldCharType="end"/>
            </w:r>
            <w:bookmarkEnd w:id="5"/>
            <w:bookmarkEnd w:id="6"/>
            <w:r w:rsidRPr="00862AF9">
              <w:rPr>
                <w:rFonts w:ascii="Calibri" w:hAnsi="Calibri"/>
                <w:szCs w:val="22"/>
                <w:lang w:val="en-US"/>
              </w:rPr>
              <w:t xml:space="preserve">. Underserved population-related </w:t>
            </w:r>
            <w:r w:rsidR="00723656">
              <w:rPr>
                <w:rFonts w:ascii="Calibri" w:hAnsi="Calibri"/>
                <w:szCs w:val="22"/>
                <w:lang w:val="en-US"/>
              </w:rPr>
              <w:t>HIC</w:t>
            </w:r>
            <w:r w:rsidRPr="00862AF9">
              <w:rPr>
                <w:rFonts w:ascii="Calibri" w:hAnsi="Calibri"/>
                <w:szCs w:val="22"/>
                <w:lang w:val="en-US"/>
              </w:rPr>
              <w:t xml:space="preserve"> reviews</w:t>
            </w:r>
            <w:bookmarkEnd w:id="7"/>
            <w:bookmarkEnd w:id="8"/>
          </w:p>
        </w:tc>
      </w:tr>
      <w:tr w:rsidR="00862AF9" w:rsidRPr="00862AF9" w14:paraId="1E51B40C" w14:textId="77777777" w:rsidTr="00204FA4">
        <w:trPr>
          <w:trHeight w:val="320"/>
          <w:tblHeader/>
        </w:trPr>
        <w:tc>
          <w:tcPr>
            <w:tcW w:w="1148" w:type="dxa"/>
            <w:tcBorders>
              <w:top w:val="single" w:sz="4" w:space="0" w:color="auto"/>
            </w:tcBorders>
            <w:shd w:val="clear" w:color="000000" w:fill="D9D9D9"/>
            <w:noWrap/>
            <w:vAlign w:val="bottom"/>
          </w:tcPr>
          <w:p w14:paraId="020A2AB9"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tcPr>
          <w:p w14:paraId="5B159C79"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tcPr>
          <w:p w14:paraId="6720C0AC"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tcPr>
          <w:p w14:paraId="6E8C7AD8"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151E75" w:rsidRPr="00862AF9" w14:paraId="568E7AAC" w14:textId="77777777" w:rsidTr="00204FA4">
        <w:trPr>
          <w:trHeight w:val="320"/>
        </w:trPr>
        <w:tc>
          <w:tcPr>
            <w:tcW w:w="1148" w:type="dxa"/>
            <w:shd w:val="clear" w:color="auto" w:fill="auto"/>
            <w:noWrap/>
            <w:vAlign w:val="bottom"/>
          </w:tcPr>
          <w:p w14:paraId="430992FD" w14:textId="064C796E" w:rsidR="00151E75" w:rsidRPr="00862AF9" w:rsidRDefault="00151E75"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Abbott</w:t>
            </w:r>
          </w:p>
        </w:tc>
        <w:tc>
          <w:tcPr>
            <w:tcW w:w="739" w:type="dxa"/>
            <w:shd w:val="clear" w:color="auto" w:fill="auto"/>
            <w:noWrap/>
            <w:vAlign w:val="bottom"/>
          </w:tcPr>
          <w:p w14:paraId="6158CBA6" w14:textId="3EDB2855" w:rsidR="00151E75" w:rsidRDefault="00151E75"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900" w:type="dxa"/>
            <w:shd w:val="clear" w:color="auto" w:fill="auto"/>
            <w:noWrap/>
            <w:vAlign w:val="bottom"/>
          </w:tcPr>
          <w:p w14:paraId="2689940B" w14:textId="78A727A2" w:rsidR="00151E75" w:rsidRDefault="00151E75"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836" w:type="dxa"/>
            <w:shd w:val="clear" w:color="auto" w:fill="auto"/>
            <w:noWrap/>
            <w:vAlign w:val="bottom"/>
          </w:tcPr>
          <w:p w14:paraId="070143B0" w14:textId="08A104F2" w:rsidR="00151E75" w:rsidRDefault="00151E75"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Focus on efforts to address social determinants of health through </w:t>
            </w:r>
            <w:r w:rsidRPr="00143AC7">
              <w:rPr>
                <w:rFonts w:ascii="Calibri" w:eastAsia="Times New Roman" w:hAnsi="Calibri" w:cs="Times New Roman"/>
                <w:color w:val="000000"/>
                <w:sz w:val="20"/>
                <w:szCs w:val="20"/>
              </w:rPr>
              <w:t xml:space="preserve">home visiting </w:t>
            </w:r>
            <w:r>
              <w:rPr>
                <w:rFonts w:ascii="Calibri" w:eastAsia="Times New Roman" w:hAnsi="Calibri" w:cs="Times New Roman"/>
                <w:color w:val="000000"/>
                <w:sz w:val="20"/>
                <w:szCs w:val="20"/>
              </w:rPr>
              <w:t>for</w:t>
            </w:r>
            <w:r w:rsidRPr="00143AC7">
              <w:rPr>
                <w:rFonts w:ascii="Calibri" w:eastAsia="Times New Roman" w:hAnsi="Calibri" w:cs="Times New Roman"/>
                <w:color w:val="000000"/>
                <w:sz w:val="20"/>
                <w:szCs w:val="20"/>
              </w:rPr>
              <w:t xml:space="preserve"> racial</w:t>
            </w:r>
            <w:r w:rsidR="00527959">
              <w:rPr>
                <w:rFonts w:ascii="Calibri" w:eastAsia="Times New Roman" w:hAnsi="Calibri" w:cs="Times New Roman"/>
                <w:color w:val="000000"/>
                <w:sz w:val="20"/>
                <w:szCs w:val="20"/>
              </w:rPr>
              <w:t xml:space="preserve"> and ethnic minorities in the U</w:t>
            </w:r>
            <w:r w:rsidRPr="00143AC7">
              <w:rPr>
                <w:rFonts w:ascii="Calibri" w:eastAsia="Times New Roman" w:hAnsi="Calibri" w:cs="Times New Roman"/>
                <w:color w:val="000000"/>
                <w:sz w:val="20"/>
                <w:szCs w:val="20"/>
              </w:rPr>
              <w:t xml:space="preserve">S. </w:t>
            </w:r>
            <w:r>
              <w:rPr>
                <w:rFonts w:ascii="Calibri" w:eastAsia="Times New Roman" w:hAnsi="Calibri" w:cs="Times New Roman"/>
                <w:color w:val="000000"/>
                <w:sz w:val="20"/>
                <w:szCs w:val="20"/>
              </w:rPr>
              <w:t>Of the 39 included studies, 20 involved CHWs</w:t>
            </w:r>
            <w:r w:rsidR="00527959">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alone or in teams conducting c</w:t>
            </w:r>
            <w:r w:rsidRPr="00143AC7">
              <w:rPr>
                <w:rFonts w:ascii="Calibri" w:eastAsia="Times New Roman" w:hAnsi="Calibri" w:cs="Times New Roman"/>
                <w:color w:val="000000"/>
                <w:sz w:val="20"/>
                <w:szCs w:val="20"/>
              </w:rPr>
              <w:t>ommunity and home visitation interventions</w:t>
            </w:r>
            <w:r>
              <w:rPr>
                <w:rFonts w:ascii="Calibri" w:eastAsia="Times New Roman" w:hAnsi="Calibri" w:cs="Times New Roman"/>
                <w:color w:val="000000"/>
                <w:sz w:val="20"/>
                <w:szCs w:val="20"/>
              </w:rPr>
              <w:t xml:space="preserve">. </w:t>
            </w:r>
            <w:r w:rsidR="00527959">
              <w:rPr>
                <w:rFonts w:ascii="Calibri" w:eastAsia="Times New Roman" w:hAnsi="Calibri" w:cs="Times New Roman"/>
                <w:color w:val="000000"/>
                <w:sz w:val="20"/>
                <w:szCs w:val="20"/>
              </w:rPr>
              <w:t xml:space="preserve">Evidence from experimental studies (e.g. intervention vs. control) found that home visits conducted by </w:t>
            </w:r>
            <w:r>
              <w:rPr>
                <w:rFonts w:ascii="Calibri" w:eastAsia="Times New Roman" w:hAnsi="Calibri" w:cs="Times New Roman"/>
                <w:color w:val="000000"/>
                <w:sz w:val="20"/>
                <w:szCs w:val="20"/>
              </w:rPr>
              <w:t>CHWs</w:t>
            </w:r>
            <w:r w:rsidR="00527959">
              <w:rPr>
                <w:rFonts w:ascii="Calibri" w:eastAsia="Times New Roman" w:hAnsi="Calibri" w:cs="Times New Roman"/>
                <w:color w:val="000000"/>
                <w:sz w:val="20"/>
                <w:szCs w:val="20"/>
              </w:rPr>
              <w:t xml:space="preserve"> alone or in teams</w:t>
            </w:r>
            <w:r>
              <w:rPr>
                <w:rFonts w:ascii="Calibri" w:eastAsia="Times New Roman" w:hAnsi="Calibri" w:cs="Times New Roman"/>
                <w:color w:val="000000"/>
                <w:sz w:val="20"/>
                <w:szCs w:val="20"/>
              </w:rPr>
              <w:t xml:space="preserve"> c</w:t>
            </w:r>
            <w:r w:rsidR="00527959">
              <w:rPr>
                <w:rFonts w:ascii="Calibri" w:eastAsia="Times New Roman" w:hAnsi="Calibri" w:cs="Times New Roman"/>
                <w:color w:val="000000"/>
                <w:sz w:val="20"/>
                <w:szCs w:val="20"/>
              </w:rPr>
              <w:t>an positively influences a range of health-related behaviors</w:t>
            </w:r>
            <w:r w:rsidR="00754FE7">
              <w:rPr>
                <w:rFonts w:ascii="Calibri" w:eastAsia="Times New Roman" w:hAnsi="Calibri" w:cs="Times New Roman"/>
                <w:color w:val="000000"/>
                <w:sz w:val="20"/>
                <w:szCs w:val="20"/>
              </w:rPr>
              <w:t xml:space="preserve">, </w:t>
            </w:r>
            <w:r w:rsidR="00527959">
              <w:rPr>
                <w:rFonts w:ascii="Calibri" w:eastAsia="Times New Roman" w:hAnsi="Calibri" w:cs="Times New Roman"/>
                <w:color w:val="000000"/>
                <w:sz w:val="20"/>
                <w:szCs w:val="20"/>
              </w:rPr>
              <w:t xml:space="preserve">understandings and attitudes among marginalized people, including: improving parenting knowledge, </w:t>
            </w:r>
            <w:r w:rsidR="00754FE7">
              <w:rPr>
                <w:rFonts w:ascii="Calibri" w:eastAsia="Times New Roman" w:hAnsi="Calibri" w:cs="Times New Roman"/>
                <w:color w:val="000000"/>
                <w:sz w:val="20"/>
                <w:szCs w:val="20"/>
              </w:rPr>
              <w:t xml:space="preserve">knowledge of influenza prevention, </w:t>
            </w:r>
            <w:r w:rsidR="00527959">
              <w:rPr>
                <w:rFonts w:ascii="Calibri" w:eastAsia="Times New Roman" w:hAnsi="Calibri" w:cs="Times New Roman"/>
                <w:color w:val="000000"/>
                <w:sz w:val="20"/>
                <w:szCs w:val="20"/>
              </w:rPr>
              <w:t>home safety, self efficacy</w:t>
            </w:r>
            <w:r w:rsidR="00754FE7">
              <w:rPr>
                <w:rFonts w:ascii="Calibri" w:eastAsia="Times New Roman" w:hAnsi="Calibri" w:cs="Times New Roman"/>
                <w:color w:val="000000"/>
                <w:sz w:val="20"/>
                <w:szCs w:val="20"/>
              </w:rPr>
              <w:t xml:space="preserve">, pap screening, Hep B testing, knowledge about prostate cancer (but not screening) and mammography attainment; increasing breastfeeding attempts and duration, number of asthma free days, and </w:t>
            </w:r>
            <w:r w:rsidR="00754FE7" w:rsidRPr="00754FE7">
              <w:rPr>
                <w:rFonts w:ascii="Calibri" w:eastAsia="Times New Roman" w:hAnsi="Calibri" w:cs="Times New Roman"/>
                <w:color w:val="000000"/>
                <w:sz w:val="20"/>
                <w:szCs w:val="20"/>
              </w:rPr>
              <w:t>infant-stimulating home environment scores</w:t>
            </w:r>
            <w:r w:rsidR="00527959">
              <w:rPr>
                <w:rFonts w:ascii="Calibri" w:eastAsia="Times New Roman" w:hAnsi="Calibri" w:cs="Times New Roman"/>
                <w:color w:val="000000"/>
                <w:sz w:val="20"/>
                <w:szCs w:val="20"/>
              </w:rPr>
              <w:t>; reducing</w:t>
            </w:r>
            <w:r w:rsidR="00754FE7">
              <w:rPr>
                <w:rFonts w:ascii="Calibri" w:eastAsia="Times New Roman" w:hAnsi="Calibri" w:cs="Times New Roman"/>
                <w:color w:val="000000"/>
                <w:sz w:val="20"/>
                <w:szCs w:val="20"/>
              </w:rPr>
              <w:t xml:space="preserve"> depression,</w:t>
            </w:r>
            <w:r w:rsidR="00527959">
              <w:rPr>
                <w:rFonts w:ascii="Calibri" w:eastAsia="Times New Roman" w:hAnsi="Calibri" w:cs="Times New Roman"/>
                <w:color w:val="000000"/>
                <w:sz w:val="20"/>
                <w:szCs w:val="20"/>
              </w:rPr>
              <w:t xml:space="preserve"> </w:t>
            </w:r>
            <w:r w:rsidR="00754FE7">
              <w:rPr>
                <w:rFonts w:ascii="Calibri" w:eastAsia="Times New Roman" w:hAnsi="Calibri" w:cs="Times New Roman"/>
                <w:color w:val="000000"/>
                <w:sz w:val="20"/>
                <w:szCs w:val="20"/>
              </w:rPr>
              <w:t xml:space="preserve">urgent care visits, obesity among postpartum teens, </w:t>
            </w:r>
            <w:r w:rsidR="00527959">
              <w:rPr>
                <w:rFonts w:ascii="Calibri" w:eastAsia="Times New Roman" w:hAnsi="Calibri" w:cs="Times New Roman"/>
                <w:color w:val="000000"/>
                <w:sz w:val="20"/>
                <w:szCs w:val="20"/>
              </w:rPr>
              <w:t>unplanned repeat births</w:t>
            </w:r>
            <w:r w:rsidR="00754FE7">
              <w:rPr>
                <w:rFonts w:ascii="Calibri" w:eastAsia="Times New Roman" w:hAnsi="Calibri" w:cs="Times New Roman"/>
                <w:color w:val="000000"/>
                <w:sz w:val="20"/>
                <w:szCs w:val="20"/>
              </w:rPr>
              <w:t xml:space="preserve"> among adolescents</w:t>
            </w:r>
            <w:r w:rsidR="00527959">
              <w:rPr>
                <w:rFonts w:ascii="Calibri" w:eastAsia="Times New Roman" w:hAnsi="Calibri" w:cs="Times New Roman"/>
                <w:color w:val="000000"/>
                <w:sz w:val="20"/>
                <w:szCs w:val="20"/>
              </w:rPr>
              <w:t xml:space="preserve">, </w:t>
            </w:r>
            <w:r w:rsidR="00754FE7">
              <w:rPr>
                <w:rFonts w:ascii="Calibri" w:eastAsia="Times New Roman" w:hAnsi="Calibri" w:cs="Times New Roman"/>
                <w:color w:val="000000"/>
                <w:sz w:val="20"/>
                <w:szCs w:val="20"/>
              </w:rPr>
              <w:t>and psychiatric diagnoses among children.</w:t>
            </w:r>
          </w:p>
        </w:tc>
      </w:tr>
      <w:tr w:rsidR="00151E75" w:rsidRPr="00862AF9" w14:paraId="61FC1174" w14:textId="77777777" w:rsidTr="00204FA4">
        <w:trPr>
          <w:trHeight w:val="320"/>
        </w:trPr>
        <w:tc>
          <w:tcPr>
            <w:tcW w:w="1148" w:type="dxa"/>
            <w:shd w:val="clear" w:color="auto" w:fill="auto"/>
            <w:noWrap/>
            <w:vAlign w:val="bottom"/>
          </w:tcPr>
          <w:p w14:paraId="5C74DC0C" w14:textId="4F2957E6" w:rsidR="00151E75" w:rsidRPr="00862AF9" w:rsidRDefault="00151E75" w:rsidP="00E96A82">
            <w:pPr>
              <w:spacing w:after="0"/>
              <w:rPr>
                <w:rFonts w:ascii="Calibri" w:hAnsi="Calibri"/>
                <w:sz w:val="20"/>
                <w:szCs w:val="20"/>
              </w:rPr>
            </w:pPr>
            <w:r w:rsidRPr="00862AF9">
              <w:rPr>
                <w:rFonts w:ascii="Calibri" w:hAnsi="Calibri"/>
                <w:sz w:val="20"/>
                <w:szCs w:val="20"/>
              </w:rPr>
              <w:t>Gibbons</w:t>
            </w:r>
          </w:p>
        </w:tc>
        <w:tc>
          <w:tcPr>
            <w:tcW w:w="739" w:type="dxa"/>
            <w:shd w:val="clear" w:color="auto" w:fill="auto"/>
            <w:noWrap/>
            <w:vAlign w:val="bottom"/>
          </w:tcPr>
          <w:p w14:paraId="0A2A992C" w14:textId="001E01AD" w:rsidR="00151E75" w:rsidRPr="00862AF9" w:rsidRDefault="00151E75" w:rsidP="00E96A82">
            <w:pPr>
              <w:spacing w:after="0"/>
              <w:jc w:val="center"/>
              <w:rPr>
                <w:rFonts w:ascii="Calibri" w:hAnsi="Calibri"/>
                <w:sz w:val="20"/>
                <w:szCs w:val="20"/>
              </w:rPr>
            </w:pPr>
            <w:r w:rsidRPr="00862AF9">
              <w:rPr>
                <w:rFonts w:ascii="Calibri" w:hAnsi="Calibri"/>
                <w:sz w:val="20"/>
                <w:szCs w:val="20"/>
              </w:rPr>
              <w:t>2007</w:t>
            </w:r>
          </w:p>
        </w:tc>
        <w:tc>
          <w:tcPr>
            <w:tcW w:w="900" w:type="dxa"/>
            <w:shd w:val="clear" w:color="auto" w:fill="auto"/>
            <w:noWrap/>
            <w:vAlign w:val="bottom"/>
          </w:tcPr>
          <w:p w14:paraId="1F42D42D" w14:textId="1A330BA3" w:rsidR="00151E75" w:rsidRPr="00862AF9" w:rsidRDefault="00151E75" w:rsidP="00E96A82">
            <w:pPr>
              <w:spacing w:after="0"/>
              <w:jc w:val="center"/>
              <w:rPr>
                <w:rFonts w:ascii="Calibri" w:hAnsi="Calibri"/>
                <w:sz w:val="20"/>
                <w:szCs w:val="20"/>
              </w:rPr>
            </w:pPr>
            <w:r w:rsidRPr="00862AF9">
              <w:rPr>
                <w:rFonts w:ascii="Calibri" w:hAnsi="Calibri"/>
                <w:sz w:val="20"/>
                <w:szCs w:val="20"/>
              </w:rPr>
              <w:t>SR</w:t>
            </w:r>
          </w:p>
        </w:tc>
        <w:tc>
          <w:tcPr>
            <w:tcW w:w="10836" w:type="dxa"/>
            <w:shd w:val="clear" w:color="auto" w:fill="auto"/>
            <w:noWrap/>
            <w:vAlign w:val="bottom"/>
          </w:tcPr>
          <w:p w14:paraId="61D275BF" w14:textId="33523220" w:rsidR="00151E75" w:rsidRPr="00862AF9" w:rsidRDefault="00151E75" w:rsidP="00E96A82">
            <w:pPr>
              <w:spacing w:after="0"/>
              <w:rPr>
                <w:rFonts w:ascii="Calibri" w:hAnsi="Calibri"/>
                <w:sz w:val="20"/>
                <w:szCs w:val="20"/>
              </w:rPr>
            </w:pPr>
            <w:r w:rsidRPr="00862AF9">
              <w:rPr>
                <w:rFonts w:ascii="Calibri" w:hAnsi="Calibri"/>
                <w:sz w:val="20"/>
                <w:szCs w:val="20"/>
              </w:rPr>
              <w:t xml:space="preserve">Focus on the role of CHWs in addressing racial and ethnic disparities in health status and health care in the US. The available evidence from randomized controlled trials in the US suggests positive benefits may be attributable to the use of CHWs. CHWs in the US conduct home visits, make referrals and lead counseling sessions. They also provide education (e.g., giving colorectal cancer information) and organize activities. </w:t>
            </w:r>
          </w:p>
        </w:tc>
      </w:tr>
      <w:tr w:rsidR="00151E75" w:rsidRPr="00862AF9" w14:paraId="10D5D554" w14:textId="77777777" w:rsidTr="00204FA4">
        <w:trPr>
          <w:trHeight w:val="320"/>
        </w:trPr>
        <w:tc>
          <w:tcPr>
            <w:tcW w:w="1148" w:type="dxa"/>
            <w:shd w:val="clear" w:color="auto" w:fill="auto"/>
            <w:noWrap/>
            <w:vAlign w:val="bottom"/>
          </w:tcPr>
          <w:p w14:paraId="00CD1A70" w14:textId="77777777" w:rsidR="00151E75" w:rsidRPr="00862AF9" w:rsidRDefault="00151E75" w:rsidP="00E96A82">
            <w:pPr>
              <w:spacing w:after="0"/>
              <w:rPr>
                <w:rFonts w:ascii="Calibri" w:hAnsi="Calibri"/>
                <w:sz w:val="20"/>
                <w:szCs w:val="20"/>
              </w:rPr>
            </w:pPr>
            <w:r w:rsidRPr="00862AF9">
              <w:rPr>
                <w:rFonts w:ascii="Calibri" w:hAnsi="Calibri"/>
                <w:sz w:val="20"/>
                <w:szCs w:val="20"/>
              </w:rPr>
              <w:t>Islam</w:t>
            </w:r>
          </w:p>
        </w:tc>
        <w:tc>
          <w:tcPr>
            <w:tcW w:w="739" w:type="dxa"/>
            <w:shd w:val="clear" w:color="auto" w:fill="auto"/>
            <w:noWrap/>
            <w:vAlign w:val="bottom"/>
          </w:tcPr>
          <w:p w14:paraId="577BF0A3" w14:textId="77777777" w:rsidR="00151E75" w:rsidRPr="00862AF9" w:rsidRDefault="00151E75" w:rsidP="00E96A82">
            <w:pPr>
              <w:spacing w:after="0"/>
              <w:jc w:val="center"/>
              <w:rPr>
                <w:rFonts w:ascii="Calibri" w:hAnsi="Calibri"/>
                <w:sz w:val="20"/>
                <w:szCs w:val="20"/>
              </w:rPr>
            </w:pPr>
            <w:r w:rsidRPr="00862AF9">
              <w:rPr>
                <w:rFonts w:ascii="Calibri" w:hAnsi="Calibri"/>
                <w:sz w:val="20"/>
                <w:szCs w:val="20"/>
              </w:rPr>
              <w:t>2015</w:t>
            </w:r>
          </w:p>
        </w:tc>
        <w:tc>
          <w:tcPr>
            <w:tcW w:w="900" w:type="dxa"/>
            <w:shd w:val="clear" w:color="auto" w:fill="auto"/>
            <w:noWrap/>
            <w:vAlign w:val="bottom"/>
          </w:tcPr>
          <w:p w14:paraId="48CB6EAA" w14:textId="77777777" w:rsidR="00151E75" w:rsidRPr="00862AF9" w:rsidRDefault="00151E75" w:rsidP="00E96A82">
            <w:pPr>
              <w:spacing w:after="0"/>
              <w:jc w:val="center"/>
              <w:rPr>
                <w:rFonts w:ascii="Calibri" w:hAnsi="Calibri"/>
                <w:sz w:val="20"/>
                <w:szCs w:val="20"/>
              </w:rPr>
            </w:pPr>
            <w:r w:rsidRPr="00862AF9">
              <w:rPr>
                <w:rFonts w:ascii="Calibri" w:hAnsi="Calibri"/>
                <w:sz w:val="20"/>
                <w:szCs w:val="20"/>
              </w:rPr>
              <w:t>NSR</w:t>
            </w:r>
          </w:p>
        </w:tc>
        <w:tc>
          <w:tcPr>
            <w:tcW w:w="10836" w:type="dxa"/>
            <w:shd w:val="clear" w:color="auto" w:fill="auto"/>
            <w:noWrap/>
            <w:vAlign w:val="bottom"/>
          </w:tcPr>
          <w:p w14:paraId="3F613FB5" w14:textId="77777777" w:rsidR="00151E75" w:rsidRPr="00862AF9" w:rsidRDefault="00151E75" w:rsidP="00E96A82">
            <w:pPr>
              <w:spacing w:after="0"/>
              <w:rPr>
                <w:rFonts w:ascii="Calibri" w:hAnsi="Calibri"/>
                <w:sz w:val="20"/>
                <w:szCs w:val="20"/>
              </w:rPr>
            </w:pPr>
            <w:r w:rsidRPr="00862AF9">
              <w:rPr>
                <w:rFonts w:ascii="Calibri" w:hAnsi="Calibri"/>
                <w:sz w:val="20"/>
                <w:szCs w:val="20"/>
              </w:rPr>
              <w:t>CHW programs for Asian American, and Native Hawaiian, and Pacific Islander communities in the US do not adequately address the ethnic and cultural diversity in these populations. CHW programs should be geographically expanded to reach these populations across the country. CHWs are underutilized in addressing a range of health issues in these communities, including mental health disparities, HIV/ AIDS, and occupational health/injuries.</w:t>
            </w:r>
          </w:p>
        </w:tc>
      </w:tr>
      <w:tr w:rsidR="00151E75" w:rsidRPr="00862AF9" w14:paraId="19E973F3" w14:textId="77777777" w:rsidTr="00204FA4">
        <w:trPr>
          <w:trHeight w:val="320"/>
        </w:trPr>
        <w:tc>
          <w:tcPr>
            <w:tcW w:w="1148" w:type="dxa"/>
            <w:shd w:val="clear" w:color="auto" w:fill="auto"/>
            <w:noWrap/>
            <w:vAlign w:val="bottom"/>
          </w:tcPr>
          <w:p w14:paraId="7665B16F" w14:textId="77777777" w:rsidR="00151E75" w:rsidRPr="00862AF9" w:rsidRDefault="00151E75" w:rsidP="00E96A82">
            <w:pPr>
              <w:spacing w:after="0"/>
              <w:rPr>
                <w:rFonts w:ascii="Calibri" w:eastAsia="Times New Roman" w:hAnsi="Calibri" w:cs="Times New Roman"/>
                <w:color w:val="000000"/>
                <w:sz w:val="20"/>
                <w:szCs w:val="20"/>
              </w:rPr>
            </w:pPr>
            <w:r w:rsidRPr="00862AF9">
              <w:rPr>
                <w:rFonts w:ascii="Calibri" w:hAnsi="Calibri"/>
                <w:sz w:val="20"/>
                <w:szCs w:val="20"/>
              </w:rPr>
              <w:t xml:space="preserve">Mercer </w:t>
            </w:r>
          </w:p>
        </w:tc>
        <w:tc>
          <w:tcPr>
            <w:tcW w:w="739" w:type="dxa"/>
            <w:shd w:val="clear" w:color="auto" w:fill="auto"/>
            <w:noWrap/>
            <w:vAlign w:val="bottom"/>
          </w:tcPr>
          <w:p w14:paraId="3654D8D3" w14:textId="77777777" w:rsidR="00151E75" w:rsidRPr="00862AF9" w:rsidRDefault="00151E75"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2014</w:t>
            </w:r>
          </w:p>
        </w:tc>
        <w:tc>
          <w:tcPr>
            <w:tcW w:w="900" w:type="dxa"/>
            <w:shd w:val="clear" w:color="auto" w:fill="auto"/>
            <w:noWrap/>
            <w:vAlign w:val="bottom"/>
          </w:tcPr>
          <w:p w14:paraId="700EE6E6" w14:textId="77777777" w:rsidR="00151E75" w:rsidRPr="00862AF9" w:rsidRDefault="00151E75"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w:t>
            </w:r>
          </w:p>
        </w:tc>
        <w:tc>
          <w:tcPr>
            <w:tcW w:w="10836" w:type="dxa"/>
            <w:shd w:val="clear" w:color="auto" w:fill="auto"/>
            <w:noWrap/>
            <w:vAlign w:val="bottom"/>
          </w:tcPr>
          <w:p w14:paraId="06BCF401" w14:textId="77777777" w:rsidR="00151E75" w:rsidRPr="00862AF9" w:rsidRDefault="00151E75" w:rsidP="00E96A82">
            <w:pPr>
              <w:spacing w:after="0"/>
              <w:rPr>
                <w:rFonts w:ascii="Calibri" w:eastAsia="Times New Roman" w:hAnsi="Calibri" w:cs="Times New Roman"/>
                <w:color w:val="000000"/>
                <w:sz w:val="20"/>
                <w:szCs w:val="20"/>
              </w:rPr>
            </w:pPr>
            <w:r w:rsidRPr="00862AF9">
              <w:rPr>
                <w:rFonts w:ascii="Calibri" w:hAnsi="Calibri"/>
                <w:sz w:val="20"/>
                <w:szCs w:val="20"/>
              </w:rPr>
              <w:t>In Australia, workplace culture and environments impact on the experiences of Aboriginal health workers (who are CBPs) and non-Aboriginal health care providers working in collaborative clinical arrangements. When Aboriginal health workers and non-Aboriginal health care providers are empowered to work in a successful clinical partnership, through an enabling workplace, there is a great benefit for both the health professional and Aboriginal health worker, the Aboriginal community and the health service.</w:t>
            </w:r>
          </w:p>
        </w:tc>
      </w:tr>
      <w:tr w:rsidR="00151E75" w:rsidRPr="00862AF9" w14:paraId="1D56D966" w14:textId="77777777" w:rsidTr="00204FA4">
        <w:trPr>
          <w:trHeight w:val="320"/>
        </w:trPr>
        <w:tc>
          <w:tcPr>
            <w:tcW w:w="1148" w:type="dxa"/>
            <w:shd w:val="clear" w:color="auto" w:fill="auto"/>
            <w:noWrap/>
            <w:vAlign w:val="bottom"/>
          </w:tcPr>
          <w:p w14:paraId="2C1203DA" w14:textId="77777777" w:rsidR="00151E75" w:rsidRPr="00862AF9" w:rsidRDefault="00151E75" w:rsidP="00E96A82">
            <w:pPr>
              <w:spacing w:after="0"/>
              <w:rPr>
                <w:rFonts w:ascii="Calibri" w:eastAsia="Times New Roman" w:hAnsi="Calibri" w:cs="Times New Roman"/>
                <w:color w:val="000000"/>
                <w:sz w:val="20"/>
                <w:szCs w:val="20"/>
              </w:rPr>
            </w:pPr>
            <w:r w:rsidRPr="00862AF9">
              <w:rPr>
                <w:rFonts w:ascii="Calibri" w:hAnsi="Calibri"/>
                <w:sz w:val="20"/>
                <w:szCs w:val="20"/>
              </w:rPr>
              <w:t>Rhodes</w:t>
            </w:r>
          </w:p>
        </w:tc>
        <w:tc>
          <w:tcPr>
            <w:tcW w:w="739" w:type="dxa"/>
            <w:shd w:val="clear" w:color="auto" w:fill="auto"/>
            <w:noWrap/>
            <w:vAlign w:val="bottom"/>
          </w:tcPr>
          <w:p w14:paraId="4A2A7C1D" w14:textId="77777777" w:rsidR="00151E75" w:rsidRPr="00862AF9" w:rsidRDefault="00151E75"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2006</w:t>
            </w:r>
          </w:p>
        </w:tc>
        <w:tc>
          <w:tcPr>
            <w:tcW w:w="900" w:type="dxa"/>
            <w:shd w:val="clear" w:color="auto" w:fill="auto"/>
            <w:noWrap/>
            <w:vAlign w:val="bottom"/>
          </w:tcPr>
          <w:p w14:paraId="5AE84E08" w14:textId="77777777" w:rsidR="00151E75" w:rsidRPr="00862AF9" w:rsidRDefault="00151E75"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NSR</w:t>
            </w:r>
          </w:p>
        </w:tc>
        <w:tc>
          <w:tcPr>
            <w:tcW w:w="10836" w:type="dxa"/>
            <w:shd w:val="clear" w:color="auto" w:fill="auto"/>
            <w:noWrap/>
            <w:vAlign w:val="bottom"/>
          </w:tcPr>
          <w:p w14:paraId="1D067F85" w14:textId="77777777" w:rsidR="00151E75" w:rsidRPr="00862AF9" w:rsidRDefault="00151E75" w:rsidP="00E96A82">
            <w:pPr>
              <w:spacing w:after="0"/>
              <w:rPr>
                <w:rFonts w:ascii="Calibri" w:eastAsia="Times New Roman" w:hAnsi="Calibri" w:cs="Times New Roman"/>
                <w:color w:val="000000"/>
                <w:sz w:val="20"/>
                <w:szCs w:val="20"/>
              </w:rPr>
            </w:pPr>
            <w:r w:rsidRPr="00862AF9">
              <w:rPr>
                <w:rFonts w:ascii="Calibri" w:hAnsi="Calibri"/>
                <w:sz w:val="20"/>
                <w:szCs w:val="20"/>
              </w:rPr>
              <w:t xml:space="preserve">Lay health advisors have been used to promote health in US Hispanic/Latino communities for a range of issues, including cancer screening, cardiovascular health, prenatal care, and diabetes management. Roles include providing advice, facilitating referrals, distributing materials, serving as role models, and advocating on behalf of community members. Most LHAs were female, and training ranged from six to 160 hours. Only 14 of the 37 studies identified offered evidence of effectiveness, 12 of which used controls or a comparison group; all showed positive outcomes. </w:t>
            </w:r>
          </w:p>
        </w:tc>
      </w:tr>
      <w:tr w:rsidR="00151E75" w:rsidRPr="00862AF9" w14:paraId="70F5A090" w14:textId="77777777" w:rsidTr="00204FA4">
        <w:trPr>
          <w:trHeight w:val="320"/>
        </w:trPr>
        <w:tc>
          <w:tcPr>
            <w:tcW w:w="1148" w:type="dxa"/>
            <w:shd w:val="clear" w:color="auto" w:fill="auto"/>
            <w:noWrap/>
            <w:vAlign w:val="bottom"/>
          </w:tcPr>
          <w:p w14:paraId="2ABAE9C8" w14:textId="1A1DA0E3" w:rsidR="00151E75" w:rsidRPr="00862AF9" w:rsidRDefault="00151E75" w:rsidP="00E96A82">
            <w:pPr>
              <w:spacing w:after="0"/>
              <w:rPr>
                <w:rFonts w:ascii="Calibri" w:hAnsi="Calibri"/>
                <w:sz w:val="20"/>
                <w:szCs w:val="20"/>
              </w:rPr>
            </w:pPr>
            <w:r>
              <w:rPr>
                <w:rFonts w:ascii="Calibri" w:hAnsi="Calibri"/>
                <w:sz w:val="20"/>
                <w:szCs w:val="20"/>
              </w:rPr>
              <w:t>Shommu</w:t>
            </w:r>
          </w:p>
        </w:tc>
        <w:tc>
          <w:tcPr>
            <w:tcW w:w="739" w:type="dxa"/>
            <w:shd w:val="clear" w:color="auto" w:fill="auto"/>
            <w:noWrap/>
            <w:vAlign w:val="bottom"/>
          </w:tcPr>
          <w:p w14:paraId="5FA77459" w14:textId="14C136F2" w:rsidR="00151E75" w:rsidRPr="00862AF9" w:rsidRDefault="00151E75" w:rsidP="00E96A82">
            <w:pPr>
              <w:spacing w:after="0"/>
              <w:jc w:val="center"/>
              <w:rPr>
                <w:rFonts w:ascii="Calibri" w:hAnsi="Calibri"/>
                <w:sz w:val="20"/>
                <w:szCs w:val="20"/>
              </w:rPr>
            </w:pPr>
            <w:r>
              <w:rPr>
                <w:rFonts w:ascii="Calibri" w:hAnsi="Calibri"/>
                <w:sz w:val="20"/>
                <w:szCs w:val="20"/>
              </w:rPr>
              <w:t>2016</w:t>
            </w:r>
          </w:p>
        </w:tc>
        <w:tc>
          <w:tcPr>
            <w:tcW w:w="900" w:type="dxa"/>
            <w:shd w:val="clear" w:color="auto" w:fill="auto"/>
            <w:noWrap/>
            <w:vAlign w:val="bottom"/>
          </w:tcPr>
          <w:p w14:paraId="36275A3E" w14:textId="5365AFFD" w:rsidR="00151E75" w:rsidRPr="00862AF9" w:rsidRDefault="00151E75" w:rsidP="00E96A82">
            <w:pPr>
              <w:spacing w:after="0"/>
              <w:jc w:val="center"/>
              <w:rPr>
                <w:rFonts w:ascii="Calibri" w:hAnsi="Calibri"/>
                <w:sz w:val="20"/>
                <w:szCs w:val="20"/>
              </w:rPr>
            </w:pPr>
            <w:r>
              <w:rPr>
                <w:rFonts w:ascii="Calibri" w:hAnsi="Calibri"/>
                <w:sz w:val="20"/>
                <w:szCs w:val="20"/>
              </w:rPr>
              <w:t>SR</w:t>
            </w:r>
          </w:p>
        </w:tc>
        <w:tc>
          <w:tcPr>
            <w:tcW w:w="10836" w:type="dxa"/>
            <w:shd w:val="clear" w:color="auto" w:fill="auto"/>
            <w:noWrap/>
            <w:vAlign w:val="bottom"/>
          </w:tcPr>
          <w:p w14:paraId="1EBDC32F" w14:textId="6BF03F5D" w:rsidR="00151E75" w:rsidRPr="00862AF9" w:rsidRDefault="00151E75" w:rsidP="00E96A82">
            <w:pPr>
              <w:spacing w:after="0"/>
              <w:rPr>
                <w:rFonts w:ascii="Calibri" w:hAnsi="Calibri"/>
                <w:sz w:val="20"/>
                <w:szCs w:val="20"/>
              </w:rPr>
            </w:pPr>
            <w:r>
              <w:rPr>
                <w:rFonts w:ascii="Calibri" w:hAnsi="Calibri"/>
                <w:sz w:val="20"/>
                <w:szCs w:val="20"/>
                <w:lang w:val="en-CA"/>
              </w:rPr>
              <w:t>Community health navigators (</w:t>
            </w:r>
            <w:r w:rsidRPr="000347DD">
              <w:rPr>
                <w:rFonts w:ascii="Calibri" w:hAnsi="Calibri"/>
                <w:sz w:val="20"/>
                <w:szCs w:val="20"/>
                <w:lang w:val="en-CA"/>
              </w:rPr>
              <w:t>healthcare workers who support patients to obtain appropriate healthcare)</w:t>
            </w:r>
            <w:r>
              <w:rPr>
                <w:rFonts w:ascii="Calibri" w:hAnsi="Calibri"/>
                <w:sz w:val="20"/>
                <w:szCs w:val="20"/>
                <w:lang w:val="en-CA"/>
              </w:rPr>
              <w:t xml:space="preserve"> can improve chronic disease management and access to primary health care for screening (e.g.</w:t>
            </w:r>
            <w:r w:rsidR="00AF104B">
              <w:rPr>
                <w:rFonts w:ascii="Calibri" w:hAnsi="Calibri"/>
                <w:sz w:val="20"/>
                <w:szCs w:val="20"/>
                <w:lang w:val="en-CA"/>
              </w:rPr>
              <w:t>,</w:t>
            </w:r>
            <w:r>
              <w:rPr>
                <w:rFonts w:ascii="Calibri" w:hAnsi="Calibri"/>
                <w:sz w:val="20"/>
                <w:szCs w:val="20"/>
                <w:lang w:val="en-CA"/>
              </w:rPr>
              <w:t xml:space="preserve"> cancer screening</w:t>
            </w:r>
            <w:r w:rsidR="00AF104B">
              <w:rPr>
                <w:rFonts w:ascii="Calibri" w:hAnsi="Calibri"/>
                <w:sz w:val="20"/>
                <w:szCs w:val="20"/>
                <w:lang w:val="en-CA"/>
              </w:rPr>
              <w:t xml:space="preserve"> or</w:t>
            </w:r>
            <w:r>
              <w:rPr>
                <w:rFonts w:ascii="Calibri" w:hAnsi="Calibri"/>
                <w:sz w:val="20"/>
                <w:szCs w:val="20"/>
                <w:lang w:val="en-CA"/>
              </w:rPr>
              <w:t xml:space="preserve"> body mass index assessment) for immigrant and ethnic minority adults</w:t>
            </w:r>
            <w:r w:rsidRPr="00954485">
              <w:rPr>
                <w:rFonts w:ascii="Calibri" w:hAnsi="Calibri"/>
                <w:sz w:val="20"/>
                <w:szCs w:val="20"/>
                <w:lang w:val="en-CA"/>
              </w:rPr>
              <w:t xml:space="preserve">. The </w:t>
            </w:r>
            <w:r w:rsidR="00AF104B">
              <w:rPr>
                <w:rFonts w:ascii="Calibri" w:hAnsi="Calibri"/>
                <w:sz w:val="20"/>
                <w:szCs w:val="20"/>
                <w:lang w:val="en-CA"/>
              </w:rPr>
              <w:t xml:space="preserve">one </w:t>
            </w:r>
            <w:r w:rsidRPr="00954485">
              <w:rPr>
                <w:rFonts w:ascii="Calibri" w:hAnsi="Calibri"/>
                <w:sz w:val="20"/>
                <w:szCs w:val="20"/>
                <w:lang w:val="en-CA"/>
              </w:rPr>
              <w:t xml:space="preserve">Canadian study </w:t>
            </w:r>
            <w:r w:rsidR="00AF104B">
              <w:rPr>
                <w:rFonts w:ascii="Calibri" w:hAnsi="Calibri"/>
                <w:sz w:val="20"/>
                <w:szCs w:val="20"/>
                <w:lang w:val="en-CA"/>
              </w:rPr>
              <w:t xml:space="preserve">included in the review </w:t>
            </w:r>
            <w:r w:rsidRPr="00954485">
              <w:rPr>
                <w:rFonts w:ascii="Calibri" w:hAnsi="Calibri"/>
                <w:sz w:val="20"/>
                <w:szCs w:val="20"/>
                <w:lang w:val="en-CA"/>
              </w:rPr>
              <w:t>also reported positive outcome of navigators among immigrant women</w:t>
            </w:r>
            <w:r>
              <w:rPr>
                <w:rFonts w:ascii="Calibri" w:hAnsi="Calibri"/>
                <w:sz w:val="20"/>
                <w:szCs w:val="20"/>
                <w:lang w:val="en-CA"/>
              </w:rPr>
              <w:t>. While n</w:t>
            </w:r>
            <w:r w:rsidRPr="00954485">
              <w:rPr>
                <w:rFonts w:ascii="Calibri" w:hAnsi="Calibri"/>
                <w:sz w:val="20"/>
                <w:szCs w:val="20"/>
                <w:lang w:val="en-CA"/>
              </w:rPr>
              <w:t xml:space="preserve">avigator interventions have not been fully explored in Canada, </w:t>
            </w:r>
            <w:r>
              <w:rPr>
                <w:rFonts w:ascii="Calibri" w:hAnsi="Calibri"/>
                <w:sz w:val="20"/>
                <w:szCs w:val="20"/>
                <w:lang w:val="en-CA"/>
              </w:rPr>
              <w:t>in the US</w:t>
            </w:r>
            <w:r w:rsidRPr="00954485">
              <w:rPr>
                <w:rFonts w:ascii="Calibri" w:hAnsi="Calibri"/>
                <w:sz w:val="20"/>
                <w:szCs w:val="20"/>
                <w:lang w:val="en-CA"/>
              </w:rPr>
              <w:t xml:space="preserve"> many studies </w:t>
            </w:r>
            <w:r>
              <w:rPr>
                <w:rFonts w:ascii="Calibri" w:hAnsi="Calibri"/>
                <w:sz w:val="20"/>
                <w:szCs w:val="20"/>
                <w:lang w:val="en-CA"/>
              </w:rPr>
              <w:t>have</w:t>
            </w:r>
            <w:r w:rsidRPr="00954485">
              <w:rPr>
                <w:rFonts w:ascii="Calibri" w:hAnsi="Calibri"/>
                <w:sz w:val="20"/>
                <w:szCs w:val="20"/>
                <w:lang w:val="en-CA"/>
              </w:rPr>
              <w:t xml:space="preserve"> demonstrated significant improvements in immigrant health outcomes.</w:t>
            </w:r>
          </w:p>
        </w:tc>
      </w:tr>
      <w:tr w:rsidR="00151E75" w:rsidRPr="00862AF9" w14:paraId="5209185C" w14:textId="77777777" w:rsidTr="00204FA4">
        <w:trPr>
          <w:cantSplit/>
          <w:trHeight w:val="320"/>
        </w:trPr>
        <w:tc>
          <w:tcPr>
            <w:tcW w:w="1148" w:type="dxa"/>
            <w:shd w:val="clear" w:color="auto" w:fill="auto"/>
            <w:noWrap/>
            <w:vAlign w:val="bottom"/>
          </w:tcPr>
          <w:p w14:paraId="27DEEDDB" w14:textId="77777777" w:rsidR="00151E75" w:rsidRPr="00862AF9" w:rsidRDefault="00151E75" w:rsidP="00E96A82">
            <w:pPr>
              <w:spacing w:after="0"/>
              <w:rPr>
                <w:rFonts w:ascii="Calibri" w:eastAsia="Times New Roman" w:hAnsi="Calibri" w:cs="Times New Roman"/>
                <w:color w:val="000000"/>
                <w:sz w:val="20"/>
                <w:szCs w:val="20"/>
              </w:rPr>
            </w:pPr>
            <w:r w:rsidRPr="00862AF9">
              <w:rPr>
                <w:rFonts w:ascii="Calibri" w:hAnsi="Calibri"/>
                <w:sz w:val="20"/>
                <w:szCs w:val="20"/>
              </w:rPr>
              <w:lastRenderedPageBreak/>
              <w:t>Viswana-than</w:t>
            </w:r>
          </w:p>
        </w:tc>
        <w:tc>
          <w:tcPr>
            <w:tcW w:w="739" w:type="dxa"/>
            <w:shd w:val="clear" w:color="auto" w:fill="auto"/>
            <w:noWrap/>
            <w:vAlign w:val="bottom"/>
          </w:tcPr>
          <w:p w14:paraId="2E57AF32" w14:textId="77777777" w:rsidR="00151E75" w:rsidRPr="00862AF9" w:rsidRDefault="00151E75"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2009</w:t>
            </w:r>
          </w:p>
        </w:tc>
        <w:tc>
          <w:tcPr>
            <w:tcW w:w="900" w:type="dxa"/>
            <w:shd w:val="clear" w:color="auto" w:fill="auto"/>
            <w:noWrap/>
            <w:vAlign w:val="bottom"/>
          </w:tcPr>
          <w:p w14:paraId="74E8D353" w14:textId="77777777" w:rsidR="00151E75" w:rsidRPr="00862AF9" w:rsidRDefault="00151E75"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 MA</w:t>
            </w:r>
          </w:p>
        </w:tc>
        <w:tc>
          <w:tcPr>
            <w:tcW w:w="10836" w:type="dxa"/>
            <w:shd w:val="clear" w:color="auto" w:fill="auto"/>
            <w:noWrap/>
            <w:vAlign w:val="bottom"/>
          </w:tcPr>
          <w:p w14:paraId="22FFFFE7" w14:textId="77777777" w:rsidR="00151E75" w:rsidRPr="00862AF9" w:rsidRDefault="00151E75" w:rsidP="00E96A82">
            <w:pPr>
              <w:spacing w:after="0"/>
              <w:rPr>
                <w:rFonts w:ascii="Calibri" w:eastAsia="Times New Roman" w:hAnsi="Calibri" w:cs="Times New Roman"/>
                <w:color w:val="000000"/>
                <w:sz w:val="20"/>
                <w:szCs w:val="20"/>
              </w:rPr>
            </w:pPr>
            <w:r w:rsidRPr="00862AF9">
              <w:rPr>
                <w:rFonts w:ascii="Calibri" w:hAnsi="Calibri"/>
                <w:sz w:val="20"/>
                <w:szCs w:val="20"/>
              </w:rPr>
              <w:t>In the US, CHWs can serve as a means of improving outcomes for underserved populations for some health conditions. There is moderate evidence that CHW interventions improve the knowledge of participants on disease prevention and cancer screening, and there is weak evidence that CHW interventions improve knowledge of medication label reading among diabetics. Studies suggested that CHW interventions result in improvements in participant behavior when compared with alternatives such as a community intervention (not further defined), a lower-intensity CHW intervention, and usual care (without a CHW) combined with a pamphlet. The strength of evidence is moderate for the use of bedding encasements for asthma, and low for workplace safety and diabetes mellitus. The evidence for disease prevention, improving the environment for child well-being, planned use of cancer screening tests, and breast self-examination is mixed. CHWs provided interventions in health promotion and disease prevention, injury prevention, maternal and child health, cancer screening and chronic disease management, with varying degrees of effectiveness.</w:t>
            </w:r>
          </w:p>
        </w:tc>
      </w:tr>
    </w:tbl>
    <w:p w14:paraId="41F85A49" w14:textId="77777777" w:rsidR="00862AF9" w:rsidRPr="00862AF9" w:rsidRDefault="00862AF9" w:rsidP="00E96A82">
      <w:pPr>
        <w:spacing w:after="0"/>
        <w:rPr>
          <w:rFonts w:ascii="Calibri" w:hAnsi="Calibri"/>
        </w:rPr>
      </w:pPr>
    </w:p>
    <w:p w14:paraId="6FAC8CB1" w14:textId="77777777" w:rsidR="00862AF9" w:rsidRDefault="00862AF9" w:rsidP="00E96A82">
      <w:pPr>
        <w:spacing w:after="0"/>
        <w:rPr>
          <w:rFonts w:ascii="Calibri" w:hAnsi="Calibri"/>
        </w:rPr>
      </w:pPr>
      <w:r w:rsidRPr="00862AF9">
        <w:rPr>
          <w:rFonts w:ascii="Calibri" w:hAnsi="Calibri"/>
        </w:rPr>
        <w:t>Three reviews examined CBPs in HIC settings on maternal health issues: two on breastfeeding support and one on maternal mental health (</w:t>
      </w:r>
      <w:r w:rsidRPr="00862AF9">
        <w:rPr>
          <w:rFonts w:ascii="Calibri" w:hAnsi="Calibri"/>
        </w:rPr>
        <w:fldChar w:fldCharType="begin"/>
      </w:r>
      <w:r w:rsidRPr="00862AF9">
        <w:rPr>
          <w:rFonts w:ascii="Calibri" w:hAnsi="Calibri"/>
        </w:rPr>
        <w:instrText xml:space="preserve"> REF _Ref332753432 \h </w:instrText>
      </w:r>
      <w:r w:rsidRPr="00862AF9">
        <w:rPr>
          <w:rFonts w:ascii="Calibri" w:hAnsi="Calibri"/>
        </w:rPr>
      </w:r>
      <w:r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3</w:t>
      </w:r>
      <w:r w:rsidRPr="00862AF9">
        <w:rPr>
          <w:rFonts w:ascii="Calibri" w:hAnsi="Calibri"/>
        </w:rPr>
        <w:fldChar w:fldCharType="end"/>
      </w:r>
      <w:r w:rsidRPr="00862AF9">
        <w:rPr>
          <w:rFonts w:ascii="Calibri" w:hAnsi="Calibri"/>
        </w:rPr>
        <w:t xml:space="preserve">). </w:t>
      </w:r>
    </w:p>
    <w:p w14:paraId="5D15C5C6" w14:textId="77777777" w:rsidR="00204FA4" w:rsidRPr="00862AF9" w:rsidRDefault="00204FA4"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6483D599" w14:textId="77777777" w:rsidTr="00204FA4">
        <w:trPr>
          <w:cantSplit/>
          <w:trHeight w:val="320"/>
        </w:trPr>
        <w:tc>
          <w:tcPr>
            <w:tcW w:w="13623" w:type="dxa"/>
            <w:gridSpan w:val="4"/>
            <w:tcBorders>
              <w:top w:val="nil"/>
              <w:left w:val="nil"/>
              <w:bottom w:val="single" w:sz="4" w:space="0" w:color="auto"/>
              <w:right w:val="nil"/>
            </w:tcBorders>
            <w:shd w:val="clear" w:color="000000" w:fill="auto"/>
            <w:noWrap/>
          </w:tcPr>
          <w:p w14:paraId="58AC4946" w14:textId="7ABBD0D0" w:rsidR="00862AF9" w:rsidRPr="00862AF9" w:rsidRDefault="00862AF9" w:rsidP="00E96A82">
            <w:pPr>
              <w:pStyle w:val="atable"/>
              <w:rPr>
                <w:rFonts w:ascii="Calibri" w:hAnsi="Calibri" w:hint="eastAsia"/>
                <w:color w:val="5B9BD5" w:themeColor="accent1"/>
                <w:szCs w:val="22"/>
                <w:lang w:val="en-US"/>
              </w:rPr>
            </w:pPr>
            <w:bookmarkStart w:id="9" w:name="_Ref332753432"/>
            <w:bookmarkStart w:id="10" w:name="_Toc346537973"/>
            <w:bookmarkStart w:id="11" w:name="_Toc387399713"/>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3</w:t>
            </w:r>
            <w:r w:rsidRPr="00862AF9">
              <w:rPr>
                <w:rFonts w:ascii="Calibri" w:hAnsi="Calibri"/>
                <w:szCs w:val="22"/>
                <w:lang w:val="en-US"/>
              </w:rPr>
              <w:fldChar w:fldCharType="end"/>
            </w:r>
            <w:bookmarkEnd w:id="9"/>
            <w:r w:rsidRPr="00862AF9">
              <w:rPr>
                <w:rFonts w:ascii="Calibri" w:hAnsi="Calibri"/>
                <w:szCs w:val="22"/>
                <w:lang w:val="en-US"/>
              </w:rPr>
              <w:t xml:space="preserve">. Maternal health and breastfeeding </w:t>
            </w:r>
            <w:r w:rsidR="00723656">
              <w:rPr>
                <w:rFonts w:ascii="Calibri" w:hAnsi="Calibri"/>
                <w:szCs w:val="22"/>
                <w:lang w:val="en-US"/>
              </w:rPr>
              <w:t>HIC</w:t>
            </w:r>
            <w:r w:rsidRPr="00862AF9">
              <w:rPr>
                <w:rFonts w:ascii="Calibri" w:hAnsi="Calibri"/>
                <w:szCs w:val="22"/>
                <w:lang w:val="en-US"/>
              </w:rPr>
              <w:t xml:space="preserve"> reviews</w:t>
            </w:r>
            <w:bookmarkEnd w:id="10"/>
            <w:bookmarkEnd w:id="11"/>
          </w:p>
        </w:tc>
      </w:tr>
      <w:tr w:rsidR="00862AF9" w:rsidRPr="00862AF9" w14:paraId="518D2A28" w14:textId="77777777" w:rsidTr="00204FA4">
        <w:trPr>
          <w:cantSplit/>
          <w:trHeight w:val="320"/>
        </w:trPr>
        <w:tc>
          <w:tcPr>
            <w:tcW w:w="1148" w:type="dxa"/>
            <w:tcBorders>
              <w:top w:val="single" w:sz="4" w:space="0" w:color="auto"/>
            </w:tcBorders>
            <w:shd w:val="clear" w:color="000000" w:fill="D9D9D9"/>
            <w:noWrap/>
            <w:vAlign w:val="bottom"/>
            <w:hideMark/>
          </w:tcPr>
          <w:p w14:paraId="30A64040"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hideMark/>
          </w:tcPr>
          <w:p w14:paraId="74FB9FC7"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hideMark/>
          </w:tcPr>
          <w:p w14:paraId="742D8EE6"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hideMark/>
          </w:tcPr>
          <w:p w14:paraId="12D00644"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7F6733A6" w14:textId="77777777" w:rsidTr="00204FA4">
        <w:trPr>
          <w:cantSplit/>
          <w:trHeight w:val="320"/>
        </w:trPr>
        <w:tc>
          <w:tcPr>
            <w:tcW w:w="1148" w:type="dxa"/>
            <w:shd w:val="clear" w:color="auto" w:fill="auto"/>
            <w:noWrap/>
            <w:vAlign w:val="bottom"/>
          </w:tcPr>
          <w:p w14:paraId="2F971700" w14:textId="3EEEEF69"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Chapman</w:t>
            </w:r>
            <w:r w:rsidR="00357036" w:rsidRPr="00B47639">
              <w:rPr>
                <w:rStyle w:val="FootnoteReference"/>
              </w:rPr>
              <w:footnoteReference w:id="1"/>
            </w:r>
          </w:p>
        </w:tc>
        <w:tc>
          <w:tcPr>
            <w:tcW w:w="739" w:type="dxa"/>
            <w:shd w:val="clear" w:color="auto" w:fill="auto"/>
            <w:noWrap/>
            <w:vAlign w:val="bottom"/>
          </w:tcPr>
          <w:p w14:paraId="525A260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2010</w:t>
            </w:r>
          </w:p>
        </w:tc>
        <w:tc>
          <w:tcPr>
            <w:tcW w:w="900" w:type="dxa"/>
            <w:shd w:val="clear" w:color="auto" w:fill="auto"/>
            <w:noWrap/>
            <w:vAlign w:val="bottom"/>
          </w:tcPr>
          <w:p w14:paraId="6770C762"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6C9DDE5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The overwhelming majority of evidence from RCTs indicates that peer counselors improve rates of breastfeeding initiation, duration, and exclusivity, and this leads to decreases in the incidence of infant diarrhea and duration of lactational amenorrhea. Breastfeeding peer counseling can be scaled up in both developing and developed countries.</w:t>
            </w:r>
          </w:p>
        </w:tc>
      </w:tr>
      <w:tr w:rsidR="00862AF9" w:rsidRPr="00862AF9" w14:paraId="75CEAAAF" w14:textId="77777777" w:rsidTr="00204FA4">
        <w:trPr>
          <w:cantSplit/>
          <w:trHeight w:val="320"/>
        </w:trPr>
        <w:tc>
          <w:tcPr>
            <w:tcW w:w="1148" w:type="dxa"/>
            <w:shd w:val="clear" w:color="auto" w:fill="auto"/>
            <w:noWrap/>
            <w:vAlign w:val="bottom"/>
          </w:tcPr>
          <w:p w14:paraId="3535605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Jones</w:t>
            </w:r>
          </w:p>
        </w:tc>
        <w:tc>
          <w:tcPr>
            <w:tcW w:w="739" w:type="dxa"/>
            <w:shd w:val="clear" w:color="auto" w:fill="auto"/>
            <w:noWrap/>
            <w:vAlign w:val="bottom"/>
          </w:tcPr>
          <w:p w14:paraId="5BBCC46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73C6F64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32E4279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HICs, access to the right type of peer support can positively impact women's perinatal mental health. It is important to recognize the risk of isolation and to establish pathways of referral to peer support networks. Practitioners must nurture peer support networks in perinatal care. More research is required to establish the most successful formats/structures of peer support.</w:t>
            </w:r>
          </w:p>
        </w:tc>
      </w:tr>
      <w:tr w:rsidR="00862AF9" w:rsidRPr="00862AF9" w14:paraId="53138A37" w14:textId="77777777" w:rsidTr="00204FA4">
        <w:trPr>
          <w:cantSplit/>
          <w:trHeight w:val="320"/>
        </w:trPr>
        <w:tc>
          <w:tcPr>
            <w:tcW w:w="1148" w:type="dxa"/>
            <w:shd w:val="clear" w:color="auto" w:fill="auto"/>
            <w:noWrap/>
            <w:vAlign w:val="bottom"/>
          </w:tcPr>
          <w:p w14:paraId="1476E09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Kaunonen</w:t>
            </w:r>
          </w:p>
        </w:tc>
        <w:tc>
          <w:tcPr>
            <w:tcW w:w="739" w:type="dxa"/>
            <w:shd w:val="clear" w:color="auto" w:fill="auto"/>
            <w:noWrap/>
            <w:vAlign w:val="bottom"/>
          </w:tcPr>
          <w:p w14:paraId="2F9261E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2012</w:t>
            </w:r>
          </w:p>
        </w:tc>
        <w:tc>
          <w:tcPr>
            <w:tcW w:w="900" w:type="dxa"/>
            <w:shd w:val="clear" w:color="auto" w:fill="auto"/>
            <w:noWrap/>
            <w:vAlign w:val="bottom"/>
          </w:tcPr>
          <w:p w14:paraId="1DC300D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5D02E4E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HICs, individual support and education were the most common peer interventions for breastfeeding support. 12 of the 15 studies reporting breastfeeding continuation showed peer support to be effective.</w:t>
            </w:r>
          </w:p>
        </w:tc>
      </w:tr>
    </w:tbl>
    <w:p w14:paraId="33F9D69D" w14:textId="77777777" w:rsidR="00862AF9" w:rsidRPr="00862AF9" w:rsidRDefault="00862AF9" w:rsidP="00E96A82">
      <w:pPr>
        <w:spacing w:after="0"/>
        <w:rPr>
          <w:rFonts w:ascii="Calibri" w:hAnsi="Calibri"/>
        </w:rPr>
      </w:pPr>
    </w:p>
    <w:p w14:paraId="12AB0AA6" w14:textId="1966DFCD" w:rsidR="00862AF9" w:rsidRDefault="006913E4" w:rsidP="00E96A82">
      <w:pPr>
        <w:spacing w:after="0"/>
        <w:rPr>
          <w:rFonts w:ascii="Calibri" w:hAnsi="Calibri"/>
        </w:rPr>
      </w:pPr>
      <w:r>
        <w:rPr>
          <w:rFonts w:ascii="Calibri" w:hAnsi="Calibri"/>
        </w:rPr>
        <w:t>Fifteen</w:t>
      </w:r>
      <w:r w:rsidR="00151E75" w:rsidRPr="00862AF9">
        <w:rPr>
          <w:rFonts w:ascii="Calibri" w:hAnsi="Calibri"/>
        </w:rPr>
        <w:t xml:space="preserve"> </w:t>
      </w:r>
      <w:r w:rsidR="00862AF9" w:rsidRPr="00862AF9">
        <w:rPr>
          <w:rFonts w:ascii="Calibri" w:hAnsi="Calibri"/>
        </w:rPr>
        <w:t>reviews examined CBPs in HIC settings addressing non-communicable diseases: five on diabetes, three on cancer, two on pediatric chronic conditions (one general and one specifically about asthma)</w:t>
      </w:r>
      <w:r w:rsidR="00151E75">
        <w:rPr>
          <w:rFonts w:ascii="Calibri" w:hAnsi="Calibri"/>
        </w:rPr>
        <w:t>, two on mental health,</w:t>
      </w:r>
      <w:r w:rsidR="00862AF9" w:rsidRPr="00862AF9">
        <w:rPr>
          <w:rFonts w:ascii="Calibri" w:hAnsi="Calibri"/>
        </w:rPr>
        <w:t xml:space="preserve"> and one each on</w:t>
      </w:r>
      <w:r>
        <w:rPr>
          <w:rFonts w:ascii="Calibri" w:hAnsi="Calibri"/>
        </w:rPr>
        <w:t xml:space="preserve"> </w:t>
      </w:r>
      <w:r w:rsidR="00E47CA0" w:rsidRPr="00A46DF7">
        <w:rPr>
          <w:rFonts w:ascii="Calibri" w:hAnsi="Calibri"/>
        </w:rPr>
        <w:t>hepatitis</w:t>
      </w:r>
      <w:r>
        <w:rPr>
          <w:rFonts w:ascii="Calibri" w:hAnsi="Calibri"/>
        </w:rPr>
        <w:t xml:space="preserve">, </w:t>
      </w:r>
      <w:r w:rsidR="00862AF9" w:rsidRPr="00862AF9">
        <w:rPr>
          <w:rFonts w:ascii="Calibri" w:hAnsi="Calibri"/>
        </w:rPr>
        <w:lastRenderedPageBreak/>
        <w:t>hypertension</w:t>
      </w:r>
      <w:r>
        <w:rPr>
          <w:rFonts w:ascii="Calibri" w:hAnsi="Calibri"/>
        </w:rPr>
        <w:t xml:space="preserve">, and </w:t>
      </w:r>
      <w:r w:rsidR="00862AF9" w:rsidRPr="00862AF9">
        <w:rPr>
          <w:rFonts w:ascii="Calibri" w:hAnsi="Calibri"/>
        </w:rPr>
        <w:t>vascular disease</w:t>
      </w:r>
      <w:r w:rsidR="008A5891">
        <w:rPr>
          <w:rFonts w:ascii="Calibri" w:hAnsi="Calibri"/>
        </w:rPr>
        <w:t>. In addition, one review</w:t>
      </w:r>
      <w:r w:rsidR="00E37D8E">
        <w:rPr>
          <w:rFonts w:ascii="Calibri" w:hAnsi="Calibri"/>
        </w:rPr>
        <w:t xml:space="preserve"> </w:t>
      </w:r>
      <w:r w:rsidR="00E37D8E">
        <w:rPr>
          <w:rFonts w:ascii="Calibri" w:hAnsi="Calibri"/>
        </w:rPr>
        <w:fldChar w:fldCharType="begin" w:fldLock="1"/>
      </w:r>
      <w:r w:rsidR="00E37D8E">
        <w:rPr>
          <w:rFonts w:ascii="Calibri" w:hAnsi="Calibri"/>
        </w:rPr>
        <w:instrText>ADDIN CSL_CITATION { "citationItems" : [ { "id" : "ITEM-1", "itemData" : { "DOI" : "10.1002/14651858.CD012331", "abstract" : "Background Adolescents with asthma are at high risk of poor adherence with treatment. Thismay be compounded by activities that worsen asthma, in particular smoking. Additional support above and beyond routine care has the potential to encourage good self-management.We wanted to find out whether sessions led by their peers or by lay leaders help to reduce these risks and improve asthma outcomes among adolescents. Objectives To assess the safety and efficacy of lay-led and peer support interventions for adolescents with asthma. Search methods We identified trials from the Cochrane Airways Trials Register, which contains reports of randomised trials obtained from multiple electronic and handsearched sources, and we searched trial registries and reference lists of primary studies. We conducted the most recent searches on 25 November 2016. Selection criteria Eligible studies randomised adolescents with asthma to an intervention led by lay people or peers or to a control.We included parallel randomised controlled trials with individual or cluster designs. We included studies reported as full text, those published as abstract only and unpublished data. Data collection and analysis Two review authors screened the searches, extracted numerical data and study characteristics and assessed each included study for risk of bias. Primary outcomes were asthma-related quality of life and exacerbations requiring at least a course of oral steroids.We graded the analyses and presented evidence in a \u2019Summary of findings\u2019 table. We analysed dichotomous data as odds ratios, and continuous data as mean differences (MD) or standardised mean differences, all with a random-effects model.We assessed clinical, methodological and statistical heterogeneity when performing meta-analyses, and we described skewed data narratively. Main results Five studies including a total of 1146 participants met the inclusion criteria for this review. As ever with systematic reviews of complex interventions, studies varied by design (cluster and individually randomised), duration (2.5 to 9 months), setting (school, day camp, primary care) and intervention content. Most risk of bias concerns were related to blinding and incomplete reporting, which limited the meta-analyses that could be performed. Studies generally controlled well for selection and attrition biases. All participants were between 11 and 17 years of age. Asthma diagnosis and severity varied, as did smoking prevalence. Three studies used\u2026", "author" : [ { "dropping-particle" : "", "family" : "Kew", "given" : "K.M.", "non-dropping-particle" : "", "parse-names" : false, "suffix" : "" }, { "dropping-particle" : "", "family" : "Carr", "given" : "R.", "non-dropping-particle" : "", "parse-names" : false, "suffix" : "" }, { "dropping-particle" : "", "family" : "Crossingham", "given" : "I.", "non-dropping-particle" : "", "parse-names" : false, "suffix" : "" } ], "container-title" : "Cochrane Database of Systematic Reviews", "id" : "ITEM-1", "issue" : "8", "issued" : { "date-parts" : [ [ "2016" ] ] }, "title" : "Lay-led and peer support interventions for adolescents with asthma (Review)", "type" : "article-journal" }, "uris" : [ "http://www.mendeley.com/documents/?uuid=84cc2e66-2063-4b37-a3b6-59696c058d29" ] } ], "mendeley" : { "formattedCitation" : "(Kew, Carr, &amp; Crossingham, 2016)", "plainTextFormattedCitation" : "(Kew, Carr, &amp; Crossingham, 2016)", "previouslyFormattedCitation" : "(Kew, Carr, &amp; Crossingham, 2016)" }, "properties" : { "noteIndex" : 0 }, "schema" : "https://github.com/citation-style-language/schema/raw/master/csl-citation.json" }</w:instrText>
      </w:r>
      <w:r w:rsidR="00E37D8E">
        <w:rPr>
          <w:rFonts w:ascii="Calibri" w:hAnsi="Calibri"/>
        </w:rPr>
        <w:fldChar w:fldCharType="separate"/>
      </w:r>
      <w:r w:rsidR="00E37D8E" w:rsidRPr="00E37D8E">
        <w:rPr>
          <w:rFonts w:ascii="Calibri" w:hAnsi="Calibri"/>
          <w:noProof/>
        </w:rPr>
        <w:t>(Kew, Carr, &amp; Crossingham, 2016)</w:t>
      </w:r>
      <w:r w:rsidR="00E37D8E">
        <w:rPr>
          <w:rFonts w:ascii="Calibri" w:hAnsi="Calibri"/>
        </w:rPr>
        <w:fldChar w:fldCharType="end"/>
      </w:r>
      <w:r w:rsidR="008A5891">
        <w:rPr>
          <w:rFonts w:ascii="Calibri" w:hAnsi="Calibri"/>
        </w:rPr>
        <w:t>, on asthma, had a global scope but included primarily high</w:t>
      </w:r>
      <w:r w:rsidR="00AF104B">
        <w:rPr>
          <w:rFonts w:ascii="Calibri" w:hAnsi="Calibri"/>
        </w:rPr>
        <w:t>-</w:t>
      </w:r>
      <w:r w:rsidR="008A5891">
        <w:rPr>
          <w:rFonts w:ascii="Calibri" w:hAnsi="Calibri"/>
        </w:rPr>
        <w:t xml:space="preserve">income setting data and is thus also included below </w:t>
      </w:r>
      <w:r w:rsidR="00862AF9" w:rsidRPr="00862AF9">
        <w:rPr>
          <w:rFonts w:ascii="Calibri" w:hAnsi="Calibri"/>
        </w:rPr>
        <w:t>(</w:t>
      </w:r>
      <w:r w:rsidR="00862AF9" w:rsidRPr="00862AF9">
        <w:rPr>
          <w:rFonts w:ascii="Calibri" w:hAnsi="Calibri"/>
        </w:rPr>
        <w:fldChar w:fldCharType="begin"/>
      </w:r>
      <w:r w:rsidR="00862AF9" w:rsidRPr="00862AF9">
        <w:rPr>
          <w:rFonts w:ascii="Calibri" w:hAnsi="Calibri"/>
        </w:rPr>
        <w:instrText xml:space="preserve"> REF _Ref332753587 \h </w:instrText>
      </w:r>
      <w:r w:rsidR="00862AF9" w:rsidRPr="00862AF9">
        <w:rPr>
          <w:rFonts w:ascii="Calibri" w:hAnsi="Calibri"/>
        </w:rPr>
      </w:r>
      <w:r w:rsidR="00862AF9"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4</w:t>
      </w:r>
      <w:r w:rsidR="00862AF9" w:rsidRPr="00862AF9">
        <w:rPr>
          <w:rFonts w:ascii="Calibri" w:hAnsi="Calibri"/>
        </w:rPr>
        <w:fldChar w:fldCharType="end"/>
      </w:r>
      <w:r w:rsidR="00862AF9" w:rsidRPr="00862AF9">
        <w:rPr>
          <w:rFonts w:ascii="Calibri" w:hAnsi="Calibri"/>
        </w:rPr>
        <w:t>).</w:t>
      </w:r>
    </w:p>
    <w:p w14:paraId="275116C5" w14:textId="77777777" w:rsidR="00204FA4" w:rsidRPr="00862AF9" w:rsidRDefault="00204FA4"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5BC73F3A" w14:textId="77777777" w:rsidTr="0054303B">
        <w:trPr>
          <w:cantSplit/>
          <w:trHeight w:val="320"/>
          <w:tblHeader/>
        </w:trPr>
        <w:tc>
          <w:tcPr>
            <w:tcW w:w="13623" w:type="dxa"/>
            <w:gridSpan w:val="4"/>
            <w:tcBorders>
              <w:top w:val="nil"/>
              <w:left w:val="nil"/>
              <w:bottom w:val="single" w:sz="4" w:space="0" w:color="auto"/>
              <w:right w:val="nil"/>
            </w:tcBorders>
            <w:shd w:val="clear" w:color="000000" w:fill="auto"/>
            <w:noWrap/>
          </w:tcPr>
          <w:p w14:paraId="6ED77C44" w14:textId="7702CA1B" w:rsidR="00862AF9" w:rsidRPr="00862AF9" w:rsidRDefault="00862AF9" w:rsidP="00E96A82">
            <w:pPr>
              <w:pStyle w:val="atable"/>
              <w:rPr>
                <w:rFonts w:ascii="Calibri" w:eastAsia="Times New Roman" w:hAnsi="Calibri" w:cs="Times New Roman"/>
                <w:bCs/>
                <w:color w:val="000000"/>
                <w:szCs w:val="22"/>
                <w:lang w:val="en-US"/>
              </w:rPr>
            </w:pPr>
            <w:bookmarkStart w:id="12" w:name="_Ref332753587"/>
            <w:bookmarkStart w:id="13" w:name="_Toc346537974"/>
            <w:bookmarkStart w:id="14" w:name="_Toc387399714"/>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4</w:t>
            </w:r>
            <w:r w:rsidRPr="00862AF9">
              <w:rPr>
                <w:rFonts w:ascii="Calibri" w:hAnsi="Calibri"/>
                <w:szCs w:val="22"/>
                <w:lang w:val="en-US"/>
              </w:rPr>
              <w:fldChar w:fldCharType="end"/>
            </w:r>
            <w:bookmarkEnd w:id="12"/>
            <w:r w:rsidRPr="00862AF9">
              <w:rPr>
                <w:rFonts w:ascii="Calibri" w:hAnsi="Calibri"/>
                <w:szCs w:val="22"/>
                <w:lang w:val="en-US"/>
              </w:rPr>
              <w:t xml:space="preserve">. Non-communicable disease </w:t>
            </w:r>
            <w:r w:rsidR="00723656">
              <w:rPr>
                <w:rFonts w:ascii="Calibri" w:hAnsi="Calibri"/>
                <w:szCs w:val="22"/>
                <w:lang w:val="en-US"/>
              </w:rPr>
              <w:t>HIC</w:t>
            </w:r>
            <w:r w:rsidRPr="00862AF9">
              <w:rPr>
                <w:rFonts w:ascii="Calibri" w:hAnsi="Calibri"/>
                <w:szCs w:val="22"/>
                <w:lang w:val="en-US"/>
              </w:rPr>
              <w:t xml:space="preserve"> reviews</w:t>
            </w:r>
            <w:bookmarkEnd w:id="13"/>
            <w:bookmarkEnd w:id="14"/>
          </w:p>
        </w:tc>
      </w:tr>
      <w:tr w:rsidR="00862AF9" w:rsidRPr="00862AF9" w14:paraId="44DD80A0" w14:textId="77777777" w:rsidTr="0054303B">
        <w:trPr>
          <w:cantSplit/>
          <w:trHeight w:val="320"/>
          <w:tblHeader/>
        </w:trPr>
        <w:tc>
          <w:tcPr>
            <w:tcW w:w="1148" w:type="dxa"/>
            <w:tcBorders>
              <w:top w:val="single" w:sz="4" w:space="0" w:color="auto"/>
            </w:tcBorders>
            <w:shd w:val="clear" w:color="000000" w:fill="D9D9D9"/>
            <w:noWrap/>
            <w:vAlign w:val="bottom"/>
            <w:hideMark/>
          </w:tcPr>
          <w:p w14:paraId="05D17E19"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hideMark/>
          </w:tcPr>
          <w:p w14:paraId="50DF3962"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hideMark/>
          </w:tcPr>
          <w:p w14:paraId="1EA93633"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hideMark/>
          </w:tcPr>
          <w:p w14:paraId="5C9114F2"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0623355E" w14:textId="77777777" w:rsidTr="00204FA4">
        <w:trPr>
          <w:cantSplit/>
          <w:trHeight w:val="320"/>
        </w:trPr>
        <w:tc>
          <w:tcPr>
            <w:tcW w:w="13623" w:type="dxa"/>
            <w:gridSpan w:val="4"/>
            <w:tcBorders>
              <w:top w:val="single" w:sz="4" w:space="0" w:color="auto"/>
            </w:tcBorders>
            <w:shd w:val="clear" w:color="000000" w:fill="F2F2F2" w:themeFill="background1" w:themeFillShade="F2"/>
            <w:noWrap/>
            <w:vAlign w:val="bottom"/>
          </w:tcPr>
          <w:p w14:paraId="009C4582"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Diabetes</w:t>
            </w:r>
          </w:p>
        </w:tc>
      </w:tr>
      <w:tr w:rsidR="00862AF9" w:rsidRPr="00862AF9" w14:paraId="40F07E41" w14:textId="77777777" w:rsidTr="00204FA4">
        <w:trPr>
          <w:cantSplit/>
          <w:trHeight w:val="320"/>
        </w:trPr>
        <w:tc>
          <w:tcPr>
            <w:tcW w:w="1148" w:type="dxa"/>
            <w:shd w:val="clear" w:color="auto" w:fill="auto"/>
            <w:noWrap/>
            <w:vAlign w:val="bottom"/>
            <w:hideMark/>
          </w:tcPr>
          <w:p w14:paraId="0FC2FFEA"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Cherring-ton</w:t>
            </w:r>
          </w:p>
        </w:tc>
        <w:tc>
          <w:tcPr>
            <w:tcW w:w="739" w:type="dxa"/>
            <w:shd w:val="clear" w:color="auto" w:fill="auto"/>
            <w:noWrap/>
            <w:vAlign w:val="bottom"/>
            <w:hideMark/>
          </w:tcPr>
          <w:p w14:paraId="46E06BC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2008</w:t>
            </w:r>
          </w:p>
        </w:tc>
        <w:tc>
          <w:tcPr>
            <w:tcW w:w="900" w:type="dxa"/>
            <w:shd w:val="clear" w:color="auto" w:fill="auto"/>
            <w:noWrap/>
            <w:vAlign w:val="bottom"/>
            <w:hideMark/>
          </w:tcPr>
          <w:p w14:paraId="2A93EC4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hideMark/>
          </w:tcPr>
          <w:p w14:paraId="07DCE95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US-only: five CHW roles in diabetes management were identified: (1) educator, (2) case manager, (3) role model, (4) program facilitator, (5) advocate. Roles, responsibilities and training varied greatly as did outcomes that were assessed. Future studies are needed regarding how to integrate CHWs into diabetes programs.</w:t>
            </w:r>
          </w:p>
        </w:tc>
      </w:tr>
      <w:tr w:rsidR="00862AF9" w:rsidRPr="00862AF9" w14:paraId="59667344" w14:textId="77777777" w:rsidTr="00204FA4">
        <w:trPr>
          <w:cantSplit/>
          <w:trHeight w:val="320"/>
        </w:trPr>
        <w:tc>
          <w:tcPr>
            <w:tcW w:w="1148" w:type="dxa"/>
            <w:shd w:val="clear" w:color="auto" w:fill="auto"/>
            <w:noWrap/>
            <w:vAlign w:val="bottom"/>
            <w:hideMark/>
          </w:tcPr>
          <w:p w14:paraId="652860A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Hunt</w:t>
            </w:r>
          </w:p>
        </w:tc>
        <w:tc>
          <w:tcPr>
            <w:tcW w:w="739" w:type="dxa"/>
            <w:shd w:val="clear" w:color="auto" w:fill="auto"/>
            <w:noWrap/>
            <w:vAlign w:val="bottom"/>
            <w:hideMark/>
          </w:tcPr>
          <w:p w14:paraId="5911974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hideMark/>
          </w:tcPr>
          <w:p w14:paraId="12E45A4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hideMark/>
          </w:tcPr>
          <w:p w14:paraId="5D67279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US-only: Community health advisor interventions for people with type-2 diabetes were based on providing culturally appropriate care and resolution of health disparities within minority populations in the US. Typically, community health advisors had diabetes themselves. Major roles of community health advisors included working as a supporter, educator, case manager, advocate, and program facilitator. Activities included: coordinating educational programs, conducting educational courses for patients, serving as a link between patients and healthcare professionals, providing counseling, and leading peer-support meetings. The effectiveness of interventions by community health advisors was mixed. Decreases in HbA1C (a marker for diabetes) were noted in several studies, but in some cases the change was not statistically significant. </w:t>
            </w:r>
          </w:p>
        </w:tc>
      </w:tr>
      <w:tr w:rsidR="00862AF9" w:rsidRPr="00862AF9" w14:paraId="7F3845C0" w14:textId="77777777" w:rsidTr="00204FA4">
        <w:trPr>
          <w:cantSplit/>
          <w:trHeight w:val="320"/>
        </w:trPr>
        <w:tc>
          <w:tcPr>
            <w:tcW w:w="1148" w:type="dxa"/>
            <w:shd w:val="clear" w:color="auto" w:fill="auto"/>
            <w:noWrap/>
            <w:vAlign w:val="bottom"/>
            <w:hideMark/>
          </w:tcPr>
          <w:p w14:paraId="4A60E65F"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Little</w:t>
            </w:r>
          </w:p>
        </w:tc>
        <w:tc>
          <w:tcPr>
            <w:tcW w:w="739" w:type="dxa"/>
            <w:shd w:val="clear" w:color="auto" w:fill="auto"/>
            <w:noWrap/>
            <w:vAlign w:val="bottom"/>
            <w:hideMark/>
          </w:tcPr>
          <w:p w14:paraId="0272AF3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hideMark/>
          </w:tcPr>
          <w:p w14:paraId="04B8AF9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hideMark/>
          </w:tcPr>
          <w:p w14:paraId="3C3603B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Seven out of 12 RCTs on CHW-delivered interventions for Latinos with type 2 diabetes in the US reported statistically significant improvements in glucose levels as measured by HbA1c. The methodological quality was good but there were inconsistencies in the reporting of key information. Future research should (1) report in greater detail CHW background, training, and supervision; (2) examine factors associated with intervention effectiveness; and (3) provide data on cost and cost-effectiveness. CHWs led the intervention either alone, in pairs, or as part of a team (not further specified), with responsibilities including educating, advocating, supporting, and coordinating logistics. CHWs were described as paid staff in six studies.</w:t>
            </w:r>
          </w:p>
        </w:tc>
      </w:tr>
      <w:tr w:rsidR="00862AF9" w:rsidRPr="00862AF9" w14:paraId="131DAD11" w14:textId="77777777" w:rsidTr="00204FA4">
        <w:trPr>
          <w:cantSplit/>
          <w:trHeight w:val="320"/>
        </w:trPr>
        <w:tc>
          <w:tcPr>
            <w:tcW w:w="1148" w:type="dxa"/>
            <w:shd w:val="clear" w:color="auto" w:fill="auto"/>
            <w:noWrap/>
            <w:vAlign w:val="bottom"/>
            <w:hideMark/>
          </w:tcPr>
          <w:p w14:paraId="2CD8CAF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Norris</w:t>
            </w:r>
          </w:p>
        </w:tc>
        <w:tc>
          <w:tcPr>
            <w:tcW w:w="739" w:type="dxa"/>
            <w:shd w:val="clear" w:color="auto" w:fill="auto"/>
            <w:noWrap/>
            <w:vAlign w:val="bottom"/>
            <w:hideMark/>
          </w:tcPr>
          <w:p w14:paraId="13EF3515"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2006</w:t>
            </w:r>
          </w:p>
        </w:tc>
        <w:tc>
          <w:tcPr>
            <w:tcW w:w="900" w:type="dxa"/>
            <w:shd w:val="clear" w:color="auto" w:fill="auto"/>
            <w:noWrap/>
            <w:vAlign w:val="bottom"/>
            <w:hideMark/>
          </w:tcPr>
          <w:p w14:paraId="5AD427D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hideMark/>
          </w:tcPr>
          <w:p w14:paraId="180857D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Diabetes patients were generally satisfied with their contacts with CHWs, and patient knowledge about diabetes increased. Improvements in physiological measures were noted for some interventions, and positive changes in lifestyle and self-care were noted in a number of studies. There were few data on economic outcomes, but several studies demonstrated a decrease in inappropriate health care utilization. CHW roles varied from substantial involvement in patient care to simply providing assistance with implementing education sessions taught by other health professionals.</w:t>
            </w:r>
          </w:p>
        </w:tc>
      </w:tr>
      <w:tr w:rsidR="00862AF9" w:rsidRPr="00862AF9" w14:paraId="26A61755" w14:textId="77777777" w:rsidTr="00204FA4">
        <w:trPr>
          <w:cantSplit/>
          <w:trHeight w:val="320"/>
        </w:trPr>
        <w:tc>
          <w:tcPr>
            <w:tcW w:w="1148" w:type="dxa"/>
            <w:shd w:val="clear" w:color="auto" w:fill="auto"/>
            <w:noWrap/>
            <w:vAlign w:val="bottom"/>
            <w:hideMark/>
          </w:tcPr>
          <w:p w14:paraId="74852B3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Palmas</w:t>
            </w:r>
          </w:p>
        </w:tc>
        <w:tc>
          <w:tcPr>
            <w:tcW w:w="739" w:type="dxa"/>
            <w:shd w:val="clear" w:color="auto" w:fill="auto"/>
            <w:noWrap/>
            <w:vAlign w:val="bottom"/>
            <w:hideMark/>
          </w:tcPr>
          <w:p w14:paraId="33D87045"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2015</w:t>
            </w:r>
          </w:p>
        </w:tc>
        <w:tc>
          <w:tcPr>
            <w:tcW w:w="900" w:type="dxa"/>
            <w:shd w:val="clear" w:color="auto" w:fill="auto"/>
            <w:noWrap/>
            <w:vAlign w:val="bottom"/>
            <w:hideMark/>
          </w:tcPr>
          <w:p w14:paraId="1157C80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hideMark/>
          </w:tcPr>
          <w:p w14:paraId="6FA1A0E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CHW interventions showed a modest reduction in glycaemia (level of HbA1c) compared to usual care. CHW roles included facilitating group classes, contacting patients by telephone, and conducting outreach. The number of CHW-participant encounters varied widely. In terms of cost-effectiveness, one study suggested that a CHW program in diabetes care could save $2,000 annually per Medicaid participant, and one study found that an outreach program for underserved men in Denver, Colorado, could yield a return on investment of $2.28 per dollar invested.</w:t>
            </w:r>
          </w:p>
        </w:tc>
      </w:tr>
      <w:tr w:rsidR="00862AF9" w:rsidRPr="00862AF9" w14:paraId="5CFBD577" w14:textId="77777777" w:rsidTr="00204FA4">
        <w:trPr>
          <w:cantSplit/>
          <w:trHeight w:val="320"/>
        </w:trPr>
        <w:tc>
          <w:tcPr>
            <w:tcW w:w="13623" w:type="dxa"/>
            <w:gridSpan w:val="4"/>
            <w:shd w:val="clear" w:color="auto" w:fill="F2F2F2" w:themeFill="background1" w:themeFillShade="F2"/>
            <w:noWrap/>
            <w:vAlign w:val="bottom"/>
          </w:tcPr>
          <w:p w14:paraId="4CD9DCE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b/>
                <w:color w:val="000000"/>
                <w:sz w:val="20"/>
                <w:szCs w:val="20"/>
              </w:rPr>
              <w:t>Cancer</w:t>
            </w:r>
          </w:p>
        </w:tc>
      </w:tr>
      <w:tr w:rsidR="00862AF9" w:rsidRPr="00862AF9" w14:paraId="4D907846" w14:textId="77777777" w:rsidTr="00204FA4">
        <w:trPr>
          <w:cantSplit/>
          <w:trHeight w:val="320"/>
        </w:trPr>
        <w:tc>
          <w:tcPr>
            <w:tcW w:w="1148" w:type="dxa"/>
            <w:shd w:val="clear" w:color="auto" w:fill="auto"/>
            <w:noWrap/>
            <w:vAlign w:val="bottom"/>
          </w:tcPr>
          <w:p w14:paraId="443930B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lastRenderedPageBreak/>
              <w:t>Hou</w:t>
            </w:r>
          </w:p>
        </w:tc>
        <w:tc>
          <w:tcPr>
            <w:tcW w:w="739" w:type="dxa"/>
            <w:shd w:val="clear" w:color="auto" w:fill="auto"/>
            <w:noWrap/>
            <w:vAlign w:val="bottom"/>
          </w:tcPr>
          <w:p w14:paraId="610F9BD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2015</w:t>
            </w:r>
          </w:p>
        </w:tc>
        <w:tc>
          <w:tcPr>
            <w:tcW w:w="900" w:type="dxa"/>
            <w:shd w:val="clear" w:color="auto" w:fill="auto"/>
            <w:noWrap/>
            <w:vAlign w:val="bottom"/>
          </w:tcPr>
          <w:p w14:paraId="2ED9CD56"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74A7345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the US, community and clinic health navigators for cancer screening promotion had similar roles and responsibilities. Most of the navigator interventions increased cancer screening knowledge and behaviors versus usual care or comparison groups. Navigator roles included: reaching out to participants via mail, phone, or face-to-face contact; providing information or hosting educational events; providing counseling; sharing personal testimony; providing logistical support, particularly helping schedule screening; serving as a translator or advocate; and/or gathering information about access to cancer care screenings.</w:t>
            </w:r>
          </w:p>
        </w:tc>
      </w:tr>
      <w:tr w:rsidR="00862AF9" w:rsidRPr="00862AF9" w14:paraId="38C50B1E" w14:textId="77777777" w:rsidTr="00204FA4">
        <w:trPr>
          <w:cantSplit/>
          <w:trHeight w:val="320"/>
        </w:trPr>
        <w:tc>
          <w:tcPr>
            <w:tcW w:w="1148" w:type="dxa"/>
            <w:shd w:val="clear" w:color="auto" w:fill="auto"/>
            <w:noWrap/>
            <w:vAlign w:val="bottom"/>
          </w:tcPr>
          <w:p w14:paraId="3A6300F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Martinez-Donate</w:t>
            </w:r>
          </w:p>
        </w:tc>
        <w:tc>
          <w:tcPr>
            <w:tcW w:w="739" w:type="dxa"/>
            <w:shd w:val="clear" w:color="auto" w:fill="auto"/>
            <w:noWrap/>
            <w:vAlign w:val="bottom"/>
          </w:tcPr>
          <w:p w14:paraId="03285D3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2009</w:t>
            </w:r>
          </w:p>
        </w:tc>
        <w:tc>
          <w:tcPr>
            <w:tcW w:w="900" w:type="dxa"/>
            <w:shd w:val="clear" w:color="auto" w:fill="auto"/>
            <w:noWrap/>
            <w:vAlign w:val="bottom"/>
          </w:tcPr>
          <w:p w14:paraId="3E8CF93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4142BFCE"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In the US., there is limited evidence of effectiveness of CHW interventions to promote breast and cervical cancer screening among Latinas. Most studies used weak methodological designs. Only 5 of the 14 included studies involved an experimental or quasi-experimental design with a comparison group and pre- and post-test measures. Of these five, only two found evidence of effectiveness. </w:t>
            </w:r>
          </w:p>
        </w:tc>
      </w:tr>
      <w:tr w:rsidR="00862AF9" w:rsidRPr="00862AF9" w14:paraId="6877DDD7" w14:textId="77777777" w:rsidTr="00204FA4">
        <w:trPr>
          <w:cantSplit/>
          <w:trHeight w:val="320"/>
        </w:trPr>
        <w:tc>
          <w:tcPr>
            <w:tcW w:w="1148" w:type="dxa"/>
            <w:shd w:val="clear" w:color="auto" w:fill="auto"/>
            <w:noWrap/>
            <w:vAlign w:val="bottom"/>
          </w:tcPr>
          <w:p w14:paraId="7A484A1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Wells</w:t>
            </w:r>
          </w:p>
        </w:tc>
        <w:tc>
          <w:tcPr>
            <w:tcW w:w="739" w:type="dxa"/>
            <w:shd w:val="clear" w:color="auto" w:fill="auto"/>
            <w:noWrap/>
            <w:vAlign w:val="bottom"/>
          </w:tcPr>
          <w:p w14:paraId="424F96D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025BB12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12A8956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the US, CHW interventions are associated with a statistically significant increase in rates of screening mammography. These interventions tend to have stronger effects in specific settings and study designs as well as when participants and CHWs were similar ethnically or racially.</w:t>
            </w:r>
          </w:p>
        </w:tc>
      </w:tr>
      <w:tr w:rsidR="00862AF9" w:rsidRPr="00862AF9" w14:paraId="181005E4" w14:textId="77777777" w:rsidTr="00204FA4">
        <w:trPr>
          <w:cantSplit/>
          <w:trHeight w:val="320"/>
        </w:trPr>
        <w:tc>
          <w:tcPr>
            <w:tcW w:w="13623" w:type="dxa"/>
            <w:gridSpan w:val="4"/>
            <w:shd w:val="clear" w:color="auto" w:fill="F2F2F2" w:themeFill="background1" w:themeFillShade="F2"/>
            <w:noWrap/>
            <w:vAlign w:val="bottom"/>
          </w:tcPr>
          <w:p w14:paraId="5986810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b/>
                <w:sz w:val="20"/>
                <w:szCs w:val="20"/>
              </w:rPr>
              <w:t>Pediatric chronic disease</w:t>
            </w:r>
          </w:p>
        </w:tc>
      </w:tr>
      <w:tr w:rsidR="00862AF9" w:rsidRPr="00862AF9" w14:paraId="68BDD87E" w14:textId="77777777" w:rsidTr="00204FA4">
        <w:trPr>
          <w:cantSplit/>
          <w:trHeight w:val="320"/>
        </w:trPr>
        <w:tc>
          <w:tcPr>
            <w:tcW w:w="1148" w:type="dxa"/>
            <w:shd w:val="clear" w:color="auto" w:fill="auto"/>
            <w:noWrap/>
            <w:vAlign w:val="bottom"/>
          </w:tcPr>
          <w:p w14:paraId="39BEBF57" w14:textId="297F5750"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Raphael</w:t>
            </w:r>
            <w:r w:rsidR="00436B4E" w:rsidRPr="00B47639">
              <w:rPr>
                <w:rStyle w:val="FootnoteReference"/>
              </w:rPr>
              <w:footnoteReference w:id="2"/>
            </w:r>
          </w:p>
        </w:tc>
        <w:tc>
          <w:tcPr>
            <w:tcW w:w="739" w:type="dxa"/>
            <w:shd w:val="clear" w:color="auto" w:fill="auto"/>
            <w:noWrap/>
            <w:vAlign w:val="bottom"/>
          </w:tcPr>
          <w:p w14:paraId="65BF3954"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74074BB7"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56F0A38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Lay health worker (LHW) interventions in children with chronic conditions may lead to modest improvements in urgent care use, symptoms, and parental psychosocial outcomes. The improved outcomes that were most commonly reported included reduced urgent care use, decreases in symptoms, fewer missed work and school days, and increased parental quality of life. For children with asthma, LHWs decreased rapid breathing episodes per month, activity limitation, and asthma exacerbations per year, and they also increased the number of symptom-free days per year. For type-1 diabetes, LHWs improved glycaemic control and decreased hospitalizations in intervention groups. LHWs interacted with families at the time of home visits or through phone calls or e-mails. The lay health workers in the 11 studies of asthma primarily focused on education about environmental trigger reduction, provision of engineering controls (e.g., air filters and mattress encasements), asthma action plans, medication management, and increasing parental recognition of symptoms.</w:t>
            </w:r>
          </w:p>
        </w:tc>
      </w:tr>
      <w:tr w:rsidR="00862AF9" w:rsidRPr="00862AF9" w14:paraId="03B3B151" w14:textId="77777777" w:rsidTr="00204FA4">
        <w:trPr>
          <w:cantSplit/>
          <w:trHeight w:val="320"/>
        </w:trPr>
        <w:tc>
          <w:tcPr>
            <w:tcW w:w="1148" w:type="dxa"/>
            <w:shd w:val="clear" w:color="auto" w:fill="auto"/>
            <w:noWrap/>
            <w:vAlign w:val="bottom"/>
          </w:tcPr>
          <w:p w14:paraId="562735EF"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Postma</w:t>
            </w:r>
          </w:p>
        </w:tc>
        <w:tc>
          <w:tcPr>
            <w:tcW w:w="739" w:type="dxa"/>
            <w:shd w:val="clear" w:color="auto" w:fill="auto"/>
            <w:noWrap/>
            <w:vAlign w:val="bottom"/>
          </w:tcPr>
          <w:p w14:paraId="394CFBB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2009</w:t>
            </w:r>
          </w:p>
        </w:tc>
        <w:tc>
          <w:tcPr>
            <w:tcW w:w="900" w:type="dxa"/>
            <w:shd w:val="clear" w:color="auto" w:fill="auto"/>
            <w:noWrap/>
            <w:vAlign w:val="bottom"/>
          </w:tcPr>
          <w:p w14:paraId="5960CEC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71E89BF3" w14:textId="38C09D7F"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the US, CHW-delivered home-based environmental interventions for pediatric asthma were consistently shown to have positive outcomes, including decreased asthma symptoms, daytime activity limitations, and use of emergency and urgent care. CHWs were effective in counseling to improve patient wellbeing and reducing asthma-triggering behaviors as well as in providing social and emotional support.</w:t>
            </w:r>
            <w:r w:rsidR="00AF104B">
              <w:rPr>
                <w:rFonts w:ascii="Calibri" w:eastAsia="Times New Roman" w:hAnsi="Calibri" w:cs="Times New Roman"/>
                <w:color w:val="000000"/>
                <w:sz w:val="20"/>
                <w:szCs w:val="20"/>
              </w:rPr>
              <w:t xml:space="preserve"> </w:t>
            </w:r>
          </w:p>
        </w:tc>
      </w:tr>
      <w:tr w:rsidR="00151E75" w:rsidRPr="00862AF9" w14:paraId="1D538EEC" w14:textId="77777777" w:rsidTr="00151E75">
        <w:trPr>
          <w:cantSplit/>
          <w:trHeight w:val="320"/>
        </w:trPr>
        <w:tc>
          <w:tcPr>
            <w:tcW w:w="13623" w:type="dxa"/>
            <w:gridSpan w:val="4"/>
            <w:shd w:val="clear" w:color="auto" w:fill="E7E6E6" w:themeFill="background2"/>
            <w:noWrap/>
            <w:vAlign w:val="bottom"/>
          </w:tcPr>
          <w:p w14:paraId="043C6DF9" w14:textId="43171233" w:rsidR="00151E75" w:rsidRPr="00151E75" w:rsidRDefault="00151E75" w:rsidP="00E96A82">
            <w:pPr>
              <w:spacing w:after="0"/>
              <w:rPr>
                <w:rFonts w:ascii="Calibri" w:eastAsia="Times New Roman" w:hAnsi="Calibri" w:cs="Times New Roman"/>
                <w:b/>
                <w:color w:val="000000"/>
                <w:sz w:val="20"/>
                <w:szCs w:val="20"/>
              </w:rPr>
            </w:pPr>
            <w:r w:rsidRPr="00151E75">
              <w:rPr>
                <w:rFonts w:ascii="Calibri" w:eastAsia="Times New Roman" w:hAnsi="Calibri" w:cs="Times New Roman"/>
                <w:b/>
                <w:color w:val="000000"/>
                <w:sz w:val="20"/>
                <w:szCs w:val="20"/>
              </w:rPr>
              <w:t>Mental health</w:t>
            </w:r>
          </w:p>
        </w:tc>
      </w:tr>
      <w:tr w:rsidR="00151E75" w:rsidRPr="00862AF9" w14:paraId="1C16807A" w14:textId="77777777" w:rsidTr="00204FA4">
        <w:trPr>
          <w:cantSplit/>
          <w:trHeight w:val="320"/>
        </w:trPr>
        <w:tc>
          <w:tcPr>
            <w:tcW w:w="1148" w:type="dxa"/>
            <w:shd w:val="clear" w:color="auto" w:fill="auto"/>
            <w:noWrap/>
            <w:vAlign w:val="bottom"/>
          </w:tcPr>
          <w:p w14:paraId="61C2E2C3" w14:textId="1EFA8D2C" w:rsidR="00151E75" w:rsidRPr="00862AF9" w:rsidRDefault="00151E75"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lastRenderedPageBreak/>
              <w:t>Hoeft</w:t>
            </w:r>
          </w:p>
        </w:tc>
        <w:tc>
          <w:tcPr>
            <w:tcW w:w="739" w:type="dxa"/>
            <w:shd w:val="clear" w:color="auto" w:fill="auto"/>
            <w:noWrap/>
            <w:vAlign w:val="bottom"/>
          </w:tcPr>
          <w:p w14:paraId="0C822EB5" w14:textId="284C3E03" w:rsidR="00151E75" w:rsidRPr="00862AF9" w:rsidRDefault="00502DAE"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900" w:type="dxa"/>
            <w:shd w:val="clear" w:color="auto" w:fill="auto"/>
            <w:noWrap/>
            <w:vAlign w:val="bottom"/>
          </w:tcPr>
          <w:p w14:paraId="79467D63" w14:textId="0FF3B3D6" w:rsidR="00151E75" w:rsidRPr="00862AF9" w:rsidRDefault="00502DAE"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836" w:type="dxa"/>
            <w:shd w:val="clear" w:color="auto" w:fill="auto"/>
            <w:noWrap/>
            <w:vAlign w:val="bottom"/>
          </w:tcPr>
          <w:p w14:paraId="2045428B" w14:textId="4110779A" w:rsidR="00151E75" w:rsidRPr="00862AF9" w:rsidRDefault="00502DAE" w:rsidP="00E96A82">
            <w:pPr>
              <w:widowControl w:val="0"/>
              <w:autoSpaceDE w:val="0"/>
              <w:autoSpaceDN w:val="0"/>
              <w:adjustRightInd w:val="0"/>
              <w:spacing w:after="0" w:line="280" w:lineRule="atLeas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In rural settings, there are several existing models </w:t>
            </w:r>
            <w:r w:rsidR="008D174E">
              <w:rPr>
                <w:rFonts w:ascii="Calibri" w:eastAsia="Times New Roman" w:hAnsi="Calibri" w:cs="Times New Roman"/>
                <w:color w:val="000000"/>
                <w:sz w:val="20"/>
                <w:szCs w:val="20"/>
              </w:rPr>
              <w:t>for</w:t>
            </w:r>
            <w:r>
              <w:rPr>
                <w:rFonts w:ascii="Calibri" w:eastAsia="Times New Roman" w:hAnsi="Calibri" w:cs="Times New Roman"/>
                <w:color w:val="000000"/>
                <w:sz w:val="20"/>
                <w:szCs w:val="20"/>
              </w:rPr>
              <w:t xml:space="preserve"> how </w:t>
            </w:r>
            <w:r w:rsidRPr="00502DAE">
              <w:rPr>
                <w:rFonts w:ascii="Calibri" w:eastAsia="Times New Roman" w:hAnsi="Calibri" w:cs="Times New Roman"/>
                <w:color w:val="000000"/>
                <w:sz w:val="20"/>
                <w:szCs w:val="20"/>
              </w:rPr>
              <w:t xml:space="preserve">CHWs </w:t>
            </w:r>
            <w:r>
              <w:rPr>
                <w:rFonts w:ascii="Calibri" w:eastAsia="Times New Roman" w:hAnsi="Calibri" w:cs="Times New Roman"/>
                <w:color w:val="000000"/>
                <w:sz w:val="20"/>
                <w:szCs w:val="20"/>
              </w:rPr>
              <w:t xml:space="preserve">can be </w:t>
            </w:r>
            <w:r w:rsidRPr="00502DAE">
              <w:rPr>
                <w:rFonts w:ascii="Calibri" w:eastAsia="Times New Roman" w:hAnsi="Calibri" w:cs="Times New Roman"/>
                <w:color w:val="000000"/>
                <w:sz w:val="20"/>
                <w:szCs w:val="20"/>
              </w:rPr>
              <w:t>involved</w:t>
            </w:r>
            <w:r>
              <w:rPr>
                <w:rFonts w:ascii="Calibri" w:eastAsia="Times New Roman" w:hAnsi="Calibri" w:cs="Times New Roman"/>
                <w:color w:val="000000"/>
                <w:sz w:val="20"/>
                <w:szCs w:val="20"/>
              </w:rPr>
              <w:t xml:space="preserve"> in mental health care delivery, such as home visitation for pregnant women on Medicaid</w:t>
            </w:r>
            <w:r w:rsidR="008D174E">
              <w:rPr>
                <w:rFonts w:ascii="Calibri" w:eastAsia="Times New Roman" w:hAnsi="Calibri" w:cs="Times New Roman"/>
                <w:color w:val="000000"/>
                <w:sz w:val="20"/>
                <w:szCs w:val="20"/>
              </w:rPr>
              <w:t xml:space="preserve">, support for parents of Latino youth with mental health problems, or door-to-door outreach for </w:t>
            </w:r>
            <w:r w:rsidR="008D174E" w:rsidRPr="008D174E">
              <w:rPr>
                <w:rFonts w:ascii="Calibri" w:eastAsia="Times New Roman" w:hAnsi="Calibri" w:cs="Times New Roman"/>
                <w:color w:val="000000"/>
                <w:sz w:val="20"/>
                <w:szCs w:val="20"/>
              </w:rPr>
              <w:t>stress m</w:t>
            </w:r>
            <w:r w:rsidR="008D174E">
              <w:rPr>
                <w:rFonts w:ascii="Calibri" w:eastAsia="Times New Roman" w:hAnsi="Calibri" w:cs="Times New Roman"/>
                <w:color w:val="000000"/>
                <w:sz w:val="20"/>
                <w:szCs w:val="20"/>
              </w:rPr>
              <w:t>anagement, substance abuse, do</w:t>
            </w:r>
            <w:r w:rsidR="008D174E" w:rsidRPr="008D174E">
              <w:rPr>
                <w:rFonts w:ascii="Calibri" w:eastAsia="Times New Roman" w:hAnsi="Calibri" w:cs="Times New Roman"/>
                <w:color w:val="000000"/>
                <w:sz w:val="20"/>
                <w:szCs w:val="20"/>
              </w:rPr>
              <w:t>mestic violence, depression, and anxiety</w:t>
            </w:r>
            <w:r w:rsidR="008D174E">
              <w:rPr>
                <w:rFonts w:ascii="Calibri" w:eastAsia="Times New Roman" w:hAnsi="Calibri" w:cs="Times New Roman"/>
                <w:color w:val="000000"/>
                <w:sz w:val="20"/>
                <w:szCs w:val="20"/>
              </w:rPr>
              <w:t>.  In terms of efficacy, a</w:t>
            </w:r>
            <w:r w:rsidR="008D174E" w:rsidRPr="008D174E">
              <w:rPr>
                <w:rFonts w:ascii="Calibri" w:eastAsia="Times New Roman" w:hAnsi="Calibri" w:cs="Times New Roman"/>
                <w:color w:val="000000"/>
                <w:sz w:val="20"/>
                <w:szCs w:val="20"/>
              </w:rPr>
              <w:t xml:space="preserve"> CHW-led project on depression with an immigrant</w:t>
            </w:r>
            <w:r w:rsidR="008D174E">
              <w:rPr>
                <w:rFonts w:ascii="Calibri" w:eastAsia="Times New Roman" w:hAnsi="Calibri" w:cs="Times New Roman"/>
                <w:color w:val="000000"/>
                <w:sz w:val="20"/>
                <w:szCs w:val="20"/>
              </w:rPr>
              <w:t xml:space="preserve"> Latina popula</w:t>
            </w:r>
            <w:r w:rsidR="008D174E" w:rsidRPr="008D174E">
              <w:rPr>
                <w:rFonts w:ascii="Calibri" w:eastAsia="Times New Roman" w:hAnsi="Calibri" w:cs="Times New Roman"/>
                <w:color w:val="000000"/>
                <w:sz w:val="20"/>
                <w:szCs w:val="20"/>
              </w:rPr>
              <w:t xml:space="preserve">tion created a </w:t>
            </w:r>
            <w:r w:rsidR="008D174E" w:rsidRPr="00A46DF7">
              <w:rPr>
                <w:rFonts w:ascii="Calibri" w:eastAsia="Times New Roman" w:hAnsi="Calibri" w:cs="Times New Roman"/>
                <w:i/>
                <w:color w:val="000000"/>
                <w:sz w:val="20"/>
                <w:szCs w:val="20"/>
              </w:rPr>
              <w:t>fotonovela</w:t>
            </w:r>
            <w:r w:rsidR="00AF104B">
              <w:rPr>
                <w:rFonts w:ascii="Calibri" w:eastAsia="Times New Roman" w:hAnsi="Calibri" w:cs="Times New Roman"/>
                <w:color w:val="000000"/>
                <w:sz w:val="20"/>
                <w:szCs w:val="20"/>
              </w:rPr>
              <w:t xml:space="preserve"> (</w:t>
            </w:r>
            <w:r w:rsidR="008D174E" w:rsidRPr="008D174E">
              <w:rPr>
                <w:rFonts w:ascii="Calibri" w:eastAsia="Times New Roman" w:hAnsi="Calibri" w:cs="Times New Roman"/>
                <w:color w:val="000000"/>
                <w:sz w:val="20"/>
                <w:szCs w:val="20"/>
              </w:rPr>
              <w:t>a small illustrated storybook</w:t>
            </w:r>
            <w:r w:rsidR="00AF104B">
              <w:rPr>
                <w:rFonts w:ascii="Calibri" w:eastAsia="Times New Roman" w:hAnsi="Calibri" w:cs="Times New Roman"/>
                <w:color w:val="000000"/>
                <w:sz w:val="20"/>
                <w:szCs w:val="20"/>
              </w:rPr>
              <w:t>)</w:t>
            </w:r>
            <w:r w:rsidR="008D174E" w:rsidRPr="008D174E">
              <w:rPr>
                <w:rFonts w:ascii="Calibri" w:eastAsia="Times New Roman" w:hAnsi="Calibri" w:cs="Times New Roman"/>
                <w:color w:val="000000"/>
                <w:sz w:val="20"/>
                <w:szCs w:val="20"/>
              </w:rPr>
              <w:t>, which resulted i</w:t>
            </w:r>
            <w:r w:rsidR="008D174E">
              <w:rPr>
                <w:rFonts w:ascii="Calibri" w:eastAsia="Times New Roman" w:hAnsi="Calibri" w:cs="Times New Roman"/>
                <w:color w:val="000000"/>
                <w:sz w:val="20"/>
                <w:szCs w:val="20"/>
              </w:rPr>
              <w:t xml:space="preserve">n improved depression knowledge, </w:t>
            </w:r>
            <w:r w:rsidR="00AF104B">
              <w:rPr>
                <w:rFonts w:ascii="Calibri" w:eastAsia="Times New Roman" w:hAnsi="Calibri" w:cs="Times New Roman"/>
                <w:color w:val="000000"/>
                <w:sz w:val="20"/>
                <w:szCs w:val="20"/>
              </w:rPr>
              <w:t xml:space="preserve">improved </w:t>
            </w:r>
            <w:r w:rsidR="008D174E">
              <w:rPr>
                <w:rFonts w:ascii="Calibri" w:eastAsia="Times New Roman" w:hAnsi="Calibri" w:cs="Times New Roman"/>
                <w:color w:val="000000"/>
                <w:sz w:val="20"/>
                <w:szCs w:val="20"/>
              </w:rPr>
              <w:t>efficacy to seek treatment, and decreased stigma tow</w:t>
            </w:r>
            <w:r w:rsidR="008D174E" w:rsidRPr="008D174E">
              <w:rPr>
                <w:rFonts w:ascii="Calibri" w:eastAsia="Times New Roman" w:hAnsi="Calibri" w:cs="Times New Roman"/>
                <w:color w:val="000000"/>
                <w:sz w:val="20"/>
                <w:szCs w:val="20"/>
              </w:rPr>
              <w:t>ard depression treatment</w:t>
            </w:r>
            <w:r w:rsidR="008D174E">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P</w:t>
            </w:r>
            <w:r w:rsidRPr="00502DAE">
              <w:rPr>
                <w:rFonts w:ascii="Calibri" w:eastAsia="Times New Roman" w:hAnsi="Calibri" w:cs="Times New Roman"/>
                <w:color w:val="000000"/>
                <w:sz w:val="20"/>
                <w:szCs w:val="20"/>
              </w:rPr>
              <w:t>rovider education, supervision, and partnerships with local communities can support tas</w:t>
            </w:r>
            <w:r w:rsidR="008D174E">
              <w:rPr>
                <w:rFonts w:ascii="Calibri" w:eastAsia="Times New Roman" w:hAnsi="Calibri" w:cs="Times New Roman"/>
                <w:color w:val="000000"/>
                <w:sz w:val="20"/>
                <w:szCs w:val="20"/>
              </w:rPr>
              <w:t xml:space="preserve">k sharing. Challenges, such as </w:t>
            </w:r>
            <w:r w:rsidRPr="00502DAE">
              <w:rPr>
                <w:rFonts w:ascii="Calibri" w:eastAsia="Times New Roman" w:hAnsi="Calibri" w:cs="Times New Roman"/>
                <w:color w:val="000000"/>
                <w:sz w:val="20"/>
                <w:szCs w:val="20"/>
              </w:rPr>
              <w:t>confidentiality, are often not addressed in the literature.</w:t>
            </w:r>
          </w:p>
        </w:tc>
      </w:tr>
      <w:tr w:rsidR="00151E75" w:rsidRPr="00862AF9" w14:paraId="6B12D7FF" w14:textId="77777777" w:rsidTr="00204FA4">
        <w:trPr>
          <w:cantSplit/>
          <w:trHeight w:val="320"/>
        </w:trPr>
        <w:tc>
          <w:tcPr>
            <w:tcW w:w="1148" w:type="dxa"/>
            <w:shd w:val="clear" w:color="auto" w:fill="auto"/>
            <w:noWrap/>
            <w:vAlign w:val="bottom"/>
          </w:tcPr>
          <w:p w14:paraId="4DE5EA66" w14:textId="26B72668" w:rsidR="00151E75" w:rsidRPr="00862AF9" w:rsidRDefault="00151E75" w:rsidP="00E96A82">
            <w:pPr>
              <w:spacing w:after="0"/>
              <w:rPr>
                <w:rFonts w:ascii="Calibri" w:eastAsia="Times New Roman" w:hAnsi="Calibri" w:cs="Times New Roman"/>
                <w:color w:val="000000"/>
                <w:sz w:val="20"/>
                <w:szCs w:val="20"/>
              </w:rPr>
            </w:pPr>
            <w:r w:rsidRPr="00C21E3F">
              <w:rPr>
                <w:rFonts w:ascii="Calibri" w:hAnsi="Calibri"/>
                <w:sz w:val="20"/>
                <w:szCs w:val="20"/>
              </w:rPr>
              <w:t>Wahlbeck</w:t>
            </w:r>
          </w:p>
        </w:tc>
        <w:tc>
          <w:tcPr>
            <w:tcW w:w="739" w:type="dxa"/>
            <w:shd w:val="clear" w:color="auto" w:fill="auto"/>
            <w:noWrap/>
            <w:vAlign w:val="bottom"/>
          </w:tcPr>
          <w:p w14:paraId="085E1D7B" w14:textId="5B493E38" w:rsidR="00151E75" w:rsidRPr="00862AF9" w:rsidRDefault="00151E75" w:rsidP="00E96A82">
            <w:pPr>
              <w:spacing w:after="0"/>
              <w:jc w:val="center"/>
              <w:rPr>
                <w:rFonts w:ascii="Calibri" w:eastAsia="Times New Roman" w:hAnsi="Calibri" w:cs="Times New Roman"/>
                <w:color w:val="000000"/>
                <w:sz w:val="20"/>
                <w:szCs w:val="20"/>
              </w:rPr>
            </w:pPr>
            <w:r>
              <w:rPr>
                <w:rFonts w:ascii="Calibri" w:hAnsi="Calibri"/>
                <w:sz w:val="20"/>
                <w:szCs w:val="20"/>
              </w:rPr>
              <w:t>2017</w:t>
            </w:r>
          </w:p>
        </w:tc>
        <w:tc>
          <w:tcPr>
            <w:tcW w:w="900" w:type="dxa"/>
            <w:shd w:val="clear" w:color="auto" w:fill="auto"/>
            <w:noWrap/>
            <w:vAlign w:val="bottom"/>
          </w:tcPr>
          <w:p w14:paraId="1D9DA3AB" w14:textId="23E4CD67" w:rsidR="00151E75" w:rsidRPr="00862AF9" w:rsidRDefault="00151E75" w:rsidP="00E96A82">
            <w:pPr>
              <w:spacing w:after="0"/>
              <w:jc w:val="center"/>
              <w:rPr>
                <w:rFonts w:ascii="Calibri" w:eastAsia="Times New Roman" w:hAnsi="Calibri" w:cs="Times New Roman"/>
                <w:color w:val="000000"/>
                <w:sz w:val="20"/>
                <w:szCs w:val="20"/>
              </w:rPr>
            </w:pPr>
            <w:r>
              <w:rPr>
                <w:rFonts w:ascii="Calibri" w:hAnsi="Calibri"/>
                <w:sz w:val="20"/>
                <w:szCs w:val="20"/>
              </w:rPr>
              <w:t>NSR</w:t>
            </w:r>
          </w:p>
        </w:tc>
        <w:tc>
          <w:tcPr>
            <w:tcW w:w="10836" w:type="dxa"/>
            <w:shd w:val="clear" w:color="auto" w:fill="auto"/>
            <w:noWrap/>
            <w:vAlign w:val="bottom"/>
          </w:tcPr>
          <w:p w14:paraId="439CA280" w14:textId="41A7571D" w:rsidR="00151E75" w:rsidRPr="00862AF9" w:rsidRDefault="00151E75" w:rsidP="00E96A82">
            <w:pPr>
              <w:spacing w:after="0"/>
              <w:rPr>
                <w:rFonts w:ascii="Calibri" w:eastAsia="Times New Roman" w:hAnsi="Calibri" w:cs="Times New Roman"/>
                <w:color w:val="000000"/>
                <w:sz w:val="20"/>
                <w:szCs w:val="20"/>
              </w:rPr>
            </w:pPr>
            <w:r>
              <w:rPr>
                <w:rFonts w:ascii="Calibri" w:hAnsi="Calibri"/>
                <w:sz w:val="20"/>
                <w:szCs w:val="20"/>
              </w:rPr>
              <w:t>While beneficial mental health eff</w:t>
            </w:r>
            <w:r w:rsidRPr="00EB6B2C">
              <w:rPr>
                <w:rFonts w:ascii="Calibri" w:hAnsi="Calibri"/>
                <w:sz w:val="20"/>
                <w:szCs w:val="20"/>
              </w:rPr>
              <w:t>ects of housing and active labour</w:t>
            </w:r>
            <w:r w:rsidR="00AF104B">
              <w:rPr>
                <w:rFonts w:ascii="Calibri" w:hAnsi="Calibri"/>
                <w:sz w:val="20"/>
                <w:szCs w:val="20"/>
              </w:rPr>
              <w:t>-</w:t>
            </w:r>
            <w:r w:rsidRPr="00EB6B2C">
              <w:rPr>
                <w:rFonts w:ascii="Calibri" w:hAnsi="Calibri"/>
                <w:sz w:val="20"/>
                <w:szCs w:val="20"/>
              </w:rPr>
              <w:t xml:space="preserve">market interventions </w:t>
            </w:r>
            <w:r>
              <w:rPr>
                <w:rFonts w:ascii="Calibri" w:hAnsi="Calibri"/>
                <w:sz w:val="20"/>
                <w:szCs w:val="20"/>
              </w:rPr>
              <w:t>have been documented in randomized trials, t</w:t>
            </w:r>
            <w:r w:rsidRPr="00EB6B2C">
              <w:rPr>
                <w:rFonts w:ascii="Calibri" w:hAnsi="Calibri"/>
                <w:sz w:val="20"/>
                <w:szCs w:val="20"/>
              </w:rPr>
              <w:t>he evidence for interventions at service</w:t>
            </w:r>
            <w:r>
              <w:rPr>
                <w:rFonts w:ascii="Calibri" w:hAnsi="Calibri"/>
                <w:sz w:val="20"/>
                <w:szCs w:val="20"/>
              </w:rPr>
              <w:t xml:space="preserve"> and community level is considerably weaker, refl</w:t>
            </w:r>
            <w:r w:rsidRPr="00EB6B2C">
              <w:rPr>
                <w:rFonts w:ascii="Calibri" w:hAnsi="Calibri"/>
                <w:sz w:val="20"/>
                <w:szCs w:val="20"/>
              </w:rPr>
              <w:t>e</w:t>
            </w:r>
            <w:r>
              <w:rPr>
                <w:rFonts w:ascii="Calibri" w:hAnsi="Calibri"/>
                <w:sz w:val="20"/>
                <w:szCs w:val="20"/>
              </w:rPr>
              <w:t>cting challenges in assessing effective</w:t>
            </w:r>
            <w:r w:rsidRPr="00EB6B2C">
              <w:rPr>
                <w:rFonts w:ascii="Calibri" w:hAnsi="Calibri"/>
                <w:sz w:val="20"/>
                <w:szCs w:val="20"/>
              </w:rPr>
              <w:t>ness of complex and context-dependent</w:t>
            </w:r>
            <w:r>
              <w:rPr>
                <w:rFonts w:ascii="Calibri" w:hAnsi="Calibri"/>
                <w:sz w:val="20"/>
                <w:szCs w:val="20"/>
              </w:rPr>
              <w:t xml:space="preserve"> interventions by traditional eff</w:t>
            </w:r>
            <w:r w:rsidRPr="00EB6B2C">
              <w:rPr>
                <w:rFonts w:ascii="Calibri" w:hAnsi="Calibri"/>
                <w:sz w:val="20"/>
                <w:szCs w:val="20"/>
              </w:rPr>
              <w:t xml:space="preserve">ectiveness study designs. </w:t>
            </w:r>
            <w:r>
              <w:rPr>
                <w:rFonts w:ascii="Calibri" w:hAnsi="Calibri"/>
                <w:sz w:val="20"/>
                <w:szCs w:val="20"/>
              </w:rPr>
              <w:t>Nonetheless</w:t>
            </w:r>
            <w:r w:rsidR="00AF104B">
              <w:rPr>
                <w:rFonts w:ascii="Calibri" w:hAnsi="Calibri"/>
                <w:sz w:val="20"/>
                <w:szCs w:val="20"/>
              </w:rPr>
              <w:t>,</w:t>
            </w:r>
            <w:r>
              <w:rPr>
                <w:rFonts w:ascii="Calibri" w:hAnsi="Calibri"/>
                <w:sz w:val="20"/>
                <w:szCs w:val="20"/>
              </w:rPr>
              <w:t xml:space="preserve"> l</w:t>
            </w:r>
            <w:r w:rsidRPr="00C21E3F">
              <w:rPr>
                <w:rFonts w:ascii="Calibri" w:hAnsi="Calibri"/>
                <w:sz w:val="20"/>
                <w:szCs w:val="20"/>
              </w:rPr>
              <w:t xml:space="preserve">ay community outreach </w:t>
            </w:r>
            <w:r>
              <w:rPr>
                <w:rFonts w:ascii="Calibri" w:hAnsi="Calibri"/>
                <w:sz w:val="20"/>
                <w:szCs w:val="20"/>
              </w:rPr>
              <w:t xml:space="preserve">health workers </w:t>
            </w:r>
            <w:r w:rsidR="00AF104B">
              <w:rPr>
                <w:rFonts w:ascii="Calibri" w:hAnsi="Calibri"/>
                <w:sz w:val="20"/>
                <w:szCs w:val="20"/>
              </w:rPr>
              <w:t xml:space="preserve">were able to produce </w:t>
            </w:r>
            <w:r>
              <w:rPr>
                <w:rFonts w:ascii="Calibri" w:hAnsi="Calibri"/>
                <w:sz w:val="20"/>
                <w:szCs w:val="20"/>
              </w:rPr>
              <w:t>benefi</w:t>
            </w:r>
            <w:r w:rsidRPr="00C21E3F">
              <w:rPr>
                <w:rFonts w:ascii="Calibri" w:hAnsi="Calibri"/>
                <w:sz w:val="20"/>
                <w:szCs w:val="20"/>
              </w:rPr>
              <w:t xml:space="preserve">cial changes in health status measures in </w:t>
            </w:r>
            <w:r w:rsidR="00AF104B">
              <w:rPr>
                <w:rFonts w:ascii="Calibri" w:hAnsi="Calibri"/>
                <w:sz w:val="20"/>
                <w:szCs w:val="20"/>
              </w:rPr>
              <w:t>many, but not all,</w:t>
            </w:r>
            <w:r>
              <w:rPr>
                <w:rFonts w:ascii="Calibri" w:hAnsi="Calibri"/>
                <w:sz w:val="20"/>
                <w:szCs w:val="20"/>
              </w:rPr>
              <w:t xml:space="preserve"> studies</w:t>
            </w:r>
            <w:r w:rsidRPr="00C21E3F">
              <w:rPr>
                <w:rFonts w:ascii="Calibri" w:hAnsi="Calibri"/>
                <w:sz w:val="20"/>
                <w:szCs w:val="20"/>
              </w:rPr>
              <w:t xml:space="preserve">. </w:t>
            </w:r>
            <w:r>
              <w:rPr>
                <w:rFonts w:ascii="Calibri" w:hAnsi="Calibri"/>
                <w:sz w:val="20"/>
                <w:szCs w:val="20"/>
              </w:rPr>
              <w:t xml:space="preserve">In addition, </w:t>
            </w:r>
            <w:r w:rsidR="00AF104B">
              <w:rPr>
                <w:rFonts w:ascii="Calibri" w:hAnsi="Calibri"/>
                <w:sz w:val="20"/>
                <w:szCs w:val="20"/>
              </w:rPr>
              <w:t xml:space="preserve">the </w:t>
            </w:r>
            <w:r>
              <w:rPr>
                <w:rFonts w:ascii="Calibri" w:hAnsi="Calibri"/>
                <w:sz w:val="20"/>
                <w:szCs w:val="20"/>
              </w:rPr>
              <w:t>lack of evidence</w:t>
            </w:r>
            <w:r w:rsidR="00AF104B">
              <w:rPr>
                <w:rFonts w:ascii="Calibri" w:hAnsi="Calibri"/>
                <w:sz w:val="20"/>
                <w:szCs w:val="20"/>
              </w:rPr>
              <w:t xml:space="preserve"> of effectiveness of </w:t>
            </w:r>
            <w:r w:rsidRPr="00EB6B2C">
              <w:rPr>
                <w:rFonts w:ascii="Calibri" w:hAnsi="Calibri"/>
                <w:sz w:val="20"/>
                <w:szCs w:val="20"/>
              </w:rPr>
              <w:t>many promising higher</w:t>
            </w:r>
            <w:r w:rsidR="00AF104B">
              <w:rPr>
                <w:rFonts w:ascii="Calibri" w:hAnsi="Calibri"/>
                <w:sz w:val="20"/>
                <w:szCs w:val="20"/>
              </w:rPr>
              <w:t>-</w:t>
            </w:r>
            <w:r w:rsidRPr="00EB6B2C">
              <w:rPr>
                <w:rFonts w:ascii="Calibri" w:hAnsi="Calibri"/>
                <w:sz w:val="20"/>
                <w:szCs w:val="20"/>
              </w:rPr>
              <w:t>level interventions such as community coalitions, health mediators, social prescriptions and debt advice</w:t>
            </w:r>
            <w:r w:rsidR="00AF104B">
              <w:rPr>
                <w:rFonts w:ascii="Calibri" w:hAnsi="Calibri"/>
                <w:sz w:val="20"/>
                <w:szCs w:val="20"/>
              </w:rPr>
              <w:t xml:space="preserve"> does not </w:t>
            </w:r>
            <w:r w:rsidR="00876DDD">
              <w:rPr>
                <w:rFonts w:ascii="Calibri" w:hAnsi="Calibri"/>
                <w:sz w:val="20"/>
                <w:szCs w:val="20"/>
              </w:rPr>
              <w:t>mean they are not effective</w:t>
            </w:r>
            <w:r w:rsidRPr="00EB6B2C">
              <w:rPr>
                <w:rFonts w:ascii="Calibri" w:hAnsi="Calibri"/>
                <w:sz w:val="20"/>
                <w:szCs w:val="20"/>
              </w:rPr>
              <w:t>. Although policies ca</w:t>
            </w:r>
            <w:r>
              <w:rPr>
                <w:rFonts w:ascii="Calibri" w:hAnsi="Calibri"/>
                <w:sz w:val="20"/>
                <w:szCs w:val="20"/>
              </w:rPr>
              <w:t>n rarely be evaluated in empir</w:t>
            </w:r>
            <w:r w:rsidRPr="00EB6B2C">
              <w:rPr>
                <w:rFonts w:ascii="Calibri" w:hAnsi="Calibri"/>
                <w:sz w:val="20"/>
                <w:szCs w:val="20"/>
              </w:rPr>
              <w:t xml:space="preserve">ical intervention studies, existing studies point towards the positive mental health impacts of many non-health policies, especially so for social, labour market and housing policies. </w:t>
            </w:r>
          </w:p>
        </w:tc>
      </w:tr>
      <w:tr w:rsidR="0094088B" w:rsidRPr="00862AF9" w14:paraId="531094A9" w14:textId="77777777" w:rsidTr="0094088B">
        <w:trPr>
          <w:cantSplit/>
          <w:trHeight w:val="320"/>
        </w:trPr>
        <w:tc>
          <w:tcPr>
            <w:tcW w:w="13623" w:type="dxa"/>
            <w:gridSpan w:val="4"/>
            <w:shd w:val="clear" w:color="auto" w:fill="E7E6E6" w:themeFill="background2"/>
            <w:noWrap/>
            <w:vAlign w:val="bottom"/>
          </w:tcPr>
          <w:p w14:paraId="1106F5CE" w14:textId="4F9160A4" w:rsidR="0094088B" w:rsidRPr="00A46DF7" w:rsidRDefault="0094088B" w:rsidP="00E96A82">
            <w:pPr>
              <w:keepNext/>
              <w:keepLines/>
              <w:spacing w:after="0"/>
              <w:outlineLvl w:val="8"/>
              <w:rPr>
                <w:rFonts w:ascii="Calibri" w:hAnsi="Calibri"/>
                <w:b/>
                <w:sz w:val="20"/>
                <w:szCs w:val="20"/>
              </w:rPr>
            </w:pPr>
            <w:r w:rsidRPr="00A46DF7">
              <w:rPr>
                <w:rFonts w:ascii="Calibri" w:hAnsi="Calibri"/>
                <w:b/>
                <w:sz w:val="20"/>
                <w:szCs w:val="20"/>
              </w:rPr>
              <w:t>Chronic viral hepatitis B and C</w:t>
            </w:r>
          </w:p>
        </w:tc>
      </w:tr>
      <w:tr w:rsidR="0094088B" w:rsidRPr="00862AF9" w14:paraId="28D88D30" w14:textId="77777777" w:rsidTr="00204FA4">
        <w:trPr>
          <w:cantSplit/>
          <w:trHeight w:val="320"/>
        </w:trPr>
        <w:tc>
          <w:tcPr>
            <w:tcW w:w="1148" w:type="dxa"/>
            <w:shd w:val="clear" w:color="auto" w:fill="auto"/>
            <w:noWrap/>
            <w:vAlign w:val="bottom"/>
          </w:tcPr>
          <w:p w14:paraId="7773CA61" w14:textId="43D62DCA" w:rsidR="0094088B" w:rsidRPr="00C21E3F" w:rsidRDefault="0094088B" w:rsidP="00E96A82">
            <w:pPr>
              <w:spacing w:after="0"/>
              <w:rPr>
                <w:rFonts w:ascii="Calibri" w:hAnsi="Calibri"/>
                <w:sz w:val="20"/>
                <w:szCs w:val="20"/>
              </w:rPr>
            </w:pPr>
            <w:r>
              <w:rPr>
                <w:rFonts w:ascii="Calibri" w:hAnsi="Calibri"/>
                <w:sz w:val="20"/>
                <w:szCs w:val="20"/>
              </w:rPr>
              <w:t>Zhou</w:t>
            </w:r>
          </w:p>
        </w:tc>
        <w:tc>
          <w:tcPr>
            <w:tcW w:w="739" w:type="dxa"/>
            <w:shd w:val="clear" w:color="auto" w:fill="auto"/>
            <w:noWrap/>
            <w:vAlign w:val="bottom"/>
          </w:tcPr>
          <w:p w14:paraId="3027EDD7" w14:textId="0AA77E5F" w:rsidR="0094088B" w:rsidRDefault="0094088B" w:rsidP="00E96A82">
            <w:pPr>
              <w:spacing w:after="0"/>
              <w:jc w:val="center"/>
              <w:rPr>
                <w:rFonts w:ascii="Calibri" w:hAnsi="Calibri"/>
                <w:sz w:val="20"/>
                <w:szCs w:val="20"/>
              </w:rPr>
            </w:pPr>
            <w:r>
              <w:rPr>
                <w:rFonts w:ascii="Calibri" w:hAnsi="Calibri"/>
                <w:sz w:val="20"/>
                <w:szCs w:val="20"/>
              </w:rPr>
              <w:t>2016</w:t>
            </w:r>
          </w:p>
        </w:tc>
        <w:tc>
          <w:tcPr>
            <w:tcW w:w="900" w:type="dxa"/>
            <w:shd w:val="clear" w:color="auto" w:fill="auto"/>
            <w:noWrap/>
            <w:vAlign w:val="bottom"/>
          </w:tcPr>
          <w:p w14:paraId="06DC1BAA" w14:textId="56A7A9C6" w:rsidR="0094088B" w:rsidRDefault="0094088B" w:rsidP="00E96A82">
            <w:pPr>
              <w:spacing w:after="0"/>
              <w:jc w:val="center"/>
              <w:rPr>
                <w:rFonts w:ascii="Calibri" w:hAnsi="Calibri"/>
                <w:sz w:val="20"/>
                <w:szCs w:val="20"/>
              </w:rPr>
            </w:pPr>
            <w:r>
              <w:rPr>
                <w:rFonts w:ascii="Calibri" w:hAnsi="Calibri"/>
                <w:sz w:val="20"/>
                <w:szCs w:val="20"/>
              </w:rPr>
              <w:t>SR MA</w:t>
            </w:r>
          </w:p>
        </w:tc>
        <w:tc>
          <w:tcPr>
            <w:tcW w:w="10836" w:type="dxa"/>
            <w:shd w:val="clear" w:color="auto" w:fill="auto"/>
            <w:noWrap/>
            <w:vAlign w:val="bottom"/>
          </w:tcPr>
          <w:p w14:paraId="451DF1F8" w14:textId="6313B7A5" w:rsidR="0094088B" w:rsidRPr="00A532CA" w:rsidRDefault="00A532CA" w:rsidP="00E96A82">
            <w:pPr>
              <w:spacing w:after="0"/>
              <w:rPr>
                <w:rFonts w:ascii="Calibri" w:hAnsi="Calibri"/>
                <w:bCs/>
                <w:sz w:val="20"/>
                <w:szCs w:val="20"/>
              </w:rPr>
            </w:pPr>
            <w:r>
              <w:rPr>
                <w:rFonts w:ascii="Calibri" w:hAnsi="Calibri"/>
                <w:sz w:val="20"/>
                <w:szCs w:val="20"/>
              </w:rPr>
              <w:t>A</w:t>
            </w:r>
            <w:r w:rsidR="00090242" w:rsidRPr="00090242">
              <w:rPr>
                <w:rFonts w:ascii="Calibri" w:hAnsi="Calibri"/>
                <w:sz w:val="20"/>
                <w:szCs w:val="20"/>
              </w:rPr>
              <w:t xml:space="preserve"> range of relatively simple, inexpensive operational interventions can substantially improve engagement and retention along the chronic viral hepatitis care continuum, thereby optimising the implementation of screening, care, and treatment </w:t>
            </w:r>
            <w:r w:rsidR="00596987">
              <w:rPr>
                <w:rFonts w:ascii="Calibri" w:hAnsi="Calibri"/>
                <w:sz w:val="20"/>
                <w:szCs w:val="20"/>
              </w:rPr>
              <w:t>program</w:t>
            </w:r>
            <w:r w:rsidR="00090242" w:rsidRPr="00090242">
              <w:rPr>
                <w:rFonts w:ascii="Calibri" w:hAnsi="Calibri"/>
                <w:sz w:val="20"/>
                <w:szCs w:val="20"/>
              </w:rPr>
              <w:t xml:space="preserve">s. </w:t>
            </w:r>
            <w:r w:rsidR="00886A72">
              <w:rPr>
                <w:rFonts w:ascii="Calibri" w:hAnsi="Calibri"/>
                <w:bCs/>
                <w:sz w:val="20"/>
                <w:szCs w:val="20"/>
              </w:rPr>
              <w:t>M</w:t>
            </w:r>
            <w:r w:rsidR="00886A72" w:rsidRPr="00886A72">
              <w:rPr>
                <w:rFonts w:ascii="Calibri" w:hAnsi="Calibri"/>
                <w:bCs/>
                <w:sz w:val="20"/>
                <w:szCs w:val="20"/>
              </w:rPr>
              <w:t xml:space="preserve">eta-analysis demonstrates that </w:t>
            </w:r>
            <w:r w:rsidR="00876DDD" w:rsidRPr="00886A72">
              <w:rPr>
                <w:rFonts w:ascii="Calibri" w:hAnsi="Calibri"/>
                <w:bCs/>
                <w:sz w:val="20"/>
                <w:szCs w:val="20"/>
              </w:rPr>
              <w:t xml:space="preserve">educational </w:t>
            </w:r>
            <w:r w:rsidR="00596987">
              <w:rPr>
                <w:rFonts w:ascii="Calibri" w:hAnsi="Calibri"/>
                <w:bCs/>
                <w:sz w:val="20"/>
                <w:szCs w:val="20"/>
              </w:rPr>
              <w:t>program</w:t>
            </w:r>
            <w:r w:rsidR="00876DDD" w:rsidRPr="00886A72">
              <w:rPr>
                <w:rFonts w:ascii="Calibri" w:hAnsi="Calibri"/>
                <w:bCs/>
                <w:sz w:val="20"/>
                <w:szCs w:val="20"/>
              </w:rPr>
              <w:t xml:space="preserve">s </w:t>
            </w:r>
            <w:r w:rsidR="00876DDD">
              <w:rPr>
                <w:rFonts w:ascii="Calibri" w:hAnsi="Calibri"/>
                <w:bCs/>
                <w:sz w:val="20"/>
                <w:szCs w:val="20"/>
              </w:rPr>
              <w:t xml:space="preserve">for </w:t>
            </w:r>
            <w:r w:rsidR="00886A72" w:rsidRPr="00886A72">
              <w:rPr>
                <w:rFonts w:ascii="Calibri" w:hAnsi="Calibri"/>
                <w:bCs/>
                <w:sz w:val="20"/>
                <w:szCs w:val="20"/>
              </w:rPr>
              <w:t xml:space="preserve">task shifting to culturally appropriate lay health workers </w:t>
            </w:r>
            <w:r w:rsidR="00876DDD">
              <w:rPr>
                <w:rFonts w:ascii="Calibri" w:hAnsi="Calibri"/>
                <w:bCs/>
                <w:sz w:val="20"/>
                <w:szCs w:val="20"/>
              </w:rPr>
              <w:t>are</w:t>
            </w:r>
            <w:r w:rsidR="00886A72" w:rsidRPr="00886A72">
              <w:rPr>
                <w:rFonts w:ascii="Calibri" w:hAnsi="Calibri"/>
                <w:bCs/>
                <w:sz w:val="20"/>
                <w:szCs w:val="20"/>
              </w:rPr>
              <w:t xml:space="preserve"> effective in increasing HBV testing uptake. The six studies included in the meta-analysis were graded as moderate quality evidence. Although all lay health worker interventions were conducted among Asian immigrant populations in high-income countries, this particular type of intervention c</w:t>
            </w:r>
            <w:r w:rsidR="00886A72">
              <w:rPr>
                <w:rFonts w:ascii="Calibri" w:hAnsi="Calibri"/>
                <w:bCs/>
                <w:sz w:val="20"/>
                <w:szCs w:val="20"/>
              </w:rPr>
              <w:t>ould apply to other settings</w:t>
            </w:r>
            <w:r w:rsidR="00876DDD">
              <w:rPr>
                <w:rFonts w:ascii="Calibri" w:hAnsi="Calibri"/>
                <w:bCs/>
                <w:sz w:val="20"/>
                <w:szCs w:val="20"/>
              </w:rPr>
              <w:t xml:space="preserve"> as well</w:t>
            </w:r>
            <w:r w:rsidR="00886A72">
              <w:rPr>
                <w:rFonts w:ascii="Calibri" w:hAnsi="Calibri"/>
                <w:bCs/>
                <w:sz w:val="20"/>
                <w:szCs w:val="20"/>
              </w:rPr>
              <w:t xml:space="preserve">. </w:t>
            </w:r>
            <w:r w:rsidR="00886A72" w:rsidRPr="00886A72">
              <w:rPr>
                <w:rFonts w:ascii="Calibri" w:hAnsi="Calibri"/>
                <w:bCs/>
                <w:sz w:val="20"/>
                <w:szCs w:val="20"/>
              </w:rPr>
              <w:t>Training provided for the lay health workers in the six studies was relatively simple and cheap.</w:t>
            </w:r>
          </w:p>
        </w:tc>
      </w:tr>
      <w:tr w:rsidR="0094088B" w:rsidRPr="00862AF9" w14:paraId="43B0A71B" w14:textId="77777777" w:rsidTr="00204FA4">
        <w:trPr>
          <w:cantSplit/>
          <w:trHeight w:val="320"/>
        </w:trPr>
        <w:tc>
          <w:tcPr>
            <w:tcW w:w="13623" w:type="dxa"/>
            <w:gridSpan w:val="4"/>
            <w:shd w:val="clear" w:color="auto" w:fill="F2F2F2" w:themeFill="background1" w:themeFillShade="F2"/>
            <w:noWrap/>
            <w:vAlign w:val="bottom"/>
          </w:tcPr>
          <w:p w14:paraId="1FA6239B" w14:textId="77777777" w:rsidR="0094088B" w:rsidRPr="00862AF9" w:rsidRDefault="0094088B"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b/>
                <w:color w:val="000000"/>
                <w:sz w:val="20"/>
                <w:szCs w:val="20"/>
              </w:rPr>
              <w:t>Hypertension</w:t>
            </w:r>
          </w:p>
        </w:tc>
      </w:tr>
      <w:tr w:rsidR="0094088B" w:rsidRPr="00862AF9" w14:paraId="0EE83931" w14:textId="77777777" w:rsidTr="00204FA4">
        <w:trPr>
          <w:cantSplit/>
          <w:trHeight w:val="320"/>
        </w:trPr>
        <w:tc>
          <w:tcPr>
            <w:tcW w:w="1148" w:type="dxa"/>
            <w:shd w:val="clear" w:color="auto" w:fill="auto"/>
            <w:noWrap/>
            <w:vAlign w:val="bottom"/>
          </w:tcPr>
          <w:p w14:paraId="6B07A0AE" w14:textId="77777777" w:rsidR="0094088B" w:rsidRPr="00862AF9" w:rsidRDefault="0094088B" w:rsidP="00E96A82">
            <w:pPr>
              <w:spacing w:after="0"/>
              <w:rPr>
                <w:rFonts w:ascii="Calibri" w:eastAsia="Times New Roman" w:hAnsi="Calibri" w:cs="Times New Roman"/>
                <w:color w:val="000000"/>
                <w:sz w:val="20"/>
                <w:szCs w:val="20"/>
              </w:rPr>
            </w:pPr>
            <w:r w:rsidRPr="00862AF9">
              <w:rPr>
                <w:rFonts w:ascii="Calibri" w:hAnsi="Calibri"/>
                <w:sz w:val="20"/>
                <w:szCs w:val="20"/>
              </w:rPr>
              <w:lastRenderedPageBreak/>
              <w:t>Brown-stein</w:t>
            </w:r>
          </w:p>
        </w:tc>
        <w:tc>
          <w:tcPr>
            <w:tcW w:w="739" w:type="dxa"/>
            <w:shd w:val="clear" w:color="auto" w:fill="auto"/>
            <w:noWrap/>
            <w:vAlign w:val="bottom"/>
          </w:tcPr>
          <w:p w14:paraId="1EAC264E" w14:textId="118866A4" w:rsidR="0094088B" w:rsidRPr="00862AF9" w:rsidRDefault="0094088B"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2007</w:t>
            </w:r>
          </w:p>
        </w:tc>
        <w:tc>
          <w:tcPr>
            <w:tcW w:w="900" w:type="dxa"/>
            <w:shd w:val="clear" w:color="auto" w:fill="auto"/>
            <w:noWrap/>
            <w:vAlign w:val="bottom"/>
          </w:tcPr>
          <w:p w14:paraId="4D4631D0" w14:textId="77777777" w:rsidR="0094088B" w:rsidRPr="00862AF9" w:rsidRDefault="0094088B"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w:t>
            </w:r>
          </w:p>
        </w:tc>
        <w:tc>
          <w:tcPr>
            <w:tcW w:w="10836" w:type="dxa"/>
            <w:shd w:val="clear" w:color="auto" w:fill="auto"/>
            <w:noWrap/>
            <w:vAlign w:val="bottom"/>
          </w:tcPr>
          <w:p w14:paraId="18F1CA3D" w14:textId="77777777" w:rsidR="0094088B" w:rsidRPr="00862AF9" w:rsidRDefault="0094088B" w:rsidP="00E96A82">
            <w:pPr>
              <w:spacing w:after="0"/>
              <w:rPr>
                <w:rFonts w:ascii="Calibri" w:eastAsia="Times New Roman" w:hAnsi="Calibri" w:cs="Times New Roman"/>
                <w:color w:val="000000"/>
                <w:sz w:val="20"/>
                <w:szCs w:val="20"/>
              </w:rPr>
            </w:pPr>
            <w:r w:rsidRPr="00862AF9">
              <w:rPr>
                <w:rFonts w:ascii="Calibri" w:hAnsi="Calibri"/>
                <w:sz w:val="20"/>
                <w:szCs w:val="20"/>
              </w:rPr>
              <w:t>In seven of eight randomized control trials from HICs, CBP interventions for people with hypertension (often underserved African Americans) showed significant improvements in blood pressure. Several significant improvements in participants' self-management behaviors were reported (including appointment keeping and adherence to antihypertensive medications), and positive changes were observed in healthcare utilization (e.g., fewer emergency visits, increased proportion of patients having a nurse or physician) and in health systems outcomes (e.g., provider responsiveness to patient needs). CBP roles included: (1) health education on hypertension (including on treatment, emphasizing need for adherence) and lifestyle changes; (2) assisting patients in accessing services (e.g., obtaining health insurance), (3) directly providing services (measuring and monitoring blood pressure), (4) providing social support, and (5) mediating between participants and the healthcare/social service systems.</w:t>
            </w:r>
          </w:p>
        </w:tc>
      </w:tr>
      <w:tr w:rsidR="0094088B" w:rsidRPr="00862AF9" w14:paraId="16ADA983" w14:textId="77777777" w:rsidTr="00204FA4">
        <w:trPr>
          <w:cantSplit/>
          <w:trHeight w:val="320"/>
        </w:trPr>
        <w:tc>
          <w:tcPr>
            <w:tcW w:w="13623" w:type="dxa"/>
            <w:gridSpan w:val="4"/>
            <w:shd w:val="clear" w:color="auto" w:fill="F2F2F2" w:themeFill="background1" w:themeFillShade="F2"/>
            <w:noWrap/>
            <w:vAlign w:val="bottom"/>
          </w:tcPr>
          <w:p w14:paraId="7DE6B4A9" w14:textId="77777777" w:rsidR="0094088B" w:rsidRPr="00862AF9" w:rsidRDefault="0094088B"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b/>
                <w:color w:val="000000"/>
                <w:sz w:val="20"/>
                <w:szCs w:val="20"/>
              </w:rPr>
              <w:t>Vascular disease</w:t>
            </w:r>
          </w:p>
        </w:tc>
      </w:tr>
      <w:tr w:rsidR="0094088B" w:rsidRPr="00862AF9" w14:paraId="6D88FE9B" w14:textId="77777777" w:rsidTr="00204FA4">
        <w:trPr>
          <w:cantSplit/>
          <w:trHeight w:val="320"/>
        </w:trPr>
        <w:tc>
          <w:tcPr>
            <w:tcW w:w="1148" w:type="dxa"/>
            <w:shd w:val="clear" w:color="auto" w:fill="auto"/>
            <w:noWrap/>
            <w:vAlign w:val="bottom"/>
          </w:tcPr>
          <w:p w14:paraId="1F4CD2A5" w14:textId="77777777" w:rsidR="0094088B" w:rsidRPr="00862AF9" w:rsidRDefault="0094088B" w:rsidP="00E96A82">
            <w:pPr>
              <w:spacing w:after="0"/>
              <w:rPr>
                <w:rFonts w:ascii="Calibri" w:eastAsia="Times New Roman" w:hAnsi="Calibri" w:cs="Times New Roman"/>
                <w:color w:val="000000"/>
                <w:sz w:val="20"/>
                <w:szCs w:val="20"/>
              </w:rPr>
            </w:pPr>
            <w:r w:rsidRPr="00862AF9">
              <w:rPr>
                <w:rFonts w:ascii="Calibri" w:hAnsi="Calibri"/>
                <w:sz w:val="20"/>
                <w:szCs w:val="20"/>
              </w:rPr>
              <w:t>Small</w:t>
            </w:r>
          </w:p>
        </w:tc>
        <w:tc>
          <w:tcPr>
            <w:tcW w:w="739" w:type="dxa"/>
            <w:shd w:val="clear" w:color="auto" w:fill="auto"/>
            <w:noWrap/>
            <w:vAlign w:val="bottom"/>
          </w:tcPr>
          <w:p w14:paraId="6139C56D" w14:textId="77777777" w:rsidR="0094088B" w:rsidRPr="00862AF9" w:rsidRDefault="0094088B"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2013</w:t>
            </w:r>
          </w:p>
        </w:tc>
        <w:tc>
          <w:tcPr>
            <w:tcW w:w="900" w:type="dxa"/>
            <w:shd w:val="clear" w:color="auto" w:fill="auto"/>
            <w:noWrap/>
            <w:vAlign w:val="bottom"/>
          </w:tcPr>
          <w:p w14:paraId="0057DD5D" w14:textId="77777777" w:rsidR="0094088B" w:rsidRPr="00862AF9" w:rsidRDefault="0094088B"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 MA</w:t>
            </w:r>
          </w:p>
        </w:tc>
        <w:tc>
          <w:tcPr>
            <w:tcW w:w="10836" w:type="dxa"/>
            <w:shd w:val="clear" w:color="auto" w:fill="auto"/>
            <w:noWrap/>
            <w:vAlign w:val="bottom"/>
          </w:tcPr>
          <w:p w14:paraId="45D3E871" w14:textId="77777777" w:rsidR="0094088B" w:rsidRPr="00862AF9" w:rsidRDefault="0094088B" w:rsidP="00E96A82">
            <w:pPr>
              <w:spacing w:after="0"/>
              <w:rPr>
                <w:rFonts w:ascii="Calibri" w:eastAsia="Times New Roman" w:hAnsi="Calibri" w:cs="Times New Roman"/>
                <w:color w:val="000000"/>
                <w:sz w:val="20"/>
                <w:szCs w:val="20"/>
              </w:rPr>
            </w:pPr>
            <w:r w:rsidRPr="00862AF9">
              <w:rPr>
                <w:rFonts w:ascii="Calibri" w:hAnsi="Calibri"/>
                <w:sz w:val="20"/>
                <w:szCs w:val="20"/>
              </w:rPr>
              <w:t>There is modest evidence from HICs that telephone interventions provided by lay workers and peer-support workers for patients with diabetes can improve self-management and levels of glycaemia (HbA1c), but there is no evidence that this intervention improves mental health or quality of life.</w:t>
            </w:r>
          </w:p>
        </w:tc>
      </w:tr>
      <w:tr w:rsidR="008A5891" w:rsidRPr="00862AF9" w14:paraId="4A42D1ED" w14:textId="77777777" w:rsidTr="00A46DF7">
        <w:trPr>
          <w:cantSplit/>
          <w:trHeight w:val="320"/>
        </w:trPr>
        <w:tc>
          <w:tcPr>
            <w:tcW w:w="13623" w:type="dxa"/>
            <w:gridSpan w:val="4"/>
            <w:shd w:val="clear" w:color="auto" w:fill="F2F2F2" w:themeFill="background1" w:themeFillShade="F2"/>
            <w:noWrap/>
            <w:vAlign w:val="bottom"/>
          </w:tcPr>
          <w:p w14:paraId="34DE2BCB" w14:textId="77AE5DAE" w:rsidR="008A5891" w:rsidRPr="00A46DF7" w:rsidRDefault="008A5891" w:rsidP="00E96A82">
            <w:pPr>
              <w:keepNext/>
              <w:keepLines/>
              <w:spacing w:after="0"/>
              <w:outlineLvl w:val="8"/>
              <w:rPr>
                <w:rFonts w:ascii="Calibri" w:hAnsi="Calibri"/>
                <w:b/>
                <w:sz w:val="20"/>
                <w:szCs w:val="20"/>
              </w:rPr>
            </w:pPr>
            <w:r w:rsidRPr="00A46DF7">
              <w:rPr>
                <w:rFonts w:ascii="Calibri" w:hAnsi="Calibri"/>
                <w:b/>
                <w:sz w:val="20"/>
                <w:szCs w:val="20"/>
              </w:rPr>
              <w:t>Asthma</w:t>
            </w:r>
          </w:p>
        </w:tc>
      </w:tr>
      <w:tr w:rsidR="008A5891" w:rsidRPr="00862AF9" w14:paraId="35C71C3A" w14:textId="77777777" w:rsidTr="003F175C">
        <w:trPr>
          <w:cantSplit/>
          <w:trHeight w:val="948"/>
        </w:trPr>
        <w:tc>
          <w:tcPr>
            <w:tcW w:w="1148" w:type="dxa"/>
            <w:shd w:val="clear" w:color="auto" w:fill="auto"/>
            <w:noWrap/>
            <w:vAlign w:val="bottom"/>
          </w:tcPr>
          <w:p w14:paraId="475C7462" w14:textId="7ECA6115" w:rsidR="008A5891" w:rsidRPr="00862AF9" w:rsidRDefault="008A5891" w:rsidP="00E96A82">
            <w:pPr>
              <w:spacing w:after="0"/>
              <w:rPr>
                <w:rFonts w:ascii="Calibri" w:hAnsi="Calibri"/>
                <w:sz w:val="20"/>
                <w:szCs w:val="20"/>
              </w:rPr>
            </w:pPr>
            <w:r>
              <w:rPr>
                <w:rFonts w:ascii="Calibri" w:hAnsi="Calibri"/>
                <w:sz w:val="20"/>
                <w:szCs w:val="20"/>
              </w:rPr>
              <w:t>Kew</w:t>
            </w:r>
            <w:r w:rsidR="00546F30" w:rsidRPr="00B47639">
              <w:rPr>
                <w:rStyle w:val="FootnoteReference"/>
              </w:rPr>
              <w:footnoteReference w:id="3"/>
            </w:r>
          </w:p>
        </w:tc>
        <w:tc>
          <w:tcPr>
            <w:tcW w:w="739" w:type="dxa"/>
            <w:shd w:val="clear" w:color="auto" w:fill="auto"/>
            <w:noWrap/>
            <w:vAlign w:val="bottom"/>
          </w:tcPr>
          <w:p w14:paraId="40E99DB5" w14:textId="5C402E5A" w:rsidR="008A5891" w:rsidRPr="00862AF9" w:rsidRDefault="008A5891" w:rsidP="00E96A82">
            <w:pPr>
              <w:spacing w:after="0"/>
              <w:jc w:val="center"/>
              <w:rPr>
                <w:rFonts w:ascii="Calibri" w:hAnsi="Calibri"/>
                <w:sz w:val="20"/>
                <w:szCs w:val="20"/>
              </w:rPr>
            </w:pPr>
            <w:r>
              <w:rPr>
                <w:rFonts w:ascii="Calibri" w:hAnsi="Calibri"/>
                <w:sz w:val="20"/>
                <w:szCs w:val="20"/>
              </w:rPr>
              <w:t>2017</w:t>
            </w:r>
          </w:p>
        </w:tc>
        <w:tc>
          <w:tcPr>
            <w:tcW w:w="900" w:type="dxa"/>
            <w:shd w:val="clear" w:color="auto" w:fill="auto"/>
            <w:noWrap/>
            <w:vAlign w:val="bottom"/>
          </w:tcPr>
          <w:p w14:paraId="5D53F4E1" w14:textId="013D9983" w:rsidR="008A5891" w:rsidRPr="00862AF9" w:rsidRDefault="008A5891" w:rsidP="00E96A82">
            <w:pPr>
              <w:spacing w:after="0"/>
              <w:jc w:val="center"/>
              <w:rPr>
                <w:rFonts w:ascii="Calibri" w:hAnsi="Calibri"/>
                <w:sz w:val="20"/>
                <w:szCs w:val="20"/>
              </w:rPr>
            </w:pPr>
            <w:r>
              <w:rPr>
                <w:rFonts w:ascii="Calibri" w:hAnsi="Calibri"/>
                <w:sz w:val="20"/>
                <w:szCs w:val="20"/>
              </w:rPr>
              <w:t>SR MA</w:t>
            </w:r>
          </w:p>
        </w:tc>
        <w:tc>
          <w:tcPr>
            <w:tcW w:w="10836" w:type="dxa"/>
            <w:shd w:val="clear" w:color="auto" w:fill="auto"/>
            <w:noWrap/>
            <w:vAlign w:val="bottom"/>
          </w:tcPr>
          <w:p w14:paraId="78E64A8E" w14:textId="1FFC6529" w:rsidR="008A5891" w:rsidRPr="00862AF9" w:rsidRDefault="002E0C0E" w:rsidP="00E96A82">
            <w:pPr>
              <w:spacing w:after="0"/>
              <w:rPr>
                <w:rFonts w:ascii="Calibri" w:hAnsi="Calibri"/>
                <w:sz w:val="20"/>
                <w:szCs w:val="20"/>
              </w:rPr>
            </w:pPr>
            <w:r w:rsidRPr="002E0C0E">
              <w:rPr>
                <w:rFonts w:ascii="Calibri" w:hAnsi="Calibri"/>
                <w:sz w:val="20"/>
                <w:szCs w:val="20"/>
              </w:rPr>
              <w:t xml:space="preserve">Although weak evidence suggests that lay-led interventions </w:t>
            </w:r>
            <w:r w:rsidR="00876DDD">
              <w:rPr>
                <w:rFonts w:ascii="Calibri" w:hAnsi="Calibri"/>
                <w:sz w:val="20"/>
                <w:szCs w:val="20"/>
              </w:rPr>
              <w:t xml:space="preserve">that provide peer support </w:t>
            </w:r>
            <w:r w:rsidRPr="002E0C0E">
              <w:rPr>
                <w:rFonts w:ascii="Calibri" w:hAnsi="Calibri"/>
                <w:sz w:val="20"/>
                <w:szCs w:val="20"/>
              </w:rPr>
              <w:t>c</w:t>
            </w:r>
            <w:r w:rsidR="00876DDD">
              <w:rPr>
                <w:rFonts w:ascii="Calibri" w:hAnsi="Calibri"/>
                <w:sz w:val="20"/>
                <w:szCs w:val="20"/>
              </w:rPr>
              <w:t>an</w:t>
            </w:r>
            <w:r w:rsidRPr="002E0C0E">
              <w:rPr>
                <w:rFonts w:ascii="Calibri" w:hAnsi="Calibri"/>
                <w:sz w:val="20"/>
                <w:szCs w:val="20"/>
              </w:rPr>
              <w:t xml:space="preserve"> lead to a small improvement in asthma-related quality of life for adolescents, benefits for asthma control, exacerbations and medication adherence remain unproven. Current evidence is insufficient to reveal whether routine use of lay-led or peer</w:t>
            </w:r>
            <w:r w:rsidR="00876DDD">
              <w:rPr>
                <w:rFonts w:ascii="Calibri" w:hAnsi="Calibri"/>
                <w:sz w:val="20"/>
                <w:szCs w:val="20"/>
              </w:rPr>
              <w:t>-</w:t>
            </w:r>
            <w:r w:rsidRPr="002E0C0E">
              <w:rPr>
                <w:rFonts w:ascii="Calibri" w:hAnsi="Calibri"/>
                <w:sz w:val="20"/>
                <w:szCs w:val="20"/>
              </w:rPr>
              <w:t xml:space="preserve">support </w:t>
            </w:r>
            <w:r w:rsidR="00596987">
              <w:rPr>
                <w:rFonts w:ascii="Calibri" w:hAnsi="Calibri"/>
                <w:sz w:val="20"/>
                <w:szCs w:val="20"/>
              </w:rPr>
              <w:t>program</w:t>
            </w:r>
            <w:r w:rsidRPr="002E0C0E">
              <w:rPr>
                <w:rFonts w:ascii="Calibri" w:hAnsi="Calibri"/>
                <w:sz w:val="20"/>
                <w:szCs w:val="20"/>
              </w:rPr>
              <w:t>s is beneficial for adolescents receiving asthma care. Ongoing and future research may help to identify target populations for lay-led and peer</w:t>
            </w:r>
            <w:r w:rsidR="00876DDD">
              <w:rPr>
                <w:rFonts w:ascii="Calibri" w:hAnsi="Calibri"/>
                <w:sz w:val="20"/>
                <w:szCs w:val="20"/>
              </w:rPr>
              <w:t>-</w:t>
            </w:r>
            <w:r w:rsidRPr="002E0C0E">
              <w:rPr>
                <w:rFonts w:ascii="Calibri" w:hAnsi="Calibri"/>
                <w:sz w:val="20"/>
                <w:szCs w:val="20"/>
              </w:rPr>
              <w:t xml:space="preserve">support interventions, along with attributes that constitute a successful </w:t>
            </w:r>
            <w:r w:rsidR="00596987">
              <w:rPr>
                <w:rFonts w:ascii="Calibri" w:hAnsi="Calibri"/>
                <w:sz w:val="20"/>
                <w:szCs w:val="20"/>
              </w:rPr>
              <w:t>program</w:t>
            </w:r>
            <w:r w:rsidRPr="002E0C0E">
              <w:rPr>
                <w:rFonts w:ascii="Calibri" w:hAnsi="Calibri"/>
                <w:sz w:val="20"/>
                <w:szCs w:val="20"/>
              </w:rPr>
              <w:t xml:space="preserve">. </w:t>
            </w:r>
          </w:p>
        </w:tc>
      </w:tr>
    </w:tbl>
    <w:p w14:paraId="3B9C7A71" w14:textId="77777777" w:rsidR="00862AF9" w:rsidRPr="00862AF9" w:rsidRDefault="00862AF9" w:rsidP="00E96A82">
      <w:pPr>
        <w:spacing w:after="0"/>
        <w:rPr>
          <w:rFonts w:ascii="Calibri" w:hAnsi="Calibri"/>
        </w:rPr>
      </w:pPr>
    </w:p>
    <w:p w14:paraId="38E3A1B0" w14:textId="1AA47A6A" w:rsidR="00204FA4" w:rsidRDefault="00862AF9" w:rsidP="00E96A82">
      <w:pPr>
        <w:spacing w:after="0"/>
        <w:rPr>
          <w:rFonts w:ascii="Calibri" w:hAnsi="Calibri"/>
        </w:rPr>
      </w:pPr>
      <w:r w:rsidRPr="00862AF9">
        <w:rPr>
          <w:rFonts w:ascii="Calibri" w:hAnsi="Calibri"/>
        </w:rPr>
        <w:t>One review examined CBPs in HIC settings promoting physical activity</w:t>
      </w:r>
      <w:r w:rsidR="009F51CD">
        <w:rPr>
          <w:rFonts w:ascii="Calibri" w:hAnsi="Calibri"/>
        </w:rPr>
        <w:t xml:space="preserve"> and </w:t>
      </w:r>
      <w:r w:rsidR="00FB56F6">
        <w:rPr>
          <w:rFonts w:ascii="Calibri" w:hAnsi="Calibri"/>
        </w:rPr>
        <w:t xml:space="preserve">one examined their role in </w:t>
      </w:r>
      <w:r w:rsidR="009F51CD">
        <w:rPr>
          <w:rFonts w:ascii="Calibri" w:hAnsi="Calibri"/>
        </w:rPr>
        <w:t>reducing r</w:t>
      </w:r>
      <w:r w:rsidR="009F51CD" w:rsidRPr="009F51CD">
        <w:rPr>
          <w:rFonts w:ascii="Calibri" w:hAnsi="Calibri"/>
        </w:rPr>
        <w:t>epeated pregnancies and births among adolescents</w:t>
      </w:r>
      <w:r w:rsidRPr="00862AF9">
        <w:rPr>
          <w:rFonts w:ascii="Calibri" w:hAnsi="Calibri"/>
        </w:rPr>
        <w:t xml:space="preserve"> (</w:t>
      </w:r>
      <w:r w:rsidRPr="00862AF9">
        <w:rPr>
          <w:rFonts w:ascii="Calibri" w:hAnsi="Calibri"/>
        </w:rPr>
        <w:fldChar w:fldCharType="begin"/>
      </w:r>
      <w:r w:rsidRPr="00862AF9">
        <w:rPr>
          <w:rFonts w:ascii="Calibri" w:hAnsi="Calibri"/>
        </w:rPr>
        <w:instrText xml:space="preserve"> REF _Ref332753668 \h </w:instrText>
      </w:r>
      <w:r w:rsidRPr="00862AF9">
        <w:rPr>
          <w:rFonts w:ascii="Calibri" w:hAnsi="Calibri"/>
        </w:rPr>
      </w:r>
      <w:r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5</w:t>
      </w:r>
      <w:r w:rsidRPr="00862AF9">
        <w:rPr>
          <w:rFonts w:ascii="Calibri" w:hAnsi="Calibri"/>
        </w:rPr>
        <w:fldChar w:fldCharType="end"/>
      </w:r>
      <w:r w:rsidRPr="00862AF9">
        <w:rPr>
          <w:rFonts w:ascii="Calibri" w:hAnsi="Calibri"/>
        </w:rPr>
        <w:t xml:space="preserve">). </w:t>
      </w:r>
    </w:p>
    <w:p w14:paraId="74EB9585" w14:textId="77777777" w:rsidR="00204FA4" w:rsidRPr="00862AF9" w:rsidRDefault="00204FA4"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191C7962" w14:textId="77777777" w:rsidTr="00204FA4">
        <w:trPr>
          <w:cantSplit/>
          <w:trHeight w:val="320"/>
          <w:tblHeader/>
        </w:trPr>
        <w:tc>
          <w:tcPr>
            <w:tcW w:w="13623" w:type="dxa"/>
            <w:gridSpan w:val="4"/>
            <w:tcBorders>
              <w:top w:val="nil"/>
              <w:left w:val="nil"/>
              <w:bottom w:val="single" w:sz="4" w:space="0" w:color="auto"/>
              <w:right w:val="nil"/>
            </w:tcBorders>
            <w:shd w:val="clear" w:color="000000" w:fill="auto"/>
            <w:noWrap/>
          </w:tcPr>
          <w:p w14:paraId="4A6829E8" w14:textId="0AC519EB" w:rsidR="00862AF9" w:rsidRPr="00862AF9" w:rsidRDefault="00862AF9" w:rsidP="00E96A82">
            <w:pPr>
              <w:pStyle w:val="atable"/>
              <w:rPr>
                <w:rFonts w:ascii="Calibri" w:eastAsia="Times New Roman" w:hAnsi="Calibri" w:cs="Times New Roman"/>
                <w:bCs/>
                <w:color w:val="000000"/>
                <w:szCs w:val="22"/>
                <w:lang w:val="en-US"/>
              </w:rPr>
            </w:pPr>
            <w:bookmarkStart w:id="15" w:name="_Ref332753668"/>
            <w:bookmarkStart w:id="16" w:name="_Toc346537975"/>
            <w:bookmarkStart w:id="17" w:name="_Toc387399715"/>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5</w:t>
            </w:r>
            <w:r w:rsidRPr="00862AF9">
              <w:rPr>
                <w:rFonts w:ascii="Calibri" w:hAnsi="Calibri"/>
                <w:szCs w:val="22"/>
                <w:lang w:val="en-US"/>
              </w:rPr>
              <w:fldChar w:fldCharType="end"/>
            </w:r>
            <w:bookmarkEnd w:id="15"/>
            <w:r w:rsidRPr="00862AF9">
              <w:rPr>
                <w:rFonts w:ascii="Calibri" w:hAnsi="Calibri"/>
                <w:szCs w:val="22"/>
                <w:lang w:val="en-US"/>
              </w:rPr>
              <w:t xml:space="preserve">. Other </w:t>
            </w:r>
            <w:r w:rsidR="00723656">
              <w:rPr>
                <w:rFonts w:ascii="Calibri" w:hAnsi="Calibri"/>
                <w:szCs w:val="22"/>
                <w:lang w:val="en-US"/>
              </w:rPr>
              <w:t>HIC</w:t>
            </w:r>
            <w:r w:rsidRPr="00862AF9">
              <w:rPr>
                <w:rFonts w:ascii="Calibri" w:hAnsi="Calibri"/>
                <w:szCs w:val="22"/>
                <w:lang w:val="en-US"/>
              </w:rPr>
              <w:t xml:space="preserve"> reviews</w:t>
            </w:r>
            <w:bookmarkEnd w:id="16"/>
            <w:bookmarkEnd w:id="17"/>
          </w:p>
        </w:tc>
      </w:tr>
      <w:tr w:rsidR="00862AF9" w:rsidRPr="00862AF9" w14:paraId="35768CE8" w14:textId="77777777" w:rsidTr="00204FA4">
        <w:trPr>
          <w:cantSplit/>
          <w:trHeight w:val="320"/>
          <w:tblHeader/>
        </w:trPr>
        <w:tc>
          <w:tcPr>
            <w:tcW w:w="1148" w:type="dxa"/>
            <w:tcBorders>
              <w:top w:val="single" w:sz="4" w:space="0" w:color="auto"/>
            </w:tcBorders>
            <w:shd w:val="clear" w:color="000000" w:fill="D9D9D9"/>
            <w:noWrap/>
            <w:vAlign w:val="bottom"/>
          </w:tcPr>
          <w:p w14:paraId="74695EBE"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tcPr>
          <w:p w14:paraId="09649D6E"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tcPr>
          <w:p w14:paraId="73F848EB"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tcPr>
          <w:p w14:paraId="171255E9"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01755B1A" w14:textId="77777777" w:rsidTr="00204FA4">
        <w:trPr>
          <w:cantSplit/>
          <w:trHeight w:val="320"/>
        </w:trPr>
        <w:tc>
          <w:tcPr>
            <w:tcW w:w="13623" w:type="dxa"/>
            <w:gridSpan w:val="4"/>
            <w:shd w:val="clear" w:color="000000" w:fill="F2F2F2" w:themeFill="background1" w:themeFillShade="F2"/>
            <w:noWrap/>
          </w:tcPr>
          <w:p w14:paraId="20088224"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Physical activity</w:t>
            </w:r>
          </w:p>
        </w:tc>
      </w:tr>
      <w:tr w:rsidR="00862AF9" w:rsidRPr="00862AF9" w14:paraId="66DFF404" w14:textId="77777777" w:rsidTr="00204FA4">
        <w:trPr>
          <w:cantSplit/>
          <w:trHeight w:val="320"/>
        </w:trPr>
        <w:tc>
          <w:tcPr>
            <w:tcW w:w="1148" w:type="dxa"/>
            <w:shd w:val="clear" w:color="auto" w:fill="auto"/>
            <w:noWrap/>
            <w:vAlign w:val="bottom"/>
          </w:tcPr>
          <w:p w14:paraId="0E349485" w14:textId="4680034B"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lastRenderedPageBreak/>
              <w:t>Costa</w:t>
            </w:r>
            <w:r w:rsidR="00861204" w:rsidRPr="00B47639">
              <w:rPr>
                <w:rStyle w:val="FootnoteReference"/>
              </w:rPr>
              <w:footnoteReference w:id="4"/>
            </w:r>
          </w:p>
        </w:tc>
        <w:tc>
          <w:tcPr>
            <w:tcW w:w="739" w:type="dxa"/>
            <w:shd w:val="clear" w:color="auto" w:fill="auto"/>
            <w:noWrap/>
            <w:vAlign w:val="bottom"/>
          </w:tcPr>
          <w:p w14:paraId="12325BE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2015</w:t>
            </w:r>
          </w:p>
        </w:tc>
        <w:tc>
          <w:tcPr>
            <w:tcW w:w="900" w:type="dxa"/>
            <w:shd w:val="clear" w:color="auto" w:fill="auto"/>
            <w:noWrap/>
            <w:vAlign w:val="bottom"/>
          </w:tcPr>
          <w:p w14:paraId="30FC8AF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hAnsi="Calibri"/>
                <w:sz w:val="20"/>
                <w:szCs w:val="20"/>
              </w:rPr>
              <w:t>SR</w:t>
            </w:r>
          </w:p>
        </w:tc>
        <w:tc>
          <w:tcPr>
            <w:tcW w:w="10836" w:type="dxa"/>
            <w:shd w:val="clear" w:color="auto" w:fill="auto"/>
            <w:noWrap/>
          </w:tcPr>
          <w:p w14:paraId="636CFAD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hAnsi="Calibri"/>
                <w:sz w:val="20"/>
                <w:szCs w:val="20"/>
              </w:rPr>
              <w:t>This review examined whether physical activity promotion in interventions conducted by CHWs has positive outcomes across HICs. The authors found that 16 of the 26 studies (62%) reported positive results for different parameters of physical activity. CHWs primarily focused on health education counseling delivered in populations at risk or diagnosed with chronic non-communicable diseases. The successful interventions were conducted over a period averaging 6.5 months.</w:t>
            </w:r>
          </w:p>
        </w:tc>
      </w:tr>
      <w:tr w:rsidR="009F51CD" w:rsidRPr="00862AF9" w14:paraId="6754EAE5" w14:textId="77777777" w:rsidTr="00204FA4">
        <w:trPr>
          <w:cantSplit/>
          <w:trHeight w:val="320"/>
        </w:trPr>
        <w:tc>
          <w:tcPr>
            <w:tcW w:w="1148" w:type="dxa"/>
            <w:shd w:val="clear" w:color="auto" w:fill="auto"/>
            <w:noWrap/>
            <w:vAlign w:val="bottom"/>
          </w:tcPr>
          <w:p w14:paraId="10FE6DBA" w14:textId="3FC438B8" w:rsidR="009F51CD" w:rsidRPr="00862AF9" w:rsidRDefault="009F51CD" w:rsidP="00E96A82">
            <w:pPr>
              <w:spacing w:after="0"/>
              <w:rPr>
                <w:rFonts w:ascii="Calibri" w:hAnsi="Calibri"/>
                <w:sz w:val="20"/>
                <w:szCs w:val="20"/>
              </w:rPr>
            </w:pPr>
            <w:r>
              <w:rPr>
                <w:rFonts w:ascii="Calibri" w:hAnsi="Calibri"/>
                <w:sz w:val="20"/>
                <w:szCs w:val="20"/>
              </w:rPr>
              <w:t>Maravilla</w:t>
            </w:r>
          </w:p>
        </w:tc>
        <w:tc>
          <w:tcPr>
            <w:tcW w:w="739" w:type="dxa"/>
            <w:shd w:val="clear" w:color="auto" w:fill="auto"/>
            <w:noWrap/>
            <w:vAlign w:val="bottom"/>
          </w:tcPr>
          <w:p w14:paraId="0BC43318" w14:textId="58493C63" w:rsidR="009F51CD" w:rsidRPr="00862AF9" w:rsidRDefault="009F51CD" w:rsidP="00E96A82">
            <w:pPr>
              <w:spacing w:after="0"/>
              <w:jc w:val="center"/>
              <w:rPr>
                <w:rFonts w:ascii="Calibri" w:hAnsi="Calibri"/>
                <w:sz w:val="20"/>
                <w:szCs w:val="20"/>
              </w:rPr>
            </w:pPr>
            <w:r>
              <w:rPr>
                <w:rFonts w:ascii="Calibri" w:hAnsi="Calibri"/>
                <w:sz w:val="20"/>
                <w:szCs w:val="20"/>
              </w:rPr>
              <w:t>2016</w:t>
            </w:r>
          </w:p>
        </w:tc>
        <w:tc>
          <w:tcPr>
            <w:tcW w:w="900" w:type="dxa"/>
            <w:shd w:val="clear" w:color="auto" w:fill="auto"/>
            <w:noWrap/>
            <w:vAlign w:val="bottom"/>
          </w:tcPr>
          <w:p w14:paraId="00E8CDE1" w14:textId="48F2FA39" w:rsidR="009F51CD" w:rsidRPr="00862AF9" w:rsidRDefault="009E38CB" w:rsidP="00E96A82">
            <w:pPr>
              <w:spacing w:after="0"/>
              <w:jc w:val="center"/>
              <w:rPr>
                <w:rFonts w:ascii="Calibri" w:hAnsi="Calibri"/>
                <w:sz w:val="20"/>
                <w:szCs w:val="20"/>
              </w:rPr>
            </w:pPr>
            <w:r>
              <w:rPr>
                <w:rFonts w:ascii="Calibri" w:hAnsi="Calibri"/>
                <w:sz w:val="20"/>
                <w:szCs w:val="20"/>
              </w:rPr>
              <w:t>SR</w:t>
            </w:r>
            <w:r w:rsidR="00095649">
              <w:rPr>
                <w:rFonts w:ascii="Calibri" w:hAnsi="Calibri"/>
                <w:sz w:val="20"/>
                <w:szCs w:val="20"/>
              </w:rPr>
              <w:t xml:space="preserve"> MA</w:t>
            </w:r>
          </w:p>
        </w:tc>
        <w:tc>
          <w:tcPr>
            <w:tcW w:w="10836" w:type="dxa"/>
            <w:shd w:val="clear" w:color="auto" w:fill="auto"/>
            <w:noWrap/>
          </w:tcPr>
          <w:p w14:paraId="7E2EE004" w14:textId="380B338E" w:rsidR="009F51CD" w:rsidRPr="00862AF9" w:rsidRDefault="009E38CB" w:rsidP="00E96A82">
            <w:pPr>
              <w:spacing w:after="0"/>
              <w:rPr>
                <w:rFonts w:ascii="Calibri" w:hAnsi="Calibri"/>
                <w:sz w:val="20"/>
                <w:szCs w:val="20"/>
              </w:rPr>
            </w:pPr>
            <w:r>
              <w:rPr>
                <w:rFonts w:ascii="Calibri" w:hAnsi="Calibri"/>
                <w:sz w:val="20"/>
                <w:szCs w:val="20"/>
              </w:rPr>
              <w:t>Although most included studies (n=</w:t>
            </w:r>
            <w:r w:rsidRPr="009E38CB">
              <w:rPr>
                <w:rFonts w:ascii="Calibri" w:hAnsi="Calibri"/>
                <w:sz w:val="20"/>
                <w:szCs w:val="20"/>
              </w:rPr>
              <w:t>9) were either of “strong” or of “moderate” quality, only two of five</w:t>
            </w:r>
            <w:r w:rsidR="00876DDD">
              <w:rPr>
                <w:rFonts w:ascii="Calibri" w:hAnsi="Calibri"/>
                <w:sz w:val="20"/>
                <w:szCs w:val="20"/>
              </w:rPr>
              <w:t xml:space="preserve"> studies that</w:t>
            </w:r>
            <w:r w:rsidRPr="009E38CB">
              <w:rPr>
                <w:rFonts w:ascii="Calibri" w:hAnsi="Calibri"/>
                <w:sz w:val="20"/>
                <w:szCs w:val="20"/>
              </w:rPr>
              <w:t xml:space="preserve"> f</w:t>
            </w:r>
            <w:r w:rsidR="00876DDD">
              <w:rPr>
                <w:rFonts w:ascii="Calibri" w:hAnsi="Calibri"/>
                <w:sz w:val="20"/>
                <w:szCs w:val="20"/>
              </w:rPr>
              <w:t xml:space="preserve">ound </w:t>
            </w:r>
            <w:r w:rsidRPr="009E38CB">
              <w:rPr>
                <w:rFonts w:ascii="Calibri" w:hAnsi="Calibri"/>
                <w:sz w:val="20"/>
                <w:szCs w:val="20"/>
              </w:rPr>
              <w:t xml:space="preserve">a significant reduction </w:t>
            </w:r>
            <w:r>
              <w:rPr>
                <w:rFonts w:ascii="Calibri" w:hAnsi="Calibri"/>
                <w:sz w:val="20"/>
                <w:szCs w:val="20"/>
              </w:rPr>
              <w:t xml:space="preserve">in adolescent repeated childbearing </w:t>
            </w:r>
            <w:r w:rsidRPr="009E38CB">
              <w:rPr>
                <w:rFonts w:ascii="Calibri" w:hAnsi="Calibri"/>
                <w:sz w:val="20"/>
                <w:szCs w:val="20"/>
              </w:rPr>
              <w:t>exhibited a high level of quality</w:t>
            </w:r>
            <w:r w:rsidR="00876DDD">
              <w:rPr>
                <w:rFonts w:ascii="Calibri" w:hAnsi="Calibri"/>
                <w:sz w:val="20"/>
                <w:szCs w:val="20"/>
              </w:rPr>
              <w:t>,</w:t>
            </w:r>
            <w:r w:rsidRPr="009E38CB">
              <w:rPr>
                <w:rFonts w:ascii="Calibri" w:hAnsi="Calibri"/>
                <w:sz w:val="20"/>
                <w:szCs w:val="20"/>
              </w:rPr>
              <w:t xml:space="preserve"> as the other three failed to adjust results for confounders. Random effects modeling revealed an overall 30% decrease in repeated ad</w:t>
            </w:r>
            <w:r>
              <w:rPr>
                <w:rFonts w:ascii="Calibri" w:hAnsi="Calibri"/>
                <w:sz w:val="20"/>
                <w:szCs w:val="20"/>
              </w:rPr>
              <w:t>olescent births (odds ratio=0.70, confidence interval: 0.49-0</w:t>
            </w:r>
            <w:r w:rsidRPr="009E38CB">
              <w:rPr>
                <w:rFonts w:ascii="Calibri" w:hAnsi="Calibri"/>
                <w:sz w:val="20"/>
                <w:szCs w:val="20"/>
              </w:rPr>
              <w:t>.99) among CHW-visited areas relative to non</w:t>
            </w:r>
            <w:r>
              <w:rPr>
                <w:rFonts w:ascii="Calibri" w:hAnsi="Calibri"/>
                <w:sz w:val="20"/>
                <w:szCs w:val="20"/>
              </w:rPr>
              <w:t>-</w:t>
            </w:r>
            <w:r w:rsidRPr="009E38CB">
              <w:rPr>
                <w:rFonts w:ascii="Calibri" w:hAnsi="Calibri"/>
                <w:sz w:val="20"/>
                <w:szCs w:val="20"/>
              </w:rPr>
              <w:t>visited sites. On the other hand, no significant association was detected in terms of repe</w:t>
            </w:r>
            <w:r>
              <w:rPr>
                <w:rFonts w:ascii="Calibri" w:hAnsi="Calibri"/>
                <w:sz w:val="20"/>
                <w:szCs w:val="20"/>
              </w:rPr>
              <w:t>ated pregnancies (odds ratio=0.96, confidence interval: 0.70-</w:t>
            </w:r>
            <w:r w:rsidRPr="009E38CB">
              <w:rPr>
                <w:rFonts w:ascii="Calibri" w:hAnsi="Calibri"/>
                <w:sz w:val="20"/>
                <w:szCs w:val="20"/>
              </w:rPr>
              <w:t xml:space="preserve">1.28). </w:t>
            </w:r>
          </w:p>
        </w:tc>
      </w:tr>
    </w:tbl>
    <w:p w14:paraId="38A120CF" w14:textId="20C5AA3A" w:rsidR="00862AF9" w:rsidRPr="00862AF9" w:rsidRDefault="00862AF9" w:rsidP="00E96A82">
      <w:pPr>
        <w:spacing w:after="0"/>
        <w:rPr>
          <w:rFonts w:ascii="Calibri" w:hAnsi="Calibri"/>
          <w:sz w:val="20"/>
          <w:szCs w:val="20"/>
        </w:rPr>
      </w:pPr>
    </w:p>
    <w:p w14:paraId="1874797F" w14:textId="77777777" w:rsidR="00862AF9" w:rsidRPr="00862AF9" w:rsidRDefault="00862AF9" w:rsidP="00E96A82">
      <w:pPr>
        <w:spacing w:after="0"/>
        <w:rPr>
          <w:rFonts w:ascii="Calibri" w:hAnsi="Calibri"/>
        </w:rPr>
      </w:pPr>
    </w:p>
    <w:p w14:paraId="4765BDE0" w14:textId="77777777" w:rsidR="00862AF9" w:rsidRPr="00862AF9" w:rsidRDefault="00862AF9" w:rsidP="00E96A82">
      <w:pPr>
        <w:pStyle w:val="111heading"/>
        <w:keepNext/>
        <w:keepLines/>
        <w:rPr>
          <w:rFonts w:ascii="Calibri" w:hAnsi="Calibri" w:hint="eastAsia"/>
          <w:lang w:val="en-US"/>
        </w:rPr>
      </w:pPr>
      <w:bookmarkStart w:id="18" w:name="_Toc346537938"/>
      <w:r w:rsidRPr="00862AF9">
        <w:rPr>
          <w:rFonts w:ascii="Calibri" w:hAnsi="Calibri"/>
          <w:lang w:val="en-US"/>
        </w:rPr>
        <w:t>Community-based practitioner roles, capacities and health outcomes as reported in reviews from LMICs</w:t>
      </w:r>
      <w:bookmarkEnd w:id="18"/>
    </w:p>
    <w:p w14:paraId="253211D1" w14:textId="5A202C2A" w:rsidR="00862AF9" w:rsidRDefault="00862AF9" w:rsidP="00E96A82">
      <w:pPr>
        <w:spacing w:after="0"/>
        <w:rPr>
          <w:rFonts w:ascii="Calibri" w:hAnsi="Calibri"/>
        </w:rPr>
      </w:pPr>
      <w:r w:rsidRPr="00862AF9">
        <w:rPr>
          <w:rFonts w:ascii="Calibri" w:hAnsi="Calibri"/>
        </w:rPr>
        <w:t>In LMICs, 1</w:t>
      </w:r>
      <w:r w:rsidR="00FB56F6">
        <w:rPr>
          <w:rFonts w:ascii="Calibri" w:hAnsi="Calibri"/>
        </w:rPr>
        <w:t>4</w:t>
      </w:r>
      <w:r w:rsidRPr="00862AF9">
        <w:rPr>
          <w:rFonts w:ascii="Calibri" w:hAnsi="Calibri"/>
        </w:rPr>
        <w:t xml:space="preserve"> reviews examined CBP involvement in various aspects of PHC (</w:t>
      </w:r>
      <w:r w:rsidRPr="00862AF9">
        <w:rPr>
          <w:rFonts w:ascii="Calibri" w:hAnsi="Calibri"/>
        </w:rPr>
        <w:fldChar w:fldCharType="begin"/>
      </w:r>
      <w:r w:rsidRPr="00862AF9">
        <w:rPr>
          <w:rFonts w:ascii="Calibri" w:hAnsi="Calibri"/>
        </w:rPr>
        <w:instrText xml:space="preserve"> REF _Ref332753750 \h </w:instrText>
      </w:r>
      <w:r w:rsidRPr="00862AF9">
        <w:rPr>
          <w:rFonts w:ascii="Calibri" w:hAnsi="Calibri"/>
        </w:rPr>
      </w:r>
      <w:r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6</w:t>
      </w:r>
      <w:r w:rsidRPr="00862AF9">
        <w:rPr>
          <w:rFonts w:ascii="Calibri" w:hAnsi="Calibri"/>
        </w:rPr>
        <w:fldChar w:fldCharType="end"/>
      </w:r>
      <w:r w:rsidRPr="00862AF9">
        <w:rPr>
          <w:rFonts w:ascii="Calibri" w:hAnsi="Calibri"/>
        </w:rPr>
        <w:t xml:space="preserve">). </w:t>
      </w:r>
    </w:p>
    <w:p w14:paraId="6C872B05" w14:textId="77777777" w:rsidR="00204FA4" w:rsidRPr="00862AF9" w:rsidRDefault="00204FA4"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7"/>
        <w:gridCol w:w="720"/>
        <w:gridCol w:w="900"/>
        <w:gridCol w:w="10836"/>
      </w:tblGrid>
      <w:tr w:rsidR="00862AF9" w:rsidRPr="00862AF9" w14:paraId="03BD9231" w14:textId="77777777" w:rsidTr="00204FA4">
        <w:trPr>
          <w:cantSplit/>
          <w:trHeight w:val="320"/>
          <w:tblHeader/>
        </w:trPr>
        <w:tc>
          <w:tcPr>
            <w:tcW w:w="13623" w:type="dxa"/>
            <w:gridSpan w:val="4"/>
            <w:tcBorders>
              <w:top w:val="nil"/>
              <w:left w:val="nil"/>
              <w:bottom w:val="single" w:sz="4" w:space="0" w:color="auto"/>
              <w:right w:val="nil"/>
            </w:tcBorders>
            <w:shd w:val="clear" w:color="000000" w:fill="auto"/>
            <w:noWrap/>
            <w:vAlign w:val="center"/>
          </w:tcPr>
          <w:p w14:paraId="624ECA8E" w14:textId="77777777" w:rsidR="00862AF9" w:rsidRPr="00862AF9" w:rsidRDefault="00862AF9" w:rsidP="00E96A82">
            <w:pPr>
              <w:pStyle w:val="atable"/>
              <w:rPr>
                <w:rFonts w:ascii="Calibri" w:hAnsi="Calibri" w:hint="eastAsia"/>
                <w:szCs w:val="22"/>
                <w:lang w:val="en-US"/>
              </w:rPr>
            </w:pPr>
            <w:bookmarkStart w:id="19" w:name="_Ref332753750"/>
            <w:bookmarkStart w:id="20" w:name="_Toc346537976"/>
            <w:bookmarkStart w:id="21" w:name="_Toc387399716"/>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6</w:t>
            </w:r>
            <w:r w:rsidRPr="00862AF9">
              <w:rPr>
                <w:rFonts w:ascii="Calibri" w:hAnsi="Calibri"/>
                <w:szCs w:val="22"/>
                <w:lang w:val="en-US"/>
              </w:rPr>
              <w:fldChar w:fldCharType="end"/>
            </w:r>
            <w:bookmarkEnd w:id="19"/>
            <w:r w:rsidRPr="00862AF9">
              <w:rPr>
                <w:rFonts w:ascii="Calibri" w:hAnsi="Calibri"/>
                <w:szCs w:val="22"/>
                <w:lang w:val="en-US"/>
              </w:rPr>
              <w:t>. PHC LMIC reviews</w:t>
            </w:r>
            <w:bookmarkEnd w:id="20"/>
            <w:bookmarkEnd w:id="21"/>
          </w:p>
        </w:tc>
      </w:tr>
      <w:tr w:rsidR="00862AF9" w:rsidRPr="00862AF9" w14:paraId="381A297C" w14:textId="77777777" w:rsidTr="00204FA4">
        <w:trPr>
          <w:trHeight w:val="320"/>
          <w:tblHeader/>
        </w:trPr>
        <w:tc>
          <w:tcPr>
            <w:tcW w:w="1167" w:type="dxa"/>
            <w:tcBorders>
              <w:top w:val="single" w:sz="4" w:space="0" w:color="auto"/>
            </w:tcBorders>
            <w:shd w:val="clear" w:color="000000" w:fill="D9D9D9"/>
            <w:noWrap/>
            <w:vAlign w:val="bottom"/>
          </w:tcPr>
          <w:p w14:paraId="1A9E04CB"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20" w:type="dxa"/>
            <w:tcBorders>
              <w:top w:val="single" w:sz="4" w:space="0" w:color="auto"/>
            </w:tcBorders>
            <w:shd w:val="clear" w:color="000000" w:fill="D9D9D9"/>
            <w:noWrap/>
            <w:vAlign w:val="bottom"/>
          </w:tcPr>
          <w:p w14:paraId="3B2AB2EB"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tcPr>
          <w:p w14:paraId="701EACAC"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tcPr>
          <w:p w14:paraId="63D33160"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675A27C0" w14:textId="77777777" w:rsidTr="00204FA4">
        <w:trPr>
          <w:trHeight w:val="320"/>
        </w:trPr>
        <w:tc>
          <w:tcPr>
            <w:tcW w:w="1167" w:type="dxa"/>
            <w:shd w:val="clear" w:color="auto" w:fill="auto"/>
            <w:noWrap/>
            <w:vAlign w:val="bottom"/>
            <w:hideMark/>
          </w:tcPr>
          <w:p w14:paraId="5EB64C51" w14:textId="77777777" w:rsidR="00862AF9" w:rsidRPr="00862AF9" w:rsidRDefault="00862AF9" w:rsidP="00E96A82">
            <w:pPr>
              <w:spacing w:after="0"/>
              <w:rPr>
                <w:rFonts w:ascii="Calibri" w:hAnsi="Calibri"/>
                <w:sz w:val="20"/>
                <w:szCs w:val="20"/>
              </w:rPr>
            </w:pPr>
            <w:r w:rsidRPr="00862AF9">
              <w:rPr>
                <w:rFonts w:ascii="Calibri" w:hAnsi="Calibri"/>
                <w:sz w:val="20"/>
                <w:szCs w:val="20"/>
              </w:rPr>
              <w:t>Agarwal</w:t>
            </w:r>
          </w:p>
        </w:tc>
        <w:tc>
          <w:tcPr>
            <w:tcW w:w="720" w:type="dxa"/>
            <w:shd w:val="clear" w:color="auto" w:fill="auto"/>
            <w:noWrap/>
            <w:vAlign w:val="bottom"/>
            <w:hideMark/>
          </w:tcPr>
          <w:p w14:paraId="129AAA34"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2015</w:t>
            </w:r>
          </w:p>
        </w:tc>
        <w:tc>
          <w:tcPr>
            <w:tcW w:w="900" w:type="dxa"/>
            <w:shd w:val="clear" w:color="auto" w:fill="auto"/>
            <w:noWrap/>
            <w:vAlign w:val="bottom"/>
            <w:hideMark/>
          </w:tcPr>
          <w:p w14:paraId="52803A26"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NSR</w:t>
            </w:r>
          </w:p>
        </w:tc>
        <w:tc>
          <w:tcPr>
            <w:tcW w:w="10836" w:type="dxa"/>
            <w:shd w:val="clear" w:color="auto" w:fill="auto"/>
            <w:noWrap/>
            <w:vAlign w:val="bottom"/>
            <w:hideMark/>
          </w:tcPr>
          <w:p w14:paraId="1C43928F" w14:textId="77777777" w:rsidR="00862AF9" w:rsidRPr="00862AF9" w:rsidRDefault="00862AF9" w:rsidP="00E96A82">
            <w:pPr>
              <w:spacing w:after="0"/>
              <w:rPr>
                <w:rFonts w:ascii="Calibri" w:hAnsi="Calibri"/>
                <w:sz w:val="20"/>
                <w:szCs w:val="20"/>
              </w:rPr>
            </w:pPr>
            <w:r w:rsidRPr="00862AF9">
              <w:rPr>
                <w:rFonts w:ascii="Calibri" w:hAnsi="Calibri"/>
                <w:sz w:val="20"/>
                <w:szCs w:val="20"/>
              </w:rPr>
              <w:t>Frontline health workers are able to learn how to use mHealth tools for (1) data collection and reporting, training and decision support, (3) emergency referrals, (4) work planning through alerts and reminders, and improved supervision of and communication among healthcare workers. Two studies suggest that mHealth can improve adherence to treatment algorithms. 27/42 studies involved CBPs (23 CBPs only, 4 of CBPs and FLHWs together).</w:t>
            </w:r>
          </w:p>
        </w:tc>
      </w:tr>
      <w:tr w:rsidR="00FB56F6" w:rsidRPr="00862AF9" w14:paraId="4FDB557F" w14:textId="77777777" w:rsidTr="00204FA4">
        <w:trPr>
          <w:trHeight w:val="320"/>
        </w:trPr>
        <w:tc>
          <w:tcPr>
            <w:tcW w:w="1167" w:type="dxa"/>
            <w:shd w:val="clear" w:color="auto" w:fill="auto"/>
            <w:noWrap/>
            <w:vAlign w:val="bottom"/>
          </w:tcPr>
          <w:p w14:paraId="026CEAC7" w14:textId="2C6BB797" w:rsidR="00FB56F6" w:rsidRPr="00862AF9" w:rsidRDefault="00FB56F6" w:rsidP="00E96A82">
            <w:pPr>
              <w:spacing w:after="0"/>
              <w:rPr>
                <w:rFonts w:ascii="Calibri" w:hAnsi="Calibri"/>
                <w:sz w:val="20"/>
                <w:szCs w:val="20"/>
              </w:rPr>
            </w:pPr>
            <w:r>
              <w:rPr>
                <w:rFonts w:ascii="Calibri" w:hAnsi="Calibri"/>
                <w:sz w:val="20"/>
                <w:szCs w:val="20"/>
              </w:rPr>
              <w:t>Bornstein</w:t>
            </w:r>
          </w:p>
        </w:tc>
        <w:tc>
          <w:tcPr>
            <w:tcW w:w="720" w:type="dxa"/>
            <w:shd w:val="clear" w:color="auto" w:fill="auto"/>
            <w:noWrap/>
            <w:vAlign w:val="bottom"/>
          </w:tcPr>
          <w:p w14:paraId="27778D64" w14:textId="3B6ED626" w:rsidR="00FB56F6" w:rsidRPr="00862AF9" w:rsidRDefault="00FB56F6" w:rsidP="00E96A82">
            <w:pPr>
              <w:spacing w:after="0"/>
              <w:jc w:val="center"/>
              <w:rPr>
                <w:rFonts w:ascii="Calibri" w:hAnsi="Calibri"/>
                <w:sz w:val="20"/>
                <w:szCs w:val="20"/>
              </w:rPr>
            </w:pPr>
            <w:r>
              <w:rPr>
                <w:rFonts w:ascii="Calibri" w:hAnsi="Calibri"/>
                <w:sz w:val="20"/>
                <w:szCs w:val="20"/>
              </w:rPr>
              <w:t>2008</w:t>
            </w:r>
          </w:p>
        </w:tc>
        <w:tc>
          <w:tcPr>
            <w:tcW w:w="900" w:type="dxa"/>
            <w:shd w:val="clear" w:color="auto" w:fill="auto"/>
            <w:noWrap/>
            <w:vAlign w:val="bottom"/>
          </w:tcPr>
          <w:p w14:paraId="30780F8A" w14:textId="261A55C9" w:rsidR="00FB56F6" w:rsidRPr="00862AF9" w:rsidRDefault="00FB56F6" w:rsidP="00E96A82">
            <w:pPr>
              <w:spacing w:after="0"/>
              <w:jc w:val="center"/>
              <w:rPr>
                <w:rFonts w:ascii="Calibri" w:hAnsi="Calibri"/>
                <w:sz w:val="20"/>
                <w:szCs w:val="20"/>
              </w:rPr>
            </w:pPr>
            <w:r>
              <w:rPr>
                <w:rFonts w:ascii="Calibri" w:hAnsi="Calibri"/>
                <w:sz w:val="20"/>
                <w:szCs w:val="20"/>
              </w:rPr>
              <w:t>NSR</w:t>
            </w:r>
          </w:p>
        </w:tc>
        <w:tc>
          <w:tcPr>
            <w:tcW w:w="10836" w:type="dxa"/>
            <w:shd w:val="clear" w:color="auto" w:fill="auto"/>
            <w:noWrap/>
            <w:vAlign w:val="bottom"/>
          </w:tcPr>
          <w:p w14:paraId="08F8E7A5" w14:textId="5E8C0E98" w:rsidR="00FB56F6" w:rsidRPr="00862AF9" w:rsidRDefault="00EB0728" w:rsidP="00E96A82">
            <w:pPr>
              <w:spacing w:after="0"/>
              <w:rPr>
                <w:rFonts w:ascii="Calibri" w:hAnsi="Calibri"/>
                <w:sz w:val="20"/>
                <w:szCs w:val="20"/>
              </w:rPr>
            </w:pPr>
            <w:r>
              <w:rPr>
                <w:rFonts w:ascii="Calibri" w:hAnsi="Calibri"/>
                <w:sz w:val="20"/>
                <w:szCs w:val="20"/>
              </w:rPr>
              <w:t xml:space="preserve">In Brazil, </w:t>
            </w:r>
            <w:r w:rsidR="00FB56F6" w:rsidRPr="00FB56F6">
              <w:rPr>
                <w:rFonts w:ascii="Calibri" w:hAnsi="Calibri"/>
                <w:sz w:val="20"/>
                <w:szCs w:val="20"/>
              </w:rPr>
              <w:t xml:space="preserve">CHWs are mediators between the </w:t>
            </w:r>
            <w:r>
              <w:rPr>
                <w:rFonts w:ascii="Calibri" w:hAnsi="Calibri"/>
                <w:sz w:val="20"/>
                <w:szCs w:val="20"/>
              </w:rPr>
              <w:t xml:space="preserve">health system </w:t>
            </w:r>
            <w:r w:rsidR="00FB56F6" w:rsidRPr="00FB56F6">
              <w:rPr>
                <w:rFonts w:ascii="Calibri" w:hAnsi="Calibri"/>
                <w:sz w:val="20"/>
                <w:szCs w:val="20"/>
              </w:rPr>
              <w:t xml:space="preserve">and the community, and between different forms of </w:t>
            </w:r>
            <w:r>
              <w:rPr>
                <w:rFonts w:ascii="Calibri" w:hAnsi="Calibri"/>
                <w:sz w:val="20"/>
                <w:szCs w:val="20"/>
              </w:rPr>
              <w:t xml:space="preserve">health-related </w:t>
            </w:r>
            <w:r w:rsidR="00FB56F6" w:rsidRPr="00FB56F6">
              <w:rPr>
                <w:rFonts w:ascii="Calibri" w:hAnsi="Calibri"/>
                <w:sz w:val="20"/>
                <w:szCs w:val="20"/>
              </w:rPr>
              <w:t xml:space="preserve">knowledge. CHWs amplify issues of citizenship in a general form by supporting the health service to become more </w:t>
            </w:r>
            <w:r>
              <w:rPr>
                <w:rFonts w:ascii="Calibri" w:hAnsi="Calibri"/>
                <w:sz w:val="20"/>
                <w:szCs w:val="20"/>
              </w:rPr>
              <w:t>“</w:t>
            </w:r>
            <w:r w:rsidR="00FB56F6" w:rsidRPr="00FB56F6">
              <w:rPr>
                <w:rFonts w:ascii="Calibri" w:hAnsi="Calibri"/>
                <w:sz w:val="20"/>
                <w:szCs w:val="20"/>
              </w:rPr>
              <w:t>permeable</w:t>
            </w:r>
            <w:r>
              <w:rPr>
                <w:rFonts w:ascii="Calibri" w:hAnsi="Calibri"/>
                <w:sz w:val="20"/>
                <w:szCs w:val="20"/>
              </w:rPr>
              <w:t xml:space="preserve">” in terms of </w:t>
            </w:r>
            <w:r w:rsidR="00FB56F6" w:rsidRPr="00FB56F6">
              <w:rPr>
                <w:rFonts w:ascii="Calibri" w:hAnsi="Calibri"/>
                <w:sz w:val="20"/>
                <w:szCs w:val="20"/>
              </w:rPr>
              <w:t xml:space="preserve">knowledge sharing (in either direction), and </w:t>
            </w:r>
            <w:r>
              <w:rPr>
                <w:rFonts w:ascii="Calibri" w:hAnsi="Calibri"/>
                <w:sz w:val="20"/>
                <w:szCs w:val="20"/>
              </w:rPr>
              <w:t xml:space="preserve">in responding to </w:t>
            </w:r>
            <w:r w:rsidR="00FB56F6" w:rsidRPr="00FB56F6">
              <w:rPr>
                <w:rFonts w:ascii="Calibri" w:hAnsi="Calibri"/>
                <w:sz w:val="20"/>
                <w:szCs w:val="20"/>
              </w:rPr>
              <w:t xml:space="preserve">the needs and demands of the population. CHWs are at once in positions of power and prestige with respect to their community, but also with the responsibility to absorb community pressure (e.g., </w:t>
            </w:r>
            <w:r>
              <w:rPr>
                <w:rFonts w:ascii="Calibri" w:hAnsi="Calibri"/>
                <w:sz w:val="20"/>
                <w:szCs w:val="20"/>
              </w:rPr>
              <w:t xml:space="preserve">from </w:t>
            </w:r>
            <w:r w:rsidR="00FB56F6" w:rsidRPr="00FB56F6">
              <w:rPr>
                <w:rFonts w:ascii="Calibri" w:hAnsi="Calibri"/>
                <w:sz w:val="20"/>
                <w:szCs w:val="20"/>
              </w:rPr>
              <w:t xml:space="preserve">those community members </w:t>
            </w:r>
            <w:r>
              <w:rPr>
                <w:rFonts w:ascii="Calibri" w:hAnsi="Calibri"/>
                <w:sz w:val="20"/>
                <w:szCs w:val="20"/>
              </w:rPr>
              <w:t xml:space="preserve">who are </w:t>
            </w:r>
            <w:r w:rsidR="00FB56F6" w:rsidRPr="00FB56F6">
              <w:rPr>
                <w:rFonts w:ascii="Calibri" w:hAnsi="Calibri"/>
                <w:sz w:val="20"/>
                <w:szCs w:val="20"/>
              </w:rPr>
              <w:t>seeking favourable treatment, access</w:t>
            </w:r>
            <w:r>
              <w:rPr>
                <w:rFonts w:ascii="Calibri" w:hAnsi="Calibri"/>
                <w:sz w:val="20"/>
                <w:szCs w:val="20"/>
              </w:rPr>
              <w:t>,</w:t>
            </w:r>
            <w:r w:rsidR="00FB56F6" w:rsidRPr="00FB56F6">
              <w:rPr>
                <w:rFonts w:ascii="Calibri" w:hAnsi="Calibri"/>
                <w:sz w:val="20"/>
                <w:szCs w:val="20"/>
              </w:rPr>
              <w:t xml:space="preserve"> etc.). CHWs have both a patient-centred and </w:t>
            </w:r>
            <w:r>
              <w:rPr>
                <w:rFonts w:ascii="Calibri" w:hAnsi="Calibri"/>
                <w:sz w:val="20"/>
                <w:szCs w:val="20"/>
              </w:rPr>
              <w:t xml:space="preserve">a </w:t>
            </w:r>
            <w:r w:rsidR="00FB56F6" w:rsidRPr="00FB56F6">
              <w:rPr>
                <w:rFonts w:ascii="Calibri" w:hAnsi="Calibri"/>
                <w:sz w:val="20"/>
                <w:szCs w:val="20"/>
              </w:rPr>
              <w:t xml:space="preserve">biomedical orientation, resulting in tension between different approaches and knowledge bases. Two principal dimensions are discussed in the literature on CHWs – the technical and the political. CHWs are defined as a </w:t>
            </w:r>
            <w:r w:rsidR="00FB56F6" w:rsidRPr="00A46DF7">
              <w:rPr>
                <w:rFonts w:ascii="Calibri" w:hAnsi="Calibri"/>
                <w:i/>
                <w:sz w:val="20"/>
                <w:szCs w:val="20"/>
              </w:rPr>
              <w:t>sui generis</w:t>
            </w:r>
            <w:r w:rsidR="00FB56F6" w:rsidRPr="00FB56F6">
              <w:rPr>
                <w:rFonts w:ascii="Calibri" w:hAnsi="Calibri"/>
                <w:sz w:val="20"/>
                <w:szCs w:val="20"/>
              </w:rPr>
              <w:t xml:space="preserve"> worker, completely unique, difficult to define, but with an important role</w:t>
            </w:r>
            <w:r>
              <w:rPr>
                <w:rFonts w:ascii="Calibri" w:hAnsi="Calibri"/>
                <w:sz w:val="20"/>
                <w:szCs w:val="20"/>
              </w:rPr>
              <w:t xml:space="preserve"> that is increasingly important in</w:t>
            </w:r>
            <w:r w:rsidR="00FB56F6" w:rsidRPr="00FB56F6">
              <w:rPr>
                <w:rFonts w:ascii="Calibri" w:hAnsi="Calibri"/>
                <w:sz w:val="20"/>
                <w:szCs w:val="20"/>
              </w:rPr>
              <w:t xml:space="preserve"> the healthcare field. Although CHW training is well</w:t>
            </w:r>
            <w:r>
              <w:rPr>
                <w:rFonts w:ascii="Calibri" w:hAnsi="Calibri"/>
                <w:sz w:val="20"/>
                <w:szCs w:val="20"/>
              </w:rPr>
              <w:t>-</w:t>
            </w:r>
            <w:r w:rsidR="00FB56F6" w:rsidRPr="00FB56F6">
              <w:rPr>
                <w:rFonts w:ascii="Calibri" w:hAnsi="Calibri"/>
                <w:sz w:val="20"/>
                <w:szCs w:val="20"/>
              </w:rPr>
              <w:t xml:space="preserve">documented technically at </w:t>
            </w:r>
            <w:r>
              <w:rPr>
                <w:rFonts w:ascii="Calibri" w:hAnsi="Calibri"/>
                <w:sz w:val="20"/>
                <w:szCs w:val="20"/>
              </w:rPr>
              <w:t xml:space="preserve">the </w:t>
            </w:r>
            <w:r w:rsidR="00FB56F6" w:rsidRPr="00FB56F6">
              <w:rPr>
                <w:rFonts w:ascii="Calibri" w:hAnsi="Calibri"/>
                <w:sz w:val="20"/>
                <w:szCs w:val="20"/>
              </w:rPr>
              <w:t>MoH level</w:t>
            </w:r>
            <w:r>
              <w:rPr>
                <w:rFonts w:ascii="Calibri" w:hAnsi="Calibri"/>
                <w:sz w:val="20"/>
                <w:szCs w:val="20"/>
              </w:rPr>
              <w:t xml:space="preserve"> in Brazil</w:t>
            </w:r>
            <w:r w:rsidR="00FB56F6" w:rsidRPr="00FB56F6">
              <w:rPr>
                <w:rFonts w:ascii="Calibri" w:hAnsi="Calibri"/>
                <w:sz w:val="20"/>
                <w:szCs w:val="20"/>
              </w:rPr>
              <w:t xml:space="preserve">, there are diverse ways to implement this in practice, and much variation </w:t>
            </w:r>
            <w:r>
              <w:rPr>
                <w:rFonts w:ascii="Calibri" w:hAnsi="Calibri"/>
                <w:sz w:val="20"/>
                <w:szCs w:val="20"/>
              </w:rPr>
              <w:t xml:space="preserve">in CHW training exist </w:t>
            </w:r>
            <w:r w:rsidR="00FB56F6" w:rsidRPr="00FB56F6">
              <w:rPr>
                <w:rFonts w:ascii="Calibri" w:hAnsi="Calibri"/>
                <w:sz w:val="20"/>
                <w:szCs w:val="20"/>
              </w:rPr>
              <w:t>around the country.</w:t>
            </w:r>
          </w:p>
        </w:tc>
      </w:tr>
      <w:tr w:rsidR="00862AF9" w:rsidRPr="00862AF9" w14:paraId="1940465F" w14:textId="77777777" w:rsidTr="00204FA4">
        <w:trPr>
          <w:trHeight w:val="320"/>
        </w:trPr>
        <w:tc>
          <w:tcPr>
            <w:tcW w:w="1167" w:type="dxa"/>
            <w:shd w:val="clear" w:color="auto" w:fill="auto"/>
            <w:noWrap/>
            <w:vAlign w:val="bottom"/>
            <w:hideMark/>
          </w:tcPr>
          <w:p w14:paraId="08B3EC9C" w14:textId="77777777" w:rsidR="00862AF9" w:rsidRPr="00862AF9" w:rsidRDefault="00862AF9" w:rsidP="00E96A82">
            <w:pPr>
              <w:spacing w:after="0"/>
              <w:rPr>
                <w:rFonts w:ascii="Calibri" w:hAnsi="Calibri"/>
                <w:sz w:val="20"/>
                <w:szCs w:val="20"/>
              </w:rPr>
            </w:pPr>
            <w:r w:rsidRPr="00862AF9">
              <w:rPr>
                <w:rFonts w:ascii="Calibri" w:hAnsi="Calibri"/>
                <w:sz w:val="20"/>
                <w:szCs w:val="20"/>
              </w:rPr>
              <w:t>Bosch-Capblanch</w:t>
            </w:r>
          </w:p>
        </w:tc>
        <w:tc>
          <w:tcPr>
            <w:tcW w:w="720" w:type="dxa"/>
            <w:shd w:val="clear" w:color="auto" w:fill="auto"/>
            <w:noWrap/>
            <w:vAlign w:val="bottom"/>
            <w:hideMark/>
          </w:tcPr>
          <w:p w14:paraId="7988D9CF"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2008</w:t>
            </w:r>
          </w:p>
        </w:tc>
        <w:tc>
          <w:tcPr>
            <w:tcW w:w="900" w:type="dxa"/>
            <w:shd w:val="clear" w:color="auto" w:fill="auto"/>
            <w:noWrap/>
            <w:vAlign w:val="bottom"/>
            <w:hideMark/>
          </w:tcPr>
          <w:p w14:paraId="1218E2CC"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SR</w:t>
            </w:r>
          </w:p>
        </w:tc>
        <w:tc>
          <w:tcPr>
            <w:tcW w:w="10836" w:type="dxa"/>
            <w:shd w:val="clear" w:color="auto" w:fill="auto"/>
            <w:noWrap/>
            <w:vAlign w:val="bottom"/>
            <w:hideMark/>
          </w:tcPr>
          <w:p w14:paraId="5FC164AE" w14:textId="647A423A" w:rsidR="00862AF9" w:rsidRPr="00862AF9" w:rsidRDefault="00E96A82" w:rsidP="00E96A82">
            <w:pPr>
              <w:spacing w:after="0"/>
              <w:rPr>
                <w:rFonts w:ascii="Calibri" w:hAnsi="Calibri"/>
                <w:sz w:val="20"/>
                <w:szCs w:val="20"/>
              </w:rPr>
            </w:pPr>
            <w:r w:rsidRPr="00E96A82">
              <w:rPr>
                <w:rFonts w:ascii="Calibri" w:hAnsi="Calibri"/>
                <w:sz w:val="20"/>
                <w:szCs w:val="20"/>
              </w:rPr>
              <w:t xml:space="preserve">Supervision is widely recommended, but is a complex </w:t>
            </w:r>
            <w:r>
              <w:rPr>
                <w:rFonts w:ascii="Calibri" w:hAnsi="Calibri"/>
                <w:sz w:val="20"/>
                <w:szCs w:val="20"/>
              </w:rPr>
              <w:t xml:space="preserve">and expensive </w:t>
            </w:r>
            <w:r w:rsidRPr="00E96A82">
              <w:rPr>
                <w:rFonts w:ascii="Calibri" w:hAnsi="Calibri"/>
                <w:sz w:val="20"/>
                <w:szCs w:val="20"/>
              </w:rPr>
              <w:t>intervention</w:t>
            </w:r>
            <w:r>
              <w:rPr>
                <w:rFonts w:ascii="Calibri" w:hAnsi="Calibri"/>
                <w:sz w:val="20"/>
                <w:szCs w:val="20"/>
              </w:rPr>
              <w:t xml:space="preserve">, </w:t>
            </w:r>
            <w:r w:rsidRPr="00E96A82">
              <w:rPr>
                <w:rFonts w:ascii="Calibri" w:hAnsi="Calibri"/>
                <w:sz w:val="20"/>
                <w:szCs w:val="20"/>
              </w:rPr>
              <w:t>and</w:t>
            </w:r>
            <w:r>
              <w:rPr>
                <w:rFonts w:ascii="Calibri" w:hAnsi="Calibri"/>
                <w:sz w:val="20"/>
                <w:szCs w:val="20"/>
              </w:rPr>
              <w:t xml:space="preserve"> implemented in different ways.</w:t>
            </w:r>
            <w:r w:rsidRPr="00E96A82">
              <w:rPr>
                <w:rFonts w:ascii="Calibri" w:hAnsi="Calibri"/>
                <w:sz w:val="20"/>
                <w:szCs w:val="20"/>
              </w:rPr>
              <w:t xml:space="preserve"> </w:t>
            </w:r>
            <w:r w:rsidR="00862AF9" w:rsidRPr="00862AF9">
              <w:rPr>
                <w:rFonts w:ascii="Calibri" w:hAnsi="Calibri"/>
                <w:sz w:val="20"/>
                <w:szCs w:val="20"/>
              </w:rPr>
              <w:t>Supervision interventions generally have shown small positive effects on frontline health worker performance. However, the quality of the studies is mixed and outcomes varied between studies. Three out of 12 effectiveness studies included CBPs.</w:t>
            </w:r>
            <w:r>
              <w:rPr>
                <w:rFonts w:ascii="Calibri" w:hAnsi="Calibri"/>
                <w:sz w:val="20"/>
                <w:szCs w:val="20"/>
              </w:rPr>
              <w:t xml:space="preserve"> </w:t>
            </w:r>
          </w:p>
        </w:tc>
      </w:tr>
      <w:tr w:rsidR="00862AF9" w:rsidRPr="00862AF9" w14:paraId="05D32846" w14:textId="77777777" w:rsidTr="00204FA4">
        <w:trPr>
          <w:trHeight w:val="320"/>
        </w:trPr>
        <w:tc>
          <w:tcPr>
            <w:tcW w:w="1167" w:type="dxa"/>
            <w:shd w:val="clear" w:color="auto" w:fill="auto"/>
            <w:noWrap/>
            <w:vAlign w:val="bottom"/>
            <w:hideMark/>
          </w:tcPr>
          <w:p w14:paraId="51D87836" w14:textId="77777777" w:rsidR="00862AF9" w:rsidRPr="00862AF9" w:rsidRDefault="00862AF9" w:rsidP="00E96A82">
            <w:pPr>
              <w:spacing w:after="0"/>
              <w:rPr>
                <w:rFonts w:ascii="Calibri" w:hAnsi="Calibri"/>
                <w:sz w:val="20"/>
                <w:szCs w:val="20"/>
              </w:rPr>
            </w:pPr>
            <w:r w:rsidRPr="00862AF9">
              <w:rPr>
                <w:rFonts w:ascii="Calibri" w:hAnsi="Calibri"/>
                <w:sz w:val="20"/>
                <w:szCs w:val="20"/>
              </w:rPr>
              <w:t>Bosch-Capblanch</w:t>
            </w:r>
          </w:p>
        </w:tc>
        <w:tc>
          <w:tcPr>
            <w:tcW w:w="720" w:type="dxa"/>
            <w:shd w:val="clear" w:color="auto" w:fill="auto"/>
            <w:noWrap/>
            <w:vAlign w:val="bottom"/>
            <w:hideMark/>
          </w:tcPr>
          <w:p w14:paraId="78889751"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2011</w:t>
            </w:r>
          </w:p>
        </w:tc>
        <w:tc>
          <w:tcPr>
            <w:tcW w:w="900" w:type="dxa"/>
            <w:shd w:val="clear" w:color="auto" w:fill="auto"/>
            <w:noWrap/>
            <w:vAlign w:val="bottom"/>
            <w:hideMark/>
          </w:tcPr>
          <w:p w14:paraId="2B21E741"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SR</w:t>
            </w:r>
          </w:p>
        </w:tc>
        <w:tc>
          <w:tcPr>
            <w:tcW w:w="10836" w:type="dxa"/>
            <w:shd w:val="clear" w:color="auto" w:fill="auto"/>
            <w:noWrap/>
            <w:vAlign w:val="bottom"/>
            <w:hideMark/>
          </w:tcPr>
          <w:p w14:paraId="4EB16096" w14:textId="211C0710" w:rsidR="00862AF9" w:rsidRPr="00862AF9" w:rsidRDefault="00862AF9" w:rsidP="00AE1957">
            <w:pPr>
              <w:spacing w:after="0"/>
              <w:rPr>
                <w:rFonts w:ascii="Calibri" w:hAnsi="Calibri"/>
                <w:sz w:val="20"/>
                <w:szCs w:val="20"/>
              </w:rPr>
            </w:pPr>
            <w:r w:rsidRPr="00862AF9">
              <w:rPr>
                <w:rFonts w:ascii="Calibri" w:hAnsi="Calibri"/>
                <w:sz w:val="20"/>
                <w:szCs w:val="20"/>
              </w:rPr>
              <w:t>It is uncertain whether supervision has a substantive positive effect on the quality of primary health care. The long-term effectiveness of supervision is unknown. Of the 9 studies i</w:t>
            </w:r>
            <w:r w:rsidR="00AE1957">
              <w:rPr>
                <w:rFonts w:ascii="Calibri" w:hAnsi="Calibri"/>
                <w:sz w:val="20"/>
                <w:szCs w:val="20"/>
              </w:rPr>
              <w:t xml:space="preserve">ncluded in the review, only two </w:t>
            </w:r>
            <w:r w:rsidRPr="00862AF9">
              <w:rPr>
                <w:rFonts w:ascii="Calibri" w:hAnsi="Calibri"/>
                <w:sz w:val="20"/>
                <w:szCs w:val="20"/>
              </w:rPr>
              <w:t>involved supervision of CBPs.</w:t>
            </w:r>
            <w:r w:rsidR="00AE1957">
              <w:rPr>
                <w:rFonts w:ascii="Calibri" w:hAnsi="Calibri"/>
                <w:sz w:val="20"/>
                <w:szCs w:val="20"/>
              </w:rPr>
              <w:t xml:space="preserve"> One was an RCT of five day refresher training and supportive monthly supervision visits versus standard supervision (</w:t>
            </w:r>
            <w:r w:rsidR="00AE1957" w:rsidRPr="00AE1957">
              <w:rPr>
                <w:rFonts w:ascii="Calibri" w:hAnsi="Calibri"/>
                <w:sz w:val="20"/>
                <w:szCs w:val="20"/>
              </w:rPr>
              <w:t>Ayele 1993</w:t>
            </w:r>
            <w:r w:rsidR="00AE1957">
              <w:rPr>
                <w:rFonts w:ascii="Calibri" w:hAnsi="Calibri"/>
                <w:sz w:val="20"/>
                <w:szCs w:val="20"/>
              </w:rPr>
              <w:t>); the CBPs who received the intervention showed significant improvements in “function status” at six months follow up. The other was an RCT wherein the intervention group received fewer (quarterly) supervisory visits while the control received standard monthly visits (</w:t>
            </w:r>
            <w:r w:rsidR="00AE1957" w:rsidRPr="00AE1957">
              <w:rPr>
                <w:rFonts w:ascii="Calibri" w:hAnsi="Calibri"/>
                <w:sz w:val="20"/>
                <w:szCs w:val="20"/>
              </w:rPr>
              <w:t>Foreit 1</w:t>
            </w:r>
            <w:r w:rsidR="00AE1957">
              <w:rPr>
                <w:rFonts w:ascii="Calibri" w:hAnsi="Calibri"/>
                <w:sz w:val="20"/>
                <w:szCs w:val="20"/>
              </w:rPr>
              <w:t xml:space="preserve">984); there were no significant differences between the intervention and control. </w:t>
            </w:r>
          </w:p>
        </w:tc>
      </w:tr>
      <w:tr w:rsidR="00862AF9" w:rsidRPr="00862AF9" w14:paraId="7AC7BFE8" w14:textId="77777777" w:rsidTr="00204FA4">
        <w:trPr>
          <w:trHeight w:val="320"/>
        </w:trPr>
        <w:tc>
          <w:tcPr>
            <w:tcW w:w="1167" w:type="dxa"/>
            <w:shd w:val="clear" w:color="auto" w:fill="auto"/>
            <w:noWrap/>
            <w:vAlign w:val="bottom"/>
            <w:hideMark/>
          </w:tcPr>
          <w:p w14:paraId="10BCA760" w14:textId="77777777" w:rsidR="00862AF9" w:rsidRPr="00862AF9" w:rsidRDefault="00862AF9" w:rsidP="00E96A82">
            <w:pPr>
              <w:spacing w:after="0"/>
              <w:rPr>
                <w:rFonts w:ascii="Calibri" w:hAnsi="Calibri"/>
                <w:sz w:val="20"/>
                <w:szCs w:val="20"/>
              </w:rPr>
            </w:pPr>
            <w:r w:rsidRPr="00862AF9">
              <w:rPr>
                <w:rFonts w:ascii="Calibri" w:hAnsi="Calibri"/>
                <w:sz w:val="20"/>
                <w:szCs w:val="20"/>
              </w:rPr>
              <w:t>Braun</w:t>
            </w:r>
          </w:p>
        </w:tc>
        <w:tc>
          <w:tcPr>
            <w:tcW w:w="720" w:type="dxa"/>
            <w:shd w:val="clear" w:color="auto" w:fill="auto"/>
            <w:noWrap/>
            <w:vAlign w:val="bottom"/>
            <w:hideMark/>
          </w:tcPr>
          <w:p w14:paraId="306DCC37"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2013</w:t>
            </w:r>
          </w:p>
        </w:tc>
        <w:tc>
          <w:tcPr>
            <w:tcW w:w="900" w:type="dxa"/>
            <w:shd w:val="clear" w:color="auto" w:fill="auto"/>
            <w:noWrap/>
            <w:vAlign w:val="bottom"/>
            <w:hideMark/>
          </w:tcPr>
          <w:p w14:paraId="7F40389D"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NSR</w:t>
            </w:r>
          </w:p>
        </w:tc>
        <w:tc>
          <w:tcPr>
            <w:tcW w:w="10836" w:type="dxa"/>
            <w:shd w:val="clear" w:color="auto" w:fill="auto"/>
            <w:noWrap/>
            <w:vAlign w:val="bottom"/>
            <w:hideMark/>
          </w:tcPr>
          <w:p w14:paraId="5DC8C8AF" w14:textId="77777777" w:rsidR="00862AF9" w:rsidRPr="00862AF9" w:rsidRDefault="00862AF9" w:rsidP="00E96A82">
            <w:pPr>
              <w:spacing w:after="0"/>
              <w:rPr>
                <w:rFonts w:ascii="Calibri" w:hAnsi="Calibri"/>
                <w:sz w:val="20"/>
                <w:szCs w:val="20"/>
              </w:rPr>
            </w:pPr>
            <w:r w:rsidRPr="00862AF9">
              <w:rPr>
                <w:rFonts w:ascii="Calibri" w:hAnsi="Calibri"/>
                <w:sz w:val="20"/>
                <w:szCs w:val="20"/>
              </w:rPr>
              <w:t>CHWs are using mHealth to collect field-based health data, receive alerts and reminders, facilitate health education sessions, and conduct person-to-person communication. Programmatic efforts using mHealth focus on improving adherence to standards and guidelines, community education and training, and programmatic leadership and management practices.</w:t>
            </w:r>
          </w:p>
        </w:tc>
      </w:tr>
      <w:tr w:rsidR="00862AF9" w:rsidRPr="00862AF9" w14:paraId="00885CC0" w14:textId="77777777" w:rsidTr="00204FA4">
        <w:trPr>
          <w:trHeight w:val="320"/>
        </w:trPr>
        <w:tc>
          <w:tcPr>
            <w:tcW w:w="1167" w:type="dxa"/>
            <w:shd w:val="clear" w:color="auto" w:fill="auto"/>
            <w:noWrap/>
            <w:vAlign w:val="bottom"/>
            <w:hideMark/>
          </w:tcPr>
          <w:p w14:paraId="5C1A1B6B" w14:textId="77777777" w:rsidR="00862AF9" w:rsidRPr="00862AF9" w:rsidRDefault="00862AF9" w:rsidP="00E96A82">
            <w:pPr>
              <w:spacing w:after="0"/>
              <w:rPr>
                <w:rFonts w:ascii="Calibri" w:hAnsi="Calibri"/>
                <w:sz w:val="20"/>
                <w:szCs w:val="20"/>
              </w:rPr>
            </w:pPr>
            <w:r w:rsidRPr="00862AF9">
              <w:rPr>
                <w:rFonts w:ascii="Calibri" w:hAnsi="Calibri"/>
                <w:sz w:val="20"/>
                <w:szCs w:val="20"/>
              </w:rPr>
              <w:t>Ehiri</w:t>
            </w:r>
          </w:p>
        </w:tc>
        <w:tc>
          <w:tcPr>
            <w:tcW w:w="720" w:type="dxa"/>
            <w:shd w:val="clear" w:color="auto" w:fill="auto"/>
            <w:noWrap/>
            <w:vAlign w:val="bottom"/>
            <w:hideMark/>
          </w:tcPr>
          <w:p w14:paraId="709AC6B0"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2014</w:t>
            </w:r>
          </w:p>
        </w:tc>
        <w:tc>
          <w:tcPr>
            <w:tcW w:w="900" w:type="dxa"/>
            <w:shd w:val="clear" w:color="auto" w:fill="auto"/>
            <w:noWrap/>
            <w:vAlign w:val="bottom"/>
            <w:hideMark/>
          </w:tcPr>
          <w:p w14:paraId="7CC54093"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SR</w:t>
            </w:r>
          </w:p>
        </w:tc>
        <w:tc>
          <w:tcPr>
            <w:tcW w:w="10836" w:type="dxa"/>
            <w:shd w:val="clear" w:color="auto" w:fill="auto"/>
            <w:noWrap/>
            <w:vAlign w:val="bottom"/>
            <w:hideMark/>
          </w:tcPr>
          <w:p w14:paraId="364B444F" w14:textId="77777777" w:rsidR="00862AF9" w:rsidRPr="00862AF9" w:rsidRDefault="00862AF9" w:rsidP="00E96A82">
            <w:pPr>
              <w:spacing w:after="0"/>
              <w:rPr>
                <w:rFonts w:ascii="Calibri" w:hAnsi="Calibri"/>
                <w:sz w:val="20"/>
                <w:szCs w:val="20"/>
              </w:rPr>
            </w:pPr>
            <w:r w:rsidRPr="00862AF9">
              <w:rPr>
                <w:rFonts w:ascii="Calibri" w:hAnsi="Calibri"/>
                <w:sz w:val="20"/>
                <w:szCs w:val="20"/>
              </w:rPr>
              <w:t>There is some evidence, but of weak quality, that deploying lay refugees/internally displaced persons to provide basic health services to other women, children, and families in camps can improve health (as defined by increased service coverage, increased knowledge about disease symptoms and prevention, increased uptake of treatment and protective behaviors, and improved access to reproductive health information).</w:t>
            </w:r>
          </w:p>
        </w:tc>
      </w:tr>
      <w:tr w:rsidR="00862AF9" w:rsidRPr="00862AF9" w14:paraId="1AEE40C7" w14:textId="77777777" w:rsidTr="00204FA4">
        <w:trPr>
          <w:trHeight w:val="320"/>
        </w:trPr>
        <w:tc>
          <w:tcPr>
            <w:tcW w:w="1167" w:type="dxa"/>
            <w:shd w:val="clear" w:color="auto" w:fill="auto"/>
            <w:noWrap/>
            <w:vAlign w:val="bottom"/>
            <w:hideMark/>
          </w:tcPr>
          <w:p w14:paraId="0A5AE142" w14:textId="77777777" w:rsidR="00862AF9" w:rsidRPr="00862AF9" w:rsidRDefault="00862AF9" w:rsidP="00E96A82">
            <w:pPr>
              <w:spacing w:after="0"/>
              <w:rPr>
                <w:rFonts w:ascii="Calibri" w:hAnsi="Calibri"/>
                <w:sz w:val="20"/>
                <w:szCs w:val="20"/>
              </w:rPr>
            </w:pPr>
            <w:r w:rsidRPr="00862AF9">
              <w:rPr>
                <w:rFonts w:ascii="Calibri" w:hAnsi="Calibri"/>
                <w:sz w:val="20"/>
                <w:szCs w:val="20"/>
              </w:rPr>
              <w:t>Fulton</w:t>
            </w:r>
          </w:p>
        </w:tc>
        <w:tc>
          <w:tcPr>
            <w:tcW w:w="720" w:type="dxa"/>
            <w:shd w:val="clear" w:color="auto" w:fill="auto"/>
            <w:noWrap/>
            <w:vAlign w:val="bottom"/>
            <w:hideMark/>
          </w:tcPr>
          <w:p w14:paraId="5B805A99"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2011</w:t>
            </w:r>
          </w:p>
        </w:tc>
        <w:tc>
          <w:tcPr>
            <w:tcW w:w="900" w:type="dxa"/>
            <w:shd w:val="clear" w:color="auto" w:fill="auto"/>
            <w:noWrap/>
            <w:vAlign w:val="bottom"/>
            <w:hideMark/>
          </w:tcPr>
          <w:p w14:paraId="662078B5" w14:textId="77777777" w:rsidR="00862AF9" w:rsidRPr="00862AF9" w:rsidRDefault="00862AF9" w:rsidP="00E96A82">
            <w:pPr>
              <w:spacing w:after="0"/>
              <w:jc w:val="center"/>
              <w:rPr>
                <w:rFonts w:ascii="Calibri" w:hAnsi="Calibri"/>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hideMark/>
          </w:tcPr>
          <w:p w14:paraId="06C3A71A" w14:textId="77777777" w:rsidR="00862AF9" w:rsidRPr="00862AF9" w:rsidRDefault="00862AF9" w:rsidP="00E96A82">
            <w:pPr>
              <w:spacing w:after="0"/>
              <w:rPr>
                <w:rFonts w:ascii="Calibri" w:hAnsi="Calibri"/>
                <w:sz w:val="20"/>
                <w:szCs w:val="20"/>
              </w:rPr>
            </w:pPr>
            <w:r w:rsidRPr="00862AF9">
              <w:rPr>
                <w:rFonts w:ascii="Calibri" w:hAnsi="Calibri"/>
                <w:sz w:val="20"/>
                <w:szCs w:val="20"/>
              </w:rPr>
              <w:t xml:space="preserve">Task shifting is an important strategy for addressing needs-based shortages and skill-mix imbalances. Task shifting to CHWs can produce adverse effects. The quality of care provided by CHWs can be suboptimal if CHWs are given complex tasks. Quality and safety concerns may arise, as well as professional and institutional resistance. Sustaining motivation and performance may be a challenge. More research is needed regarding the benefits of tasking shifting from the perspective of comparing outcomes with what would have been the outcomes if no task shifting had occurred. </w:t>
            </w:r>
          </w:p>
        </w:tc>
      </w:tr>
      <w:tr w:rsidR="00862AF9" w:rsidRPr="00862AF9" w14:paraId="7B732C6B" w14:textId="77777777" w:rsidTr="00204FA4">
        <w:trPr>
          <w:trHeight w:val="320"/>
        </w:trPr>
        <w:tc>
          <w:tcPr>
            <w:tcW w:w="1167" w:type="dxa"/>
            <w:shd w:val="clear" w:color="auto" w:fill="auto"/>
            <w:noWrap/>
            <w:vAlign w:val="bottom"/>
            <w:hideMark/>
          </w:tcPr>
          <w:p w14:paraId="4137CBD7" w14:textId="77777777" w:rsidR="00862AF9" w:rsidRPr="00862AF9" w:rsidRDefault="00862AF9" w:rsidP="00E96A82">
            <w:pPr>
              <w:spacing w:after="0"/>
              <w:rPr>
                <w:rFonts w:ascii="Calibri" w:hAnsi="Calibri"/>
                <w:sz w:val="20"/>
                <w:szCs w:val="20"/>
              </w:rPr>
            </w:pPr>
            <w:r w:rsidRPr="00862AF9">
              <w:rPr>
                <w:rFonts w:ascii="Calibri" w:hAnsi="Calibri"/>
                <w:sz w:val="20"/>
                <w:szCs w:val="20"/>
              </w:rPr>
              <w:t>Hill</w:t>
            </w:r>
          </w:p>
        </w:tc>
        <w:tc>
          <w:tcPr>
            <w:tcW w:w="720" w:type="dxa"/>
            <w:shd w:val="clear" w:color="auto" w:fill="auto"/>
            <w:noWrap/>
            <w:vAlign w:val="bottom"/>
            <w:hideMark/>
          </w:tcPr>
          <w:p w14:paraId="1493BDC4"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2014</w:t>
            </w:r>
          </w:p>
        </w:tc>
        <w:tc>
          <w:tcPr>
            <w:tcW w:w="900" w:type="dxa"/>
            <w:shd w:val="clear" w:color="auto" w:fill="auto"/>
            <w:noWrap/>
            <w:vAlign w:val="bottom"/>
            <w:hideMark/>
          </w:tcPr>
          <w:p w14:paraId="02E3C6B3" w14:textId="77777777" w:rsidR="00862AF9" w:rsidRPr="00862AF9" w:rsidRDefault="00862AF9" w:rsidP="00E96A82">
            <w:pPr>
              <w:spacing w:after="0"/>
              <w:jc w:val="center"/>
              <w:rPr>
                <w:rFonts w:ascii="Calibri" w:hAnsi="Calibri"/>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hideMark/>
          </w:tcPr>
          <w:p w14:paraId="774A60DE" w14:textId="77777777" w:rsidR="00862AF9" w:rsidRPr="00862AF9" w:rsidRDefault="00862AF9" w:rsidP="00E96A82">
            <w:pPr>
              <w:spacing w:after="0"/>
              <w:rPr>
                <w:rFonts w:ascii="Calibri" w:hAnsi="Calibri"/>
                <w:sz w:val="20"/>
                <w:szCs w:val="20"/>
              </w:rPr>
            </w:pPr>
            <w:r w:rsidRPr="00862AF9">
              <w:rPr>
                <w:rFonts w:ascii="Calibri" w:hAnsi="Calibri"/>
                <w:sz w:val="20"/>
                <w:szCs w:val="20"/>
              </w:rPr>
              <w:t>Evidence suggests that improving supervision quality has a greater impact than increasing frequency of supervision alone. Supportive supervision packages, community monitoring of the work of CHWs, and quality improvement/problem-solving approaches show the most promise; however, evaluation of all strategies was weak.</w:t>
            </w:r>
          </w:p>
        </w:tc>
      </w:tr>
      <w:tr w:rsidR="00862AF9" w:rsidRPr="00862AF9" w14:paraId="2958FE3B" w14:textId="77777777" w:rsidTr="00204FA4">
        <w:trPr>
          <w:trHeight w:val="320"/>
        </w:trPr>
        <w:tc>
          <w:tcPr>
            <w:tcW w:w="1167" w:type="dxa"/>
            <w:shd w:val="clear" w:color="auto" w:fill="auto"/>
            <w:noWrap/>
            <w:vAlign w:val="bottom"/>
            <w:hideMark/>
          </w:tcPr>
          <w:p w14:paraId="0C7BFAE3" w14:textId="77777777" w:rsidR="00862AF9" w:rsidRPr="00862AF9" w:rsidRDefault="00862AF9" w:rsidP="00E96A82">
            <w:pPr>
              <w:spacing w:after="0"/>
              <w:rPr>
                <w:rFonts w:ascii="Calibri" w:hAnsi="Calibri"/>
                <w:sz w:val="20"/>
                <w:szCs w:val="20"/>
              </w:rPr>
            </w:pPr>
            <w:r w:rsidRPr="00862AF9">
              <w:rPr>
                <w:rFonts w:ascii="Calibri" w:hAnsi="Calibri"/>
                <w:sz w:val="20"/>
                <w:szCs w:val="20"/>
              </w:rPr>
              <w:t>Jaskiewicz</w:t>
            </w:r>
          </w:p>
        </w:tc>
        <w:tc>
          <w:tcPr>
            <w:tcW w:w="720" w:type="dxa"/>
            <w:shd w:val="clear" w:color="auto" w:fill="auto"/>
            <w:noWrap/>
            <w:vAlign w:val="bottom"/>
            <w:hideMark/>
          </w:tcPr>
          <w:p w14:paraId="0B548D3E"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2012</w:t>
            </w:r>
          </w:p>
        </w:tc>
        <w:tc>
          <w:tcPr>
            <w:tcW w:w="900" w:type="dxa"/>
            <w:shd w:val="clear" w:color="auto" w:fill="auto"/>
            <w:noWrap/>
            <w:vAlign w:val="bottom"/>
            <w:hideMark/>
          </w:tcPr>
          <w:p w14:paraId="45BB2E88" w14:textId="77777777" w:rsidR="00862AF9" w:rsidRPr="00862AF9" w:rsidRDefault="00862AF9" w:rsidP="00E96A82">
            <w:pPr>
              <w:spacing w:after="0"/>
              <w:jc w:val="center"/>
              <w:rPr>
                <w:rFonts w:ascii="Calibri" w:hAnsi="Calibri"/>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hideMark/>
          </w:tcPr>
          <w:p w14:paraId="38F4FB49" w14:textId="77777777" w:rsidR="00862AF9" w:rsidRPr="00862AF9" w:rsidRDefault="00862AF9" w:rsidP="00E96A82">
            <w:pPr>
              <w:spacing w:after="0"/>
              <w:rPr>
                <w:rFonts w:ascii="Calibri" w:hAnsi="Calibri"/>
                <w:sz w:val="20"/>
                <w:szCs w:val="20"/>
              </w:rPr>
            </w:pPr>
            <w:r w:rsidRPr="00862AF9">
              <w:rPr>
                <w:rFonts w:ascii="Calibri" w:hAnsi="Calibri"/>
                <w:sz w:val="20"/>
                <w:szCs w:val="20"/>
              </w:rPr>
              <w:t>The four essential elements of the work environment that affect CHW productivity are: workload, supportive supervision, supplies and equipment, and respect from the community and the health system. There is no known ideal work environment, nor is there a known maximum number or mix of CHW job tasks that will ensure the highest level of CHW productivity. Success is more likely when CHWs have a clear job description, a limited number of tasks, standardized protocols, and job aids that match their training.</w:t>
            </w:r>
          </w:p>
        </w:tc>
      </w:tr>
      <w:tr w:rsidR="00862AF9" w:rsidRPr="00862AF9" w14:paraId="36595C19" w14:textId="77777777" w:rsidTr="00204FA4">
        <w:trPr>
          <w:trHeight w:val="320"/>
        </w:trPr>
        <w:tc>
          <w:tcPr>
            <w:tcW w:w="1167" w:type="dxa"/>
            <w:shd w:val="clear" w:color="auto" w:fill="auto"/>
            <w:noWrap/>
            <w:vAlign w:val="bottom"/>
            <w:hideMark/>
          </w:tcPr>
          <w:p w14:paraId="561DE7B0" w14:textId="77777777" w:rsidR="00862AF9" w:rsidRPr="00862AF9" w:rsidRDefault="00862AF9" w:rsidP="00E96A82">
            <w:pPr>
              <w:spacing w:after="0"/>
              <w:rPr>
                <w:rFonts w:ascii="Calibri" w:hAnsi="Calibri"/>
                <w:sz w:val="20"/>
                <w:szCs w:val="20"/>
              </w:rPr>
            </w:pPr>
            <w:r w:rsidRPr="00862AF9">
              <w:rPr>
                <w:rFonts w:ascii="Calibri" w:hAnsi="Calibri"/>
                <w:sz w:val="20"/>
                <w:szCs w:val="20"/>
              </w:rPr>
              <w:t>Källander</w:t>
            </w:r>
          </w:p>
        </w:tc>
        <w:tc>
          <w:tcPr>
            <w:tcW w:w="720" w:type="dxa"/>
            <w:shd w:val="clear" w:color="auto" w:fill="auto"/>
            <w:noWrap/>
            <w:vAlign w:val="bottom"/>
            <w:hideMark/>
          </w:tcPr>
          <w:p w14:paraId="544E2500"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2013</w:t>
            </w:r>
          </w:p>
        </w:tc>
        <w:tc>
          <w:tcPr>
            <w:tcW w:w="900" w:type="dxa"/>
            <w:shd w:val="clear" w:color="auto" w:fill="auto"/>
            <w:noWrap/>
            <w:vAlign w:val="bottom"/>
            <w:hideMark/>
          </w:tcPr>
          <w:p w14:paraId="54EE5793" w14:textId="77777777" w:rsidR="00862AF9" w:rsidRPr="00862AF9" w:rsidRDefault="00862AF9" w:rsidP="00E96A82">
            <w:pPr>
              <w:spacing w:after="0"/>
              <w:jc w:val="center"/>
              <w:rPr>
                <w:rFonts w:ascii="Calibri" w:hAnsi="Calibri"/>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hideMark/>
          </w:tcPr>
          <w:p w14:paraId="56A295CA" w14:textId="3E18D781" w:rsidR="00862AF9" w:rsidRPr="00862AF9" w:rsidRDefault="00862AF9" w:rsidP="00E96A82">
            <w:pPr>
              <w:spacing w:after="0"/>
              <w:rPr>
                <w:rFonts w:ascii="Calibri" w:hAnsi="Calibri"/>
                <w:sz w:val="20"/>
                <w:szCs w:val="20"/>
              </w:rPr>
            </w:pPr>
            <w:r w:rsidRPr="00862AF9">
              <w:rPr>
                <w:rFonts w:ascii="Calibri" w:hAnsi="Calibri"/>
                <w:sz w:val="20"/>
                <w:szCs w:val="20"/>
              </w:rPr>
              <w:t xml:space="preserve">Innovative mHealth applications for </w:t>
            </w:r>
            <w:r w:rsidR="002E2547">
              <w:rPr>
                <w:rFonts w:ascii="Calibri" w:hAnsi="Calibri"/>
                <w:sz w:val="20"/>
                <w:szCs w:val="20"/>
              </w:rPr>
              <w:t>CHWs</w:t>
            </w:r>
            <w:r w:rsidRPr="00862AF9">
              <w:rPr>
                <w:rFonts w:ascii="Calibri" w:hAnsi="Calibri"/>
                <w:sz w:val="20"/>
                <w:szCs w:val="20"/>
              </w:rPr>
              <w:t xml:space="preserve"> include the use of mobile phones as job aides, clinical decision support tools, as well as channels for data submission and instant feedback on performance. The most commonly documented use of mHealth was 1-way text-message and phone reminders to encourage follow-up appointments, healthy behaviors, and data gathering. Although there is vast documentation of project process evaluations, there are few studies demonstrating an impact on clinical outcomes attributable to mHealth interventions. There is also a lack of mHealth applications and services operating at scale in LMICs.</w:t>
            </w:r>
          </w:p>
        </w:tc>
      </w:tr>
      <w:tr w:rsidR="00862AF9" w:rsidRPr="00862AF9" w14:paraId="0D7D7EF9" w14:textId="77777777" w:rsidTr="00204FA4">
        <w:trPr>
          <w:trHeight w:val="132"/>
        </w:trPr>
        <w:tc>
          <w:tcPr>
            <w:tcW w:w="1167" w:type="dxa"/>
            <w:shd w:val="clear" w:color="auto" w:fill="auto"/>
            <w:noWrap/>
            <w:vAlign w:val="bottom"/>
            <w:hideMark/>
          </w:tcPr>
          <w:p w14:paraId="1D2EEC46" w14:textId="77777777" w:rsidR="00862AF9" w:rsidRPr="00862AF9" w:rsidRDefault="00862AF9" w:rsidP="00E96A82">
            <w:pPr>
              <w:spacing w:after="0"/>
              <w:rPr>
                <w:rFonts w:ascii="Calibri" w:hAnsi="Calibri"/>
                <w:sz w:val="20"/>
                <w:szCs w:val="20"/>
              </w:rPr>
            </w:pPr>
            <w:r w:rsidRPr="00862AF9">
              <w:rPr>
                <w:rFonts w:ascii="Calibri" w:hAnsi="Calibri"/>
                <w:sz w:val="20"/>
                <w:szCs w:val="20"/>
              </w:rPr>
              <w:t>Kok, Kane, et al.</w:t>
            </w:r>
          </w:p>
        </w:tc>
        <w:tc>
          <w:tcPr>
            <w:tcW w:w="720" w:type="dxa"/>
            <w:shd w:val="clear" w:color="auto" w:fill="auto"/>
            <w:noWrap/>
            <w:vAlign w:val="bottom"/>
            <w:hideMark/>
          </w:tcPr>
          <w:p w14:paraId="2C2AEDF5"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2015</w:t>
            </w:r>
          </w:p>
        </w:tc>
        <w:tc>
          <w:tcPr>
            <w:tcW w:w="900" w:type="dxa"/>
            <w:shd w:val="clear" w:color="auto" w:fill="auto"/>
            <w:noWrap/>
            <w:vAlign w:val="bottom"/>
            <w:hideMark/>
          </w:tcPr>
          <w:p w14:paraId="05F79025"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SR</w:t>
            </w:r>
          </w:p>
        </w:tc>
        <w:tc>
          <w:tcPr>
            <w:tcW w:w="10836" w:type="dxa"/>
            <w:shd w:val="clear" w:color="auto" w:fill="auto"/>
            <w:noWrap/>
            <w:vAlign w:val="bottom"/>
            <w:hideMark/>
          </w:tcPr>
          <w:p w14:paraId="0561A181" w14:textId="77777777" w:rsidR="00862AF9" w:rsidRPr="00862AF9" w:rsidRDefault="00862AF9" w:rsidP="00E96A82">
            <w:pPr>
              <w:spacing w:after="0"/>
              <w:rPr>
                <w:rFonts w:ascii="Calibri" w:hAnsi="Calibri"/>
                <w:sz w:val="20"/>
                <w:szCs w:val="20"/>
              </w:rPr>
            </w:pPr>
            <w:r w:rsidRPr="00862AF9">
              <w:rPr>
                <w:rFonts w:ascii="Calibri" w:hAnsi="Calibri"/>
                <w:sz w:val="20"/>
                <w:szCs w:val="20"/>
              </w:rPr>
              <w:t xml:space="preserve">The review identifies five key contextual factors that influence the performance of CHWs. (1) Community and socio-cultural factors: social and cultural norms, values, practices and beliefs, gender roles and norms, disease-related stigma, safety and security, and education and knowledge level of the CHW beneficiaries. (2) Economic factors: the influence of poverty on one’s willingness to become a CHW, on the health-care seeking behavior of beneficiaries; and on the generalized stress experienced by CHWs and communities. (3) Environmental factors: geography, distance to households, and climate (such as flooding). (4) Health system policies, such as human resources policy, CHW policy, CHW-related legislation, and political commitment. (5) Health system conditions, such as the functionality of health system, the availability of higher-level staff, the decision-making structure, the costs of health services, and the governance/coordination structure. </w:t>
            </w:r>
          </w:p>
        </w:tc>
      </w:tr>
      <w:tr w:rsidR="00862AF9" w:rsidRPr="00862AF9" w14:paraId="36AA1380" w14:textId="77777777" w:rsidTr="00204FA4">
        <w:trPr>
          <w:trHeight w:val="320"/>
        </w:trPr>
        <w:tc>
          <w:tcPr>
            <w:tcW w:w="1167" w:type="dxa"/>
            <w:shd w:val="clear" w:color="auto" w:fill="auto"/>
            <w:noWrap/>
            <w:vAlign w:val="bottom"/>
          </w:tcPr>
          <w:p w14:paraId="227CD746" w14:textId="77777777" w:rsidR="00862AF9" w:rsidRPr="00862AF9" w:rsidRDefault="00862AF9" w:rsidP="00E96A82">
            <w:pPr>
              <w:spacing w:after="0"/>
              <w:rPr>
                <w:rFonts w:ascii="Calibri" w:hAnsi="Calibri"/>
                <w:sz w:val="20"/>
                <w:szCs w:val="20"/>
              </w:rPr>
            </w:pPr>
            <w:r w:rsidRPr="00862AF9">
              <w:rPr>
                <w:rFonts w:ascii="Calibri" w:hAnsi="Calibri"/>
                <w:sz w:val="20"/>
                <w:szCs w:val="20"/>
              </w:rPr>
              <w:t>McCollum</w:t>
            </w:r>
          </w:p>
        </w:tc>
        <w:tc>
          <w:tcPr>
            <w:tcW w:w="720" w:type="dxa"/>
            <w:shd w:val="clear" w:color="auto" w:fill="auto"/>
            <w:noWrap/>
            <w:vAlign w:val="bottom"/>
          </w:tcPr>
          <w:p w14:paraId="2A5B507A"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2016</w:t>
            </w:r>
          </w:p>
        </w:tc>
        <w:tc>
          <w:tcPr>
            <w:tcW w:w="900" w:type="dxa"/>
            <w:shd w:val="clear" w:color="auto" w:fill="auto"/>
            <w:noWrap/>
            <w:vAlign w:val="bottom"/>
          </w:tcPr>
          <w:p w14:paraId="0C2B2D11"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SR</w:t>
            </w:r>
          </w:p>
        </w:tc>
        <w:tc>
          <w:tcPr>
            <w:tcW w:w="10836" w:type="dxa"/>
            <w:shd w:val="clear" w:color="auto" w:fill="auto"/>
            <w:noWrap/>
            <w:vAlign w:val="bottom"/>
          </w:tcPr>
          <w:p w14:paraId="6F6CA95C" w14:textId="141E28F2" w:rsidR="00862AF9" w:rsidRPr="00862AF9" w:rsidRDefault="00862AF9" w:rsidP="00E96A82">
            <w:pPr>
              <w:spacing w:after="0"/>
              <w:rPr>
                <w:rFonts w:ascii="Calibri" w:hAnsi="Calibri"/>
                <w:sz w:val="20"/>
                <w:szCs w:val="20"/>
              </w:rPr>
            </w:pPr>
            <w:r w:rsidRPr="00862AF9">
              <w:rPr>
                <w:rFonts w:ascii="Calibri" w:hAnsi="Calibri"/>
                <w:sz w:val="20"/>
                <w:szCs w:val="20"/>
              </w:rPr>
              <w:t xml:space="preserve">CHW </w:t>
            </w:r>
            <w:r w:rsidR="00596987">
              <w:rPr>
                <w:rFonts w:ascii="Calibri" w:hAnsi="Calibri"/>
                <w:sz w:val="20"/>
                <w:szCs w:val="20"/>
              </w:rPr>
              <w:t>program</w:t>
            </w:r>
            <w:r w:rsidRPr="00862AF9">
              <w:rPr>
                <w:rFonts w:ascii="Calibri" w:hAnsi="Calibri"/>
                <w:sz w:val="20"/>
                <w:szCs w:val="20"/>
              </w:rPr>
              <w:t xml:space="preserve">s were found to promote equity of healthcare access and utilisation by reducing inequities relating to place of residence, gender, education and socio-economic position and supporting more equitable uptake of referrals. There was no clear evidence for equitable quality of services provided by CHWs and limited information regarding the role of the CHW in generating community empowerment to respond to social determinants of health. However, if CHW </w:t>
            </w:r>
            <w:r w:rsidR="00596987">
              <w:rPr>
                <w:rFonts w:ascii="Calibri" w:hAnsi="Calibri"/>
                <w:sz w:val="20"/>
                <w:szCs w:val="20"/>
              </w:rPr>
              <w:t>program</w:t>
            </w:r>
            <w:r w:rsidRPr="00862AF9">
              <w:rPr>
                <w:rFonts w:ascii="Calibri" w:hAnsi="Calibri"/>
                <w:sz w:val="20"/>
                <w:szCs w:val="20"/>
              </w:rPr>
              <w:t xml:space="preserve">s are not well planned some of the barriers faced by clients at health facility level can replicate at community level. </w:t>
            </w:r>
          </w:p>
        </w:tc>
      </w:tr>
      <w:tr w:rsidR="00862AF9" w:rsidRPr="00862AF9" w14:paraId="69ECDA5D" w14:textId="77777777" w:rsidTr="00204FA4">
        <w:trPr>
          <w:cantSplit/>
          <w:trHeight w:val="320"/>
        </w:trPr>
        <w:tc>
          <w:tcPr>
            <w:tcW w:w="1167" w:type="dxa"/>
            <w:shd w:val="clear" w:color="auto" w:fill="auto"/>
            <w:noWrap/>
            <w:vAlign w:val="bottom"/>
            <w:hideMark/>
          </w:tcPr>
          <w:p w14:paraId="35BAF0B0" w14:textId="77777777" w:rsidR="00862AF9" w:rsidRPr="00862AF9" w:rsidRDefault="00862AF9" w:rsidP="00E96A82">
            <w:pPr>
              <w:spacing w:after="0"/>
              <w:rPr>
                <w:rFonts w:ascii="Calibri" w:hAnsi="Calibri"/>
                <w:sz w:val="20"/>
                <w:szCs w:val="20"/>
              </w:rPr>
            </w:pPr>
            <w:r w:rsidRPr="00862AF9">
              <w:rPr>
                <w:rFonts w:ascii="Calibri" w:hAnsi="Calibri"/>
                <w:sz w:val="20"/>
                <w:szCs w:val="20"/>
              </w:rPr>
              <w:t>Vaughan</w:t>
            </w:r>
          </w:p>
        </w:tc>
        <w:tc>
          <w:tcPr>
            <w:tcW w:w="720" w:type="dxa"/>
            <w:shd w:val="clear" w:color="auto" w:fill="auto"/>
            <w:noWrap/>
            <w:vAlign w:val="bottom"/>
            <w:hideMark/>
          </w:tcPr>
          <w:p w14:paraId="5FB06BF3"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2015</w:t>
            </w:r>
          </w:p>
        </w:tc>
        <w:tc>
          <w:tcPr>
            <w:tcW w:w="900" w:type="dxa"/>
            <w:shd w:val="clear" w:color="auto" w:fill="auto"/>
            <w:noWrap/>
            <w:vAlign w:val="bottom"/>
            <w:hideMark/>
          </w:tcPr>
          <w:p w14:paraId="0E2A2538" w14:textId="77777777" w:rsidR="00862AF9" w:rsidRPr="00862AF9" w:rsidRDefault="00862AF9" w:rsidP="00E96A82">
            <w:pPr>
              <w:spacing w:after="0"/>
              <w:jc w:val="center"/>
              <w:rPr>
                <w:rFonts w:ascii="Calibri" w:hAnsi="Calibri"/>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hideMark/>
          </w:tcPr>
          <w:p w14:paraId="01E283F4" w14:textId="77777777" w:rsidR="00862AF9" w:rsidRPr="00862AF9" w:rsidRDefault="00862AF9" w:rsidP="00E96A82">
            <w:pPr>
              <w:spacing w:after="0"/>
              <w:rPr>
                <w:rFonts w:ascii="Calibri" w:hAnsi="Calibri"/>
                <w:sz w:val="20"/>
                <w:szCs w:val="20"/>
              </w:rPr>
            </w:pPr>
            <w:r w:rsidRPr="00862AF9">
              <w:rPr>
                <w:rFonts w:ascii="Calibri" w:hAnsi="Calibri"/>
                <w:sz w:val="20"/>
                <w:szCs w:val="20"/>
              </w:rPr>
              <w:t>Existing evidence suggests that, compared with standard care, using CHWs in health programs can be a cost-effective intervention in LMICs, particularly for tuberculosis, but also – although the evidence is weaker – in other areas such as reproductive, maternal, newborn and child health and malaria.</w:t>
            </w:r>
          </w:p>
        </w:tc>
      </w:tr>
      <w:tr w:rsidR="00862AF9" w:rsidRPr="00862AF9" w14:paraId="0B7668F7" w14:textId="77777777" w:rsidTr="00204FA4">
        <w:trPr>
          <w:trHeight w:val="320"/>
        </w:trPr>
        <w:tc>
          <w:tcPr>
            <w:tcW w:w="1167" w:type="dxa"/>
            <w:shd w:val="clear" w:color="auto" w:fill="auto"/>
            <w:noWrap/>
            <w:vAlign w:val="bottom"/>
            <w:hideMark/>
          </w:tcPr>
          <w:p w14:paraId="3E8220DE" w14:textId="77777777" w:rsidR="00862AF9" w:rsidRPr="00862AF9" w:rsidRDefault="00862AF9" w:rsidP="00E96A82">
            <w:pPr>
              <w:spacing w:after="0"/>
              <w:rPr>
                <w:rFonts w:ascii="Calibri" w:hAnsi="Calibri"/>
                <w:sz w:val="20"/>
                <w:szCs w:val="20"/>
              </w:rPr>
            </w:pPr>
            <w:r w:rsidRPr="00862AF9">
              <w:rPr>
                <w:rFonts w:ascii="Calibri" w:hAnsi="Calibri"/>
                <w:sz w:val="20"/>
                <w:szCs w:val="20"/>
              </w:rPr>
              <w:t>WHO/ GHWA</w:t>
            </w:r>
          </w:p>
        </w:tc>
        <w:tc>
          <w:tcPr>
            <w:tcW w:w="720" w:type="dxa"/>
            <w:shd w:val="clear" w:color="auto" w:fill="auto"/>
            <w:noWrap/>
            <w:vAlign w:val="bottom"/>
            <w:hideMark/>
          </w:tcPr>
          <w:p w14:paraId="2133B187"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2010</w:t>
            </w:r>
          </w:p>
        </w:tc>
        <w:tc>
          <w:tcPr>
            <w:tcW w:w="900" w:type="dxa"/>
            <w:shd w:val="clear" w:color="auto" w:fill="auto"/>
            <w:noWrap/>
            <w:vAlign w:val="bottom"/>
            <w:hideMark/>
          </w:tcPr>
          <w:p w14:paraId="572E4974"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NSR</w:t>
            </w:r>
          </w:p>
        </w:tc>
        <w:tc>
          <w:tcPr>
            <w:tcW w:w="10836" w:type="dxa"/>
            <w:shd w:val="clear" w:color="auto" w:fill="auto"/>
            <w:noWrap/>
            <w:vAlign w:val="bottom"/>
            <w:hideMark/>
          </w:tcPr>
          <w:p w14:paraId="25C4D6F0" w14:textId="77777777" w:rsidR="00862AF9" w:rsidRPr="00862AF9" w:rsidRDefault="00862AF9" w:rsidP="00E96A82">
            <w:pPr>
              <w:spacing w:after="0"/>
              <w:rPr>
                <w:rFonts w:ascii="Calibri" w:hAnsi="Calibri"/>
                <w:sz w:val="20"/>
                <w:szCs w:val="20"/>
              </w:rPr>
            </w:pPr>
            <w:r w:rsidRPr="00862AF9">
              <w:rPr>
                <w:rFonts w:ascii="Calibri" w:hAnsi="Calibri"/>
                <w:sz w:val="20"/>
                <w:szCs w:val="20"/>
              </w:rPr>
              <w:t>Almost all of the intervention studies involving CHWs showed a significant impact on reducing maternal, perinatal and neonatal mortality and on improving perinatal and postpartum service utilization indicators. CHWs provide a range of services, from safe deliveries to counseling and preventive health education to the treatment and rehabilitation of people suffering from common mental health problems. The services offered by CHWs have helped in the decline of maternal and child mortality rates and have decreased the incidence of TB and malaria.</w:t>
            </w:r>
          </w:p>
        </w:tc>
      </w:tr>
    </w:tbl>
    <w:p w14:paraId="58A592E9" w14:textId="77777777" w:rsidR="00862AF9" w:rsidRPr="00862AF9" w:rsidRDefault="00862AF9" w:rsidP="00E96A82">
      <w:pPr>
        <w:spacing w:after="0"/>
        <w:rPr>
          <w:rFonts w:ascii="Calibri" w:hAnsi="Calibri"/>
        </w:rPr>
      </w:pPr>
    </w:p>
    <w:p w14:paraId="6301E3E9" w14:textId="2A591CA8" w:rsidR="00862AF9" w:rsidRPr="00862AF9" w:rsidRDefault="006913E4" w:rsidP="00E96A82">
      <w:pPr>
        <w:spacing w:after="0"/>
        <w:rPr>
          <w:rFonts w:ascii="Calibri" w:hAnsi="Calibri"/>
        </w:rPr>
      </w:pPr>
      <w:r>
        <w:rPr>
          <w:rFonts w:ascii="Calibri" w:hAnsi="Calibri"/>
        </w:rPr>
        <w:t>Seven</w:t>
      </w:r>
      <w:r w:rsidR="00FB56F6" w:rsidRPr="00862AF9">
        <w:rPr>
          <w:rFonts w:ascii="Calibri" w:hAnsi="Calibri"/>
        </w:rPr>
        <w:t xml:space="preserve"> </w:t>
      </w:r>
      <w:r w:rsidR="00862AF9" w:rsidRPr="00862AF9">
        <w:rPr>
          <w:rFonts w:ascii="Calibri" w:hAnsi="Calibri"/>
        </w:rPr>
        <w:t>reviews examined CBPs in LMIC health systems, addressing how best to scale up and sustain CHW programs and the factors that influence CHW program integration into the health system (</w:t>
      </w:r>
      <w:r w:rsidR="00862AF9" w:rsidRPr="00862AF9">
        <w:rPr>
          <w:rFonts w:ascii="Calibri" w:hAnsi="Calibri"/>
        </w:rPr>
        <w:fldChar w:fldCharType="begin"/>
      </w:r>
      <w:r w:rsidR="00862AF9" w:rsidRPr="00862AF9">
        <w:rPr>
          <w:rFonts w:ascii="Calibri" w:hAnsi="Calibri"/>
        </w:rPr>
        <w:instrText xml:space="preserve"> REF _Ref332756234 \h </w:instrText>
      </w:r>
      <w:r w:rsidR="00862AF9" w:rsidRPr="00862AF9">
        <w:rPr>
          <w:rFonts w:ascii="Calibri" w:hAnsi="Calibri"/>
        </w:rPr>
      </w:r>
      <w:r w:rsidR="00862AF9"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7</w:t>
      </w:r>
      <w:r w:rsidR="00862AF9" w:rsidRPr="00862AF9">
        <w:rPr>
          <w:rFonts w:ascii="Calibri" w:hAnsi="Calibri"/>
        </w:rPr>
        <w:fldChar w:fldCharType="end"/>
      </w:r>
      <w:r w:rsidR="00862AF9" w:rsidRPr="00862AF9">
        <w:rPr>
          <w:rFonts w:ascii="Calibri" w:hAnsi="Calibri"/>
        </w:rPr>
        <w:t>).</w:t>
      </w:r>
    </w:p>
    <w:p w14:paraId="5A9157BB" w14:textId="61C09923" w:rsidR="00290A5F" w:rsidRDefault="00290A5F"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5DFCBE03" w14:textId="77777777" w:rsidTr="00204FA4">
        <w:trPr>
          <w:cantSplit/>
          <w:trHeight w:val="320"/>
          <w:tblHeader/>
        </w:trPr>
        <w:tc>
          <w:tcPr>
            <w:tcW w:w="13623" w:type="dxa"/>
            <w:gridSpan w:val="4"/>
            <w:tcBorders>
              <w:top w:val="nil"/>
              <w:left w:val="nil"/>
              <w:bottom w:val="single" w:sz="4" w:space="0" w:color="auto"/>
              <w:right w:val="nil"/>
            </w:tcBorders>
            <w:shd w:val="clear" w:color="000000" w:fill="auto"/>
            <w:noWrap/>
          </w:tcPr>
          <w:p w14:paraId="14DF84F7" w14:textId="77777777" w:rsidR="00862AF9" w:rsidRPr="00862AF9" w:rsidRDefault="00862AF9" w:rsidP="00E96A82">
            <w:pPr>
              <w:pStyle w:val="atable"/>
              <w:rPr>
                <w:rFonts w:ascii="Calibri" w:eastAsia="Times New Roman" w:hAnsi="Calibri" w:cs="Times New Roman"/>
                <w:bCs/>
                <w:color w:val="000000"/>
                <w:szCs w:val="22"/>
                <w:lang w:val="en-US"/>
              </w:rPr>
            </w:pPr>
            <w:bookmarkStart w:id="22" w:name="_Ref332756234"/>
            <w:bookmarkStart w:id="23" w:name="_Toc346537977"/>
            <w:bookmarkStart w:id="24" w:name="_Toc387399717"/>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7</w:t>
            </w:r>
            <w:r w:rsidRPr="00862AF9">
              <w:rPr>
                <w:rFonts w:ascii="Calibri" w:hAnsi="Calibri"/>
                <w:szCs w:val="22"/>
                <w:lang w:val="en-US"/>
              </w:rPr>
              <w:fldChar w:fldCharType="end"/>
            </w:r>
            <w:bookmarkEnd w:id="22"/>
            <w:r w:rsidRPr="00862AF9">
              <w:rPr>
                <w:rFonts w:ascii="Calibri" w:hAnsi="Calibri"/>
                <w:szCs w:val="22"/>
                <w:lang w:val="en-US"/>
              </w:rPr>
              <w:t>. Health system-related LMIC reviews</w:t>
            </w:r>
            <w:bookmarkEnd w:id="23"/>
            <w:bookmarkEnd w:id="24"/>
          </w:p>
        </w:tc>
      </w:tr>
      <w:tr w:rsidR="00862AF9" w:rsidRPr="00862AF9" w14:paraId="3D4AFA97" w14:textId="77777777" w:rsidTr="00204FA4">
        <w:trPr>
          <w:cantSplit/>
          <w:trHeight w:val="320"/>
          <w:tblHeader/>
        </w:trPr>
        <w:tc>
          <w:tcPr>
            <w:tcW w:w="1148" w:type="dxa"/>
            <w:tcBorders>
              <w:top w:val="single" w:sz="4" w:space="0" w:color="auto"/>
            </w:tcBorders>
            <w:shd w:val="clear" w:color="000000" w:fill="D9D9D9"/>
            <w:noWrap/>
            <w:vAlign w:val="bottom"/>
          </w:tcPr>
          <w:p w14:paraId="44126177"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tcPr>
          <w:p w14:paraId="1031ED0C"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tcPr>
          <w:p w14:paraId="665F9E87"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tcPr>
          <w:p w14:paraId="7D519195"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FB56F6" w:rsidRPr="00862AF9" w14:paraId="3A219AAF" w14:textId="77777777" w:rsidTr="00204FA4">
        <w:trPr>
          <w:cantSplit/>
          <w:trHeight w:val="320"/>
        </w:trPr>
        <w:tc>
          <w:tcPr>
            <w:tcW w:w="1148" w:type="dxa"/>
            <w:tcBorders>
              <w:bottom w:val="single" w:sz="4" w:space="0" w:color="auto"/>
            </w:tcBorders>
            <w:shd w:val="clear" w:color="auto" w:fill="auto"/>
            <w:noWrap/>
            <w:vAlign w:val="bottom"/>
          </w:tcPr>
          <w:p w14:paraId="1B912F70" w14:textId="46EF6356" w:rsidR="00FB56F6" w:rsidRPr="00862AF9" w:rsidRDefault="00FB56F6" w:rsidP="00E96A82">
            <w:pPr>
              <w:spacing w:after="0"/>
              <w:rPr>
                <w:rFonts w:ascii="Calibri" w:hAnsi="Calibri"/>
                <w:sz w:val="20"/>
                <w:szCs w:val="20"/>
              </w:rPr>
            </w:pPr>
            <w:r w:rsidRPr="00FB56F6">
              <w:rPr>
                <w:rFonts w:ascii="Calibri" w:hAnsi="Calibri"/>
                <w:sz w:val="20"/>
                <w:szCs w:val="20"/>
              </w:rPr>
              <w:t>Baatiema</w:t>
            </w:r>
          </w:p>
        </w:tc>
        <w:tc>
          <w:tcPr>
            <w:tcW w:w="739" w:type="dxa"/>
            <w:tcBorders>
              <w:bottom w:val="single" w:sz="4" w:space="0" w:color="auto"/>
            </w:tcBorders>
            <w:shd w:val="clear" w:color="auto" w:fill="auto"/>
            <w:noWrap/>
            <w:vAlign w:val="bottom"/>
          </w:tcPr>
          <w:p w14:paraId="2BD59648" w14:textId="13605A53" w:rsidR="00FB56F6" w:rsidRPr="00862AF9" w:rsidRDefault="00FB56F6" w:rsidP="00E96A82">
            <w:pPr>
              <w:spacing w:after="0"/>
              <w:jc w:val="center"/>
              <w:rPr>
                <w:rFonts w:ascii="Calibri" w:hAnsi="Calibri"/>
                <w:sz w:val="20"/>
                <w:szCs w:val="20"/>
              </w:rPr>
            </w:pPr>
            <w:r>
              <w:rPr>
                <w:rFonts w:ascii="Calibri" w:hAnsi="Calibri"/>
                <w:sz w:val="20"/>
                <w:szCs w:val="20"/>
              </w:rPr>
              <w:t>2016</w:t>
            </w:r>
          </w:p>
        </w:tc>
        <w:tc>
          <w:tcPr>
            <w:tcW w:w="900" w:type="dxa"/>
            <w:tcBorders>
              <w:bottom w:val="single" w:sz="4" w:space="0" w:color="auto"/>
            </w:tcBorders>
            <w:shd w:val="clear" w:color="auto" w:fill="auto"/>
            <w:noWrap/>
            <w:vAlign w:val="bottom"/>
          </w:tcPr>
          <w:p w14:paraId="3BF323A5" w14:textId="7275EC7A" w:rsidR="00FB56F6" w:rsidRPr="00862AF9" w:rsidRDefault="00FB56F6" w:rsidP="00E96A82">
            <w:pPr>
              <w:spacing w:after="0"/>
              <w:jc w:val="center"/>
              <w:rPr>
                <w:rFonts w:ascii="Calibri" w:hAnsi="Calibri"/>
                <w:sz w:val="20"/>
                <w:szCs w:val="20"/>
              </w:rPr>
            </w:pPr>
            <w:r>
              <w:rPr>
                <w:rFonts w:ascii="Calibri" w:hAnsi="Calibri"/>
                <w:sz w:val="20"/>
                <w:szCs w:val="20"/>
              </w:rPr>
              <w:t>NSR</w:t>
            </w:r>
          </w:p>
        </w:tc>
        <w:tc>
          <w:tcPr>
            <w:tcW w:w="10836" w:type="dxa"/>
            <w:tcBorders>
              <w:bottom w:val="single" w:sz="4" w:space="0" w:color="auto"/>
            </w:tcBorders>
            <w:shd w:val="clear" w:color="auto" w:fill="auto"/>
            <w:noWrap/>
            <w:vAlign w:val="bottom"/>
          </w:tcPr>
          <w:p w14:paraId="79AB4276" w14:textId="30D59C62" w:rsidR="00FB56F6" w:rsidRPr="00862AF9" w:rsidRDefault="00FB56F6" w:rsidP="00E96A82">
            <w:pPr>
              <w:spacing w:after="0"/>
              <w:rPr>
                <w:rFonts w:ascii="Calibri" w:hAnsi="Calibri"/>
                <w:sz w:val="20"/>
                <w:szCs w:val="20"/>
              </w:rPr>
            </w:pPr>
            <w:r>
              <w:rPr>
                <w:rFonts w:ascii="Calibri" w:hAnsi="Calibri"/>
                <w:sz w:val="20"/>
                <w:szCs w:val="20"/>
              </w:rPr>
              <w:t xml:space="preserve">In Ghana, </w:t>
            </w:r>
            <w:r w:rsidRPr="00FB56F6">
              <w:rPr>
                <w:rFonts w:ascii="Calibri" w:hAnsi="Calibri"/>
                <w:sz w:val="20"/>
                <w:szCs w:val="20"/>
              </w:rPr>
              <w:t>CHWs have played critical roles in improving health service delivery and outcomes</w:t>
            </w:r>
            <w:r w:rsidR="00EB0728">
              <w:rPr>
                <w:rFonts w:ascii="Calibri" w:hAnsi="Calibri"/>
                <w:sz w:val="20"/>
                <w:szCs w:val="20"/>
              </w:rPr>
              <w:t xml:space="preserve">. Examples </w:t>
            </w:r>
            <w:r w:rsidRPr="00FB56F6">
              <w:rPr>
                <w:rFonts w:ascii="Calibri" w:hAnsi="Calibri"/>
                <w:sz w:val="20"/>
                <w:szCs w:val="20"/>
              </w:rPr>
              <w:t>includ</w:t>
            </w:r>
            <w:r w:rsidR="00EB0728">
              <w:rPr>
                <w:rFonts w:ascii="Calibri" w:hAnsi="Calibri"/>
                <w:sz w:val="20"/>
                <w:szCs w:val="20"/>
              </w:rPr>
              <w:t>e their contribution to</w:t>
            </w:r>
            <w:r w:rsidRPr="00FB56F6">
              <w:rPr>
                <w:rFonts w:ascii="Calibri" w:hAnsi="Calibri"/>
                <w:sz w:val="20"/>
                <w:szCs w:val="20"/>
              </w:rPr>
              <w:t xml:space="preserve"> guinea wo</w:t>
            </w:r>
            <w:r>
              <w:rPr>
                <w:rFonts w:ascii="Calibri" w:hAnsi="Calibri"/>
                <w:sz w:val="20"/>
                <w:szCs w:val="20"/>
              </w:rPr>
              <w:t>rm eradication, expanded immuniz</w:t>
            </w:r>
            <w:r w:rsidRPr="00FB56F6">
              <w:rPr>
                <w:rFonts w:ascii="Calibri" w:hAnsi="Calibri"/>
                <w:sz w:val="20"/>
                <w:szCs w:val="20"/>
              </w:rPr>
              <w:t>atio</w:t>
            </w:r>
            <w:r>
              <w:rPr>
                <w:rFonts w:ascii="Calibri" w:hAnsi="Calibri"/>
                <w:sz w:val="20"/>
                <w:szCs w:val="20"/>
              </w:rPr>
              <w:t xml:space="preserve">n coverage, maternal and child </w:t>
            </w:r>
            <w:r w:rsidRPr="00FB56F6">
              <w:rPr>
                <w:rFonts w:ascii="Calibri" w:hAnsi="Calibri"/>
                <w:sz w:val="20"/>
                <w:szCs w:val="20"/>
              </w:rPr>
              <w:t>health, and HIV/AIDS treatment and management. However, these achievements notwithstanding, CHWs face challenges which prevent them from being optimally productive, including capacity problems, neglect by the healthcare system, high attrition rates and inadequate supervision.</w:t>
            </w:r>
            <w:r>
              <w:rPr>
                <w:rFonts w:ascii="Calibri" w:hAnsi="Calibri"/>
                <w:sz w:val="20"/>
                <w:szCs w:val="20"/>
              </w:rPr>
              <w:t xml:space="preserve"> There is a policy deficit regarding CBPs in Ghana</w:t>
            </w:r>
            <w:r w:rsidR="0011573E">
              <w:rPr>
                <w:rFonts w:ascii="Calibri" w:hAnsi="Calibri"/>
                <w:sz w:val="20"/>
                <w:szCs w:val="20"/>
              </w:rPr>
              <w:t xml:space="preserve">. There is </w:t>
            </w:r>
            <w:r>
              <w:rPr>
                <w:rFonts w:ascii="Calibri" w:hAnsi="Calibri"/>
                <w:sz w:val="20"/>
                <w:szCs w:val="20"/>
              </w:rPr>
              <w:t xml:space="preserve">no national framework to guide CBPs, no formal integration into the health system, and a dearth of </w:t>
            </w:r>
            <w:r w:rsidR="00F92BBC">
              <w:rPr>
                <w:rFonts w:ascii="Calibri" w:hAnsi="Calibri"/>
                <w:sz w:val="20"/>
                <w:szCs w:val="20"/>
              </w:rPr>
              <w:t>logistic</w:t>
            </w:r>
            <w:r w:rsidR="0011573E">
              <w:rPr>
                <w:rFonts w:ascii="Calibri" w:hAnsi="Calibri"/>
                <w:sz w:val="20"/>
                <w:szCs w:val="20"/>
              </w:rPr>
              <w:t>al</w:t>
            </w:r>
            <w:r w:rsidR="00F92BBC">
              <w:rPr>
                <w:rFonts w:ascii="Calibri" w:hAnsi="Calibri"/>
                <w:sz w:val="20"/>
                <w:szCs w:val="20"/>
              </w:rPr>
              <w:t xml:space="preserve"> </w:t>
            </w:r>
            <w:r>
              <w:rPr>
                <w:rFonts w:ascii="Calibri" w:hAnsi="Calibri"/>
                <w:sz w:val="20"/>
                <w:szCs w:val="20"/>
              </w:rPr>
              <w:t xml:space="preserve">support, </w:t>
            </w:r>
            <w:r w:rsidR="00F92BBC">
              <w:rPr>
                <w:rFonts w:ascii="Calibri" w:hAnsi="Calibri"/>
                <w:sz w:val="20"/>
                <w:szCs w:val="20"/>
              </w:rPr>
              <w:t>capacity development, career opportunity</w:t>
            </w:r>
            <w:r w:rsidR="008B4BD7">
              <w:rPr>
                <w:rFonts w:ascii="Calibri" w:hAnsi="Calibri"/>
                <w:sz w:val="20"/>
                <w:szCs w:val="20"/>
              </w:rPr>
              <w:t>,</w:t>
            </w:r>
            <w:r>
              <w:rPr>
                <w:rFonts w:ascii="Calibri" w:hAnsi="Calibri"/>
                <w:sz w:val="20"/>
                <w:szCs w:val="20"/>
              </w:rPr>
              <w:t xml:space="preserve"> and </w:t>
            </w:r>
            <w:r w:rsidR="00F92BBC">
              <w:rPr>
                <w:rFonts w:ascii="Calibri" w:hAnsi="Calibri"/>
                <w:sz w:val="20"/>
                <w:szCs w:val="20"/>
              </w:rPr>
              <w:t xml:space="preserve">financial security. </w:t>
            </w:r>
          </w:p>
        </w:tc>
      </w:tr>
      <w:tr w:rsidR="00403DB8" w:rsidRPr="00862AF9" w14:paraId="3D0854AD" w14:textId="77777777" w:rsidTr="00204FA4">
        <w:trPr>
          <w:cantSplit/>
          <w:trHeight w:val="320"/>
        </w:trPr>
        <w:tc>
          <w:tcPr>
            <w:tcW w:w="1148" w:type="dxa"/>
            <w:tcBorders>
              <w:bottom w:val="single" w:sz="4" w:space="0" w:color="auto"/>
            </w:tcBorders>
            <w:shd w:val="clear" w:color="auto" w:fill="auto"/>
            <w:noWrap/>
            <w:vAlign w:val="bottom"/>
          </w:tcPr>
          <w:p w14:paraId="1FB27ADA" w14:textId="4BDABE93" w:rsidR="00403DB8" w:rsidRPr="00FB56F6" w:rsidRDefault="00403DB8" w:rsidP="00E96A82">
            <w:pPr>
              <w:spacing w:after="0"/>
              <w:rPr>
                <w:rFonts w:ascii="Calibri" w:hAnsi="Calibri"/>
                <w:sz w:val="20"/>
                <w:szCs w:val="20"/>
              </w:rPr>
            </w:pPr>
            <w:r>
              <w:rPr>
                <w:rFonts w:ascii="Calibri" w:hAnsi="Calibri"/>
                <w:sz w:val="20"/>
                <w:szCs w:val="20"/>
              </w:rPr>
              <w:t xml:space="preserve">Kok, </w:t>
            </w:r>
            <w:r w:rsidR="006913E4">
              <w:rPr>
                <w:rFonts w:ascii="Calibri" w:hAnsi="Calibri"/>
                <w:sz w:val="20"/>
                <w:szCs w:val="20"/>
              </w:rPr>
              <w:t>Dieleman</w:t>
            </w:r>
            <w:r w:rsidR="005C3DEF">
              <w:rPr>
                <w:rFonts w:ascii="Calibri" w:hAnsi="Calibri"/>
                <w:sz w:val="20"/>
                <w:szCs w:val="20"/>
              </w:rPr>
              <w:t>, et al.</w:t>
            </w:r>
          </w:p>
        </w:tc>
        <w:tc>
          <w:tcPr>
            <w:tcW w:w="739" w:type="dxa"/>
            <w:tcBorders>
              <w:bottom w:val="single" w:sz="4" w:space="0" w:color="auto"/>
            </w:tcBorders>
            <w:shd w:val="clear" w:color="auto" w:fill="auto"/>
            <w:noWrap/>
            <w:vAlign w:val="bottom"/>
          </w:tcPr>
          <w:p w14:paraId="1D1FBE9C" w14:textId="5FF10E19" w:rsidR="00403DB8" w:rsidRDefault="00403DB8" w:rsidP="00E96A82">
            <w:pPr>
              <w:spacing w:after="0"/>
              <w:jc w:val="center"/>
              <w:rPr>
                <w:rFonts w:ascii="Calibri" w:hAnsi="Calibri"/>
                <w:sz w:val="20"/>
                <w:szCs w:val="20"/>
              </w:rPr>
            </w:pPr>
            <w:r>
              <w:rPr>
                <w:rFonts w:ascii="Calibri" w:hAnsi="Calibri"/>
                <w:sz w:val="20"/>
                <w:szCs w:val="20"/>
              </w:rPr>
              <w:t>2015</w:t>
            </w:r>
          </w:p>
        </w:tc>
        <w:tc>
          <w:tcPr>
            <w:tcW w:w="900" w:type="dxa"/>
            <w:tcBorders>
              <w:bottom w:val="single" w:sz="4" w:space="0" w:color="auto"/>
            </w:tcBorders>
            <w:shd w:val="clear" w:color="auto" w:fill="auto"/>
            <w:noWrap/>
            <w:vAlign w:val="bottom"/>
          </w:tcPr>
          <w:p w14:paraId="65E0301A" w14:textId="3DB6B943" w:rsidR="00403DB8" w:rsidRDefault="00403DB8" w:rsidP="00E96A82">
            <w:pPr>
              <w:spacing w:after="0"/>
              <w:jc w:val="center"/>
              <w:rPr>
                <w:rFonts w:ascii="Calibri" w:hAnsi="Calibri"/>
                <w:sz w:val="20"/>
                <w:szCs w:val="20"/>
              </w:rPr>
            </w:pPr>
            <w:r>
              <w:rPr>
                <w:rFonts w:ascii="Calibri" w:hAnsi="Calibri"/>
                <w:sz w:val="20"/>
                <w:szCs w:val="20"/>
              </w:rPr>
              <w:t>SR</w:t>
            </w:r>
          </w:p>
        </w:tc>
        <w:tc>
          <w:tcPr>
            <w:tcW w:w="10836" w:type="dxa"/>
            <w:tcBorders>
              <w:bottom w:val="single" w:sz="4" w:space="0" w:color="auto"/>
            </w:tcBorders>
            <w:shd w:val="clear" w:color="auto" w:fill="auto"/>
            <w:noWrap/>
            <w:vAlign w:val="bottom"/>
          </w:tcPr>
          <w:p w14:paraId="64A22F95" w14:textId="543DAF87" w:rsidR="00403DB8" w:rsidRDefault="00403DB8" w:rsidP="00403DB8">
            <w:pPr>
              <w:spacing w:after="0"/>
              <w:rPr>
                <w:rFonts w:ascii="Calibri" w:hAnsi="Calibri"/>
                <w:sz w:val="20"/>
                <w:szCs w:val="20"/>
              </w:rPr>
            </w:pPr>
            <w:r>
              <w:rPr>
                <w:rFonts w:ascii="Calibri" w:hAnsi="Calibri"/>
                <w:sz w:val="20"/>
                <w:szCs w:val="20"/>
              </w:rPr>
              <w:t xml:space="preserve">CHW performance can, at least in certain settings, be enhanced through a </w:t>
            </w:r>
            <w:r w:rsidRPr="00403DB8">
              <w:rPr>
                <w:rFonts w:ascii="Calibri" w:hAnsi="Calibri"/>
                <w:sz w:val="20"/>
                <w:szCs w:val="20"/>
              </w:rPr>
              <w:t>mix of financial and non-financial incen</w:t>
            </w:r>
            <w:r>
              <w:rPr>
                <w:rFonts w:ascii="Calibri" w:hAnsi="Calibri"/>
                <w:sz w:val="20"/>
                <w:szCs w:val="20"/>
              </w:rPr>
              <w:t xml:space="preserve">tives, frequent supervision, </w:t>
            </w:r>
            <w:r w:rsidRPr="00403DB8">
              <w:rPr>
                <w:rFonts w:ascii="Calibri" w:hAnsi="Calibri"/>
                <w:sz w:val="20"/>
                <w:szCs w:val="20"/>
              </w:rPr>
              <w:t>continuous training</w:t>
            </w:r>
            <w:r>
              <w:rPr>
                <w:rFonts w:ascii="Calibri" w:hAnsi="Calibri"/>
                <w:sz w:val="20"/>
                <w:szCs w:val="20"/>
              </w:rPr>
              <w:t>, and the e</w:t>
            </w:r>
            <w:r w:rsidRPr="00403DB8">
              <w:rPr>
                <w:rFonts w:ascii="Calibri" w:hAnsi="Calibri"/>
                <w:sz w:val="20"/>
                <w:szCs w:val="20"/>
              </w:rPr>
              <w:t>mbedment of CHWs in community and health systems.</w:t>
            </w:r>
            <w:r>
              <w:rPr>
                <w:rFonts w:ascii="Calibri" w:hAnsi="Calibri"/>
                <w:sz w:val="20"/>
                <w:szCs w:val="20"/>
              </w:rPr>
              <w:t xml:space="preserve"> While s</w:t>
            </w:r>
            <w:r w:rsidRPr="00403DB8">
              <w:rPr>
                <w:rFonts w:ascii="Calibri" w:hAnsi="Calibri"/>
                <w:sz w:val="20"/>
                <w:szCs w:val="20"/>
              </w:rPr>
              <w:t>upervision and training were often mentioned as facilitating factors, few studies tested which approach worked best or how these were best implemented. Clearly defined CHW roles</w:t>
            </w:r>
            <w:r>
              <w:rPr>
                <w:rFonts w:ascii="Calibri" w:hAnsi="Calibri"/>
                <w:sz w:val="20"/>
                <w:szCs w:val="20"/>
              </w:rPr>
              <w:t xml:space="preserve">, clear </w:t>
            </w:r>
            <w:r w:rsidRPr="00403DB8">
              <w:rPr>
                <w:rFonts w:ascii="Calibri" w:hAnsi="Calibri"/>
                <w:sz w:val="20"/>
                <w:szCs w:val="20"/>
              </w:rPr>
              <w:t>processes for communication among different levels of the health system</w:t>
            </w:r>
            <w:r>
              <w:rPr>
                <w:rFonts w:ascii="Calibri" w:hAnsi="Calibri"/>
                <w:sz w:val="20"/>
                <w:szCs w:val="20"/>
              </w:rPr>
              <w:t>, and providing incentives</w:t>
            </w:r>
            <w:r w:rsidRPr="00403DB8">
              <w:rPr>
                <w:rFonts w:ascii="Calibri" w:hAnsi="Calibri"/>
                <w:sz w:val="20"/>
                <w:szCs w:val="20"/>
              </w:rPr>
              <w:t xml:space="preserve"> </w:t>
            </w:r>
            <w:r>
              <w:rPr>
                <w:rFonts w:ascii="Calibri" w:hAnsi="Calibri"/>
                <w:sz w:val="20"/>
                <w:szCs w:val="20"/>
              </w:rPr>
              <w:t xml:space="preserve">in a predictable way </w:t>
            </w:r>
            <w:r w:rsidRPr="00403DB8">
              <w:rPr>
                <w:rFonts w:ascii="Calibri" w:hAnsi="Calibri"/>
                <w:sz w:val="20"/>
                <w:szCs w:val="20"/>
              </w:rPr>
              <w:t xml:space="preserve">could </w:t>
            </w:r>
            <w:r>
              <w:rPr>
                <w:rFonts w:ascii="Calibri" w:hAnsi="Calibri"/>
                <w:sz w:val="20"/>
                <w:szCs w:val="20"/>
              </w:rPr>
              <w:t xml:space="preserve">also </w:t>
            </w:r>
            <w:r w:rsidRPr="00403DB8">
              <w:rPr>
                <w:rFonts w:ascii="Calibri" w:hAnsi="Calibri"/>
                <w:sz w:val="20"/>
                <w:szCs w:val="20"/>
              </w:rPr>
              <w:t xml:space="preserve">strengthen CHW performance. </w:t>
            </w:r>
          </w:p>
        </w:tc>
      </w:tr>
      <w:tr w:rsidR="008B4BD7" w:rsidRPr="00862AF9" w14:paraId="5A6F6C01" w14:textId="77777777" w:rsidTr="00204FA4">
        <w:trPr>
          <w:cantSplit/>
          <w:trHeight w:val="320"/>
        </w:trPr>
        <w:tc>
          <w:tcPr>
            <w:tcW w:w="1148" w:type="dxa"/>
            <w:tcBorders>
              <w:bottom w:val="single" w:sz="4" w:space="0" w:color="auto"/>
            </w:tcBorders>
            <w:shd w:val="clear" w:color="auto" w:fill="auto"/>
            <w:noWrap/>
            <w:vAlign w:val="bottom"/>
          </w:tcPr>
          <w:p w14:paraId="0BB0739C" w14:textId="53EA0A64" w:rsidR="008B4BD7" w:rsidRPr="00FB56F6" w:rsidRDefault="008B4BD7" w:rsidP="00E96A82">
            <w:pPr>
              <w:spacing w:after="0"/>
              <w:rPr>
                <w:rFonts w:ascii="Calibri" w:hAnsi="Calibri"/>
                <w:sz w:val="20"/>
                <w:szCs w:val="20"/>
              </w:rPr>
            </w:pPr>
            <w:r w:rsidRPr="008B4BD7">
              <w:rPr>
                <w:rFonts w:ascii="Calibri" w:hAnsi="Calibri"/>
                <w:sz w:val="20"/>
                <w:szCs w:val="20"/>
              </w:rPr>
              <w:t>Loures</w:t>
            </w:r>
          </w:p>
        </w:tc>
        <w:tc>
          <w:tcPr>
            <w:tcW w:w="739" w:type="dxa"/>
            <w:tcBorders>
              <w:bottom w:val="single" w:sz="4" w:space="0" w:color="auto"/>
            </w:tcBorders>
            <w:shd w:val="clear" w:color="auto" w:fill="auto"/>
            <w:noWrap/>
            <w:vAlign w:val="bottom"/>
          </w:tcPr>
          <w:p w14:paraId="0B4FCC9D" w14:textId="549D910B" w:rsidR="008B4BD7" w:rsidRDefault="008B4BD7" w:rsidP="00E96A82">
            <w:pPr>
              <w:spacing w:after="0"/>
              <w:jc w:val="center"/>
              <w:rPr>
                <w:rFonts w:ascii="Calibri" w:hAnsi="Calibri"/>
                <w:sz w:val="20"/>
                <w:szCs w:val="20"/>
              </w:rPr>
            </w:pPr>
            <w:r>
              <w:rPr>
                <w:rFonts w:ascii="Calibri" w:hAnsi="Calibri"/>
                <w:sz w:val="20"/>
                <w:szCs w:val="20"/>
              </w:rPr>
              <w:t>2010</w:t>
            </w:r>
          </w:p>
        </w:tc>
        <w:tc>
          <w:tcPr>
            <w:tcW w:w="900" w:type="dxa"/>
            <w:tcBorders>
              <w:bottom w:val="single" w:sz="4" w:space="0" w:color="auto"/>
            </w:tcBorders>
            <w:shd w:val="clear" w:color="auto" w:fill="auto"/>
            <w:noWrap/>
            <w:vAlign w:val="bottom"/>
          </w:tcPr>
          <w:p w14:paraId="0F696B92" w14:textId="7769D382" w:rsidR="008B4BD7" w:rsidRDefault="008B4BD7" w:rsidP="00E96A82">
            <w:pPr>
              <w:spacing w:after="0"/>
              <w:jc w:val="center"/>
              <w:rPr>
                <w:rFonts w:ascii="Calibri" w:hAnsi="Calibri"/>
                <w:sz w:val="20"/>
                <w:szCs w:val="20"/>
              </w:rPr>
            </w:pPr>
            <w:r>
              <w:rPr>
                <w:rFonts w:ascii="Calibri" w:hAnsi="Calibri"/>
                <w:sz w:val="20"/>
                <w:szCs w:val="20"/>
              </w:rPr>
              <w:t>SR</w:t>
            </w:r>
          </w:p>
        </w:tc>
        <w:tc>
          <w:tcPr>
            <w:tcW w:w="10836" w:type="dxa"/>
            <w:tcBorders>
              <w:bottom w:val="single" w:sz="4" w:space="0" w:color="auto"/>
            </w:tcBorders>
            <w:shd w:val="clear" w:color="auto" w:fill="auto"/>
            <w:noWrap/>
            <w:vAlign w:val="bottom"/>
          </w:tcPr>
          <w:p w14:paraId="5A506CEB" w14:textId="00623B52" w:rsidR="008B4BD7" w:rsidRDefault="00F24EDD" w:rsidP="00E96A82">
            <w:pPr>
              <w:spacing w:after="0"/>
              <w:rPr>
                <w:rFonts w:ascii="Calibri" w:hAnsi="Calibri"/>
                <w:sz w:val="20"/>
                <w:szCs w:val="20"/>
              </w:rPr>
            </w:pPr>
            <w:r>
              <w:rPr>
                <w:rFonts w:ascii="Calibri" w:hAnsi="Calibri"/>
                <w:sz w:val="20"/>
                <w:szCs w:val="20"/>
              </w:rPr>
              <w:t>In Brazil, c</w:t>
            </w:r>
            <w:r w:rsidRPr="00F24EDD">
              <w:rPr>
                <w:rFonts w:ascii="Calibri" w:hAnsi="Calibri"/>
                <w:sz w:val="20"/>
                <w:szCs w:val="20"/>
              </w:rPr>
              <w:t xml:space="preserve">ommunity health agents and physiotherapists interact </w:t>
            </w:r>
            <w:r w:rsidR="0011573E">
              <w:rPr>
                <w:rFonts w:ascii="Calibri" w:hAnsi="Calibri"/>
                <w:sz w:val="20"/>
                <w:szCs w:val="20"/>
              </w:rPr>
              <w:t xml:space="preserve">with each other, </w:t>
            </w:r>
            <w:r w:rsidRPr="00F24EDD">
              <w:rPr>
                <w:rFonts w:ascii="Calibri" w:hAnsi="Calibri"/>
                <w:sz w:val="20"/>
                <w:szCs w:val="20"/>
              </w:rPr>
              <w:t xml:space="preserve">and </w:t>
            </w:r>
            <w:r w:rsidR="0011573E">
              <w:rPr>
                <w:rFonts w:ascii="Calibri" w:hAnsi="Calibri"/>
                <w:sz w:val="20"/>
                <w:szCs w:val="20"/>
              </w:rPr>
              <w:t xml:space="preserve">both </w:t>
            </w:r>
            <w:r w:rsidRPr="00F24EDD">
              <w:rPr>
                <w:rFonts w:ascii="Calibri" w:hAnsi="Calibri"/>
                <w:sz w:val="20"/>
                <w:szCs w:val="20"/>
              </w:rPr>
              <w:t>play an important role in the health system.</w:t>
            </w:r>
            <w:r>
              <w:rPr>
                <w:rFonts w:ascii="Calibri" w:hAnsi="Calibri"/>
                <w:sz w:val="20"/>
                <w:szCs w:val="20"/>
              </w:rPr>
              <w:t xml:space="preserve"> </w:t>
            </w:r>
            <w:r w:rsidRPr="00F24EDD">
              <w:rPr>
                <w:rFonts w:ascii="Calibri" w:hAnsi="Calibri"/>
                <w:sz w:val="20"/>
                <w:szCs w:val="20"/>
              </w:rPr>
              <w:t xml:space="preserve">Community health agents </w:t>
            </w:r>
            <w:r>
              <w:rPr>
                <w:rFonts w:ascii="Calibri" w:hAnsi="Calibri"/>
                <w:sz w:val="20"/>
                <w:szCs w:val="20"/>
              </w:rPr>
              <w:t xml:space="preserve">can </w:t>
            </w:r>
            <w:r w:rsidRPr="00F24EDD">
              <w:rPr>
                <w:rFonts w:ascii="Calibri" w:hAnsi="Calibri"/>
                <w:sz w:val="20"/>
                <w:szCs w:val="20"/>
              </w:rPr>
              <w:t xml:space="preserve">perform </w:t>
            </w:r>
            <w:r>
              <w:rPr>
                <w:rFonts w:ascii="Calibri" w:hAnsi="Calibri"/>
                <w:sz w:val="20"/>
                <w:szCs w:val="20"/>
              </w:rPr>
              <w:t xml:space="preserve">some </w:t>
            </w:r>
            <w:r w:rsidRPr="00F24EDD">
              <w:rPr>
                <w:rFonts w:ascii="Calibri" w:hAnsi="Calibri"/>
                <w:sz w:val="20"/>
                <w:szCs w:val="20"/>
              </w:rPr>
              <w:t>of the functions of physiotherapists in the home, and working together the two groups can better meet the needs of patients with physical therapy needs</w:t>
            </w:r>
            <w:r w:rsidR="0011573E">
              <w:rPr>
                <w:rFonts w:ascii="Calibri" w:hAnsi="Calibri"/>
                <w:sz w:val="20"/>
                <w:szCs w:val="20"/>
              </w:rPr>
              <w:t xml:space="preserve"> by providing care in the home.</w:t>
            </w:r>
          </w:p>
        </w:tc>
      </w:tr>
      <w:tr w:rsidR="00862AF9" w:rsidRPr="00862AF9" w14:paraId="41F1BAC6" w14:textId="77777777" w:rsidTr="00204FA4">
        <w:trPr>
          <w:cantSplit/>
          <w:trHeight w:val="320"/>
        </w:trPr>
        <w:tc>
          <w:tcPr>
            <w:tcW w:w="1148" w:type="dxa"/>
            <w:tcBorders>
              <w:bottom w:val="single" w:sz="4" w:space="0" w:color="auto"/>
            </w:tcBorders>
            <w:shd w:val="clear" w:color="auto" w:fill="auto"/>
            <w:noWrap/>
            <w:vAlign w:val="bottom"/>
          </w:tcPr>
          <w:p w14:paraId="007C3745" w14:textId="77777777" w:rsidR="00862AF9" w:rsidRPr="00862AF9" w:rsidRDefault="00862AF9" w:rsidP="00E96A82">
            <w:pPr>
              <w:spacing w:after="0"/>
              <w:rPr>
                <w:rFonts w:ascii="Calibri" w:hAnsi="Calibri"/>
                <w:sz w:val="20"/>
                <w:szCs w:val="20"/>
              </w:rPr>
            </w:pPr>
            <w:r w:rsidRPr="00862AF9">
              <w:rPr>
                <w:rFonts w:ascii="Calibri" w:hAnsi="Calibri"/>
                <w:sz w:val="20"/>
                <w:szCs w:val="20"/>
              </w:rPr>
              <w:t>Pallas</w:t>
            </w:r>
          </w:p>
        </w:tc>
        <w:tc>
          <w:tcPr>
            <w:tcW w:w="739" w:type="dxa"/>
            <w:tcBorders>
              <w:bottom w:val="single" w:sz="4" w:space="0" w:color="auto"/>
            </w:tcBorders>
            <w:shd w:val="clear" w:color="auto" w:fill="auto"/>
            <w:noWrap/>
            <w:vAlign w:val="bottom"/>
          </w:tcPr>
          <w:p w14:paraId="3860FF53"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2013</w:t>
            </w:r>
          </w:p>
        </w:tc>
        <w:tc>
          <w:tcPr>
            <w:tcW w:w="900" w:type="dxa"/>
            <w:tcBorders>
              <w:bottom w:val="single" w:sz="4" w:space="0" w:color="auto"/>
            </w:tcBorders>
            <w:shd w:val="clear" w:color="auto" w:fill="auto"/>
            <w:noWrap/>
            <w:vAlign w:val="bottom"/>
          </w:tcPr>
          <w:p w14:paraId="7C2FE1E6"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NSR</w:t>
            </w:r>
          </w:p>
        </w:tc>
        <w:tc>
          <w:tcPr>
            <w:tcW w:w="10836" w:type="dxa"/>
            <w:tcBorders>
              <w:bottom w:val="single" w:sz="4" w:space="0" w:color="auto"/>
            </w:tcBorders>
            <w:shd w:val="clear" w:color="auto" w:fill="auto"/>
            <w:noWrap/>
            <w:vAlign w:val="bottom"/>
          </w:tcPr>
          <w:p w14:paraId="53FA3C8C" w14:textId="77777777" w:rsidR="00862AF9" w:rsidRPr="00862AF9" w:rsidRDefault="00862AF9" w:rsidP="00E96A82">
            <w:pPr>
              <w:spacing w:after="0"/>
              <w:rPr>
                <w:rFonts w:ascii="Calibri" w:hAnsi="Calibri"/>
                <w:sz w:val="20"/>
                <w:szCs w:val="20"/>
              </w:rPr>
            </w:pPr>
            <w:r w:rsidRPr="00862AF9">
              <w:rPr>
                <w:rFonts w:ascii="Calibri" w:hAnsi="Calibri"/>
                <w:sz w:val="20"/>
                <w:szCs w:val="20"/>
              </w:rPr>
              <w:t>Scaling up and sustaining CHW programs in LMICs requires effective program design and management, including adequate training, supervision, motivation, and funding; acceptability of the program to the communities served; and securing support for the program from political leaders and health care providers.</w:t>
            </w:r>
          </w:p>
        </w:tc>
      </w:tr>
      <w:tr w:rsidR="008B4BD7" w:rsidRPr="00862AF9" w14:paraId="5F948659" w14:textId="77777777" w:rsidTr="00204FA4">
        <w:trPr>
          <w:cantSplit/>
          <w:trHeight w:val="320"/>
        </w:trPr>
        <w:tc>
          <w:tcPr>
            <w:tcW w:w="1148" w:type="dxa"/>
            <w:tcBorders>
              <w:bottom w:val="single" w:sz="4" w:space="0" w:color="auto"/>
            </w:tcBorders>
            <w:shd w:val="clear" w:color="auto" w:fill="auto"/>
            <w:noWrap/>
            <w:vAlign w:val="bottom"/>
          </w:tcPr>
          <w:p w14:paraId="505FE945" w14:textId="16E4A459" w:rsidR="008B4BD7" w:rsidRPr="00862AF9" w:rsidRDefault="008B4BD7" w:rsidP="00E96A82">
            <w:pPr>
              <w:spacing w:after="0"/>
              <w:rPr>
                <w:rFonts w:ascii="Calibri" w:hAnsi="Calibri"/>
                <w:sz w:val="20"/>
                <w:szCs w:val="20"/>
              </w:rPr>
            </w:pPr>
            <w:r w:rsidRPr="008B4BD7">
              <w:rPr>
                <w:rFonts w:ascii="Calibri" w:hAnsi="Calibri"/>
                <w:sz w:val="20"/>
                <w:szCs w:val="20"/>
              </w:rPr>
              <w:t>Pereira</w:t>
            </w:r>
          </w:p>
        </w:tc>
        <w:tc>
          <w:tcPr>
            <w:tcW w:w="739" w:type="dxa"/>
            <w:tcBorders>
              <w:bottom w:val="single" w:sz="4" w:space="0" w:color="auto"/>
            </w:tcBorders>
            <w:shd w:val="clear" w:color="auto" w:fill="auto"/>
            <w:noWrap/>
            <w:vAlign w:val="bottom"/>
          </w:tcPr>
          <w:p w14:paraId="0A84E69E" w14:textId="5C81B782" w:rsidR="008B4BD7" w:rsidRPr="00862AF9" w:rsidRDefault="008B4BD7" w:rsidP="00E96A82">
            <w:pPr>
              <w:spacing w:after="0"/>
              <w:jc w:val="center"/>
              <w:rPr>
                <w:rFonts w:ascii="Calibri" w:hAnsi="Calibri"/>
                <w:sz w:val="20"/>
                <w:szCs w:val="20"/>
              </w:rPr>
            </w:pPr>
            <w:r>
              <w:rPr>
                <w:rFonts w:ascii="Calibri" w:hAnsi="Calibri"/>
                <w:sz w:val="20"/>
                <w:szCs w:val="20"/>
              </w:rPr>
              <w:t>2013</w:t>
            </w:r>
          </w:p>
        </w:tc>
        <w:tc>
          <w:tcPr>
            <w:tcW w:w="900" w:type="dxa"/>
            <w:tcBorders>
              <w:bottom w:val="single" w:sz="4" w:space="0" w:color="auto"/>
            </w:tcBorders>
            <w:shd w:val="clear" w:color="auto" w:fill="auto"/>
            <w:noWrap/>
            <w:vAlign w:val="bottom"/>
          </w:tcPr>
          <w:p w14:paraId="278FFA1E" w14:textId="18DB7E32" w:rsidR="008B4BD7" w:rsidRPr="00862AF9" w:rsidRDefault="008B4BD7" w:rsidP="00E96A82">
            <w:pPr>
              <w:spacing w:after="0"/>
              <w:jc w:val="center"/>
              <w:rPr>
                <w:rFonts w:ascii="Calibri" w:hAnsi="Calibri"/>
                <w:sz w:val="20"/>
                <w:szCs w:val="20"/>
              </w:rPr>
            </w:pPr>
            <w:r>
              <w:rPr>
                <w:rFonts w:ascii="Calibri" w:hAnsi="Calibri"/>
                <w:sz w:val="20"/>
                <w:szCs w:val="20"/>
              </w:rPr>
              <w:t>NSR</w:t>
            </w:r>
          </w:p>
        </w:tc>
        <w:tc>
          <w:tcPr>
            <w:tcW w:w="10836" w:type="dxa"/>
            <w:tcBorders>
              <w:bottom w:val="single" w:sz="4" w:space="0" w:color="auto"/>
            </w:tcBorders>
            <w:shd w:val="clear" w:color="auto" w:fill="auto"/>
            <w:noWrap/>
            <w:vAlign w:val="bottom"/>
          </w:tcPr>
          <w:p w14:paraId="597B05A6" w14:textId="024B28A7" w:rsidR="008B4BD7" w:rsidRPr="00862AF9" w:rsidRDefault="00525BB0" w:rsidP="00E96A82">
            <w:pPr>
              <w:spacing w:after="0"/>
              <w:rPr>
                <w:rFonts w:ascii="Calibri" w:hAnsi="Calibri"/>
                <w:sz w:val="20"/>
                <w:szCs w:val="20"/>
              </w:rPr>
            </w:pPr>
            <w:r>
              <w:rPr>
                <w:rFonts w:ascii="Calibri" w:hAnsi="Calibri"/>
                <w:sz w:val="20"/>
                <w:szCs w:val="20"/>
              </w:rPr>
              <w:t>In Brazil, c</w:t>
            </w:r>
            <w:r w:rsidR="008B4BD7" w:rsidRPr="008B4BD7">
              <w:rPr>
                <w:rFonts w:ascii="Calibri" w:hAnsi="Calibri"/>
                <w:sz w:val="20"/>
                <w:szCs w:val="20"/>
              </w:rPr>
              <w:t xml:space="preserve">ommunity health agents require on-going health education in their daily work and in-service training on aspects of </w:t>
            </w:r>
            <w:r w:rsidR="00D72185">
              <w:rPr>
                <w:rFonts w:ascii="Calibri" w:hAnsi="Calibri"/>
                <w:sz w:val="20"/>
                <w:szCs w:val="20"/>
              </w:rPr>
              <w:t>primary health care</w:t>
            </w:r>
            <w:r>
              <w:rPr>
                <w:rFonts w:ascii="Calibri" w:hAnsi="Calibri"/>
                <w:sz w:val="20"/>
                <w:szCs w:val="20"/>
              </w:rPr>
              <w:t xml:space="preserve"> to enable them to </w:t>
            </w:r>
            <w:r w:rsidRPr="00525BB0">
              <w:rPr>
                <w:rFonts w:ascii="Calibri" w:hAnsi="Calibri"/>
                <w:sz w:val="20"/>
                <w:szCs w:val="20"/>
              </w:rPr>
              <w:t xml:space="preserve">consider all social determinants of health </w:t>
            </w:r>
            <w:r>
              <w:rPr>
                <w:rFonts w:ascii="Calibri" w:hAnsi="Calibri"/>
                <w:sz w:val="20"/>
                <w:szCs w:val="20"/>
              </w:rPr>
              <w:t xml:space="preserve">instead of taking a </w:t>
            </w:r>
            <w:r w:rsidR="0011573E">
              <w:rPr>
                <w:rFonts w:ascii="Calibri" w:hAnsi="Calibri"/>
                <w:sz w:val="20"/>
                <w:szCs w:val="20"/>
              </w:rPr>
              <w:t xml:space="preserve">purely </w:t>
            </w:r>
            <w:r>
              <w:rPr>
                <w:rFonts w:ascii="Calibri" w:hAnsi="Calibri"/>
                <w:sz w:val="20"/>
                <w:szCs w:val="20"/>
              </w:rPr>
              <w:t>biomedical approach. T</w:t>
            </w:r>
            <w:r w:rsidR="008B4BD7" w:rsidRPr="008B4BD7">
              <w:rPr>
                <w:rFonts w:ascii="Calibri" w:hAnsi="Calibri"/>
                <w:sz w:val="20"/>
                <w:szCs w:val="20"/>
              </w:rPr>
              <w:t xml:space="preserve">he health care model must be reoriented to increase </w:t>
            </w:r>
            <w:r w:rsidR="0011573E">
              <w:rPr>
                <w:rFonts w:ascii="Calibri" w:hAnsi="Calibri"/>
                <w:sz w:val="20"/>
                <w:szCs w:val="20"/>
              </w:rPr>
              <w:t xml:space="preserve">the </w:t>
            </w:r>
            <w:r w:rsidR="008B4BD7" w:rsidRPr="008B4BD7">
              <w:rPr>
                <w:rFonts w:ascii="Calibri" w:hAnsi="Calibri"/>
                <w:sz w:val="20"/>
                <w:szCs w:val="20"/>
              </w:rPr>
              <w:t>communit</w:t>
            </w:r>
            <w:r w:rsidR="0011573E">
              <w:rPr>
                <w:rFonts w:ascii="Calibri" w:hAnsi="Calibri"/>
                <w:sz w:val="20"/>
                <w:szCs w:val="20"/>
              </w:rPr>
              <w:t>ies’</w:t>
            </w:r>
            <w:r w:rsidR="008B4BD7" w:rsidRPr="008B4BD7">
              <w:rPr>
                <w:rFonts w:ascii="Calibri" w:hAnsi="Calibri"/>
                <w:sz w:val="20"/>
                <w:szCs w:val="20"/>
              </w:rPr>
              <w:t xml:space="preserve"> involvement in their health.</w:t>
            </w:r>
            <w:r w:rsidR="00D72185">
              <w:rPr>
                <w:rFonts w:ascii="Calibri" w:hAnsi="Calibri"/>
                <w:sz w:val="20"/>
                <w:szCs w:val="20"/>
              </w:rPr>
              <w:t xml:space="preserve"> </w:t>
            </w:r>
          </w:p>
        </w:tc>
      </w:tr>
      <w:tr w:rsidR="008B4BD7" w:rsidRPr="00862AF9" w14:paraId="2D0D31A8" w14:textId="77777777" w:rsidTr="00204FA4">
        <w:trPr>
          <w:cantSplit/>
          <w:trHeight w:val="320"/>
        </w:trPr>
        <w:tc>
          <w:tcPr>
            <w:tcW w:w="1148" w:type="dxa"/>
            <w:tcBorders>
              <w:bottom w:val="single" w:sz="4" w:space="0" w:color="auto"/>
            </w:tcBorders>
            <w:shd w:val="clear" w:color="auto" w:fill="auto"/>
            <w:noWrap/>
            <w:vAlign w:val="bottom"/>
          </w:tcPr>
          <w:p w14:paraId="7F056527" w14:textId="044305A9" w:rsidR="008B4BD7" w:rsidRPr="008B4BD7" w:rsidRDefault="008B4BD7" w:rsidP="00E96A82">
            <w:pPr>
              <w:spacing w:after="0"/>
              <w:rPr>
                <w:rFonts w:ascii="Calibri" w:hAnsi="Calibri"/>
                <w:sz w:val="20"/>
                <w:szCs w:val="20"/>
                <w:lang w:val="en-CA"/>
              </w:rPr>
            </w:pPr>
            <w:r w:rsidRPr="008B4BD7">
              <w:rPr>
                <w:rFonts w:ascii="Calibri" w:hAnsi="Calibri"/>
                <w:sz w:val="20"/>
                <w:szCs w:val="20"/>
                <w:lang w:val="en-CA"/>
              </w:rPr>
              <w:t>Schneider</w:t>
            </w:r>
          </w:p>
        </w:tc>
        <w:tc>
          <w:tcPr>
            <w:tcW w:w="739" w:type="dxa"/>
            <w:tcBorders>
              <w:bottom w:val="single" w:sz="4" w:space="0" w:color="auto"/>
            </w:tcBorders>
            <w:shd w:val="clear" w:color="auto" w:fill="auto"/>
            <w:noWrap/>
            <w:vAlign w:val="bottom"/>
          </w:tcPr>
          <w:p w14:paraId="0D069729" w14:textId="1A3CCB82" w:rsidR="008B4BD7" w:rsidRPr="00862AF9" w:rsidRDefault="008B4BD7" w:rsidP="00E96A82">
            <w:pPr>
              <w:spacing w:after="0"/>
              <w:jc w:val="center"/>
              <w:rPr>
                <w:rFonts w:ascii="Calibri" w:hAnsi="Calibri"/>
                <w:sz w:val="20"/>
                <w:szCs w:val="20"/>
              </w:rPr>
            </w:pPr>
            <w:r>
              <w:rPr>
                <w:rFonts w:ascii="Calibri" w:hAnsi="Calibri"/>
                <w:sz w:val="20"/>
                <w:szCs w:val="20"/>
              </w:rPr>
              <w:t>2016</w:t>
            </w:r>
          </w:p>
        </w:tc>
        <w:tc>
          <w:tcPr>
            <w:tcW w:w="900" w:type="dxa"/>
            <w:tcBorders>
              <w:bottom w:val="single" w:sz="4" w:space="0" w:color="auto"/>
            </w:tcBorders>
            <w:shd w:val="clear" w:color="auto" w:fill="auto"/>
            <w:noWrap/>
            <w:vAlign w:val="bottom"/>
          </w:tcPr>
          <w:p w14:paraId="50E1BB76" w14:textId="3D99AFD8" w:rsidR="008B4BD7" w:rsidRPr="00862AF9" w:rsidRDefault="008B4BD7" w:rsidP="00E96A82">
            <w:pPr>
              <w:spacing w:after="0"/>
              <w:jc w:val="center"/>
              <w:rPr>
                <w:rFonts w:ascii="Calibri" w:hAnsi="Calibri"/>
                <w:sz w:val="20"/>
                <w:szCs w:val="20"/>
              </w:rPr>
            </w:pPr>
            <w:r>
              <w:rPr>
                <w:rFonts w:ascii="Calibri" w:hAnsi="Calibri"/>
                <w:sz w:val="20"/>
                <w:szCs w:val="20"/>
              </w:rPr>
              <w:t>SR</w:t>
            </w:r>
          </w:p>
        </w:tc>
        <w:tc>
          <w:tcPr>
            <w:tcW w:w="10836" w:type="dxa"/>
            <w:tcBorders>
              <w:bottom w:val="single" w:sz="4" w:space="0" w:color="auto"/>
            </w:tcBorders>
            <w:shd w:val="clear" w:color="auto" w:fill="auto"/>
            <w:noWrap/>
            <w:vAlign w:val="bottom"/>
          </w:tcPr>
          <w:p w14:paraId="7EE18736" w14:textId="65F44DC4" w:rsidR="008B4BD7" w:rsidRPr="00862AF9" w:rsidRDefault="008B4BD7" w:rsidP="00E96A82">
            <w:pPr>
              <w:spacing w:after="0"/>
              <w:rPr>
                <w:rFonts w:ascii="Calibri" w:hAnsi="Calibri"/>
                <w:sz w:val="20"/>
                <w:szCs w:val="20"/>
              </w:rPr>
            </w:pPr>
            <w:r>
              <w:rPr>
                <w:rFonts w:ascii="Calibri" w:hAnsi="Calibri"/>
                <w:sz w:val="20"/>
                <w:szCs w:val="20"/>
              </w:rPr>
              <w:t>Between 2005 and 2014, there have been 678</w:t>
            </w:r>
            <w:r w:rsidRPr="008B4BD7">
              <w:rPr>
                <w:rFonts w:ascii="Calibri" w:hAnsi="Calibri"/>
                <w:sz w:val="20"/>
                <w:szCs w:val="20"/>
              </w:rPr>
              <w:t xml:space="preserve"> publications</w:t>
            </w:r>
            <w:r>
              <w:rPr>
                <w:rFonts w:ascii="Calibri" w:hAnsi="Calibri"/>
                <w:sz w:val="20"/>
                <w:szCs w:val="20"/>
              </w:rPr>
              <w:t xml:space="preserve"> on CHWs</w:t>
            </w:r>
            <w:r w:rsidRPr="008B4BD7">
              <w:rPr>
                <w:rFonts w:ascii="Calibri" w:hAnsi="Calibri"/>
                <w:sz w:val="20"/>
                <w:szCs w:val="20"/>
              </w:rPr>
              <w:t xml:space="preserve"> from 46 countries</w:t>
            </w:r>
            <w:r>
              <w:rPr>
                <w:rFonts w:ascii="Calibri" w:hAnsi="Calibri"/>
                <w:sz w:val="20"/>
                <w:szCs w:val="20"/>
              </w:rPr>
              <w:t>, with the annual publication rate increasing rapidly</w:t>
            </w:r>
            <w:r w:rsidRPr="008B4BD7">
              <w:rPr>
                <w:rFonts w:ascii="Calibri" w:hAnsi="Calibri"/>
                <w:sz w:val="20"/>
                <w:szCs w:val="20"/>
              </w:rPr>
              <w:t xml:space="preserve">. Half the publications </w:t>
            </w:r>
            <w:r>
              <w:rPr>
                <w:rFonts w:ascii="Calibri" w:hAnsi="Calibri"/>
                <w:sz w:val="20"/>
                <w:szCs w:val="20"/>
              </w:rPr>
              <w:t>reported</w:t>
            </w:r>
            <w:r w:rsidRPr="008B4BD7">
              <w:rPr>
                <w:rFonts w:ascii="Calibri" w:hAnsi="Calibri"/>
                <w:sz w:val="20"/>
                <w:szCs w:val="20"/>
              </w:rPr>
              <w:t xml:space="preserve"> on initiatives in Africa, a third from Asia and 11% from the Americas (mostly Brazil). The largest single focus and driver of the growth in publications was on CHW roles in meeting the Millennium Development Goals of maternal, child and neonatal survival (35% of total), followed by HIV/AIDS (16%), reproductive health (6%), non-communicable diseases (4%) and mental health (4%). Only 17% of the publications approached CHW roles in an integrated fashion. There were also distinct regional (and sometimes country) profiles, reflecting </w:t>
            </w:r>
            <w:r w:rsidR="00046F5C">
              <w:rPr>
                <w:rFonts w:ascii="Calibri" w:hAnsi="Calibri"/>
                <w:sz w:val="20"/>
                <w:szCs w:val="20"/>
              </w:rPr>
              <w:t>different histories and program</w:t>
            </w:r>
            <w:r w:rsidRPr="008B4BD7">
              <w:rPr>
                <w:rFonts w:ascii="Calibri" w:hAnsi="Calibri"/>
                <w:sz w:val="20"/>
                <w:szCs w:val="20"/>
              </w:rPr>
              <w:t xml:space="preserve"> traditions. </w:t>
            </w:r>
          </w:p>
        </w:tc>
      </w:tr>
      <w:tr w:rsidR="00862AF9" w:rsidRPr="00862AF9" w14:paraId="62048C0D" w14:textId="77777777" w:rsidTr="00204FA4">
        <w:trPr>
          <w:cantSplit/>
          <w:trHeight w:val="320"/>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717B1" w14:textId="77777777" w:rsidR="00862AF9" w:rsidRPr="00862AF9" w:rsidRDefault="00862AF9" w:rsidP="00E96A82">
            <w:pPr>
              <w:spacing w:after="0"/>
              <w:rPr>
                <w:rFonts w:ascii="Calibri" w:hAnsi="Calibri"/>
                <w:sz w:val="20"/>
                <w:szCs w:val="20"/>
              </w:rPr>
            </w:pPr>
            <w:r w:rsidRPr="00862AF9">
              <w:rPr>
                <w:rFonts w:ascii="Calibri" w:hAnsi="Calibri"/>
                <w:sz w:val="20"/>
                <w:szCs w:val="20"/>
              </w:rPr>
              <w:t>Zulu</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4D25E"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2014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73DBC" w14:textId="77777777" w:rsidR="00862AF9" w:rsidRPr="00862AF9" w:rsidRDefault="00862AF9" w:rsidP="00E96A82">
            <w:pPr>
              <w:spacing w:after="0"/>
              <w:jc w:val="center"/>
              <w:rPr>
                <w:rFonts w:ascii="Calibri" w:hAnsi="Calibri"/>
                <w:sz w:val="20"/>
                <w:szCs w:val="20"/>
              </w:rPr>
            </w:pPr>
            <w:r w:rsidRPr="00862AF9">
              <w:rPr>
                <w:rFonts w:ascii="Calibri" w:hAnsi="Calibri"/>
                <w:sz w:val="20"/>
                <w:szCs w:val="20"/>
              </w:rPr>
              <w:t>NSR</w:t>
            </w:r>
          </w:p>
        </w:tc>
        <w:tc>
          <w:tcPr>
            <w:tcW w:w="10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82A1D" w14:textId="77777777" w:rsidR="00862AF9" w:rsidRPr="00862AF9" w:rsidRDefault="00862AF9" w:rsidP="00E96A82">
            <w:pPr>
              <w:spacing w:after="0"/>
              <w:rPr>
                <w:rFonts w:ascii="Calibri" w:hAnsi="Calibri"/>
                <w:sz w:val="20"/>
                <w:szCs w:val="20"/>
              </w:rPr>
            </w:pPr>
            <w:r w:rsidRPr="00862AF9">
              <w:rPr>
                <w:rFonts w:ascii="Calibri" w:hAnsi="Calibri"/>
                <w:sz w:val="20"/>
                <w:szCs w:val="20"/>
              </w:rPr>
              <w:t xml:space="preserve">Factors that may influence the integration of CHW programs into health systems in LMIC include: (1) incentives for CHWs that are consistent, predictable, appropriate and fair in relation to their tasks; (2) a workload that is considered reasonable; (3) good training, and (4) regular supervision from professional health workers. Different aspects of national CHW programs are integrated into the health system in various ways. The acceptability and adoption of national CHW programs by health systems has been shaped by the interaction between the perspectives of the actors within the adopting system as well as by the compatibility of CHWs with the health system. </w:t>
            </w:r>
          </w:p>
        </w:tc>
      </w:tr>
    </w:tbl>
    <w:p w14:paraId="637DAFAE" w14:textId="77777777" w:rsidR="00862AF9" w:rsidRPr="00862AF9" w:rsidRDefault="00862AF9" w:rsidP="00E96A82">
      <w:pPr>
        <w:spacing w:after="0"/>
        <w:rPr>
          <w:rFonts w:ascii="Calibri" w:hAnsi="Calibri"/>
        </w:rPr>
      </w:pPr>
    </w:p>
    <w:p w14:paraId="67C981B2" w14:textId="18634E49" w:rsidR="00862AF9" w:rsidRPr="00862AF9" w:rsidRDefault="00973AD6" w:rsidP="00E96A82">
      <w:pPr>
        <w:keepNext/>
        <w:keepLines/>
        <w:spacing w:after="0"/>
        <w:rPr>
          <w:rFonts w:ascii="Calibri" w:hAnsi="Calibri"/>
        </w:rPr>
      </w:pPr>
      <w:r>
        <w:rPr>
          <w:rFonts w:ascii="Calibri" w:hAnsi="Calibri"/>
        </w:rPr>
        <w:t>Three</w:t>
      </w:r>
      <w:r w:rsidRPr="00862AF9">
        <w:rPr>
          <w:rFonts w:ascii="Calibri" w:hAnsi="Calibri"/>
        </w:rPr>
        <w:t xml:space="preserve"> </w:t>
      </w:r>
      <w:r w:rsidR="00862AF9" w:rsidRPr="00862AF9">
        <w:rPr>
          <w:rFonts w:ascii="Calibri" w:hAnsi="Calibri"/>
        </w:rPr>
        <w:t>review</w:t>
      </w:r>
      <w:r>
        <w:rPr>
          <w:rFonts w:ascii="Calibri" w:hAnsi="Calibri"/>
        </w:rPr>
        <w:t>s</w:t>
      </w:r>
      <w:r w:rsidR="00862AF9" w:rsidRPr="00862AF9">
        <w:rPr>
          <w:rFonts w:ascii="Calibri" w:hAnsi="Calibri"/>
        </w:rPr>
        <w:t xml:space="preserve"> examined the rights and well-being of LMIC CBPs (</w:t>
      </w:r>
      <w:r w:rsidR="00862AF9" w:rsidRPr="00862AF9">
        <w:rPr>
          <w:rFonts w:ascii="Calibri" w:hAnsi="Calibri"/>
        </w:rPr>
        <w:fldChar w:fldCharType="begin"/>
      </w:r>
      <w:r w:rsidR="00862AF9" w:rsidRPr="00862AF9">
        <w:rPr>
          <w:rFonts w:ascii="Calibri" w:hAnsi="Calibri"/>
        </w:rPr>
        <w:instrText xml:space="preserve"> REF _Ref332756346 \h </w:instrText>
      </w:r>
      <w:r w:rsidR="00862AF9" w:rsidRPr="00862AF9">
        <w:rPr>
          <w:rFonts w:ascii="Calibri" w:hAnsi="Calibri"/>
        </w:rPr>
      </w:r>
      <w:r w:rsidR="00862AF9"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8</w:t>
      </w:r>
      <w:r w:rsidR="00862AF9" w:rsidRPr="00862AF9">
        <w:rPr>
          <w:rFonts w:ascii="Calibri" w:hAnsi="Calibri"/>
        </w:rPr>
        <w:fldChar w:fldCharType="end"/>
      </w:r>
      <w:r w:rsidR="00862AF9" w:rsidRPr="00862AF9">
        <w:rPr>
          <w:rFonts w:ascii="Calibri" w:hAnsi="Calibri"/>
        </w:rPr>
        <w:t>).</w:t>
      </w:r>
    </w:p>
    <w:p w14:paraId="3881818D" w14:textId="77777777" w:rsidR="00862AF9" w:rsidRPr="00862AF9" w:rsidRDefault="00862AF9" w:rsidP="00E96A82">
      <w:pPr>
        <w:spacing w:after="0"/>
        <w:rPr>
          <w:rFonts w:ascii="Calibri" w:hAnsi="Calibri"/>
        </w:rPr>
      </w:pPr>
    </w:p>
    <w:tbl>
      <w:tblPr>
        <w:tblpPr w:leftFromText="180" w:rightFromText="180" w:vertAnchor="text" w:horzAnchor="page" w:tblpX="1413" w:tblpY="-9"/>
        <w:tblW w:w="13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42"/>
        <w:gridCol w:w="900"/>
        <w:gridCol w:w="10833"/>
      </w:tblGrid>
      <w:tr w:rsidR="00862AF9" w:rsidRPr="00862AF9" w14:paraId="386CC851" w14:textId="77777777" w:rsidTr="00204FA4">
        <w:trPr>
          <w:trHeight w:val="320"/>
        </w:trPr>
        <w:tc>
          <w:tcPr>
            <w:tcW w:w="13623" w:type="dxa"/>
            <w:gridSpan w:val="4"/>
            <w:tcBorders>
              <w:top w:val="nil"/>
              <w:left w:val="nil"/>
              <w:bottom w:val="single" w:sz="4" w:space="0" w:color="auto"/>
              <w:right w:val="nil"/>
            </w:tcBorders>
            <w:shd w:val="clear" w:color="000000" w:fill="auto"/>
            <w:noWrap/>
          </w:tcPr>
          <w:p w14:paraId="5B53C9AD" w14:textId="77777777" w:rsidR="00862AF9" w:rsidRPr="00862AF9" w:rsidRDefault="00862AF9" w:rsidP="00E96A82">
            <w:pPr>
              <w:pStyle w:val="atable"/>
              <w:keepNext/>
              <w:keepLines/>
              <w:rPr>
                <w:rFonts w:ascii="Calibri" w:hAnsi="Calibri" w:hint="eastAsia"/>
                <w:szCs w:val="22"/>
                <w:lang w:val="en-US"/>
              </w:rPr>
            </w:pPr>
            <w:bookmarkStart w:id="25" w:name="_Ref332756346"/>
            <w:bookmarkStart w:id="26" w:name="_Toc346537978"/>
            <w:bookmarkStart w:id="27" w:name="_Toc387399718"/>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8</w:t>
            </w:r>
            <w:r w:rsidRPr="00862AF9">
              <w:rPr>
                <w:rFonts w:ascii="Calibri" w:hAnsi="Calibri"/>
                <w:szCs w:val="22"/>
                <w:lang w:val="en-US"/>
              </w:rPr>
              <w:fldChar w:fldCharType="end"/>
            </w:r>
            <w:bookmarkEnd w:id="25"/>
            <w:r w:rsidRPr="00862AF9">
              <w:rPr>
                <w:rFonts w:ascii="Calibri" w:hAnsi="Calibri"/>
                <w:szCs w:val="22"/>
                <w:lang w:val="en-US"/>
              </w:rPr>
              <w:t>. CBP rights and wellbeing-related LMIC reviews</w:t>
            </w:r>
            <w:bookmarkEnd w:id="26"/>
            <w:bookmarkEnd w:id="27"/>
          </w:p>
        </w:tc>
      </w:tr>
      <w:tr w:rsidR="00862AF9" w:rsidRPr="00862AF9" w14:paraId="6752E419" w14:textId="77777777" w:rsidTr="00204FA4">
        <w:trPr>
          <w:trHeight w:val="320"/>
        </w:trPr>
        <w:tc>
          <w:tcPr>
            <w:tcW w:w="1148" w:type="dxa"/>
            <w:tcBorders>
              <w:top w:val="single" w:sz="4" w:space="0" w:color="auto"/>
            </w:tcBorders>
            <w:shd w:val="clear" w:color="000000" w:fill="D9D9D9"/>
            <w:noWrap/>
            <w:vAlign w:val="bottom"/>
          </w:tcPr>
          <w:p w14:paraId="404D966E" w14:textId="77777777" w:rsidR="00862AF9" w:rsidRPr="00862AF9" w:rsidRDefault="00862AF9" w:rsidP="00E96A82">
            <w:pPr>
              <w:spacing w:after="0"/>
              <w:rPr>
                <w:rFonts w:ascii="Calibri" w:hAnsi="Calibri"/>
                <w:b/>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42" w:type="dxa"/>
            <w:tcBorders>
              <w:top w:val="single" w:sz="4" w:space="0" w:color="auto"/>
            </w:tcBorders>
            <w:shd w:val="clear" w:color="000000" w:fill="D9D9D9"/>
            <w:noWrap/>
            <w:vAlign w:val="bottom"/>
          </w:tcPr>
          <w:p w14:paraId="7B90CCFA" w14:textId="77777777" w:rsidR="00862AF9" w:rsidRPr="00862AF9" w:rsidRDefault="00862AF9" w:rsidP="00E96A82">
            <w:pPr>
              <w:spacing w:after="0"/>
              <w:rPr>
                <w:rFonts w:ascii="Calibri" w:hAnsi="Calibri"/>
                <w:b/>
                <w:sz w:val="20"/>
                <w:szCs w:val="20"/>
              </w:rPr>
            </w:pPr>
            <w:r w:rsidRPr="00862AF9">
              <w:rPr>
                <w:rFonts w:ascii="Calibri" w:hAnsi="Calibri"/>
                <w:b/>
                <w:sz w:val="20"/>
                <w:szCs w:val="20"/>
              </w:rPr>
              <w:t>Date</w:t>
            </w:r>
          </w:p>
        </w:tc>
        <w:tc>
          <w:tcPr>
            <w:tcW w:w="900" w:type="dxa"/>
            <w:tcBorders>
              <w:top w:val="single" w:sz="4" w:space="0" w:color="auto"/>
            </w:tcBorders>
            <w:shd w:val="clear" w:color="000000" w:fill="D9D9D9"/>
            <w:noWrap/>
            <w:vAlign w:val="bottom"/>
          </w:tcPr>
          <w:p w14:paraId="7D149CE9" w14:textId="77777777" w:rsidR="00862AF9" w:rsidRPr="00862AF9" w:rsidRDefault="00862AF9" w:rsidP="00E96A82">
            <w:pPr>
              <w:spacing w:after="0"/>
              <w:rPr>
                <w:rFonts w:ascii="Calibri" w:hAnsi="Calibri"/>
                <w:b/>
                <w:sz w:val="20"/>
                <w:szCs w:val="20"/>
              </w:rPr>
            </w:pPr>
            <w:r w:rsidRPr="00862AF9">
              <w:rPr>
                <w:rFonts w:ascii="Calibri" w:hAnsi="Calibri"/>
                <w:b/>
                <w:sz w:val="20"/>
                <w:szCs w:val="20"/>
              </w:rPr>
              <w:t>Review type</w:t>
            </w:r>
          </w:p>
        </w:tc>
        <w:tc>
          <w:tcPr>
            <w:tcW w:w="10833" w:type="dxa"/>
            <w:tcBorders>
              <w:top w:val="single" w:sz="4" w:space="0" w:color="auto"/>
            </w:tcBorders>
            <w:shd w:val="clear" w:color="000000" w:fill="D9D9D9"/>
            <w:noWrap/>
            <w:vAlign w:val="bottom"/>
          </w:tcPr>
          <w:p w14:paraId="1AD48DDC" w14:textId="77777777" w:rsidR="00862AF9" w:rsidRPr="00862AF9" w:rsidRDefault="00862AF9" w:rsidP="00E96A82">
            <w:pPr>
              <w:spacing w:after="0"/>
              <w:rPr>
                <w:rFonts w:ascii="Calibri" w:hAnsi="Calibri"/>
                <w:b/>
                <w:sz w:val="20"/>
                <w:szCs w:val="20"/>
              </w:rPr>
            </w:pPr>
            <w:r w:rsidRPr="00862AF9">
              <w:rPr>
                <w:rFonts w:ascii="Calibri" w:hAnsi="Calibri"/>
                <w:b/>
                <w:sz w:val="20"/>
                <w:szCs w:val="20"/>
              </w:rPr>
              <w:t>Main outcomes and CBP roles</w:t>
            </w:r>
          </w:p>
        </w:tc>
      </w:tr>
      <w:tr w:rsidR="00862AF9" w:rsidRPr="00862AF9" w14:paraId="54D5ADB3" w14:textId="77777777" w:rsidTr="00204FA4">
        <w:trPr>
          <w:trHeight w:val="320"/>
        </w:trPr>
        <w:tc>
          <w:tcPr>
            <w:tcW w:w="1148" w:type="dxa"/>
            <w:shd w:val="clear" w:color="auto" w:fill="auto"/>
            <w:noWrap/>
            <w:vAlign w:val="bottom"/>
          </w:tcPr>
          <w:p w14:paraId="72056F3E" w14:textId="77777777" w:rsidR="00862AF9" w:rsidRPr="00862AF9" w:rsidRDefault="00862AF9" w:rsidP="00E96A82">
            <w:pPr>
              <w:spacing w:after="0"/>
              <w:rPr>
                <w:rFonts w:ascii="Calibri" w:hAnsi="Calibri"/>
                <w:sz w:val="20"/>
                <w:szCs w:val="20"/>
              </w:rPr>
            </w:pPr>
            <w:r w:rsidRPr="00862AF9">
              <w:rPr>
                <w:rFonts w:ascii="Calibri" w:eastAsia="Times New Roman" w:hAnsi="Calibri" w:cs="Times New Roman"/>
                <w:color w:val="000000"/>
                <w:sz w:val="20"/>
                <w:szCs w:val="20"/>
              </w:rPr>
              <w:t>Bhatia</w:t>
            </w:r>
          </w:p>
        </w:tc>
        <w:tc>
          <w:tcPr>
            <w:tcW w:w="742" w:type="dxa"/>
            <w:shd w:val="clear" w:color="auto" w:fill="auto"/>
            <w:noWrap/>
            <w:vAlign w:val="bottom"/>
          </w:tcPr>
          <w:p w14:paraId="55898765" w14:textId="77777777" w:rsidR="00862AF9" w:rsidRPr="00862AF9" w:rsidRDefault="00862AF9" w:rsidP="00E96A82">
            <w:pPr>
              <w:spacing w:after="0"/>
              <w:rPr>
                <w:rFonts w:ascii="Calibri" w:hAnsi="Calibri"/>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181C20DC" w14:textId="77777777" w:rsidR="00862AF9" w:rsidRPr="00862AF9" w:rsidRDefault="00862AF9" w:rsidP="00E96A82">
            <w:pPr>
              <w:spacing w:after="0"/>
              <w:rPr>
                <w:rFonts w:ascii="Calibri" w:hAnsi="Calibri"/>
                <w:sz w:val="20"/>
                <w:szCs w:val="20"/>
              </w:rPr>
            </w:pPr>
            <w:r w:rsidRPr="00862AF9">
              <w:rPr>
                <w:rFonts w:ascii="Calibri" w:eastAsia="Times New Roman" w:hAnsi="Calibri" w:cs="Times New Roman"/>
                <w:color w:val="000000"/>
                <w:sz w:val="20"/>
                <w:szCs w:val="20"/>
              </w:rPr>
              <w:t>NSR</w:t>
            </w:r>
          </w:p>
        </w:tc>
        <w:tc>
          <w:tcPr>
            <w:tcW w:w="10833" w:type="dxa"/>
            <w:shd w:val="clear" w:color="auto" w:fill="auto"/>
            <w:noWrap/>
            <w:vAlign w:val="bottom"/>
          </w:tcPr>
          <w:p w14:paraId="0A25525F" w14:textId="77777777" w:rsidR="00862AF9" w:rsidRPr="00862AF9" w:rsidRDefault="00862AF9" w:rsidP="00E96A82">
            <w:pPr>
              <w:spacing w:after="0"/>
              <w:rPr>
                <w:rFonts w:ascii="Calibri" w:hAnsi="Calibri"/>
                <w:sz w:val="20"/>
                <w:szCs w:val="20"/>
              </w:rPr>
            </w:pPr>
            <w:r w:rsidRPr="00862AF9">
              <w:rPr>
                <w:rFonts w:ascii="Calibri" w:eastAsia="Times New Roman" w:hAnsi="Calibri" w:cs="Times New Roman"/>
                <w:color w:val="000000"/>
                <w:sz w:val="20"/>
                <w:szCs w:val="20"/>
              </w:rPr>
              <w:t>In India, the government has been slow to provide salary security to CHWs; CHWs are not integrated into the established, salaried team of health system workers. Performance-based incentives do not provide the financial security that is expected and needed by CHWs.</w:t>
            </w:r>
          </w:p>
        </w:tc>
      </w:tr>
      <w:tr w:rsidR="00973AD6" w:rsidRPr="00862AF9" w14:paraId="3689D05A" w14:textId="77777777" w:rsidTr="00204FA4">
        <w:trPr>
          <w:trHeight w:val="320"/>
        </w:trPr>
        <w:tc>
          <w:tcPr>
            <w:tcW w:w="1148" w:type="dxa"/>
            <w:shd w:val="clear" w:color="auto" w:fill="auto"/>
            <w:noWrap/>
            <w:vAlign w:val="bottom"/>
          </w:tcPr>
          <w:p w14:paraId="21B083B8" w14:textId="367EDA92" w:rsidR="00973AD6" w:rsidRPr="00862AF9" w:rsidRDefault="00973AD6" w:rsidP="00E96A82">
            <w:pPr>
              <w:spacing w:after="0"/>
              <w:rPr>
                <w:rFonts w:ascii="Calibri" w:eastAsia="Times New Roman" w:hAnsi="Calibri" w:cs="Times New Roman"/>
                <w:color w:val="000000"/>
                <w:sz w:val="20"/>
                <w:szCs w:val="20"/>
              </w:rPr>
            </w:pPr>
            <w:r w:rsidRPr="00973AD6">
              <w:rPr>
                <w:rFonts w:ascii="Calibri" w:eastAsia="Times New Roman" w:hAnsi="Calibri" w:cs="Times New Roman"/>
                <w:color w:val="000000"/>
                <w:sz w:val="20"/>
                <w:szCs w:val="20"/>
              </w:rPr>
              <w:t>Henriques Camelo</w:t>
            </w:r>
          </w:p>
        </w:tc>
        <w:tc>
          <w:tcPr>
            <w:tcW w:w="742" w:type="dxa"/>
            <w:shd w:val="clear" w:color="auto" w:fill="auto"/>
            <w:noWrap/>
            <w:vAlign w:val="bottom"/>
          </w:tcPr>
          <w:p w14:paraId="0BB9FCF2" w14:textId="3B93F01A" w:rsidR="00973AD6" w:rsidRPr="00862AF9" w:rsidRDefault="00973AD6"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2012</w:t>
            </w:r>
          </w:p>
        </w:tc>
        <w:tc>
          <w:tcPr>
            <w:tcW w:w="900" w:type="dxa"/>
            <w:shd w:val="clear" w:color="auto" w:fill="auto"/>
            <w:noWrap/>
            <w:vAlign w:val="bottom"/>
          </w:tcPr>
          <w:p w14:paraId="792984E3" w14:textId="356EDFDA" w:rsidR="00973AD6" w:rsidRPr="00862AF9" w:rsidRDefault="00973AD6"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NSR</w:t>
            </w:r>
          </w:p>
        </w:tc>
        <w:tc>
          <w:tcPr>
            <w:tcW w:w="10833" w:type="dxa"/>
            <w:shd w:val="clear" w:color="auto" w:fill="auto"/>
            <w:noWrap/>
            <w:vAlign w:val="bottom"/>
          </w:tcPr>
          <w:p w14:paraId="48DBE26A" w14:textId="04C5C022" w:rsidR="00973AD6" w:rsidRPr="00862AF9" w:rsidRDefault="00D35AE0" w:rsidP="00E96A82">
            <w:pPr>
              <w:spacing w:after="0"/>
              <w:rPr>
                <w:rFonts w:ascii="Calibri" w:eastAsia="Times New Roman" w:hAnsi="Calibri" w:cs="Times New Roman"/>
                <w:color w:val="000000"/>
                <w:sz w:val="20"/>
                <w:szCs w:val="20"/>
              </w:rPr>
            </w:pPr>
            <w:r w:rsidRPr="00D35AE0">
              <w:rPr>
                <w:rFonts w:ascii="Calibri" w:eastAsia="Times New Roman" w:hAnsi="Calibri" w:cs="Times New Roman"/>
                <w:color w:val="000000"/>
                <w:sz w:val="20"/>
                <w:szCs w:val="20"/>
              </w:rPr>
              <w:t>C</w:t>
            </w:r>
            <w:r w:rsidR="00A56488">
              <w:rPr>
                <w:rFonts w:ascii="Calibri" w:eastAsia="Times New Roman" w:hAnsi="Calibri" w:cs="Times New Roman"/>
                <w:color w:val="000000"/>
                <w:sz w:val="20"/>
                <w:szCs w:val="20"/>
              </w:rPr>
              <w:t>HWs</w:t>
            </w:r>
            <w:r w:rsidRPr="00D35AE0">
              <w:rPr>
                <w:rFonts w:ascii="Calibri" w:eastAsia="Times New Roman" w:hAnsi="Calibri" w:cs="Times New Roman"/>
                <w:color w:val="000000"/>
                <w:sz w:val="20"/>
                <w:szCs w:val="20"/>
              </w:rPr>
              <w:t xml:space="preserve"> experience </w:t>
            </w:r>
            <w:r w:rsidR="00A56488">
              <w:rPr>
                <w:rFonts w:ascii="Calibri" w:eastAsia="Times New Roman" w:hAnsi="Calibri" w:cs="Times New Roman"/>
                <w:color w:val="000000"/>
                <w:sz w:val="20"/>
                <w:szCs w:val="20"/>
              </w:rPr>
              <w:t xml:space="preserve">work-related </w:t>
            </w:r>
            <w:r w:rsidRPr="00D35AE0">
              <w:rPr>
                <w:rFonts w:ascii="Calibri" w:eastAsia="Times New Roman" w:hAnsi="Calibri" w:cs="Times New Roman"/>
                <w:color w:val="000000"/>
                <w:sz w:val="20"/>
                <w:szCs w:val="20"/>
              </w:rPr>
              <w:t xml:space="preserve">physical and </w:t>
            </w:r>
            <w:r w:rsidR="0011573E">
              <w:rPr>
                <w:rFonts w:ascii="Calibri" w:eastAsia="Times New Roman" w:hAnsi="Calibri" w:cs="Times New Roman"/>
                <w:color w:val="000000"/>
                <w:sz w:val="20"/>
                <w:szCs w:val="20"/>
              </w:rPr>
              <w:t xml:space="preserve">mental </w:t>
            </w:r>
            <w:r w:rsidRPr="00D35AE0">
              <w:rPr>
                <w:rFonts w:ascii="Calibri" w:eastAsia="Times New Roman" w:hAnsi="Calibri" w:cs="Times New Roman"/>
                <w:color w:val="000000"/>
                <w:sz w:val="20"/>
                <w:szCs w:val="20"/>
              </w:rPr>
              <w:t>illnesses, such as circulatory, muscular and infectious diseases, mental disorders, stress</w:t>
            </w:r>
            <w:r w:rsidR="00A56488">
              <w:rPr>
                <w:rFonts w:ascii="Calibri" w:eastAsia="Times New Roman" w:hAnsi="Calibri" w:cs="Times New Roman"/>
                <w:color w:val="000000"/>
                <w:sz w:val="20"/>
                <w:szCs w:val="20"/>
              </w:rPr>
              <w:t>,</w:t>
            </w:r>
            <w:r w:rsidRPr="00D35AE0">
              <w:rPr>
                <w:rFonts w:ascii="Calibri" w:eastAsia="Times New Roman" w:hAnsi="Calibri" w:cs="Times New Roman"/>
                <w:color w:val="000000"/>
                <w:sz w:val="20"/>
                <w:szCs w:val="20"/>
              </w:rPr>
              <w:t xml:space="preserve"> and burnout. The management strategies</w:t>
            </w:r>
            <w:r>
              <w:rPr>
                <w:rFonts w:ascii="Calibri" w:eastAsia="Times New Roman" w:hAnsi="Calibri" w:cs="Times New Roman"/>
                <w:color w:val="000000"/>
                <w:sz w:val="20"/>
                <w:szCs w:val="20"/>
              </w:rPr>
              <w:t xml:space="preserve"> </w:t>
            </w:r>
            <w:r w:rsidR="00A56488">
              <w:rPr>
                <w:rFonts w:ascii="Calibri" w:eastAsia="Times New Roman" w:hAnsi="Calibri" w:cs="Times New Roman"/>
                <w:color w:val="000000"/>
                <w:sz w:val="20"/>
                <w:szCs w:val="20"/>
              </w:rPr>
              <w:t>CHWs</w:t>
            </w:r>
            <w:r>
              <w:rPr>
                <w:rFonts w:ascii="Calibri" w:eastAsia="Times New Roman" w:hAnsi="Calibri" w:cs="Times New Roman"/>
                <w:color w:val="000000"/>
                <w:sz w:val="20"/>
                <w:szCs w:val="20"/>
              </w:rPr>
              <w:t xml:space="preserve"> use</w:t>
            </w:r>
            <w:r w:rsidRPr="00D35AE0">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include</w:t>
            </w:r>
            <w:r w:rsidRPr="00D35AE0">
              <w:rPr>
                <w:rFonts w:ascii="Calibri" w:eastAsia="Times New Roman" w:hAnsi="Calibri" w:cs="Times New Roman"/>
                <w:color w:val="000000"/>
                <w:sz w:val="20"/>
                <w:szCs w:val="20"/>
              </w:rPr>
              <w:t xml:space="preserve"> exercise, reading, music</w:t>
            </w:r>
            <w:r w:rsidR="00FA35FF">
              <w:rPr>
                <w:rFonts w:ascii="Calibri" w:eastAsia="Times New Roman" w:hAnsi="Calibri" w:cs="Times New Roman"/>
                <w:color w:val="000000"/>
                <w:sz w:val="20"/>
                <w:szCs w:val="20"/>
              </w:rPr>
              <w:t>,</w:t>
            </w:r>
            <w:r w:rsidRPr="00D35AE0">
              <w:rPr>
                <w:rFonts w:ascii="Calibri" w:eastAsia="Times New Roman" w:hAnsi="Calibri" w:cs="Times New Roman"/>
                <w:color w:val="000000"/>
                <w:sz w:val="20"/>
                <w:szCs w:val="20"/>
              </w:rPr>
              <w:t xml:space="preserve"> and team meetings. </w:t>
            </w:r>
            <w:r w:rsidR="00A56488">
              <w:rPr>
                <w:rFonts w:ascii="Calibri" w:eastAsia="Times New Roman" w:hAnsi="Calibri" w:cs="Times New Roman"/>
                <w:color w:val="000000"/>
                <w:sz w:val="20"/>
                <w:szCs w:val="20"/>
              </w:rPr>
              <w:t>W</w:t>
            </w:r>
            <w:r w:rsidRPr="00D35AE0">
              <w:rPr>
                <w:rFonts w:ascii="Calibri" w:eastAsia="Times New Roman" w:hAnsi="Calibri" w:cs="Times New Roman"/>
                <w:color w:val="000000"/>
                <w:sz w:val="20"/>
                <w:szCs w:val="20"/>
              </w:rPr>
              <w:t>ork</w:t>
            </w:r>
            <w:r w:rsidR="00A56488">
              <w:rPr>
                <w:rFonts w:ascii="Calibri" w:eastAsia="Times New Roman" w:hAnsi="Calibri" w:cs="Times New Roman"/>
                <w:color w:val="000000"/>
                <w:sz w:val="20"/>
                <w:szCs w:val="20"/>
              </w:rPr>
              <w:t>-related</w:t>
            </w:r>
            <w:r w:rsidRPr="00D35AE0">
              <w:rPr>
                <w:rFonts w:ascii="Calibri" w:eastAsia="Times New Roman" w:hAnsi="Calibri" w:cs="Times New Roman"/>
                <w:color w:val="000000"/>
                <w:sz w:val="20"/>
                <w:szCs w:val="20"/>
              </w:rPr>
              <w:t xml:space="preserve"> </w:t>
            </w:r>
            <w:r w:rsidR="00A56488">
              <w:rPr>
                <w:rFonts w:ascii="Calibri" w:eastAsia="Times New Roman" w:hAnsi="Calibri" w:cs="Times New Roman"/>
                <w:color w:val="000000"/>
                <w:sz w:val="20"/>
                <w:szCs w:val="20"/>
              </w:rPr>
              <w:t xml:space="preserve">conditions that CHWs experience </w:t>
            </w:r>
            <w:r>
              <w:rPr>
                <w:rFonts w:ascii="Calibri" w:eastAsia="Times New Roman" w:hAnsi="Calibri" w:cs="Times New Roman"/>
                <w:color w:val="000000"/>
                <w:sz w:val="20"/>
                <w:szCs w:val="20"/>
              </w:rPr>
              <w:t>must be reviewed</w:t>
            </w:r>
            <w:r w:rsidRPr="00D35AE0">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so that</w:t>
            </w:r>
            <w:r w:rsidRPr="00D35AE0">
              <w:rPr>
                <w:rFonts w:ascii="Calibri" w:eastAsia="Times New Roman" w:hAnsi="Calibri" w:cs="Times New Roman"/>
                <w:color w:val="000000"/>
                <w:sz w:val="20"/>
                <w:szCs w:val="20"/>
              </w:rPr>
              <w:t xml:space="preserve"> management strategies</w:t>
            </w:r>
            <w:r>
              <w:rPr>
                <w:rFonts w:ascii="Calibri" w:eastAsia="Times New Roman" w:hAnsi="Calibri" w:cs="Times New Roman"/>
                <w:color w:val="000000"/>
                <w:sz w:val="20"/>
                <w:szCs w:val="20"/>
              </w:rPr>
              <w:t xml:space="preserve"> can be developed</w:t>
            </w:r>
            <w:r w:rsidR="00A56488">
              <w:rPr>
                <w:rFonts w:ascii="Calibri" w:eastAsia="Times New Roman" w:hAnsi="Calibri" w:cs="Times New Roman"/>
                <w:color w:val="000000"/>
                <w:sz w:val="20"/>
                <w:szCs w:val="20"/>
              </w:rPr>
              <w:t xml:space="preserve">. CHWs need </w:t>
            </w:r>
            <w:r w:rsidRPr="00D35AE0">
              <w:rPr>
                <w:rFonts w:ascii="Calibri" w:eastAsia="Times New Roman" w:hAnsi="Calibri" w:cs="Times New Roman"/>
                <w:color w:val="000000"/>
                <w:sz w:val="20"/>
                <w:szCs w:val="20"/>
              </w:rPr>
              <w:t xml:space="preserve">to reflect on their </w:t>
            </w:r>
            <w:r w:rsidR="00A56488">
              <w:rPr>
                <w:rFonts w:ascii="Calibri" w:eastAsia="Times New Roman" w:hAnsi="Calibri" w:cs="Times New Roman"/>
                <w:color w:val="000000"/>
                <w:sz w:val="20"/>
                <w:szCs w:val="20"/>
              </w:rPr>
              <w:t xml:space="preserve">work-related </w:t>
            </w:r>
            <w:r w:rsidRPr="00D35AE0">
              <w:rPr>
                <w:rFonts w:ascii="Calibri" w:eastAsia="Times New Roman" w:hAnsi="Calibri" w:cs="Times New Roman"/>
                <w:color w:val="000000"/>
                <w:sz w:val="20"/>
                <w:szCs w:val="20"/>
              </w:rPr>
              <w:t>practice</w:t>
            </w:r>
            <w:r w:rsidR="00A56488">
              <w:rPr>
                <w:rFonts w:ascii="Calibri" w:eastAsia="Times New Roman" w:hAnsi="Calibri" w:cs="Times New Roman"/>
                <w:color w:val="000000"/>
                <w:sz w:val="20"/>
                <w:szCs w:val="20"/>
              </w:rPr>
              <w:t>s</w:t>
            </w:r>
            <w:r w:rsidRPr="00D35AE0">
              <w:rPr>
                <w:rFonts w:ascii="Calibri" w:eastAsia="Times New Roman" w:hAnsi="Calibri" w:cs="Times New Roman"/>
                <w:color w:val="000000"/>
                <w:sz w:val="20"/>
                <w:szCs w:val="20"/>
              </w:rPr>
              <w:t xml:space="preserve"> and safety</w:t>
            </w:r>
            <w:r w:rsidR="00A56488">
              <w:rPr>
                <w:rFonts w:ascii="Calibri" w:eastAsia="Times New Roman" w:hAnsi="Calibri" w:cs="Times New Roman"/>
                <w:color w:val="000000"/>
                <w:sz w:val="20"/>
                <w:szCs w:val="20"/>
              </w:rPr>
              <w:t xml:space="preserve"> issues</w:t>
            </w:r>
            <w:r w:rsidRPr="00D35AE0">
              <w:rPr>
                <w:rFonts w:ascii="Calibri" w:eastAsia="Times New Roman" w:hAnsi="Calibri" w:cs="Times New Roman"/>
                <w:color w:val="000000"/>
                <w:sz w:val="20"/>
                <w:szCs w:val="20"/>
              </w:rPr>
              <w:t xml:space="preserve"> </w:t>
            </w:r>
            <w:r w:rsidR="00A56488">
              <w:rPr>
                <w:rFonts w:ascii="Calibri" w:eastAsia="Times New Roman" w:hAnsi="Calibri" w:cs="Times New Roman"/>
                <w:color w:val="000000"/>
                <w:sz w:val="20"/>
                <w:szCs w:val="20"/>
              </w:rPr>
              <w:t>and how to minimize their health effects</w:t>
            </w:r>
            <w:r w:rsidRPr="00D35AE0">
              <w:rPr>
                <w:rFonts w:ascii="Calibri" w:eastAsia="Times New Roman" w:hAnsi="Calibri" w:cs="Times New Roman"/>
                <w:color w:val="000000"/>
                <w:sz w:val="20"/>
                <w:szCs w:val="20"/>
              </w:rPr>
              <w:t>.</w:t>
            </w:r>
          </w:p>
        </w:tc>
      </w:tr>
      <w:tr w:rsidR="00973AD6" w:rsidRPr="00862AF9" w14:paraId="4392C7CC" w14:textId="77777777" w:rsidTr="00204FA4">
        <w:trPr>
          <w:trHeight w:val="320"/>
        </w:trPr>
        <w:tc>
          <w:tcPr>
            <w:tcW w:w="1148" w:type="dxa"/>
            <w:shd w:val="clear" w:color="auto" w:fill="auto"/>
            <w:noWrap/>
            <w:vAlign w:val="bottom"/>
          </w:tcPr>
          <w:p w14:paraId="26FC52C9" w14:textId="7107A603" w:rsidR="00973AD6" w:rsidRPr="00862AF9" w:rsidRDefault="00973AD6"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Kane</w:t>
            </w:r>
          </w:p>
        </w:tc>
        <w:tc>
          <w:tcPr>
            <w:tcW w:w="742" w:type="dxa"/>
            <w:shd w:val="clear" w:color="auto" w:fill="auto"/>
            <w:noWrap/>
            <w:vAlign w:val="bottom"/>
          </w:tcPr>
          <w:p w14:paraId="3900AA6F" w14:textId="4D78B72D" w:rsidR="00973AD6" w:rsidRPr="00862AF9" w:rsidRDefault="00973AD6"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900" w:type="dxa"/>
            <w:shd w:val="clear" w:color="auto" w:fill="auto"/>
            <w:noWrap/>
            <w:vAlign w:val="bottom"/>
          </w:tcPr>
          <w:p w14:paraId="69972DC0" w14:textId="4056E67A" w:rsidR="00973AD6" w:rsidRPr="00862AF9" w:rsidRDefault="00427454"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N</w:t>
            </w:r>
            <w:r w:rsidR="00973AD6">
              <w:rPr>
                <w:rFonts w:ascii="Calibri" w:eastAsia="Times New Roman" w:hAnsi="Calibri" w:cs="Times New Roman"/>
                <w:color w:val="000000"/>
                <w:sz w:val="20"/>
                <w:szCs w:val="20"/>
              </w:rPr>
              <w:t>SR</w:t>
            </w:r>
          </w:p>
        </w:tc>
        <w:tc>
          <w:tcPr>
            <w:tcW w:w="10833" w:type="dxa"/>
            <w:shd w:val="clear" w:color="auto" w:fill="auto"/>
            <w:noWrap/>
            <w:vAlign w:val="bottom"/>
          </w:tcPr>
          <w:p w14:paraId="67C31F40" w14:textId="68BF055F" w:rsidR="00973AD6" w:rsidRPr="00862AF9" w:rsidRDefault="000B7260" w:rsidP="00E96A82">
            <w:pPr>
              <w:spacing w:after="0"/>
              <w:rPr>
                <w:rFonts w:ascii="Calibri" w:eastAsia="Times New Roman" w:hAnsi="Calibri" w:cs="Times New Roman"/>
                <w:color w:val="000000"/>
                <w:sz w:val="20"/>
                <w:szCs w:val="20"/>
              </w:rPr>
            </w:pPr>
            <w:r w:rsidRPr="000B7260">
              <w:rPr>
                <w:rFonts w:ascii="Calibri" w:eastAsia="Times New Roman" w:hAnsi="Calibri" w:cs="Times New Roman"/>
                <w:color w:val="000000"/>
                <w:sz w:val="20"/>
                <w:szCs w:val="20"/>
              </w:rPr>
              <w:t xml:space="preserve">CHWs programs empower CHWs by giving them (1) access to privileged medical knowledge, (2) linking them to the health system, and (3) providing them an opportunity to do meaningful and impactful work. However, </w:t>
            </w:r>
            <w:r w:rsidR="00A56488">
              <w:rPr>
                <w:rFonts w:ascii="Calibri" w:eastAsia="Times New Roman" w:hAnsi="Calibri" w:cs="Times New Roman"/>
                <w:color w:val="000000"/>
                <w:sz w:val="20"/>
                <w:szCs w:val="20"/>
              </w:rPr>
              <w:t xml:space="preserve">CHWs </w:t>
            </w:r>
            <w:r w:rsidRPr="000B7260">
              <w:rPr>
                <w:rFonts w:ascii="Calibri" w:eastAsia="Times New Roman" w:hAnsi="Calibri" w:cs="Times New Roman"/>
                <w:color w:val="000000"/>
                <w:sz w:val="20"/>
                <w:szCs w:val="20"/>
              </w:rPr>
              <w:t xml:space="preserve">are frustrated by (1) a sense of lack/absence of control over </w:t>
            </w:r>
            <w:r w:rsidR="00A56488">
              <w:rPr>
                <w:rFonts w:ascii="Calibri" w:eastAsia="Times New Roman" w:hAnsi="Calibri" w:cs="Times New Roman"/>
                <w:color w:val="000000"/>
                <w:sz w:val="20"/>
                <w:szCs w:val="20"/>
              </w:rPr>
              <w:t xml:space="preserve">their </w:t>
            </w:r>
            <w:r w:rsidRPr="000B7260">
              <w:rPr>
                <w:rFonts w:ascii="Calibri" w:eastAsia="Times New Roman" w:hAnsi="Calibri" w:cs="Times New Roman"/>
                <w:color w:val="000000"/>
                <w:sz w:val="20"/>
                <w:szCs w:val="20"/>
              </w:rPr>
              <w:t>work environment and (2) feelings of being unsupported, unappreciated, and undervalued.</w:t>
            </w:r>
            <w:r>
              <w:rPr>
                <w:rFonts w:ascii="Calibri" w:eastAsia="Times New Roman" w:hAnsi="Calibri" w:cs="Times New Roman"/>
                <w:color w:val="000000"/>
                <w:sz w:val="20"/>
                <w:szCs w:val="20"/>
              </w:rPr>
              <w:t xml:space="preserve"> </w:t>
            </w:r>
            <w:r>
              <w:t xml:space="preserve"> </w:t>
            </w:r>
            <w:r w:rsidRPr="000B7260">
              <w:rPr>
                <w:rFonts w:ascii="Calibri" w:eastAsia="Times New Roman" w:hAnsi="Calibri" w:cs="Times New Roman"/>
                <w:color w:val="000000"/>
                <w:sz w:val="20"/>
                <w:szCs w:val="20"/>
              </w:rPr>
              <w:t xml:space="preserve">While increasingly the onus is on CHWs and CHW programs to solve the problem of health access, attention should be given to the experiences of CHWs themselves. CHW programs need to move beyond an instrumentalist approach to CHWs, and take a </w:t>
            </w:r>
            <w:r w:rsidR="00A56488">
              <w:rPr>
                <w:rFonts w:ascii="Calibri" w:eastAsia="Times New Roman" w:hAnsi="Calibri" w:cs="Times New Roman"/>
                <w:color w:val="000000"/>
                <w:sz w:val="20"/>
                <w:szCs w:val="20"/>
              </w:rPr>
              <w:t xml:space="preserve">more inclusive approach that also includes the career </w:t>
            </w:r>
            <w:r w:rsidRPr="000B7260">
              <w:rPr>
                <w:rFonts w:ascii="Calibri" w:eastAsia="Times New Roman" w:hAnsi="Calibri" w:cs="Times New Roman"/>
                <w:color w:val="000000"/>
                <w:sz w:val="20"/>
                <w:szCs w:val="20"/>
              </w:rPr>
              <w:t xml:space="preserve">developmental and empowerment </w:t>
            </w:r>
            <w:r w:rsidR="00A56488">
              <w:rPr>
                <w:rFonts w:ascii="Calibri" w:eastAsia="Times New Roman" w:hAnsi="Calibri" w:cs="Times New Roman"/>
                <w:color w:val="000000"/>
                <w:sz w:val="20"/>
                <w:szCs w:val="20"/>
              </w:rPr>
              <w:t>of CHWs</w:t>
            </w:r>
            <w:r w:rsidRPr="000B7260">
              <w:rPr>
                <w:rFonts w:ascii="Calibri" w:eastAsia="Times New Roman" w:hAnsi="Calibri" w:cs="Times New Roman"/>
                <w:color w:val="000000"/>
                <w:sz w:val="20"/>
                <w:szCs w:val="20"/>
              </w:rPr>
              <w:t xml:space="preserve">. </w:t>
            </w:r>
          </w:p>
        </w:tc>
      </w:tr>
    </w:tbl>
    <w:p w14:paraId="0FC6863B" w14:textId="77777777" w:rsidR="000B7260" w:rsidRDefault="000B7260" w:rsidP="00E96A82">
      <w:pPr>
        <w:spacing w:after="0"/>
        <w:rPr>
          <w:rFonts w:ascii="Calibri" w:hAnsi="Calibri"/>
        </w:rPr>
      </w:pPr>
    </w:p>
    <w:p w14:paraId="4B9A8773" w14:textId="4FB6CDBA" w:rsidR="00862AF9" w:rsidRPr="00862AF9" w:rsidRDefault="00862AF9" w:rsidP="00E96A82">
      <w:pPr>
        <w:spacing w:after="0"/>
        <w:rPr>
          <w:rFonts w:ascii="Calibri" w:hAnsi="Calibri"/>
        </w:rPr>
      </w:pPr>
      <w:r w:rsidRPr="00862AF9">
        <w:rPr>
          <w:rFonts w:ascii="Calibri" w:hAnsi="Calibri"/>
        </w:rPr>
        <w:t>Thirty-</w:t>
      </w:r>
      <w:r w:rsidR="004A79D9">
        <w:rPr>
          <w:rFonts w:ascii="Calibri" w:hAnsi="Calibri"/>
        </w:rPr>
        <w:t>nine</w:t>
      </w:r>
      <w:r w:rsidR="00AC0CC2" w:rsidRPr="00862AF9">
        <w:rPr>
          <w:rFonts w:ascii="Calibri" w:hAnsi="Calibri"/>
        </w:rPr>
        <w:t xml:space="preserve"> </w:t>
      </w:r>
      <w:r w:rsidRPr="00862AF9">
        <w:rPr>
          <w:rFonts w:ascii="Calibri" w:hAnsi="Calibri"/>
        </w:rPr>
        <w:t>reviews addressed CBP involvement in maternal and child health initiatives (</w:t>
      </w:r>
      <w:r w:rsidRPr="00862AF9">
        <w:rPr>
          <w:rFonts w:ascii="Calibri" w:hAnsi="Calibri"/>
        </w:rPr>
        <w:fldChar w:fldCharType="begin"/>
      </w:r>
      <w:r w:rsidRPr="00862AF9">
        <w:rPr>
          <w:rFonts w:ascii="Calibri" w:hAnsi="Calibri"/>
        </w:rPr>
        <w:instrText xml:space="preserve"> REF _Ref332756460 \h </w:instrText>
      </w:r>
      <w:r w:rsidRPr="00862AF9">
        <w:rPr>
          <w:rFonts w:ascii="Calibri" w:hAnsi="Calibri"/>
        </w:rPr>
      </w:r>
      <w:r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9</w:t>
      </w:r>
      <w:r w:rsidRPr="00862AF9">
        <w:rPr>
          <w:rFonts w:ascii="Calibri" w:hAnsi="Calibri"/>
        </w:rPr>
        <w:fldChar w:fldCharType="end"/>
      </w:r>
      <w:r w:rsidRPr="00862AF9">
        <w:rPr>
          <w:rFonts w:ascii="Calibri" w:hAnsi="Calibri"/>
        </w:rPr>
        <w:t xml:space="preserve">). </w:t>
      </w:r>
      <w:r w:rsidR="00AC0CC2">
        <w:rPr>
          <w:rFonts w:ascii="Calibri" w:hAnsi="Calibri"/>
        </w:rPr>
        <w:t>Thirteen</w:t>
      </w:r>
      <w:r w:rsidR="00AC0CC2" w:rsidRPr="00862AF9">
        <w:rPr>
          <w:rFonts w:ascii="Calibri" w:hAnsi="Calibri"/>
        </w:rPr>
        <w:t xml:space="preserve"> </w:t>
      </w:r>
      <w:r w:rsidRPr="00862AF9">
        <w:rPr>
          <w:rFonts w:ascii="Calibri" w:hAnsi="Calibri"/>
        </w:rPr>
        <w:t>specifically focused on child and neonatal health, 1</w:t>
      </w:r>
      <w:r w:rsidR="004A79D9">
        <w:rPr>
          <w:rFonts w:ascii="Calibri" w:hAnsi="Calibri"/>
        </w:rPr>
        <w:t>5</w:t>
      </w:r>
      <w:r w:rsidRPr="00862AF9">
        <w:rPr>
          <w:rFonts w:ascii="Calibri" w:hAnsi="Calibri"/>
        </w:rPr>
        <w:t xml:space="preserve"> on maternal and child health, </w:t>
      </w:r>
      <w:r w:rsidR="00AC0CC2">
        <w:rPr>
          <w:rFonts w:ascii="Calibri" w:hAnsi="Calibri"/>
        </w:rPr>
        <w:t>five</w:t>
      </w:r>
      <w:r w:rsidR="00AC0CC2" w:rsidRPr="00862AF9">
        <w:rPr>
          <w:rFonts w:ascii="Calibri" w:hAnsi="Calibri"/>
        </w:rPr>
        <w:t xml:space="preserve"> </w:t>
      </w:r>
      <w:r w:rsidRPr="00862AF9">
        <w:rPr>
          <w:rFonts w:ascii="Calibri" w:hAnsi="Calibri"/>
        </w:rPr>
        <w:t xml:space="preserve">on vaccination, </w:t>
      </w:r>
      <w:r w:rsidR="00AC0CC2">
        <w:rPr>
          <w:rFonts w:ascii="Calibri" w:hAnsi="Calibri"/>
        </w:rPr>
        <w:t>three</w:t>
      </w:r>
      <w:r w:rsidR="00AC0CC2" w:rsidRPr="00862AF9">
        <w:rPr>
          <w:rFonts w:ascii="Calibri" w:hAnsi="Calibri"/>
        </w:rPr>
        <w:t xml:space="preserve"> </w:t>
      </w:r>
      <w:r w:rsidRPr="00862AF9">
        <w:rPr>
          <w:rFonts w:ascii="Calibri" w:hAnsi="Calibri"/>
        </w:rPr>
        <w:t xml:space="preserve">on maternal health, and three on contraception. </w:t>
      </w:r>
      <w:r w:rsidR="004A79D9">
        <w:rPr>
          <w:rFonts w:ascii="Calibri" w:hAnsi="Calibri"/>
        </w:rPr>
        <w:t xml:space="preserve">One of the reviews on maternal and child health </w:t>
      </w:r>
      <w:r w:rsidR="004A79D9">
        <w:rPr>
          <w:rFonts w:ascii="Calibri" w:hAnsi="Calibri"/>
        </w:rPr>
        <w:fldChar w:fldCharType="begin" w:fldLock="1"/>
      </w:r>
      <w:r w:rsidR="004A79D9">
        <w:rPr>
          <w:rFonts w:ascii="Calibri" w:hAnsi="Calibri"/>
        </w:rPr>
        <w:instrText>ADDIN CSL_CITATION { "citationItems" : [ { "id" : "ITEM-1", "itemData" : { "DOI" : "DOI: 10.1002/14651858.CD010414.pub2", "ISBN" : "1469-493X; 1361-6137", "ISSN" : "1469-493X", "PMID" : "24101553", "author" : [ { "dropping-particle" : "", "family" : "Glenton", "given" : "Claire", "non-dropping-particle" : "", "parse-names" : false, "suffix" : "" }, { "dropping-particle" : "", "family" : "Colvin", "given" : "Christopher J.", "non-dropping-particle" : "", "parse-names" : false, "suffix" : "" }, { "dropping-particle" : "", "family" : "Carlsen", "given" : "Benedicte", "non-dropping-particle" : "", "parse-names" : false, "suffix" : "" }, { "dropping-particle" : "", "family" : "Swartz", "given" : "Alison", "non-dropping-particle" : "", "parse-names" : false, "suffix" : "" }, { "dropping-particle" : "", "family" : "Lewin", "given" : "Simon", "non-dropping-particle" : "", "parse-names" : false, "suffix" : "" }, { "dropping-particle" : "", "family" : "Noyes", "given" : "J", "non-dropping-particle" : "", "parse-names" : false, "suffix" : "" }, { "dropping-particle" : "", "family" : "Rashidian", "given" : "Arash", "non-dropping-particle" : "", "parse-names" : false, "suffix" : "" } ], "container-title" : "The Cochrane database of systematic reviews", "id" : "ITEM-1", "issue" : "10", "issued" : { "date-parts" : [ [ "2013" ] ] }, "page" : "CD010414", "title" : "Barriers and facilitators to the implementation of lay health worker programmes to improve access to maternal and child health: qualitative evidence synthesis", "type" : "article-journal" }, "uris" : [ "http://www.mendeley.com/documents/?uuid=b7434733-d6c8-49ef-8662-778c3393adba" ] } ], "mendeley" : { "formattedCitation" : "(Glenton et al., 2013)", "plainTextFormattedCitation" : "(Glenton et al., 2013)" }, "properties" : { "noteIndex" : 0 }, "schema" : "https://github.com/citation-style-language/schema/raw/master/csl-citation.json" }</w:instrText>
      </w:r>
      <w:r w:rsidR="004A79D9">
        <w:rPr>
          <w:rFonts w:ascii="Calibri" w:hAnsi="Calibri"/>
        </w:rPr>
        <w:fldChar w:fldCharType="separate"/>
      </w:r>
      <w:r w:rsidR="004A79D9" w:rsidRPr="004A79D9">
        <w:rPr>
          <w:rFonts w:ascii="Calibri" w:hAnsi="Calibri"/>
          <w:noProof/>
        </w:rPr>
        <w:t>(Glenton et al., 2013)</w:t>
      </w:r>
      <w:r w:rsidR="004A79D9">
        <w:rPr>
          <w:rFonts w:ascii="Calibri" w:hAnsi="Calibri"/>
        </w:rPr>
        <w:fldChar w:fldCharType="end"/>
      </w:r>
      <w:r w:rsidR="004A79D9">
        <w:rPr>
          <w:rFonts w:ascii="Calibri" w:hAnsi="Calibri"/>
        </w:rPr>
        <w:t xml:space="preserve"> was global in focus but included more LMIC than HIC literature so is presented below. </w:t>
      </w:r>
    </w:p>
    <w:p w14:paraId="024B244B" w14:textId="77777777" w:rsidR="00862AF9" w:rsidRDefault="00862AF9"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21421393" w14:textId="77777777" w:rsidTr="00204FA4">
        <w:trPr>
          <w:cantSplit/>
          <w:trHeight w:val="320"/>
          <w:tblHeader/>
        </w:trPr>
        <w:tc>
          <w:tcPr>
            <w:tcW w:w="13623" w:type="dxa"/>
            <w:gridSpan w:val="4"/>
            <w:tcBorders>
              <w:top w:val="nil"/>
              <w:left w:val="nil"/>
              <w:bottom w:val="single" w:sz="4" w:space="0" w:color="auto"/>
              <w:right w:val="nil"/>
            </w:tcBorders>
            <w:shd w:val="clear" w:color="000000" w:fill="auto"/>
            <w:noWrap/>
            <w:vAlign w:val="bottom"/>
          </w:tcPr>
          <w:p w14:paraId="17BBF8BC" w14:textId="77777777" w:rsidR="00862AF9" w:rsidRPr="00862AF9" w:rsidRDefault="00862AF9" w:rsidP="00E96A82">
            <w:pPr>
              <w:pStyle w:val="atable"/>
              <w:rPr>
                <w:rFonts w:ascii="Calibri" w:eastAsia="Times New Roman" w:hAnsi="Calibri" w:cs="Times New Roman"/>
                <w:bCs/>
                <w:color w:val="000000"/>
                <w:szCs w:val="22"/>
                <w:lang w:val="en-US"/>
              </w:rPr>
            </w:pPr>
            <w:bookmarkStart w:id="28" w:name="_Ref332756460"/>
            <w:bookmarkStart w:id="29" w:name="_Toc346537979"/>
            <w:bookmarkStart w:id="30" w:name="_Toc387399719"/>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9</w:t>
            </w:r>
            <w:r w:rsidRPr="00862AF9">
              <w:rPr>
                <w:rFonts w:ascii="Calibri" w:hAnsi="Calibri"/>
                <w:szCs w:val="22"/>
                <w:lang w:val="en-US"/>
              </w:rPr>
              <w:fldChar w:fldCharType="end"/>
            </w:r>
            <w:bookmarkEnd w:id="28"/>
            <w:r w:rsidRPr="00862AF9">
              <w:rPr>
                <w:rFonts w:ascii="Calibri" w:hAnsi="Calibri"/>
                <w:szCs w:val="22"/>
                <w:lang w:val="en-US"/>
              </w:rPr>
              <w:t>. Maternal and child health LMIC reviews</w:t>
            </w:r>
            <w:bookmarkEnd w:id="29"/>
            <w:bookmarkEnd w:id="30"/>
          </w:p>
        </w:tc>
      </w:tr>
      <w:tr w:rsidR="00862AF9" w:rsidRPr="00862AF9" w14:paraId="155365C6" w14:textId="77777777" w:rsidTr="00204FA4">
        <w:trPr>
          <w:cantSplit/>
          <w:trHeight w:val="320"/>
          <w:tblHeader/>
        </w:trPr>
        <w:tc>
          <w:tcPr>
            <w:tcW w:w="1148" w:type="dxa"/>
            <w:tcBorders>
              <w:top w:val="single" w:sz="4" w:space="0" w:color="auto"/>
            </w:tcBorders>
            <w:shd w:val="clear" w:color="000000" w:fill="D9D9D9"/>
            <w:noWrap/>
            <w:vAlign w:val="bottom"/>
            <w:hideMark/>
          </w:tcPr>
          <w:p w14:paraId="7EF5BF9F"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hideMark/>
          </w:tcPr>
          <w:p w14:paraId="34C53312"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hideMark/>
          </w:tcPr>
          <w:p w14:paraId="0C44FA35"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hideMark/>
          </w:tcPr>
          <w:p w14:paraId="4D3F6D5D"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710A7BE7" w14:textId="77777777" w:rsidTr="00204FA4">
        <w:trPr>
          <w:cantSplit/>
          <w:trHeight w:val="320"/>
        </w:trPr>
        <w:tc>
          <w:tcPr>
            <w:tcW w:w="13623" w:type="dxa"/>
            <w:gridSpan w:val="4"/>
            <w:tcBorders>
              <w:top w:val="single" w:sz="4" w:space="0" w:color="auto"/>
            </w:tcBorders>
            <w:shd w:val="clear" w:color="000000" w:fill="F2F2F2" w:themeFill="background1" w:themeFillShade="F2"/>
            <w:noWrap/>
            <w:vAlign w:val="bottom"/>
          </w:tcPr>
          <w:p w14:paraId="3B74205E"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Child health</w:t>
            </w:r>
          </w:p>
        </w:tc>
      </w:tr>
      <w:tr w:rsidR="00862AF9" w:rsidRPr="00862AF9" w14:paraId="1C61A3B6" w14:textId="77777777" w:rsidTr="00204FA4">
        <w:trPr>
          <w:cantSplit/>
          <w:trHeight w:val="320"/>
        </w:trPr>
        <w:tc>
          <w:tcPr>
            <w:tcW w:w="1148" w:type="dxa"/>
            <w:shd w:val="clear" w:color="auto" w:fill="auto"/>
            <w:noWrap/>
            <w:vAlign w:val="bottom"/>
          </w:tcPr>
          <w:p w14:paraId="3A40513E"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Amouzou</w:t>
            </w:r>
          </w:p>
        </w:tc>
        <w:tc>
          <w:tcPr>
            <w:tcW w:w="739" w:type="dxa"/>
            <w:shd w:val="clear" w:color="auto" w:fill="auto"/>
            <w:noWrap/>
            <w:vAlign w:val="bottom"/>
          </w:tcPr>
          <w:p w14:paraId="507988F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61887CF1" w14:textId="77777777" w:rsidR="00862AF9" w:rsidRPr="00862AF9" w:rsidDel="006F2AB8"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4C2E0423" w14:textId="32FF45E4"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In sub-Saharan Africa, integrated community case management programs train lay </w:t>
            </w:r>
            <w:r w:rsidR="002E2547">
              <w:rPr>
                <w:rFonts w:ascii="Calibri" w:eastAsia="Times New Roman" w:hAnsi="Calibri" w:cs="Times New Roman"/>
                <w:color w:val="000000"/>
                <w:sz w:val="20"/>
                <w:szCs w:val="20"/>
              </w:rPr>
              <w:t>CHWs</w:t>
            </w:r>
            <w:r w:rsidRPr="00862AF9">
              <w:rPr>
                <w:rFonts w:ascii="Calibri" w:eastAsia="Times New Roman" w:hAnsi="Calibri" w:cs="Times New Roman"/>
                <w:color w:val="000000"/>
                <w:sz w:val="20"/>
                <w:szCs w:val="20"/>
              </w:rPr>
              <w:t xml:space="preserve"> to assess, classify and treat uncomplicated cases of pneumonia with antibiotics, malaria with antimalarial drugs, and diarrhea with oral rehydration salts and zinc. Six of the eight studies showed a higher decline in mortality among children aged two months to five years in program areas compared to comparison areas, although this acceleration was statistically significant in only one study with a decline of 76% larger in intervention than in comparison areas.</w:t>
            </w:r>
          </w:p>
        </w:tc>
      </w:tr>
      <w:tr w:rsidR="00862AF9" w:rsidRPr="00862AF9" w14:paraId="40D61E8E" w14:textId="77777777" w:rsidTr="00204FA4">
        <w:trPr>
          <w:cantSplit/>
          <w:trHeight w:val="320"/>
        </w:trPr>
        <w:tc>
          <w:tcPr>
            <w:tcW w:w="1148" w:type="dxa"/>
            <w:shd w:val="clear" w:color="auto" w:fill="auto"/>
            <w:noWrap/>
            <w:vAlign w:val="bottom"/>
          </w:tcPr>
          <w:p w14:paraId="68D22D4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Bosch-Capblanch</w:t>
            </w:r>
          </w:p>
        </w:tc>
        <w:tc>
          <w:tcPr>
            <w:tcW w:w="739" w:type="dxa"/>
            <w:shd w:val="clear" w:color="auto" w:fill="auto"/>
            <w:noWrap/>
            <w:vAlign w:val="bottom"/>
          </w:tcPr>
          <w:p w14:paraId="62208E94"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160AB90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346925A6"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Integrated community case management programs, which aim to improve vulnerable communities' access to care (for childhood illnesses) through CBPs, seem to have positive effects when they involve: policy change, organizational change, standardization of clinical practices, alignment with other programs (especially large multi-component programs) and strong components of training, supervision, and supportive equipment and supplies. On-site training and supervision improve clinical practices. Positive effects are demonstrated on caregiver knowledge, care seeking behaviors, and household sickness management, but not on mortality.</w:t>
            </w:r>
          </w:p>
        </w:tc>
      </w:tr>
      <w:tr w:rsidR="00862AF9" w:rsidRPr="00862AF9" w14:paraId="4EA193DE" w14:textId="77777777" w:rsidTr="00204FA4">
        <w:trPr>
          <w:cantSplit/>
          <w:trHeight w:val="320"/>
        </w:trPr>
        <w:tc>
          <w:tcPr>
            <w:tcW w:w="1148" w:type="dxa"/>
            <w:shd w:val="clear" w:color="auto" w:fill="auto"/>
            <w:noWrap/>
            <w:vAlign w:val="bottom"/>
          </w:tcPr>
          <w:p w14:paraId="715F11D6" w14:textId="4FD5E60F"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Christo-pher</w:t>
            </w:r>
          </w:p>
        </w:tc>
        <w:tc>
          <w:tcPr>
            <w:tcW w:w="739" w:type="dxa"/>
            <w:shd w:val="clear" w:color="auto" w:fill="auto"/>
            <w:noWrap/>
            <w:vAlign w:val="bottom"/>
          </w:tcPr>
          <w:p w14:paraId="673C404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0D7B5956"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501EF4C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This review assessed the impact of CHWs delivering curative interventions against malaria, pneumonia and diarrhea on under-six mortality and morbidity in sub-Saharan Africa. The review found that one-to-four year-old mortality reduced by 63% when CHWs delivered insecticide-treated nets and 36% when CHWs delivered anti-malarial chemoprophylaxis in addition to curative treatment and education. However, there was limited information on program description, context, or process outcomes. Large-scale rigorous evaluations of CHW programs are needed.</w:t>
            </w:r>
          </w:p>
        </w:tc>
      </w:tr>
      <w:tr w:rsidR="00862AF9" w:rsidRPr="00862AF9" w14:paraId="61C45FE7" w14:textId="77777777" w:rsidTr="00204FA4">
        <w:trPr>
          <w:cantSplit/>
          <w:trHeight w:val="320"/>
        </w:trPr>
        <w:tc>
          <w:tcPr>
            <w:tcW w:w="1148" w:type="dxa"/>
            <w:shd w:val="clear" w:color="auto" w:fill="auto"/>
            <w:noWrap/>
            <w:vAlign w:val="bottom"/>
          </w:tcPr>
          <w:p w14:paraId="27B2851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de Oliveira Castro</w:t>
            </w:r>
          </w:p>
        </w:tc>
        <w:tc>
          <w:tcPr>
            <w:tcW w:w="739" w:type="dxa"/>
            <w:shd w:val="clear" w:color="auto" w:fill="auto"/>
            <w:noWrap/>
            <w:vAlign w:val="bottom"/>
          </w:tcPr>
          <w:p w14:paraId="06A97EB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2015</w:t>
            </w:r>
          </w:p>
        </w:tc>
        <w:tc>
          <w:tcPr>
            <w:tcW w:w="900" w:type="dxa"/>
            <w:shd w:val="clear" w:color="auto" w:fill="auto"/>
            <w:noWrap/>
            <w:vAlign w:val="bottom"/>
          </w:tcPr>
          <w:p w14:paraId="2F6F939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667CEE0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Brazil, CHWs can play an important role in identifying children with hearing problems as well as promoting and monitoring children's hearing health. Effective training methods include live classes, online classes, video conferencing, and use of CD-ROMs.</w:t>
            </w:r>
          </w:p>
        </w:tc>
      </w:tr>
      <w:tr w:rsidR="00862AF9" w:rsidRPr="00862AF9" w14:paraId="0B5FBC7D" w14:textId="77777777" w:rsidTr="00204FA4">
        <w:trPr>
          <w:cantSplit/>
          <w:trHeight w:val="320"/>
        </w:trPr>
        <w:tc>
          <w:tcPr>
            <w:tcW w:w="1148" w:type="dxa"/>
            <w:shd w:val="clear" w:color="auto" w:fill="auto"/>
            <w:noWrap/>
            <w:vAlign w:val="bottom"/>
          </w:tcPr>
          <w:p w14:paraId="45A0073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Gogia</w:t>
            </w:r>
          </w:p>
        </w:tc>
        <w:tc>
          <w:tcPr>
            <w:tcW w:w="739" w:type="dxa"/>
            <w:shd w:val="clear" w:color="auto" w:fill="auto"/>
            <w:noWrap/>
            <w:vAlign w:val="bottom"/>
          </w:tcPr>
          <w:p w14:paraId="2740E0A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7EF8530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1796B30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Community-based neonatal care provided by CHWs was associated with reduced neonatal mortality in resource-limited settings [RR=0.73 (0.65 to 0.83); P&lt;0.0001]. In trials with a baseline neonatal mortality rate (NMR) less than 50/1000 live births, the relative risk of neonatal mortality among neonates receiving care from CHWs was 0.85 (0.73-0.99); while in trials with a baseline NMR of more than 50/1000 live births, the RR was 0.65 (0.54-0.77). Subgroup analysis by the type of intervention (i.e., home visits with or without community mobilization (RR 0.71 (0.60-0.84)), vs. community participatory action and learning (RR 0.77 (0.61-0.96)) indicate that both intervention strategies resulted in a similar reduced relative risk of neonatal mortality. While it appears logical that trials with more number of home visits should result in greater mortality reduction, this association was not consistently observed across all trials. Some studies suggest that home visits during the first 2 days of life are likely to yield the largest dividends. </w:t>
            </w:r>
          </w:p>
        </w:tc>
      </w:tr>
      <w:tr w:rsidR="00862AF9" w:rsidRPr="00862AF9" w14:paraId="73915BE4" w14:textId="77777777" w:rsidTr="00204FA4">
        <w:trPr>
          <w:cantSplit/>
          <w:trHeight w:val="320"/>
        </w:trPr>
        <w:tc>
          <w:tcPr>
            <w:tcW w:w="1148" w:type="dxa"/>
            <w:shd w:val="clear" w:color="auto" w:fill="auto"/>
            <w:noWrap/>
            <w:vAlign w:val="bottom"/>
          </w:tcPr>
          <w:p w14:paraId="72CEB4D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Gogia</w:t>
            </w:r>
          </w:p>
        </w:tc>
        <w:tc>
          <w:tcPr>
            <w:tcW w:w="739" w:type="dxa"/>
            <w:shd w:val="clear" w:color="auto" w:fill="auto"/>
            <w:noWrap/>
            <w:vAlign w:val="bottom"/>
          </w:tcPr>
          <w:p w14:paraId="7EFB929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2016</w:t>
            </w:r>
          </w:p>
        </w:tc>
        <w:tc>
          <w:tcPr>
            <w:tcW w:w="900" w:type="dxa"/>
            <w:shd w:val="clear" w:color="auto" w:fill="auto"/>
            <w:noWrap/>
            <w:vAlign w:val="bottom"/>
          </w:tcPr>
          <w:p w14:paraId="14345F0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382EB98E"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There is high quality evidence that home-based neonatal care is associated with a reduction in neonatal and perinatal mortality in South Asian settings with high neonatal mortality rates and poor access to health facility-based care.</w:t>
            </w:r>
          </w:p>
        </w:tc>
      </w:tr>
      <w:tr w:rsidR="00862AF9" w:rsidRPr="00862AF9" w14:paraId="29F2281B" w14:textId="77777777" w:rsidTr="00204FA4">
        <w:trPr>
          <w:cantSplit/>
          <w:trHeight w:val="320"/>
        </w:trPr>
        <w:tc>
          <w:tcPr>
            <w:tcW w:w="1148" w:type="dxa"/>
            <w:shd w:val="clear" w:color="auto" w:fill="auto"/>
            <w:noWrap/>
            <w:vAlign w:val="bottom"/>
          </w:tcPr>
          <w:p w14:paraId="2A7F3BD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Gogia</w:t>
            </w:r>
          </w:p>
        </w:tc>
        <w:tc>
          <w:tcPr>
            <w:tcW w:w="739" w:type="dxa"/>
            <w:shd w:val="clear" w:color="auto" w:fill="auto"/>
            <w:noWrap/>
            <w:vAlign w:val="bottom"/>
          </w:tcPr>
          <w:p w14:paraId="6E27138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2010</w:t>
            </w:r>
          </w:p>
        </w:tc>
        <w:tc>
          <w:tcPr>
            <w:tcW w:w="900" w:type="dxa"/>
            <w:shd w:val="clear" w:color="auto" w:fill="auto"/>
            <w:noWrap/>
            <w:vAlign w:val="bottom"/>
          </w:tcPr>
          <w:p w14:paraId="6C25D266"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02058CA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Home visits for antenatal and neonatal care, together with community mobilization activities, are associated with reduced neonatal mortality (RR: 0.62; 95% CI: 0.44–0.87) and stillbirths (RR: 0.76; 95% CI: 0.65–0.89) in south Asian settings with high neonatal mortality and poor access to facility-based health care. Antenatal and neonatal practice indicators also significantly improved (&gt; 1 antenatal check-up, 2 doses of maternal tetanus toxoid, clean umbilical cord care, early breastfeeding and delayed bathing). Only one trial recorded infant deaths, and this study showed a marked reduction (RR: 0.41; 0.30–0.57). Subgroup analyses suggested a greater survival benefit when home visit coverage was ≥ 50% (P &lt; 0.001) and when both preventive and curative interventions (including the use of injectable antibiotics) were conducted (P = 0.088).</w:t>
            </w:r>
          </w:p>
        </w:tc>
      </w:tr>
      <w:tr w:rsidR="00862AF9" w:rsidRPr="00862AF9" w14:paraId="6D194D33" w14:textId="77777777" w:rsidTr="00204FA4">
        <w:trPr>
          <w:cantSplit/>
          <w:trHeight w:val="320"/>
        </w:trPr>
        <w:tc>
          <w:tcPr>
            <w:tcW w:w="1148" w:type="dxa"/>
            <w:shd w:val="clear" w:color="auto" w:fill="auto"/>
            <w:noWrap/>
            <w:vAlign w:val="bottom"/>
          </w:tcPr>
          <w:p w14:paraId="49F95F3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Kane</w:t>
            </w:r>
          </w:p>
        </w:tc>
        <w:tc>
          <w:tcPr>
            <w:tcW w:w="739" w:type="dxa"/>
            <w:shd w:val="clear" w:color="auto" w:fill="auto"/>
            <w:noWrap/>
            <w:vAlign w:val="bottom"/>
          </w:tcPr>
          <w:p w14:paraId="7EC59AF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2010</w:t>
            </w:r>
          </w:p>
        </w:tc>
        <w:tc>
          <w:tcPr>
            <w:tcW w:w="900" w:type="dxa"/>
            <w:shd w:val="clear" w:color="auto" w:fill="auto"/>
            <w:noWrap/>
            <w:vAlign w:val="bottom"/>
          </w:tcPr>
          <w:p w14:paraId="7DD5D59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0F70953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Interventions to improve CHW performance include: (1) skills-based training of CHWs, (2) a health system that provides rigorous CHW supervision and is responsive to the CHW’s client referrals, and (3) positioning the CHW in the community. When interventions were applied in context of CHW programs embedded in local health services, with beneficiaries who valued services and had unmet needs, the interventions worked if the following mechanisms were triggered: anticipation of being valued by the community; CHWs perceived that their social status improved; a sense of relatedness that CHWs had with beneficiaries and the health system; increase in self-esteem; sense of self-efficacy and mastery of tasks; an enhanced sense of credibility, legitimacy and assurance that there was a system for back-up support. Studies also showed that if context differed, even with similar interventions, negative mechanisms could be triggered, compromising CHW performance.</w:t>
            </w:r>
          </w:p>
        </w:tc>
      </w:tr>
      <w:tr w:rsidR="00862AF9" w:rsidRPr="00862AF9" w14:paraId="35B1E845" w14:textId="77777777" w:rsidTr="00204FA4">
        <w:trPr>
          <w:cantSplit/>
          <w:trHeight w:val="320"/>
        </w:trPr>
        <w:tc>
          <w:tcPr>
            <w:tcW w:w="1148" w:type="dxa"/>
            <w:shd w:val="clear" w:color="auto" w:fill="auto"/>
            <w:noWrap/>
            <w:vAlign w:val="bottom"/>
          </w:tcPr>
          <w:p w14:paraId="7EB37EC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Lee</w:t>
            </w:r>
          </w:p>
        </w:tc>
        <w:tc>
          <w:tcPr>
            <w:tcW w:w="739" w:type="dxa"/>
            <w:shd w:val="clear" w:color="auto" w:fill="auto"/>
            <w:noWrap/>
            <w:vAlign w:val="bottom"/>
          </w:tcPr>
          <w:p w14:paraId="4713B62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5A405EA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727CB829" w14:textId="3901586B"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This review found that, compared to physicians, trained frontline health workers may screen for possible bacterial infection in young infants with relatively high sensitivity (average 82%; 95% CI 76%–88%) but somewhat lower specificity (average 69%; 95% CI 54%–83%) (eight studies, n= 11,857). Among the 14 studies that reported on health worker diagnosis of possible bacterial infection, five were about CBPs, and two of these five provided data that could be pooled for analysis. Both were from Bangladesh and validated CHW classification of newborns by modified Bangladeshi Integrated Management of Childhood Illness criteria compared to physician classification: 73%–91% of cases of very severe disease were recognized by CHWs, with specificity of 95%–98% </w:t>
            </w:r>
            <w:r w:rsidRPr="00862AF9">
              <w:rPr>
                <w:rFonts w:ascii="Calibri" w:eastAsia="Times New Roman" w:hAnsi="Calibri" w:cs="Times New Roman"/>
                <w:color w:val="000000"/>
                <w:sz w:val="20"/>
                <w:szCs w:val="20"/>
              </w:rPr>
              <w:fldChar w:fldCharType="begin" w:fldLock="1"/>
            </w:r>
            <w:r w:rsidR="00E37D8E">
              <w:rPr>
                <w:rFonts w:ascii="Calibri" w:eastAsia="Times New Roman" w:hAnsi="Calibri" w:cs="Times New Roman"/>
                <w:color w:val="000000"/>
                <w:sz w:val="20"/>
                <w:szCs w:val="20"/>
              </w:rPr>
              <w:instrText>ADDIN CSL_CITATION { "citationItems" : [ { "id" : "ITEM-1", "itemData" : { "DOI" : "10.1111/j.1365-3156.2009.02397.x", "ISBN" : "1360-2276", "ISSN" : "13602276", "PMID" : "19807901", "abstract" : "OBJECTIVES: To validate trained community health workers' recognition of signs and symptoms of newborn illnesses and classification of illnesses using a clinical algorithm during routine home visits in rural Bangladesh. METHODS: Between August 2005 and May 2006, 288 newborns were assessed independently by a community health worker and a study physician. Based on a 20-sign algorithm, sick neonates were classified as having very severe disease, possible very severe disease or no disease. The physician's assessment was considered as the gold standard. RESULTS: Community health workers correctly classified very severe disease in newborns with a sensitivity of 91%, specificity of 95% and kappa value of 0.85 (P &lt; 0.001). Community health workers' recognition showed a sensitivity of more than 60% and a specificity of 97-100% for almost all signs and symptoms. CONCLUSION: Community health workers with minimal training can use a diagnostic algorithm to identify severely ill newborns with high validity.", "author" : [ { "dropping-particle" : "", "family" : "Baqui", "given" : "Abdullah H.", "non-dropping-particle" : "", "parse-names" : false, "suffix" : "" }, { "dropping-particle" : "", "family" : "Arifeen", "given" : "Shams E.", "non-dropping-particle" : "", "parse-names" : false, "suffix" : "" }, { "dropping-particle" : "", "family" : "Rosen", "given" : "Heather E.", "non-dropping-particle" : "", "parse-names" : false, "suffix" : "" }, { "dropping-particle" : "", "family" : "Mannan", "given" : "Ishtiaq", "non-dropping-particle" : "", "parse-names" : false, "suffix" : "" }, { "dropping-particle" : "", "family" : "Rahman", "given" : "Syed M.", "non-dropping-particle" : "", "parse-names" : false, "suffix" : "" }, { "dropping-particle" : "", "family" : "Al-Mahmud", "given" : "Arif Billah", "non-dropping-particle" : "", "parse-names" : false, "suffix" : "" }, { "dropping-particle" : "", "family" : "Hossain", "given" : "Daniel", "non-dropping-particle" : "", "parse-names" : false, "suffix" : "" }, { "dropping-particle" : "", "family" : "Das", "given" : "Milan K.", "non-dropping-particle" : "", "parse-names" : false, "suffix" : "" }, { "dropping-particle" : "", "family" : "Begum", "given" : "Nazma", "non-dropping-particle" : "", "parse-names" : false, "suffix" : "" }, { "dropping-particle" : "", "family" : "Ahmed", "given" : "Saifuddin", "non-dropping-particle" : "", "parse-names" : false, "suffix" : "" }, { "dropping-particle" : "", "family" : "Santosham", "given" : "Mathuram", "non-dropping-particle" : "", "parse-names" : false, "suffix" : "" }, { "dropping-particle" : "", "family" : "Black", "given" : "Robert E.", "non-dropping-particle" : "", "parse-names" : false, "suffix" : "" }, { "dropping-particle" : "", "family" : "Darmstadt", "given" : "Gary L.", "non-dropping-particle" : "", "parse-names" : false, "suffix" : "" } ], "container-title" : "Tropical Medicine and International Health", "id" : "ITEM-1", "issue" : "12", "issued" : { "date-parts" : [ [ "2009" ] ] }, "page" : "1448-1456", "title" : "Community-based validation of assessment of newborn illnesses by trained community health workers in Sylhet district of Bangladesh", "type" : "article-journal", "volume" : "14" }, "uris" : [ "http://www.mendeley.com/documents/?uuid=72f93b55-de61-4303-893e-9ac9f706244d" ] }, { "id" : "ITEM-2", "itemData" : { "DOI" : "10.2471/BLT.07.050666", "ISBN" : "0042-9686", "ISSN" : "00429686", "PMID" : "19197400", "abstract" : "OBJECTIVE: To estimate the validity (sensitivity, specificity, and positive and negative predictive values) of a clinical algorithm as used by community health workers (CHWs) to detect and classify neonatal illness during routine household visits in rural Bangladesh. METHODS: CHWs evaluated breastfeeding and symptoms and signs of illness in 395 neonates selected randomly from neonatal illness surveillance during household visits on postnatal days 0, 2, 5 and 8. Neonates classified with very severe disease (VSD) were referred to a community-based hospital. Within 12 hours of CHW assessments, physicians independently evaluated all neonates seen in a given day by one CHW, randomly chosen from among 36 project CHWs. Physicians recorded symptoms and signs of illness, classified the illness, and determined whether the newborn needed referral-level care at the hospital. Physicians' identification and classification were used as the gold standard in determining the validity of CHWs' identification of symptoms and signs of illness and its classification. FINDINGS: CHWs' classification of VSD showed a sensitivity of 73%, a specificity of 98%, a positive predictive value of 57% and a negative predictive value of 99%. A maternal report of any feeding problem as ascertained by physician questioning was significantly associated (P &lt; 0.001) with 'not sucking at all' and 'not attached at all' or 'not well attached' as determined clinically by CHWs during feeding assessment. CONCLUSION: CHWs identified with high validity the neonates with severe illness needing referral-level care. Home-based illness recognition and management, including referral of neonates with severe illness by CHWs, is a promising strategy for improving neonatal health and survival in low-resource developing country settings.", "author" : [ { "dropping-particle" : "", "family" : "Darmstadt", "given" : "Gary L.", "non-dropping-particle" : "", "parse-names" : false, "suffix" : "" }, { "dropping-particle" : "", "family" : "Baqui", "given" : "Abdullah H.", "non-dropping-particle" : "", "parse-names" : false, "suffix" : "" }, { "dropping-particle" : "", "family" : "Choi", "given" : "Yoonjoung", "non-dropping-particle" : "", "parse-names" : false, "suffix" : "" }, { "dropping-particle" : "", "family" : "Bari", "given" : "Sanwarul", "non-dropping-particle" : "", "parse-names" : false, "suffix" : "" }, { "dropping-particle" : "", "family" : "Rahman", "given" : "Syed M.", "non-dropping-particle" : "", "parse-names" : false, "suffix" : "" }, { "dropping-particle" : "", "family" : "Mannan", "given" : "Ishtiaq", "non-dropping-particle" : "", "parse-names" : false, "suffix" : "" }, { "dropping-particle" : "", "family" : "Nawshad Uddin Ahmed", "given" : "A. S M", "non-dropping-particle" : "", "parse-names" : false, "suffix" : "" }, { "dropping-particle" : "", "family" : "Saha", "given" : "Samir K.", "non-dropping-particle" : "", "parse-names" : false, "suffix" : "" }, { "dropping-particle" : "", "family" : "Rahman", "given" : "Radwanur", "non-dropping-particle" : "", "parse-names" : false, "suffix" : "" }, { "dropping-particle" : "", "family" : "Chang", "given" : "Stephanie", "non-dropping-particle" : "", "parse-names" : false, "suffix" : "" }, { "dropping-particle" : "", "family" : "Winch", "given" : "Peter J.", "non-dropping-particle" : "", "parse-names" : false, "suffix" : "" }, { "dropping-particle" : "", "family" : "Black", "given" : "Robert E.", "non-dropping-particle" : "", "parse-names" : false, "suffix" : "" }, { "dropping-particle" : "", "family" : "Santosham", "given" : "Mathuram", "non-dropping-particle" : "", "parse-names" : false, "suffix" : "" }, { "dropping-particle" : "El", "family" : "Arifeen", "given" : "Shams", "non-dropping-particle" : "", "parse-names" : false, "suffix" : "" } ], "container-title" : "Bulletin of the World Health Organization", "id" : "ITEM-2", "issue" : "1", "issued" : { "date-parts" : [ [ "2009" ] ] }, "page" : "12-19", "title" : "Validation of community health workers' assessment of neonatal illness in rural Bangladesh", "type" : "article-journal", "volume" : "87" }, "uris" : [ "http://www.mendeley.com/documents/?uuid=c059cc17-fce2-4b05-bd85-61283e21d4cd" ] } ], "mendeley" : { "formattedCitation" : "(Baqui et al., 2009; Darmstadt et al., 2009)", "plainTextFormattedCitation" : "(Baqui et al., 2009; Darmstadt et al., 2009)", "previouslyFormattedCitation" : "(Baqui et al., 2009; Darmstadt et al., 2009)" }, "properties" : { "noteIndex" : 0 }, "schema" : "https://github.com/citation-style-language/schema/raw/master/csl-citation.json" }</w:instrText>
            </w:r>
            <w:r w:rsidRPr="00862AF9">
              <w:rPr>
                <w:rFonts w:ascii="Calibri" w:eastAsia="Times New Roman" w:hAnsi="Calibri" w:cs="Times New Roman"/>
                <w:color w:val="000000"/>
                <w:sz w:val="20"/>
                <w:szCs w:val="20"/>
              </w:rPr>
              <w:fldChar w:fldCharType="separate"/>
            </w:r>
            <w:r w:rsidR="00E37D8E" w:rsidRPr="00E37D8E">
              <w:rPr>
                <w:rFonts w:ascii="Calibri" w:eastAsia="Times New Roman" w:hAnsi="Calibri" w:cs="Times New Roman"/>
                <w:noProof/>
                <w:color w:val="000000"/>
                <w:sz w:val="20"/>
                <w:szCs w:val="20"/>
              </w:rPr>
              <w:t>(Baqui et al., 2009; Darmstadt et al., 2009)</w:t>
            </w:r>
            <w:r w:rsidRPr="00862AF9">
              <w:rPr>
                <w:rFonts w:ascii="Calibri" w:eastAsia="Times New Roman" w:hAnsi="Calibri" w:cs="Times New Roman"/>
                <w:color w:val="000000"/>
                <w:sz w:val="20"/>
                <w:szCs w:val="20"/>
              </w:rPr>
              <w:fldChar w:fldCharType="end"/>
            </w:r>
            <w:r w:rsidRPr="00862AF9">
              <w:rPr>
                <w:rFonts w:ascii="Calibri" w:eastAsia="Times New Roman" w:hAnsi="Calibri" w:cs="Times New Roman"/>
                <w:color w:val="000000"/>
                <w:sz w:val="20"/>
                <w:szCs w:val="20"/>
              </w:rPr>
              <w:t xml:space="preserve">. The third study, from Gadchiroli India, found that CHWs could identify individual signs of neonatal illness in high agreement with physicians (mean 92.7% agreement on 46 variables) and diagnosed 89% of cases meeting clinical sepsis criteria compared to a computer diagnostic algorithm based on neonatal symptoms </w:t>
            </w:r>
            <w:r w:rsidRPr="00862AF9">
              <w:rPr>
                <w:rFonts w:ascii="Calibri" w:eastAsia="Times New Roman" w:hAnsi="Calibri" w:cs="Times New Roman"/>
                <w:color w:val="000000"/>
                <w:sz w:val="20"/>
                <w:szCs w:val="20"/>
              </w:rPr>
              <w:fldChar w:fldCharType="begin" w:fldLock="1"/>
            </w:r>
            <w:r w:rsidRPr="00862AF9">
              <w:rPr>
                <w:rFonts w:ascii="Calibri" w:eastAsia="Times New Roman" w:hAnsi="Calibri" w:cs="Times New Roman"/>
                <w:color w:val="000000"/>
                <w:sz w:val="20"/>
                <w:szCs w:val="20"/>
              </w:rPr>
              <w:instrText>ADDIN CSL_CITATION { "citationItems" : [ { "id" : "ITEM-1", "itemData" : { "DOI" : "11568371", "ISBN" : "0019-6061", "ISSN" : "0019-6061", "PMID" : "11568371", "abstract" : "BACKGROUND: Majority of the neonates in developing countries are born and cared for in rural homes but the available information is mostly hospital based. OBJECTIVES: To estimate: (i) the incidence of various neonatal morbidities and associated case fatality in home-cared rural neonates, (ii) proportion of neonates with indications for health care, and (iii) the proportion who actually receive it. DESIGN: Prospective observational study. SETTING: Rural homes. METHODS: Neonates in 39 study villages in the Gadchiroli district (Maharashtra, India) were observed during one year (1995-96) by 39 trained female village health workers at birth and during neonatal period (0-28 days) by making eight home visits. A physician checked the data and the morbidities were diagnosed by a computer program. Vital statistics in these villages was independently collected. RESULTS: Out of 1016 live births, 95% occurred at home and 763 (75&amp;%) neonates were observed. The agreement between observations by health workers and physician was 92%. Total 48.2&amp; neonates suffered high risk morbidities (associated case fatality &gt;10%), 72.2% suffered low risk morbidities, and 17.9% gained inadequate weight (less than 300 g). Seventeen percent neonates developed clinical picture suggestive of sepsis. Though 54.4% neonates had indications for health care and 38 out of total 40 neonatal deaths occurred in these, only 2.6% received medical attention. The neonatal mortality rate was 52.4/1000 live births. CONCLUSION: Nearly half of the neonates in rural homes developed high risk morbidities ten times the neonatal morbidity rate and needed health care but practically none received it. The magnitude of care gap suggests an urgent need for developing home-based neonatal care to reduce neonatal morbidities and mortality", "author" : [ { "dropping-particle" : "", "family" : "Bang", "given" : "A T", "non-dropping-particle" : "", "parse-names" : false, "suffix" : "" }, { "dropping-particle" : "", "family" : "Bang", "given" : "R A", "non-dropping-particle" : "", "parse-names" : false, "suffix" : "" }, { "dropping-particle" : "", "family" : "Baitule", "given" : "S", "non-dropping-particle" : "", "parse-names" : false, "suffix" : "" }, { "dropping-particle" : "", "family" : "Deshmukh", "given" : "M", "non-dropping-particle" : "", "parse-names" : false, "suffix" : "" }, { "dropping-particle" : "", "family" : "Reddy", "given" : "M H", "non-dropping-particle" : "", "parse-names" : false, "suffix" : "" } ], "container-title" : "Indian Pediatrics", "id" : "ITEM-1", "issued" : { "date-parts" : [ [ "2001" ] ] }, "page" : "952-965", "title" : "Burden of morbidities and the unmet need for health care in rural neonates--a prospective observational study in Gadchiroli, India", "type" : "article-journal", "volume" : "38" }, "uris" : [ "http://www.mendeley.com/documents/?uuid=c8a579bb-a755-4d3d-b26e-eb6a43e02644" ] }, { "id" : "ITEM-2", "itemData" : { "DOI" : "10.1038/sj.jp.7211273", "ISBN" : "0743-8346 (Print)\\r0743-8346 (Linking)", "ISSN" : "0743-8346", "PMID" : "15791280", "abstract" : "OBJECTIVES: To further evaluate our earlier findings on the feasibility and effectiveness of home-based management of neonatal sepsis by analysing 7 years data (1996 to 2003) from the field trial in Gadchiroli, India. STUDY DESIGN: Neonates in 39 villages were monitored by trained village health workers (VHWs) from 1995 onwards. In 1996, we trained VHWs to diagnose sepsis by using a clinical algorithm and provide domiciliary treatment using intramuscular gentamicin and oral co-trimoxazole. Health records for all neonates were kept by the VHWs, checked by field supervisors, and computerized. Live births and neonatal deaths were recorded by an independent vital statistics collection system. We evaluated the feasibility and effectiveness of this approach. RESULTS: During September 1996 to March 2003, VHWs monitored 93% of all neonates in 39 villages (N=5268). As compared to 552 cases of sepsis diagnosed by computer algorithm, VHWs correctly diagnosed 492 cases (89%). Parents agreed to home-based treatment for the majority of infants (448, 91%), refused treatment in 31 (6.4%) cases, and hospitalized 13 infants (2.6%). VHWs treated 470 neonates with antibiotics, that is, 8.9% of all neonates in community. Of 552 cases diagnosed by computer, VHWs correctly treated 448 (81.2%) and gave unnecessary treatment to 22/470 (4.7%) of treated neonates. The case fatality (CF) was 6.9% in treated cases vs 22% in untreated or 16.6% in the pre-intervention period (p&lt;0.001). Home-based treatment resulted in 67.2% reduction in %CF among preterm and a 72% reduction among LBW neonates. CONCLUSIONS: Home-based management of neonates with suspected sepsis is acceptable to most parents, safe, and effective in reducing sepsis case fatality by nearly 60%. With proper selection, training, and supervision of health workers, this method may be applicable in areas in developing countries where access to hospital care is limited.", "author" : [ { "dropping-particle" : "", "family" : "Bang", "given" : "A T", "non-dropping-particle" : "", "parse-names" : false, "suffix" : "" }, { "dropping-particle" : "", "family" : "Bang", "given" : "R A", "non-dropping-particle" : "", "parse-names" : false, "suffix" : "" }, { "dropping-particle" : "", "family" : "Stoll", "given" : "B J", "non-dropping-particle" : "", "parse-names" : false, "suffix" : "" }, { "dropping-particle" : "", "family" : "Baitule", "given" : "S B", "non-dropping-particle" : "", "parse-names" : false, "suffix" : "" }, { "dropping-particle" : "", "family" : "Reddy", "given" : "H M", "non-dropping-particle" : "", "parse-names" : false, "suffix" : "" }, { "dropping-particle" : "", "family" : "Deshmukh", "given" : "M D", "non-dropping-particle" : "", "parse-names" : false, "suffix" : "" } ], "container-title" : "J Perinatol", "id" : "ITEM-2", "issue" : "supp 1", "issued" : { "date-parts" : [ [ "2005" ] ] }, "page" : "S62-71", "title" : "Is home-based diagnosis and treatment of neonatal sepsis feasible and effective? Seven years of intervention in the Gadchiroli field trial (1996 to 2003)", "type" : "article-journal", "volume" : "25 Suppl 1" }, "uris" : [ "http://www.mendeley.com/documents/?uuid=4165ca51-2433-4c7c-821a-e70d8e90b151" ] } ], "mendeley" : { "formattedCitation" : "(Bang et al., 2005; Bang, Bang, Baitule, Deshmukh, &amp; Reddy, 2001)", "plainTextFormattedCitation" : "(Bang et al., 2005; Bang, Bang, Baitule, Deshmukh, &amp; Reddy, 2001)", "previouslyFormattedCitation" : "(Bang et al., 2005; Bang, Bang, Baitule, Deshmukh, &amp; Reddy, 2001)" }, "properties" : { "noteIndex" : 0 }, "schema" : "https://github.com/citation-style-language/schema/raw/master/csl-citation.json" }</w:instrText>
            </w:r>
            <w:r w:rsidRPr="00862AF9">
              <w:rPr>
                <w:rFonts w:ascii="Calibri" w:eastAsia="Times New Roman" w:hAnsi="Calibri" w:cs="Times New Roman"/>
                <w:color w:val="000000"/>
                <w:sz w:val="20"/>
                <w:szCs w:val="20"/>
              </w:rPr>
              <w:fldChar w:fldCharType="separate"/>
            </w:r>
            <w:r w:rsidRPr="00862AF9">
              <w:rPr>
                <w:rFonts w:ascii="Calibri" w:eastAsia="Times New Roman" w:hAnsi="Calibri" w:cs="Times New Roman"/>
                <w:noProof/>
                <w:color w:val="000000"/>
                <w:sz w:val="20"/>
                <w:szCs w:val="20"/>
              </w:rPr>
              <w:t>(Bang et al., 2005; Bang, Bang, Baitule, Deshmukh, &amp; Reddy, 2001)</w:t>
            </w:r>
            <w:r w:rsidRPr="00862AF9">
              <w:rPr>
                <w:rFonts w:ascii="Calibri" w:eastAsia="Times New Roman" w:hAnsi="Calibri" w:cs="Times New Roman"/>
                <w:color w:val="000000"/>
                <w:sz w:val="20"/>
                <w:szCs w:val="20"/>
              </w:rPr>
              <w:fldChar w:fldCharType="end"/>
            </w:r>
            <w:r w:rsidRPr="00862AF9">
              <w:rPr>
                <w:rFonts w:ascii="Calibri" w:eastAsia="Times New Roman" w:hAnsi="Calibri" w:cs="Times New Roman"/>
                <w:color w:val="000000"/>
                <w:sz w:val="20"/>
                <w:szCs w:val="20"/>
              </w:rPr>
              <w:t xml:space="preserve">. The fourth study, from Nepal, found that community-based CHWs had high levels of agreement on the major signs of neonatal sepsis compared to facility-based CHWs </w:t>
            </w:r>
            <w:r w:rsidRPr="00862AF9">
              <w:rPr>
                <w:rFonts w:ascii="Calibri" w:eastAsia="Times New Roman" w:hAnsi="Calibri" w:cs="Times New Roman"/>
                <w:color w:val="000000"/>
                <w:sz w:val="20"/>
                <w:szCs w:val="20"/>
              </w:rPr>
              <w:fldChar w:fldCharType="begin" w:fldLock="1"/>
            </w:r>
            <w:r w:rsidRPr="00862AF9">
              <w:rPr>
                <w:rFonts w:ascii="Calibri" w:eastAsia="Times New Roman" w:hAnsi="Calibri" w:cs="Times New Roman"/>
                <w:color w:val="000000"/>
                <w:sz w:val="20"/>
                <w:szCs w:val="20"/>
              </w:rPr>
              <w:instrText>ADDIN CSL_CITATION { "citationItems" : [ { "id" : "ITEM-1", "itemData" : { "DOI" : "http://dx.doi.org/10.3329/jhpn.v29i3.7873", "ISBN" : "1606-0997; 1606-0997", "ISSN" : "16060997", "PMID" : "21766561", "abstract" : "The mortality rates of infants and children aged less than five years are declining globally and in Nepal but less among neonates. Most deliveries occur at home without skilled attendants, and most neonates may not receive appropriate care through the existing medical systems. So, a community-based pilot programme-Morang Innovative Neonatal Intervention (MINI) programme-was implemented in Morang district of Nepal to see the feasibility of bringing the management of sick neonates closer to home. The objective of this model was to answer the question: \"Can a team of female community health volunteers and paid facility-based community health workers (collectively called CHWs) within the existing heath system correctly follow a set of guidelines to identify possible severe bacterial infection in neonates and young infants and successfully deliver their treatment?\" In the MINI model, the CHWs followed an algorithm to classify sick young infants with possible severe bacterial infection (PSBI). Female Community Health Volunteers (FCHVS) were trained to visit homes soon after delivery, record the birth, counsel mothers on essential newborn care, and assess the newborns for danger-signs. Infants classified as having PSBI, during this or subsequent contacts, were treated with co-trimoxazole and referred to facility-based CHWs for seven-day treatment with injection gentamicin. Additional supervisory support was provided for quality of care and intensified monitoring. Of 11,457 livebirths recorded during May 2005-April 2007, 1,526 (13.3%) episodes of PSBI were identified in young infants. Assessment of signs by the FCHVs matched that of more highly-trained facility-based CHWs in over 90% of episodes. Treatment was initiated in 90% of the PSBI episodes; 93% completed a full course of gentamicin. Case fatality in those who received treatment with gentamicin was 1.5% [95% confidence interval (CI) 1.0-2.3] compared to 5.3% (95% CI 2.6-9.7) in episodes that did not receive any treatment. Within the existing government health infrastructure, the CHWs can assess and identify possible infections in neonates and young infants and deliver appropriate treatment with antibiotics. This will result in improvement in the likelihood of survival and address one of the main causes of neonatal mortality.", "author" : [ { "dropping-particle" : "", "family" : "Khanal", "given" : "Sudhir", "non-dropping-particle" : "", "parse-names" : false, "suffix" : "" }, { "dropping-particle" : "", "family" : "Sharma", "given" : "Jaganath", "non-dropping-particle" : "", "parse-names" : false, "suffix" : "" }, { "dropping-particle" : "", "family" : "Vijay Singh", "given" : "Gc", "non-dropping-particle" : "", "parse-names" : false, "suffix" : "" }, { "dropping-particle" : "", "family" : "Dawson", "given" : "Penny", "non-dropping-particle" : "", "parse-names" : false, "suffix" : "" }, { "dropping-particle" : "", "family" : "Houston", "given" : "Robin", "non-dropping-particle" : "", "parse-names" : false, "suffix" : "" }, { "dropping-particle" : "", "family" : "Khadka", "given" : "Neena", "non-dropping-particle" : "", "parse-names" : false, "suffix" : "" }, { "dropping-particle" : "", "family" : "Yengden", "given" : "Bhanu", "non-dropping-particle" : "", "parse-names" : false, "suffix" : "" } ], "container-title" : "Journal of Health, Population and Nutrition", "id" : "ITEM-1", "issue" : "3", "issued" : { "date-parts" : [ [ "2011" ] ] }, "page" : "255-264", "title" : "Community health workers can identify and manage possible infections in neonates and young infants: Mini-A model from Nepal", "type" : "article-journal", "volume" : "29" }, "uris" : [ "http://www.mendeley.com/documents/?uuid=1dde8536-7684-4697-bda4-5480adefae45" ] } ], "mendeley" : { "formattedCitation" : "(Khanal et al., 2011)", "plainTextFormattedCitation" : "(Khanal et al., 2011)", "previouslyFormattedCitation" : "(Khanal et al., 2011)" }, "properties" : { "noteIndex" : 0 }, "schema" : "https://github.com/citation-style-language/schema/raw/master/csl-citation.json" }</w:instrText>
            </w:r>
            <w:r w:rsidRPr="00862AF9">
              <w:rPr>
                <w:rFonts w:ascii="Calibri" w:eastAsia="Times New Roman" w:hAnsi="Calibri" w:cs="Times New Roman"/>
                <w:color w:val="000000"/>
                <w:sz w:val="20"/>
                <w:szCs w:val="20"/>
              </w:rPr>
              <w:fldChar w:fldCharType="separate"/>
            </w:r>
            <w:r w:rsidRPr="00862AF9">
              <w:rPr>
                <w:rFonts w:ascii="Calibri" w:eastAsia="Times New Roman" w:hAnsi="Calibri" w:cs="Times New Roman"/>
                <w:noProof/>
                <w:color w:val="000000"/>
                <w:sz w:val="20"/>
                <w:szCs w:val="20"/>
              </w:rPr>
              <w:t>(Khanal et al., 2011)</w:t>
            </w:r>
            <w:r w:rsidRPr="00862AF9">
              <w:rPr>
                <w:rFonts w:ascii="Calibri" w:eastAsia="Times New Roman" w:hAnsi="Calibri" w:cs="Times New Roman"/>
                <w:color w:val="000000"/>
                <w:sz w:val="20"/>
                <w:szCs w:val="20"/>
              </w:rPr>
              <w:fldChar w:fldCharType="end"/>
            </w:r>
            <w:r w:rsidRPr="00862AF9">
              <w:rPr>
                <w:rFonts w:ascii="Calibri" w:eastAsia="Times New Roman" w:hAnsi="Calibri" w:cs="Times New Roman"/>
                <w:color w:val="000000"/>
                <w:sz w:val="20"/>
                <w:szCs w:val="20"/>
              </w:rPr>
              <w:t xml:space="preserve">. The fifth, from Purulia, India, was not as positive </w:t>
            </w:r>
            <w:r w:rsidRPr="00862AF9">
              <w:rPr>
                <w:rFonts w:ascii="Calibri" w:eastAsia="Times New Roman" w:hAnsi="Calibri" w:cs="Times New Roman"/>
                <w:color w:val="000000"/>
                <w:sz w:val="20"/>
                <w:szCs w:val="20"/>
              </w:rPr>
              <w:fldChar w:fldCharType="begin" w:fldLock="1"/>
            </w:r>
            <w:r w:rsidRPr="00862AF9">
              <w:rPr>
                <w:rFonts w:ascii="Calibri" w:eastAsia="Times New Roman" w:hAnsi="Calibri" w:cs="Times New Roman"/>
                <w:color w:val="000000"/>
                <w:sz w:val="20"/>
                <w:szCs w:val="20"/>
              </w:rPr>
              <w:instrText>ADDIN CSL_CITATION { "citationItems" : [ { "id" : "ITEM-1", "itemData" : { "DOI" : "10.1093/tropej/fmq106", "author" : [ { "dropping-particle" : "", "family" : "Biswas", "given" : "Akhil B", "non-dropping-particle" : "", "parse-names" : false, "suffix" : "" }, { "dropping-particle" : "", "family" : "Mukhopadhyay", "given" : "Dipta K", "non-dropping-particle" : "", "parse-names" : false, "suffix" : "" }, { "dropping-particle" : "", "family" : "Mandal", "given" : "Nirmal K", "non-dropping-particle" : "", "parse-names" : false, "suffix" : "" }, { "dropping-particle" : "", "family" : "Panja", "given" : "Tanamy K", "non-dropping-particle" : "", "parse-names" : false, "suffix" : "" }, { "dropping-particle" : "", "family" : "Sinha", "given" : "Nirmalya", "non-dropping-particle" : "", "parse-names" : false, "suffix" : "" } ], "container-title" : "J Trop Pediatr", "id" : "ITEM-1", "issue" : "5", "issued" : { "date-parts" : [ [ "2011" ] ] }, "page" : "352-356", "title" : "Skill of Frontline Workers Implementing Integrated Management of Neonatal and Childhood Illness : Experience from a District of West Bengal , India", "type" : "article-journal", "volume" : "57" }, "uris" : [ "http://www.mendeley.com/documents/?uuid=82513855-ec3d-4a9f-9eb9-f266ea4ae658" ] } ], "mendeley" : { "formattedCitation" : "(Biswas, Mukhopadhyay, Mandal, Panja, &amp; Sinha, 2011)", "plainTextFormattedCitation" : "(Biswas, Mukhopadhyay, Mandal, Panja, &amp; Sinha, 2011)", "previouslyFormattedCitation" : "(Biswas, Mukhopadhyay, Mandal, Panja, &amp; Sinha, 2011)" }, "properties" : { "noteIndex" : 0 }, "schema" : "https://github.com/citation-style-language/schema/raw/master/csl-citation.json" }</w:instrText>
            </w:r>
            <w:r w:rsidRPr="00862AF9">
              <w:rPr>
                <w:rFonts w:ascii="Calibri" w:eastAsia="Times New Roman" w:hAnsi="Calibri" w:cs="Times New Roman"/>
                <w:color w:val="000000"/>
                <w:sz w:val="20"/>
                <w:szCs w:val="20"/>
              </w:rPr>
              <w:fldChar w:fldCharType="separate"/>
            </w:r>
            <w:r w:rsidRPr="00862AF9">
              <w:rPr>
                <w:rFonts w:ascii="Calibri" w:eastAsia="Times New Roman" w:hAnsi="Calibri" w:cs="Times New Roman"/>
                <w:noProof/>
                <w:color w:val="000000"/>
                <w:sz w:val="20"/>
                <w:szCs w:val="20"/>
              </w:rPr>
              <w:t>(Biswas, Mukhopadhyay, Mandal, Panja, &amp; Sinha, 2011)</w:t>
            </w:r>
            <w:r w:rsidRPr="00862AF9">
              <w:rPr>
                <w:rFonts w:ascii="Calibri" w:eastAsia="Times New Roman" w:hAnsi="Calibri" w:cs="Times New Roman"/>
                <w:color w:val="000000"/>
                <w:sz w:val="20"/>
                <w:szCs w:val="20"/>
              </w:rPr>
              <w:fldChar w:fldCharType="end"/>
            </w:r>
            <w:r w:rsidRPr="00862AF9">
              <w:rPr>
                <w:rFonts w:ascii="Calibri" w:eastAsia="Times New Roman" w:hAnsi="Calibri" w:cs="Times New Roman"/>
                <w:color w:val="000000"/>
                <w:sz w:val="20"/>
                <w:szCs w:val="20"/>
              </w:rPr>
              <w:t xml:space="preserve">. This study observed CBPs conducting home assessments for Integrated Management of Neonatal and Childhood Illnesses. These CBPs completed all aspects of the assessment in only 32% of cases and, among those cases, 35% had the correct classification in all subgroups and 34% in at least one subgroup. </w:t>
            </w:r>
          </w:p>
        </w:tc>
      </w:tr>
      <w:tr w:rsidR="00862AF9" w:rsidRPr="00862AF9" w14:paraId="1096B067" w14:textId="77777777" w:rsidTr="00204FA4">
        <w:trPr>
          <w:cantSplit/>
          <w:trHeight w:val="320"/>
        </w:trPr>
        <w:tc>
          <w:tcPr>
            <w:tcW w:w="1148" w:type="dxa"/>
            <w:shd w:val="clear" w:color="auto" w:fill="auto"/>
            <w:noWrap/>
            <w:vAlign w:val="bottom"/>
          </w:tcPr>
          <w:p w14:paraId="05285DC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Noordam</w:t>
            </w:r>
          </w:p>
        </w:tc>
        <w:tc>
          <w:tcPr>
            <w:tcW w:w="739" w:type="dxa"/>
            <w:shd w:val="clear" w:color="auto" w:fill="auto"/>
            <w:noWrap/>
            <w:vAlign w:val="bottom"/>
          </w:tcPr>
          <w:p w14:paraId="78A29CC4"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2015</w:t>
            </w:r>
          </w:p>
        </w:tc>
        <w:tc>
          <w:tcPr>
            <w:tcW w:w="900" w:type="dxa"/>
            <w:shd w:val="clear" w:color="auto" w:fill="auto"/>
            <w:noWrap/>
            <w:vAlign w:val="bottom"/>
          </w:tcPr>
          <w:p w14:paraId="1165069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6BBB6EC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Among illiterate CHWs, the use of counting beads (beads that are shifted along a string to help keep track of numbers while counting) enabled and improved the assessment and classification of fast breathing among children with possible pneumonia. However, among literate CHWs, a study found that the use of counting beads decreased the accuracy of counting breaths. The design of the beads is crucial: beads should move comfortably, and a separate bead string, with color coding, is required for the age groups with different cut-off thresholds—eliminating more complicated calculations.</w:t>
            </w:r>
          </w:p>
        </w:tc>
      </w:tr>
      <w:tr w:rsidR="00121CE8" w:rsidRPr="00862AF9" w14:paraId="731B4263" w14:textId="77777777" w:rsidTr="00204FA4">
        <w:trPr>
          <w:cantSplit/>
          <w:trHeight w:val="320"/>
        </w:trPr>
        <w:tc>
          <w:tcPr>
            <w:tcW w:w="1148" w:type="dxa"/>
            <w:shd w:val="clear" w:color="auto" w:fill="auto"/>
            <w:noWrap/>
            <w:vAlign w:val="bottom"/>
          </w:tcPr>
          <w:p w14:paraId="6245AFD4" w14:textId="4514DFAE" w:rsidR="00121CE8" w:rsidRPr="00862AF9" w:rsidRDefault="00121CE8" w:rsidP="00E96A82">
            <w:pPr>
              <w:spacing w:after="0"/>
              <w:rPr>
                <w:rFonts w:ascii="Calibri" w:eastAsia="Times New Roman" w:hAnsi="Calibri" w:cs="Times New Roman"/>
                <w:color w:val="000000"/>
                <w:sz w:val="20"/>
                <w:szCs w:val="20"/>
              </w:rPr>
            </w:pPr>
            <w:r w:rsidRPr="00121CE8">
              <w:rPr>
                <w:rFonts w:ascii="Calibri" w:eastAsia="Times New Roman" w:hAnsi="Calibri" w:cs="Times New Roman"/>
                <w:color w:val="000000"/>
                <w:sz w:val="20"/>
                <w:szCs w:val="20"/>
              </w:rPr>
              <w:t>Reisman</w:t>
            </w:r>
          </w:p>
        </w:tc>
        <w:tc>
          <w:tcPr>
            <w:tcW w:w="739" w:type="dxa"/>
            <w:shd w:val="clear" w:color="auto" w:fill="auto"/>
            <w:noWrap/>
            <w:vAlign w:val="bottom"/>
          </w:tcPr>
          <w:p w14:paraId="26773FB8" w14:textId="4CD5E9AE" w:rsidR="00121CE8" w:rsidRPr="00862AF9" w:rsidRDefault="00121CE8"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900" w:type="dxa"/>
            <w:shd w:val="clear" w:color="auto" w:fill="auto"/>
            <w:noWrap/>
            <w:vAlign w:val="bottom"/>
          </w:tcPr>
          <w:p w14:paraId="47D4384E" w14:textId="7B9433FE" w:rsidR="00121CE8" w:rsidRPr="00862AF9" w:rsidRDefault="00121CE8"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836" w:type="dxa"/>
            <w:shd w:val="clear" w:color="auto" w:fill="auto"/>
            <w:noWrap/>
            <w:vAlign w:val="bottom"/>
          </w:tcPr>
          <w:p w14:paraId="3380E699" w14:textId="0697B460" w:rsidR="00121CE8" w:rsidRPr="00862AF9" w:rsidRDefault="00121CE8"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B</w:t>
            </w:r>
            <w:r w:rsidRPr="00121CE8">
              <w:rPr>
                <w:rFonts w:ascii="Calibri" w:eastAsia="Times New Roman" w:hAnsi="Calibri" w:cs="Times New Roman"/>
                <w:color w:val="000000"/>
                <w:sz w:val="20"/>
                <w:szCs w:val="20"/>
              </w:rPr>
              <w:t xml:space="preserve">irth attendants in LMICs </w:t>
            </w:r>
            <w:r>
              <w:rPr>
                <w:rFonts w:ascii="Calibri" w:eastAsia="Times New Roman" w:hAnsi="Calibri" w:cs="Times New Roman"/>
                <w:color w:val="000000"/>
                <w:sz w:val="20"/>
                <w:szCs w:val="20"/>
              </w:rPr>
              <w:t>can</w:t>
            </w:r>
            <w:r w:rsidRPr="00121CE8">
              <w:rPr>
                <w:rFonts w:ascii="Calibri" w:eastAsia="Times New Roman" w:hAnsi="Calibri" w:cs="Times New Roman"/>
                <w:color w:val="000000"/>
                <w:sz w:val="20"/>
                <w:szCs w:val="20"/>
              </w:rPr>
              <w:t xml:space="preserve"> acquire newborn resuscitation knowledge and skills </w:t>
            </w:r>
            <w:r>
              <w:rPr>
                <w:rFonts w:ascii="Calibri" w:eastAsia="Times New Roman" w:hAnsi="Calibri" w:cs="Times New Roman"/>
                <w:color w:val="000000"/>
                <w:sz w:val="20"/>
                <w:szCs w:val="20"/>
              </w:rPr>
              <w:t>through t</w:t>
            </w:r>
            <w:r w:rsidRPr="00121CE8">
              <w:rPr>
                <w:rFonts w:ascii="Calibri" w:eastAsia="Times New Roman" w:hAnsi="Calibri" w:cs="Times New Roman"/>
                <w:color w:val="000000"/>
                <w:sz w:val="20"/>
                <w:szCs w:val="20"/>
              </w:rPr>
              <w:t>raining, but</w:t>
            </w:r>
            <w:r w:rsidR="008F5873">
              <w:rPr>
                <w:rFonts w:ascii="Calibri" w:eastAsia="Times New Roman" w:hAnsi="Calibri" w:cs="Times New Roman"/>
                <w:color w:val="000000"/>
                <w:sz w:val="20"/>
                <w:szCs w:val="20"/>
              </w:rPr>
              <w:t xml:space="preserve"> they struggle to learn </w:t>
            </w:r>
            <w:r w:rsidR="008F5873" w:rsidRPr="00121CE8">
              <w:rPr>
                <w:rFonts w:ascii="Calibri" w:eastAsia="Times New Roman" w:hAnsi="Calibri" w:cs="Times New Roman"/>
                <w:color w:val="000000"/>
                <w:sz w:val="20"/>
                <w:szCs w:val="20"/>
              </w:rPr>
              <w:t>bag-mask ventilation</w:t>
            </w:r>
            <w:r w:rsidR="00A56488">
              <w:rPr>
                <w:rFonts w:ascii="Calibri" w:eastAsia="Times New Roman" w:hAnsi="Calibri" w:cs="Times New Roman"/>
                <w:color w:val="000000"/>
                <w:sz w:val="20"/>
                <w:szCs w:val="20"/>
              </w:rPr>
              <w:t>,</w:t>
            </w:r>
            <w:r w:rsidR="008F5873">
              <w:rPr>
                <w:rFonts w:ascii="Calibri" w:eastAsia="Times New Roman" w:hAnsi="Calibri" w:cs="Times New Roman"/>
                <w:color w:val="000000"/>
                <w:sz w:val="20"/>
                <w:szCs w:val="20"/>
              </w:rPr>
              <w:t xml:space="preserve"> and</w:t>
            </w:r>
            <w:r w:rsidRPr="00121CE8">
              <w:rPr>
                <w:rFonts w:ascii="Calibri" w:eastAsia="Times New Roman" w:hAnsi="Calibri" w:cs="Times New Roman"/>
                <w:color w:val="000000"/>
                <w:sz w:val="20"/>
                <w:szCs w:val="20"/>
              </w:rPr>
              <w:t xml:space="preserve"> there is a significant falloff </w:t>
            </w:r>
            <w:r w:rsidR="00A56488">
              <w:rPr>
                <w:rFonts w:ascii="Calibri" w:eastAsia="Times New Roman" w:hAnsi="Calibri" w:cs="Times New Roman"/>
                <w:color w:val="000000"/>
                <w:sz w:val="20"/>
                <w:szCs w:val="20"/>
              </w:rPr>
              <w:t xml:space="preserve">in knowledge and skills </w:t>
            </w:r>
            <w:r w:rsidRPr="00121CE8">
              <w:rPr>
                <w:rFonts w:ascii="Calibri" w:eastAsia="Times New Roman" w:hAnsi="Calibri" w:cs="Times New Roman"/>
                <w:color w:val="000000"/>
                <w:sz w:val="20"/>
                <w:szCs w:val="20"/>
              </w:rPr>
              <w:t>after training. Refresher training, including formal, structured practice sessions</w:t>
            </w:r>
            <w:r w:rsidR="0065724A">
              <w:rPr>
                <w:rFonts w:ascii="Calibri" w:eastAsia="Times New Roman" w:hAnsi="Calibri" w:cs="Times New Roman"/>
                <w:color w:val="000000"/>
                <w:sz w:val="20"/>
                <w:szCs w:val="20"/>
              </w:rPr>
              <w:t xml:space="preserve">, </w:t>
            </w:r>
            <w:r w:rsidR="0065724A" w:rsidRPr="00121CE8">
              <w:rPr>
                <w:rFonts w:ascii="Calibri" w:eastAsia="Times New Roman" w:hAnsi="Calibri" w:cs="Times New Roman"/>
                <w:color w:val="000000"/>
                <w:sz w:val="20"/>
                <w:szCs w:val="20"/>
              </w:rPr>
              <w:t>improves retention</w:t>
            </w:r>
            <w:r w:rsidR="0065724A">
              <w:rPr>
                <w:rFonts w:ascii="Calibri" w:eastAsia="Times New Roman" w:hAnsi="Calibri" w:cs="Times New Roman"/>
                <w:color w:val="000000"/>
                <w:sz w:val="20"/>
                <w:szCs w:val="20"/>
              </w:rPr>
              <w:t xml:space="preserve"> of knowledge and skills</w:t>
            </w:r>
            <w:r>
              <w:rPr>
                <w:rFonts w:ascii="Calibri" w:eastAsia="Times New Roman" w:hAnsi="Calibri" w:cs="Times New Roman"/>
                <w:color w:val="000000"/>
                <w:sz w:val="20"/>
                <w:szCs w:val="20"/>
              </w:rPr>
              <w:t xml:space="preserve">. </w:t>
            </w:r>
            <w:r w:rsidRPr="00121CE8">
              <w:rPr>
                <w:rFonts w:ascii="Calibri" w:eastAsia="Times New Roman" w:hAnsi="Calibri" w:cs="Times New Roman"/>
                <w:color w:val="000000"/>
                <w:sz w:val="20"/>
                <w:szCs w:val="20"/>
              </w:rPr>
              <w:t xml:space="preserve">Low rates of proficiency with </w:t>
            </w:r>
            <w:r w:rsidR="008F5873" w:rsidRPr="00121CE8">
              <w:rPr>
                <w:rFonts w:ascii="Calibri" w:eastAsia="Times New Roman" w:hAnsi="Calibri" w:cs="Times New Roman"/>
                <w:color w:val="000000"/>
                <w:sz w:val="20"/>
                <w:szCs w:val="20"/>
              </w:rPr>
              <w:t xml:space="preserve">bag-mask ventilation </w:t>
            </w:r>
            <w:r w:rsidRPr="00121CE8">
              <w:rPr>
                <w:rFonts w:ascii="Calibri" w:eastAsia="Times New Roman" w:hAnsi="Calibri" w:cs="Times New Roman"/>
                <w:color w:val="000000"/>
                <w:sz w:val="20"/>
                <w:szCs w:val="20"/>
              </w:rPr>
              <w:t>immediately after training suggest that educational programs should strengthen their emphasis on learning this technique, including methods of improving ventilation</w:t>
            </w:r>
            <w:r w:rsidR="008F5873">
              <w:rPr>
                <w:rFonts w:ascii="Calibri" w:eastAsia="Times New Roman" w:hAnsi="Calibri" w:cs="Times New Roman"/>
                <w:color w:val="000000"/>
                <w:sz w:val="20"/>
                <w:szCs w:val="20"/>
              </w:rPr>
              <w:t xml:space="preserve"> </w:t>
            </w:r>
            <w:r w:rsidR="0065724A">
              <w:rPr>
                <w:rFonts w:ascii="Calibri" w:eastAsia="Times New Roman" w:hAnsi="Calibri" w:cs="Times New Roman"/>
                <w:color w:val="000000"/>
                <w:sz w:val="20"/>
                <w:szCs w:val="20"/>
              </w:rPr>
              <w:t xml:space="preserve">when it </w:t>
            </w:r>
            <w:r w:rsidRPr="00121CE8">
              <w:rPr>
                <w:rFonts w:ascii="Calibri" w:eastAsia="Times New Roman" w:hAnsi="Calibri" w:cs="Times New Roman"/>
                <w:color w:val="000000"/>
                <w:sz w:val="20"/>
                <w:szCs w:val="20"/>
              </w:rPr>
              <w:t>is initially ineffective.</w:t>
            </w:r>
            <w:r w:rsidR="008F5873">
              <w:rPr>
                <w:rFonts w:ascii="Calibri" w:eastAsia="Times New Roman" w:hAnsi="Calibri" w:cs="Times New Roman"/>
                <w:color w:val="000000"/>
                <w:sz w:val="20"/>
                <w:szCs w:val="20"/>
              </w:rPr>
              <w:t xml:space="preserve"> The review also highlights that </w:t>
            </w:r>
            <w:r w:rsidRPr="00121CE8">
              <w:rPr>
                <w:rFonts w:ascii="Calibri" w:eastAsia="Times New Roman" w:hAnsi="Calibri" w:cs="Times New Roman"/>
                <w:color w:val="000000"/>
                <w:sz w:val="20"/>
                <w:szCs w:val="20"/>
              </w:rPr>
              <w:t>birth attendants can acquire knowledge and skills simply by working with those who are trained rather than undergoing the training themselves</w:t>
            </w:r>
            <w:r w:rsidR="008F5873">
              <w:rPr>
                <w:rFonts w:ascii="Calibri" w:eastAsia="Times New Roman" w:hAnsi="Calibri" w:cs="Times New Roman"/>
                <w:color w:val="000000"/>
                <w:sz w:val="20"/>
                <w:szCs w:val="20"/>
              </w:rPr>
              <w:t xml:space="preserve">, and that </w:t>
            </w:r>
            <w:r w:rsidRPr="00121CE8">
              <w:rPr>
                <w:rFonts w:ascii="Calibri" w:eastAsia="Times New Roman" w:hAnsi="Calibri" w:cs="Times New Roman"/>
                <w:color w:val="000000"/>
                <w:sz w:val="20"/>
                <w:szCs w:val="20"/>
              </w:rPr>
              <w:t>self-directed learning may be a viable and cost</w:t>
            </w:r>
            <w:r w:rsidR="008F5873">
              <w:rPr>
                <w:rFonts w:ascii="Calibri" w:eastAsia="Times New Roman" w:hAnsi="Calibri" w:cs="Times New Roman"/>
                <w:color w:val="000000"/>
                <w:sz w:val="20"/>
                <w:szCs w:val="20"/>
              </w:rPr>
              <w:t>-</w:t>
            </w:r>
            <w:r w:rsidRPr="00121CE8">
              <w:rPr>
                <w:rFonts w:ascii="Calibri" w:eastAsia="Times New Roman" w:hAnsi="Calibri" w:cs="Times New Roman"/>
                <w:color w:val="000000"/>
                <w:sz w:val="20"/>
                <w:szCs w:val="20"/>
              </w:rPr>
              <w:t>effective strategy for improving</w:t>
            </w:r>
            <w:r w:rsidR="008F5873">
              <w:rPr>
                <w:rFonts w:ascii="Calibri" w:eastAsia="Times New Roman" w:hAnsi="Calibri" w:cs="Times New Roman"/>
                <w:color w:val="000000"/>
                <w:sz w:val="20"/>
                <w:szCs w:val="20"/>
              </w:rPr>
              <w:t xml:space="preserve"> </w:t>
            </w:r>
            <w:r w:rsidRPr="00121CE8">
              <w:rPr>
                <w:rFonts w:ascii="Calibri" w:eastAsia="Times New Roman" w:hAnsi="Calibri" w:cs="Times New Roman"/>
                <w:color w:val="000000"/>
                <w:sz w:val="20"/>
                <w:szCs w:val="20"/>
              </w:rPr>
              <w:t>newborn care in LMICs.</w:t>
            </w:r>
          </w:p>
        </w:tc>
      </w:tr>
      <w:tr w:rsidR="00862AF9" w:rsidRPr="00862AF9" w14:paraId="72B73C88" w14:textId="77777777" w:rsidTr="00204FA4">
        <w:trPr>
          <w:cantSplit/>
          <w:trHeight w:val="320"/>
        </w:trPr>
        <w:tc>
          <w:tcPr>
            <w:tcW w:w="1148" w:type="dxa"/>
            <w:shd w:val="clear" w:color="auto" w:fill="auto"/>
            <w:noWrap/>
            <w:vAlign w:val="bottom"/>
          </w:tcPr>
          <w:p w14:paraId="7FFA11B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Sazawal</w:t>
            </w:r>
          </w:p>
        </w:tc>
        <w:tc>
          <w:tcPr>
            <w:tcW w:w="739" w:type="dxa"/>
            <w:shd w:val="clear" w:color="auto" w:fill="auto"/>
            <w:noWrap/>
            <w:vAlign w:val="bottom"/>
          </w:tcPr>
          <w:p w14:paraId="3785AEE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2003</w:t>
            </w:r>
          </w:p>
        </w:tc>
        <w:tc>
          <w:tcPr>
            <w:tcW w:w="900" w:type="dxa"/>
            <w:shd w:val="clear" w:color="auto" w:fill="auto"/>
            <w:noWrap/>
            <w:vAlign w:val="bottom"/>
          </w:tcPr>
          <w:p w14:paraId="1E94D594"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4ED23E9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Community-based case management of pneumonia in children in developing countries involves diagnosis by CBPs through assessment of rapid breathing and treatment by CBPs with antibiotics. Meta-analysis found a reduction in neonatal mortality of 27% (95% CI 18–35%), infant mortality of 20% (11–28%), and children 0 to four years of 24% (14–33%). In the same three groups, pneumonia mortality was reduced by 42% (22–57%), 36% (20–48%), and 36% (20–49%), respectively.</w:t>
            </w:r>
          </w:p>
        </w:tc>
      </w:tr>
      <w:tr w:rsidR="00862AF9" w:rsidRPr="00862AF9" w14:paraId="65B1829F" w14:textId="77777777" w:rsidTr="00204FA4">
        <w:trPr>
          <w:cantSplit/>
          <w:trHeight w:val="320"/>
        </w:trPr>
        <w:tc>
          <w:tcPr>
            <w:tcW w:w="1148" w:type="dxa"/>
            <w:shd w:val="clear" w:color="auto" w:fill="auto"/>
            <w:noWrap/>
            <w:vAlign w:val="bottom"/>
          </w:tcPr>
          <w:p w14:paraId="7A9A10E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Winch</w:t>
            </w:r>
          </w:p>
        </w:tc>
        <w:tc>
          <w:tcPr>
            <w:tcW w:w="739" w:type="dxa"/>
            <w:shd w:val="clear" w:color="auto" w:fill="auto"/>
            <w:noWrap/>
            <w:vAlign w:val="bottom"/>
          </w:tcPr>
          <w:p w14:paraId="03879CE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2005</w:t>
            </w:r>
          </w:p>
        </w:tc>
        <w:tc>
          <w:tcPr>
            <w:tcW w:w="900" w:type="dxa"/>
            <w:shd w:val="clear" w:color="auto" w:fill="auto"/>
            <w:noWrap/>
            <w:vAlign w:val="bottom"/>
          </w:tcPr>
          <w:p w14:paraId="049A1C5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273CE1D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CHW pneumonia case management has the strongest evidence for an impact on mortality, compared to six other intervention models of care for children with malaria or pneumonia outside health facilities (e.g., CHW basic management and verbal referral; CHW basic management and facilitated referral; CHW directed fever management; family-directed fever management; CHW malaria management and surveillance; and CHW integrated multiple disease case management). In the CHW pneumonia case management model, CHWs assess child respiration, provide antibiotics for pneumonia, and referred children to health facilities. Pneumonia case management by CHWs is a child health intervention that warrants considerably more attention, particularly in Africa and South Asia. </w:t>
            </w:r>
          </w:p>
        </w:tc>
      </w:tr>
      <w:tr w:rsidR="00862AF9" w:rsidRPr="00862AF9" w14:paraId="4E9198B1" w14:textId="77777777" w:rsidTr="00204FA4">
        <w:trPr>
          <w:cantSplit/>
          <w:trHeight w:val="320"/>
        </w:trPr>
        <w:tc>
          <w:tcPr>
            <w:tcW w:w="13623" w:type="dxa"/>
            <w:gridSpan w:val="4"/>
            <w:shd w:val="clear" w:color="auto" w:fill="F2F2F2" w:themeFill="background1" w:themeFillShade="F2"/>
            <w:noWrap/>
            <w:vAlign w:val="bottom"/>
          </w:tcPr>
          <w:p w14:paraId="65ECF576"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b/>
                <w:color w:val="000000"/>
                <w:sz w:val="20"/>
                <w:szCs w:val="20"/>
              </w:rPr>
              <w:t>Maternal and child health</w:t>
            </w:r>
          </w:p>
        </w:tc>
      </w:tr>
      <w:tr w:rsidR="00862AF9" w:rsidRPr="00862AF9" w14:paraId="1923A2DD" w14:textId="77777777" w:rsidTr="00204FA4">
        <w:trPr>
          <w:cantSplit/>
          <w:trHeight w:val="320"/>
        </w:trPr>
        <w:tc>
          <w:tcPr>
            <w:tcW w:w="1148" w:type="dxa"/>
            <w:shd w:val="clear" w:color="auto" w:fill="auto"/>
            <w:noWrap/>
            <w:vAlign w:val="bottom"/>
          </w:tcPr>
          <w:p w14:paraId="429B9C9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Darmstadt</w:t>
            </w:r>
          </w:p>
        </w:tc>
        <w:tc>
          <w:tcPr>
            <w:tcW w:w="739" w:type="dxa"/>
            <w:shd w:val="clear" w:color="auto" w:fill="auto"/>
            <w:noWrap/>
            <w:vAlign w:val="bottom"/>
          </w:tcPr>
          <w:p w14:paraId="66D2071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2009</w:t>
            </w:r>
          </w:p>
        </w:tc>
        <w:tc>
          <w:tcPr>
            <w:tcW w:w="900" w:type="dxa"/>
            <w:shd w:val="clear" w:color="auto" w:fill="auto"/>
            <w:noWrap/>
            <w:vAlign w:val="bottom"/>
          </w:tcPr>
          <w:p w14:paraId="2267FCB1"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0A55D04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There is evidence of moderate quality that CHWs have a positive impact on perinatal/neonatal outcomes. CHWs can play a promising role providing pregnancy and childbirth care, mobilizing communities, and improving perinatal outcomes. There is low-to-moderate evidence that training TBAs improves linkages with health facilities and perinatal outcomes. The evidence for providing skilled birth care in the community is of low quality, but shows a 12% reduction in perinatal mortality and a 22-47% reduction in intra-partum related neonatal mortality.</w:t>
            </w:r>
          </w:p>
        </w:tc>
      </w:tr>
      <w:tr w:rsidR="00862AF9" w:rsidRPr="00862AF9" w14:paraId="02A11E75" w14:textId="77777777" w:rsidTr="00204FA4">
        <w:trPr>
          <w:cantSplit/>
          <w:trHeight w:val="320"/>
        </w:trPr>
        <w:tc>
          <w:tcPr>
            <w:tcW w:w="1148" w:type="dxa"/>
            <w:shd w:val="clear" w:color="auto" w:fill="auto"/>
            <w:noWrap/>
            <w:vAlign w:val="bottom"/>
          </w:tcPr>
          <w:p w14:paraId="072BA9D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Dawson, Brodie, et al.</w:t>
            </w:r>
          </w:p>
        </w:tc>
        <w:tc>
          <w:tcPr>
            <w:tcW w:w="739" w:type="dxa"/>
            <w:shd w:val="clear" w:color="auto" w:fill="auto"/>
            <w:noWrap/>
            <w:vAlign w:val="bottom"/>
          </w:tcPr>
          <w:p w14:paraId="311E6CE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77439ED2"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7830C92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Between-country (HIC-LMIC) collaborations are useful for strengthening midwifery capacity (clinical-and-research-skill building, the development of tailored education programs and the establishment of structures and systems to enhance the midwifery workforce). Collaborations are strengthened through the establishment of clear processes for communication, leadership and appropriate membership, effective management, mutual respect, as well as an understanding of the context.</w:t>
            </w:r>
          </w:p>
        </w:tc>
      </w:tr>
      <w:tr w:rsidR="00862AF9" w:rsidRPr="00862AF9" w14:paraId="5ADFFA09" w14:textId="77777777" w:rsidTr="00204FA4">
        <w:trPr>
          <w:cantSplit/>
          <w:trHeight w:val="320"/>
        </w:trPr>
        <w:tc>
          <w:tcPr>
            <w:tcW w:w="1148" w:type="dxa"/>
            <w:shd w:val="clear" w:color="auto" w:fill="auto"/>
            <w:noWrap/>
            <w:vAlign w:val="bottom"/>
          </w:tcPr>
          <w:p w14:paraId="7A1A20C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Dawson, Buchan, et al.</w:t>
            </w:r>
          </w:p>
        </w:tc>
        <w:tc>
          <w:tcPr>
            <w:tcW w:w="739" w:type="dxa"/>
            <w:shd w:val="clear" w:color="auto" w:fill="auto"/>
            <w:noWrap/>
            <w:vAlign w:val="bottom"/>
          </w:tcPr>
          <w:p w14:paraId="57686DE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5C4E02C6"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37CD526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Lay health workers were able to provide injectable contraception effectively - with high quality and with high levels of patient satisfaction. Collaborative approaches involving community members and health workers at all levels have the potential to deliver maternal and reproductive health interventions effectively if accompanied by ongoing investment in the health care system.</w:t>
            </w:r>
          </w:p>
        </w:tc>
      </w:tr>
      <w:tr w:rsidR="00862AF9" w:rsidRPr="00862AF9" w14:paraId="373638F2" w14:textId="77777777" w:rsidTr="00204FA4">
        <w:trPr>
          <w:cantSplit/>
          <w:trHeight w:val="320"/>
        </w:trPr>
        <w:tc>
          <w:tcPr>
            <w:tcW w:w="1148" w:type="dxa"/>
            <w:shd w:val="clear" w:color="auto" w:fill="auto"/>
            <w:noWrap/>
            <w:vAlign w:val="bottom"/>
          </w:tcPr>
          <w:p w14:paraId="5D880E5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Gilmore</w:t>
            </w:r>
          </w:p>
        </w:tc>
        <w:tc>
          <w:tcPr>
            <w:tcW w:w="739" w:type="dxa"/>
            <w:shd w:val="clear" w:color="auto" w:fill="auto"/>
            <w:noWrap/>
            <w:vAlign w:val="bottom"/>
          </w:tcPr>
          <w:p w14:paraId="479A64F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091F1C6A"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0991BE1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There is some evidence of moderate quality that CHWs are effective in malaria prevention, health education, breastfeeding promotion, promotion of essential newborn care, and psychosocial support. CHWs are particularly effective for promoting mother-performed strategies such as skin-to-skin care for newborns and exclusive breastfeeding. The evidence is insufficient to draw conclusions for most interventions. More research is needed. </w:t>
            </w:r>
          </w:p>
        </w:tc>
      </w:tr>
      <w:tr w:rsidR="00862AF9" w:rsidRPr="00862AF9" w14:paraId="206391B2" w14:textId="77777777" w:rsidTr="00204FA4">
        <w:trPr>
          <w:cantSplit/>
          <w:trHeight w:val="320"/>
        </w:trPr>
        <w:tc>
          <w:tcPr>
            <w:tcW w:w="1148" w:type="dxa"/>
            <w:shd w:val="clear" w:color="auto" w:fill="auto"/>
            <w:noWrap/>
            <w:vAlign w:val="bottom"/>
          </w:tcPr>
          <w:p w14:paraId="3633656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Giugliani</w:t>
            </w:r>
          </w:p>
        </w:tc>
        <w:tc>
          <w:tcPr>
            <w:tcW w:w="739" w:type="dxa"/>
            <w:shd w:val="clear" w:color="auto" w:fill="auto"/>
            <w:noWrap/>
            <w:vAlign w:val="bottom"/>
          </w:tcPr>
          <w:p w14:paraId="6CC69AF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1A34523F"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6444043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Community health agents (CHAs) in Brazil have demonstrated effectiveness in increasing the frequency of child weighings, the prevalence of breastfeeding, and delaying the introduction of bottle feeding. There is lower-quality evidence the CHAs are having an effect on infectious and non-communicable diseases as well as on reducing inequities. Given the extent of CHA utilization in Brazil (being one of the largest CHW programs in the world and reaching a major segment of the population), more research is needed on CHA effectiveness. </w:t>
            </w:r>
          </w:p>
        </w:tc>
      </w:tr>
      <w:tr w:rsidR="00994959" w:rsidRPr="00862AF9" w14:paraId="1A920BA1" w14:textId="77777777" w:rsidTr="00204FA4">
        <w:trPr>
          <w:cantSplit/>
          <w:trHeight w:val="320"/>
        </w:trPr>
        <w:tc>
          <w:tcPr>
            <w:tcW w:w="1148" w:type="dxa"/>
            <w:shd w:val="clear" w:color="auto" w:fill="auto"/>
            <w:noWrap/>
            <w:vAlign w:val="bottom"/>
          </w:tcPr>
          <w:p w14:paraId="0385C80A" w14:textId="01C79B6C" w:rsidR="00994959" w:rsidRPr="00B46CB4" w:rsidRDefault="00994959" w:rsidP="00E96A82">
            <w:pPr>
              <w:keepNext/>
              <w:keepLines/>
              <w:spacing w:after="0"/>
              <w:outlineLvl w:val="4"/>
              <w:rPr>
                <w:rFonts w:ascii="Calibri" w:eastAsia="Times New Roman" w:hAnsi="Calibri" w:cs="Times New Roman"/>
                <w:color w:val="000000"/>
                <w:sz w:val="18"/>
                <w:szCs w:val="18"/>
              </w:rPr>
            </w:pPr>
            <w:r w:rsidRPr="00B46CB4">
              <w:rPr>
                <w:rFonts w:ascii="Calibri" w:eastAsia="Times New Roman" w:hAnsi="Calibri" w:cs="Times New Roman"/>
                <w:color w:val="000000"/>
                <w:sz w:val="18"/>
                <w:szCs w:val="18"/>
              </w:rPr>
              <w:t>Glenton, Colvin</w:t>
            </w:r>
            <w:r w:rsidR="004A79D9" w:rsidRPr="00B47639">
              <w:rPr>
                <w:rStyle w:val="FootnoteReference"/>
              </w:rPr>
              <w:footnoteReference w:id="5"/>
            </w:r>
          </w:p>
        </w:tc>
        <w:tc>
          <w:tcPr>
            <w:tcW w:w="739" w:type="dxa"/>
            <w:shd w:val="clear" w:color="auto" w:fill="auto"/>
            <w:noWrap/>
            <w:vAlign w:val="bottom"/>
          </w:tcPr>
          <w:p w14:paraId="3E57D26B" w14:textId="544C0CC7" w:rsidR="00994959" w:rsidRPr="00B46CB4" w:rsidRDefault="00994959" w:rsidP="00E96A82">
            <w:pPr>
              <w:keepNext/>
              <w:keepLines/>
              <w:spacing w:after="0"/>
              <w:jc w:val="center"/>
              <w:outlineLvl w:val="4"/>
              <w:rPr>
                <w:rFonts w:ascii="Calibri" w:eastAsia="Times New Roman" w:hAnsi="Calibri" w:cs="Times New Roman"/>
                <w:color w:val="000000"/>
                <w:sz w:val="18"/>
                <w:szCs w:val="18"/>
              </w:rPr>
            </w:pPr>
            <w:r w:rsidRPr="00B46CB4">
              <w:rPr>
                <w:rFonts w:ascii="Calibri" w:eastAsia="Times New Roman" w:hAnsi="Calibri" w:cs="Times New Roman"/>
                <w:color w:val="000000"/>
                <w:sz w:val="18"/>
                <w:szCs w:val="18"/>
              </w:rPr>
              <w:t>2013</w:t>
            </w:r>
          </w:p>
        </w:tc>
        <w:tc>
          <w:tcPr>
            <w:tcW w:w="900" w:type="dxa"/>
            <w:shd w:val="clear" w:color="auto" w:fill="auto"/>
            <w:noWrap/>
            <w:vAlign w:val="bottom"/>
          </w:tcPr>
          <w:p w14:paraId="4A3021D8" w14:textId="04931C37" w:rsidR="00994959" w:rsidRPr="00B46CB4" w:rsidRDefault="00994959" w:rsidP="00E96A82">
            <w:pPr>
              <w:keepNext/>
              <w:keepLines/>
              <w:spacing w:after="0"/>
              <w:jc w:val="center"/>
              <w:outlineLvl w:val="4"/>
              <w:rPr>
                <w:rFonts w:ascii="Calibri" w:eastAsia="Times New Roman" w:hAnsi="Calibri" w:cs="Times New Roman"/>
                <w:color w:val="000000"/>
                <w:sz w:val="18"/>
                <w:szCs w:val="18"/>
              </w:rPr>
            </w:pPr>
            <w:r w:rsidRPr="00B46CB4">
              <w:rPr>
                <w:rFonts w:ascii="Calibri" w:eastAsia="Times New Roman" w:hAnsi="Calibri" w:cs="Times New Roman"/>
                <w:color w:val="000000"/>
                <w:sz w:val="18"/>
                <w:szCs w:val="18"/>
              </w:rPr>
              <w:t>SR MA</w:t>
            </w:r>
          </w:p>
        </w:tc>
        <w:tc>
          <w:tcPr>
            <w:tcW w:w="10836" w:type="dxa"/>
            <w:shd w:val="clear" w:color="auto" w:fill="auto"/>
            <w:noWrap/>
            <w:vAlign w:val="bottom"/>
          </w:tcPr>
          <w:p w14:paraId="338F468B" w14:textId="22610EF5" w:rsidR="00994959" w:rsidRPr="00B46CB4" w:rsidRDefault="00994959" w:rsidP="00E96A82">
            <w:pPr>
              <w:widowControl w:val="0"/>
              <w:autoSpaceDE w:val="0"/>
              <w:autoSpaceDN w:val="0"/>
              <w:adjustRightInd w:val="0"/>
              <w:spacing w:after="0" w:line="280" w:lineRule="atLeast"/>
              <w:rPr>
                <w:rFonts w:ascii="Calibri" w:hAnsi="Calibri" w:cs="Times"/>
                <w:color w:val="000000"/>
                <w:sz w:val="20"/>
                <w:szCs w:val="20"/>
              </w:rPr>
            </w:pPr>
            <w:r w:rsidRPr="00B46CB4">
              <w:rPr>
                <w:rFonts w:ascii="Calibri" w:hAnsi="Calibri" w:cs="Times"/>
                <w:color w:val="000000"/>
                <w:sz w:val="20"/>
                <w:szCs w:val="20"/>
              </w:rPr>
              <w:t>Lay health workers (LHWs) in HICs mainly offered prom</w:t>
            </w:r>
            <w:r w:rsidRPr="00994959">
              <w:rPr>
                <w:rFonts w:ascii="Calibri" w:hAnsi="Calibri" w:cs="Times"/>
                <w:color w:val="000000"/>
                <w:sz w:val="20"/>
                <w:szCs w:val="20"/>
              </w:rPr>
              <w:t>otion, counsel</w:t>
            </w:r>
            <w:r w:rsidRPr="00B46CB4">
              <w:rPr>
                <w:rFonts w:ascii="Calibri" w:hAnsi="Calibri" w:cs="Times"/>
                <w:color w:val="000000"/>
                <w:sz w:val="20"/>
                <w:szCs w:val="20"/>
              </w:rPr>
              <w:t>ing and support while in LMICs they offered similar services but sometimes also distributed supplements, contraceptives and other products, diagnosed and treated children with common childhood diseases, and managed</w:t>
            </w:r>
            <w:r w:rsidRPr="00994959">
              <w:rPr>
                <w:rFonts w:ascii="Calibri" w:hAnsi="Calibri" w:cs="Times"/>
                <w:color w:val="000000"/>
                <w:sz w:val="20"/>
                <w:szCs w:val="20"/>
              </w:rPr>
              <w:t xml:space="preserve"> uncomplicated labo</w:t>
            </w:r>
            <w:r w:rsidRPr="00B46CB4">
              <w:rPr>
                <w:rFonts w:ascii="Calibri" w:hAnsi="Calibri" w:cs="Times"/>
                <w:color w:val="000000"/>
                <w:sz w:val="20"/>
                <w:szCs w:val="20"/>
              </w:rPr>
              <w:t>r/referrals. Program recipients appreciate LWHs’ skills and the similarities between themselves and the LHWs; health professionals appreciated LHWs’ commitment, their contributions in reducing workload and their communication skills. However, some recipients were concerned about confidentiality or saw LHW services as not relevant or not sufficient, and some providers felt LHWs increased their workload or could cause providers to lose authority – they also worried that LHWs trained to manage uncomplicated delivery were overconfident. LHWs and recipients emphasized the importance of trust, respect, kindness and empathy. However, LHWs sometimes found it difficult to manage emotional relationships with recipients, feared blame, or were demotivated when their services were not appreciated. Those trained to manage labor sometimes faced patient resistance and health system shortcomings when referring women to facilities. LHWs required higher quality training, improved supervision and opportunities to share experiences with other LHWs or voice complaints. LHWs required and valued support from local leaders, the health system, and their families</w:t>
            </w:r>
            <w:r>
              <w:rPr>
                <w:rFonts w:ascii="Calibri" w:hAnsi="Calibri" w:cs="Times"/>
                <w:color w:val="000000"/>
                <w:sz w:val="20"/>
                <w:szCs w:val="20"/>
              </w:rPr>
              <w:t xml:space="preserve"> and were motivated by </w:t>
            </w:r>
            <w:r w:rsidRPr="00B46CB4">
              <w:rPr>
                <w:rFonts w:ascii="Calibri" w:hAnsi="Calibri" w:cs="Times"/>
                <w:color w:val="000000"/>
                <w:sz w:val="20"/>
                <w:szCs w:val="20"/>
              </w:rPr>
              <w:t xml:space="preserve">factors including altruism, social recognition, knowledge gain and career development. </w:t>
            </w:r>
            <w:r>
              <w:rPr>
                <w:rFonts w:ascii="Calibri" w:hAnsi="Calibri" w:cs="Times"/>
                <w:color w:val="000000"/>
                <w:sz w:val="20"/>
                <w:szCs w:val="20"/>
              </w:rPr>
              <w:t>The authors found a range of opinions on remuneration, including that some u</w:t>
            </w:r>
            <w:r w:rsidRPr="00B46CB4">
              <w:rPr>
                <w:rFonts w:ascii="Calibri" w:hAnsi="Calibri" w:cs="Times"/>
                <w:color w:val="000000"/>
                <w:sz w:val="20"/>
                <w:szCs w:val="20"/>
              </w:rPr>
              <w:t>nsalaried LHWs wanted regular payment, while others were concerned that payment might threaten their social status</w:t>
            </w:r>
            <w:r>
              <w:rPr>
                <w:rFonts w:ascii="Calibri" w:hAnsi="Calibri" w:cs="Times"/>
                <w:color w:val="000000"/>
                <w:sz w:val="20"/>
                <w:szCs w:val="20"/>
              </w:rPr>
              <w:t xml:space="preserve"> and that some </w:t>
            </w:r>
            <w:r w:rsidRPr="00B46CB4">
              <w:rPr>
                <w:rFonts w:ascii="Calibri" w:hAnsi="Calibri" w:cs="Times"/>
                <w:color w:val="000000"/>
                <w:sz w:val="20"/>
                <w:szCs w:val="20"/>
              </w:rPr>
              <w:t>salaried LHWs were dissatisfied with their pay levels</w:t>
            </w:r>
            <w:r w:rsidRPr="00994959">
              <w:rPr>
                <w:rFonts w:ascii="Calibri" w:hAnsi="Calibri" w:cs="Times"/>
                <w:color w:val="000000"/>
                <w:sz w:val="20"/>
                <w:szCs w:val="20"/>
              </w:rPr>
              <w:t xml:space="preserve"> or </w:t>
            </w:r>
            <w:r w:rsidRPr="00B46CB4">
              <w:rPr>
                <w:rFonts w:ascii="Calibri" w:hAnsi="Calibri" w:cs="Times"/>
                <w:color w:val="000000"/>
                <w:sz w:val="20"/>
                <w:szCs w:val="20"/>
              </w:rPr>
              <w:t xml:space="preserve">frustrated </w:t>
            </w:r>
            <w:r w:rsidR="005E436D">
              <w:rPr>
                <w:rFonts w:ascii="Calibri" w:hAnsi="Calibri" w:cs="Times"/>
                <w:color w:val="000000"/>
                <w:sz w:val="20"/>
                <w:szCs w:val="20"/>
              </w:rPr>
              <w:t>by inconsistent</w:t>
            </w:r>
            <w:r w:rsidRPr="00B46CB4">
              <w:rPr>
                <w:rFonts w:ascii="Calibri" w:hAnsi="Calibri" w:cs="Times"/>
                <w:color w:val="000000"/>
                <w:sz w:val="20"/>
                <w:szCs w:val="20"/>
              </w:rPr>
              <w:t xml:space="preserve"> payment. </w:t>
            </w:r>
          </w:p>
        </w:tc>
      </w:tr>
      <w:tr w:rsidR="00F752AF" w:rsidRPr="00862AF9" w14:paraId="5C5339C8" w14:textId="77777777" w:rsidTr="00204FA4">
        <w:trPr>
          <w:cantSplit/>
          <w:trHeight w:val="320"/>
        </w:trPr>
        <w:tc>
          <w:tcPr>
            <w:tcW w:w="1148" w:type="dxa"/>
            <w:shd w:val="clear" w:color="auto" w:fill="auto"/>
            <w:noWrap/>
            <w:vAlign w:val="bottom"/>
          </w:tcPr>
          <w:p w14:paraId="43A02BC0" w14:textId="40E03EB9" w:rsidR="00F752AF" w:rsidRPr="00862AF9" w:rsidRDefault="00F752AF" w:rsidP="00E96A82">
            <w:pPr>
              <w:spacing w:after="0"/>
              <w:rPr>
                <w:rFonts w:ascii="Calibri" w:eastAsia="Times New Roman" w:hAnsi="Calibri" w:cs="Times New Roman"/>
                <w:color w:val="000000"/>
                <w:sz w:val="20"/>
                <w:szCs w:val="20"/>
              </w:rPr>
            </w:pPr>
            <w:r w:rsidRPr="00F752AF">
              <w:rPr>
                <w:rFonts w:ascii="Calibri" w:eastAsia="Times New Roman" w:hAnsi="Calibri" w:cs="Times New Roman"/>
                <w:color w:val="000000"/>
                <w:sz w:val="20"/>
                <w:szCs w:val="20"/>
              </w:rPr>
              <w:t>Lassi</w:t>
            </w:r>
            <w:r w:rsidR="00B47639" w:rsidRPr="00B47639">
              <w:rPr>
                <w:rFonts w:ascii="Calibri" w:eastAsia="Times New Roman" w:hAnsi="Calibri" w:cs="Times New Roman"/>
                <w:color w:val="000000"/>
                <w:sz w:val="20"/>
                <w:szCs w:val="20"/>
                <w:vertAlign w:val="superscript"/>
              </w:rPr>
              <w:t>#</w:t>
            </w:r>
            <w:r w:rsidRPr="00F752AF">
              <w:rPr>
                <w:rFonts w:ascii="Calibri" w:eastAsia="Times New Roman" w:hAnsi="Calibri" w:cs="Times New Roman"/>
                <w:color w:val="000000"/>
                <w:sz w:val="20"/>
                <w:szCs w:val="20"/>
              </w:rPr>
              <w:t xml:space="preserve"> </w:t>
            </w:r>
          </w:p>
        </w:tc>
        <w:tc>
          <w:tcPr>
            <w:tcW w:w="739" w:type="dxa"/>
            <w:shd w:val="clear" w:color="auto" w:fill="auto"/>
            <w:noWrap/>
            <w:vAlign w:val="bottom"/>
          </w:tcPr>
          <w:p w14:paraId="72BB3D9D" w14:textId="6EAB05DA" w:rsidR="00F752AF" w:rsidRPr="00862AF9" w:rsidRDefault="00F752AF"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2015</w:t>
            </w:r>
          </w:p>
        </w:tc>
        <w:tc>
          <w:tcPr>
            <w:tcW w:w="900" w:type="dxa"/>
            <w:shd w:val="clear" w:color="auto" w:fill="auto"/>
            <w:noWrap/>
            <w:vAlign w:val="bottom"/>
          </w:tcPr>
          <w:p w14:paraId="14379A36" w14:textId="320C6BB1" w:rsidR="00F752AF" w:rsidRPr="00862AF9" w:rsidRDefault="00F752AF"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 MA</w:t>
            </w:r>
          </w:p>
        </w:tc>
        <w:tc>
          <w:tcPr>
            <w:tcW w:w="10836" w:type="dxa"/>
            <w:shd w:val="clear" w:color="auto" w:fill="auto"/>
            <w:noWrap/>
            <w:vAlign w:val="bottom"/>
          </w:tcPr>
          <w:p w14:paraId="3423CBEE" w14:textId="2F927C78" w:rsidR="00F752AF" w:rsidRPr="00862AF9" w:rsidRDefault="00330C37"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The</w:t>
            </w:r>
            <w:r w:rsidRPr="00330C37">
              <w:rPr>
                <w:rFonts w:ascii="Calibri" w:eastAsia="Times New Roman" w:hAnsi="Calibri" w:cs="Times New Roman"/>
                <w:color w:val="000000"/>
                <w:sz w:val="20"/>
                <w:szCs w:val="20"/>
              </w:rPr>
              <w:t xml:space="preserve"> meta</w:t>
            </w:r>
            <w:r>
              <w:rPr>
                <w:rFonts w:ascii="Calibri" w:eastAsia="Times New Roman" w:hAnsi="Calibri" w:cs="Times New Roman"/>
                <w:color w:val="000000"/>
                <w:sz w:val="20"/>
                <w:szCs w:val="20"/>
              </w:rPr>
              <w:t>-analysis found that community-</w:t>
            </w:r>
            <w:r w:rsidRPr="00330C37">
              <w:rPr>
                <w:rFonts w:ascii="Calibri" w:eastAsia="Times New Roman" w:hAnsi="Calibri" w:cs="Times New Roman"/>
                <w:color w:val="000000"/>
                <w:sz w:val="20"/>
                <w:szCs w:val="20"/>
              </w:rPr>
              <w:t>based intervention packages</w:t>
            </w:r>
            <w:r>
              <w:rPr>
                <w:rFonts w:ascii="Calibri" w:eastAsia="Times New Roman" w:hAnsi="Calibri" w:cs="Times New Roman"/>
                <w:color w:val="000000"/>
                <w:sz w:val="20"/>
                <w:szCs w:val="20"/>
              </w:rPr>
              <w:t xml:space="preserve"> have a robust effect on reducing neonatal deaths (</w:t>
            </w:r>
            <w:r w:rsidRPr="00330C37">
              <w:rPr>
                <w:rFonts w:ascii="Calibri" w:eastAsia="Times New Roman" w:hAnsi="Calibri" w:cs="Times New Roman"/>
                <w:color w:val="000000"/>
                <w:sz w:val="20"/>
                <w:szCs w:val="20"/>
              </w:rPr>
              <w:t xml:space="preserve">pooled analysis </w:t>
            </w:r>
            <w:r>
              <w:rPr>
                <w:rFonts w:ascii="Calibri" w:eastAsia="Times New Roman" w:hAnsi="Calibri" w:cs="Times New Roman"/>
                <w:color w:val="000000"/>
                <w:sz w:val="20"/>
                <w:szCs w:val="20"/>
              </w:rPr>
              <w:t xml:space="preserve">demonstrates a 25% reduction in overall neonatal deaths, </w:t>
            </w:r>
            <w:r w:rsidRPr="00330C37">
              <w:rPr>
                <w:rFonts w:ascii="Calibri" w:eastAsia="Times New Roman" w:hAnsi="Calibri" w:cs="Times New Roman"/>
                <w:color w:val="000000"/>
                <w:sz w:val="20"/>
                <w:szCs w:val="20"/>
              </w:rPr>
              <w:t>19%</w:t>
            </w:r>
            <w:r>
              <w:rPr>
                <w:rFonts w:ascii="Calibri" w:eastAsia="Times New Roman" w:hAnsi="Calibri" w:cs="Times New Roman"/>
                <w:color w:val="000000"/>
                <w:sz w:val="20"/>
                <w:szCs w:val="20"/>
              </w:rPr>
              <w:t xml:space="preserve"> reduction in stillbirths</w:t>
            </w:r>
            <w:r w:rsidRPr="00330C37">
              <w:rPr>
                <w:rFonts w:ascii="Calibri" w:eastAsia="Times New Roman" w:hAnsi="Calibri" w:cs="Times New Roman"/>
                <w:color w:val="000000"/>
                <w:sz w:val="20"/>
                <w:szCs w:val="20"/>
              </w:rPr>
              <w:t xml:space="preserve"> and 22%</w:t>
            </w:r>
            <w:r>
              <w:rPr>
                <w:rFonts w:ascii="Calibri" w:eastAsia="Times New Roman" w:hAnsi="Calibri" w:cs="Times New Roman"/>
                <w:color w:val="000000"/>
                <w:sz w:val="20"/>
                <w:szCs w:val="20"/>
              </w:rPr>
              <w:t xml:space="preserve"> reduction in </w:t>
            </w:r>
            <w:r w:rsidRPr="00330C37">
              <w:rPr>
                <w:rFonts w:ascii="Calibri" w:eastAsia="Times New Roman" w:hAnsi="Calibri" w:cs="Times New Roman"/>
                <w:color w:val="000000"/>
                <w:sz w:val="20"/>
                <w:szCs w:val="20"/>
              </w:rPr>
              <w:t>perinatal mortality</w:t>
            </w:r>
            <w:r>
              <w:rPr>
                <w:rFonts w:ascii="Calibri" w:eastAsia="Times New Roman" w:hAnsi="Calibri" w:cs="Times New Roman"/>
                <w:color w:val="000000"/>
                <w:sz w:val="20"/>
                <w:szCs w:val="20"/>
              </w:rPr>
              <w:t>) and</w:t>
            </w:r>
            <w:r w:rsidRPr="00330C37">
              <w:rPr>
                <w:rFonts w:ascii="Calibri" w:eastAsia="Times New Roman" w:hAnsi="Calibri" w:cs="Times New Roman"/>
                <w:color w:val="000000"/>
                <w:sz w:val="20"/>
                <w:szCs w:val="20"/>
              </w:rPr>
              <w:t xml:space="preserve"> may have a possible effect on reducing maternal mortality, although the pooled result just crossed the line of no effect. </w:t>
            </w:r>
            <w:r>
              <w:rPr>
                <w:rFonts w:ascii="Calibri" w:eastAsia="Times New Roman" w:hAnsi="Calibri" w:cs="Times New Roman"/>
                <w:color w:val="000000"/>
                <w:sz w:val="20"/>
                <w:szCs w:val="20"/>
              </w:rPr>
              <w:t>P</w:t>
            </w:r>
            <w:r w:rsidRPr="00330C37">
              <w:rPr>
                <w:rFonts w:ascii="Calibri" w:eastAsia="Times New Roman" w:hAnsi="Calibri" w:cs="Times New Roman"/>
                <w:color w:val="000000"/>
                <w:sz w:val="20"/>
                <w:szCs w:val="20"/>
              </w:rPr>
              <w:t>ackages</w:t>
            </w:r>
            <w:r>
              <w:rPr>
                <w:rFonts w:ascii="Calibri" w:eastAsia="Times New Roman" w:hAnsi="Calibri" w:cs="Times New Roman"/>
                <w:color w:val="000000"/>
                <w:sz w:val="20"/>
                <w:szCs w:val="20"/>
              </w:rPr>
              <w:t xml:space="preserve"> </w:t>
            </w:r>
            <w:r w:rsidRPr="00330C37">
              <w:rPr>
                <w:rFonts w:ascii="Calibri" w:eastAsia="Times New Roman" w:hAnsi="Calibri" w:cs="Times New Roman"/>
                <w:color w:val="000000"/>
                <w:sz w:val="20"/>
                <w:szCs w:val="20"/>
              </w:rPr>
              <w:t>that disseminated education and promoted awareness related</w:t>
            </w:r>
            <w:r>
              <w:rPr>
                <w:rFonts w:ascii="Calibri" w:eastAsia="Times New Roman" w:hAnsi="Calibri" w:cs="Times New Roman"/>
                <w:color w:val="000000"/>
                <w:sz w:val="20"/>
                <w:szCs w:val="20"/>
              </w:rPr>
              <w:t xml:space="preserve"> </w:t>
            </w:r>
            <w:r w:rsidRPr="00330C37">
              <w:rPr>
                <w:rFonts w:ascii="Calibri" w:eastAsia="Times New Roman" w:hAnsi="Calibri" w:cs="Times New Roman"/>
                <w:color w:val="000000"/>
                <w:sz w:val="20"/>
                <w:szCs w:val="20"/>
              </w:rPr>
              <w:t xml:space="preserve">to birth and newborn care preparedness </w:t>
            </w:r>
            <w:r>
              <w:rPr>
                <w:rFonts w:ascii="Calibri" w:eastAsia="Times New Roman" w:hAnsi="Calibri" w:cs="Times New Roman"/>
                <w:color w:val="000000"/>
                <w:sz w:val="20"/>
                <w:szCs w:val="20"/>
              </w:rPr>
              <w:t xml:space="preserve">through </w:t>
            </w:r>
            <w:r w:rsidRPr="00330C37">
              <w:rPr>
                <w:rFonts w:ascii="Calibri" w:eastAsia="Times New Roman" w:hAnsi="Calibri" w:cs="Times New Roman"/>
                <w:color w:val="000000"/>
                <w:sz w:val="20"/>
                <w:szCs w:val="20"/>
              </w:rPr>
              <w:t>community</w:t>
            </w:r>
            <w:r>
              <w:rPr>
                <w:rFonts w:ascii="Calibri" w:eastAsia="Times New Roman" w:hAnsi="Calibri" w:cs="Times New Roman"/>
                <w:color w:val="000000"/>
                <w:sz w:val="20"/>
                <w:szCs w:val="20"/>
              </w:rPr>
              <w:t>/women’s</w:t>
            </w:r>
            <w:r w:rsidRPr="00330C37">
              <w:rPr>
                <w:rFonts w:ascii="Calibri" w:eastAsia="Times New Roman" w:hAnsi="Calibri" w:cs="Times New Roman"/>
                <w:color w:val="000000"/>
                <w:sz w:val="20"/>
                <w:szCs w:val="20"/>
              </w:rPr>
              <w:t xml:space="preserve"> groups were best for reducing</w:t>
            </w:r>
            <w:r w:rsidR="0065724A">
              <w:rPr>
                <w:rFonts w:ascii="Calibri" w:eastAsia="Times New Roman" w:hAnsi="Calibri" w:cs="Times New Roman"/>
                <w:color w:val="000000"/>
                <w:sz w:val="20"/>
                <w:szCs w:val="20"/>
              </w:rPr>
              <w:t xml:space="preserve"> deaths throughout the neonatal period as well as during the </w:t>
            </w:r>
            <w:r w:rsidRPr="00330C37">
              <w:rPr>
                <w:rFonts w:ascii="Calibri" w:eastAsia="Times New Roman" w:hAnsi="Calibri" w:cs="Times New Roman"/>
                <w:color w:val="000000"/>
                <w:sz w:val="20"/>
                <w:szCs w:val="20"/>
              </w:rPr>
              <w:t xml:space="preserve">early neonatal </w:t>
            </w:r>
            <w:r w:rsidR="0065724A">
              <w:rPr>
                <w:rFonts w:ascii="Calibri" w:eastAsia="Times New Roman" w:hAnsi="Calibri" w:cs="Times New Roman"/>
                <w:color w:val="000000"/>
                <w:sz w:val="20"/>
                <w:szCs w:val="20"/>
              </w:rPr>
              <w:t>period</w:t>
            </w:r>
            <w:r w:rsidRPr="00330C37">
              <w:rPr>
                <w:rFonts w:ascii="Calibri" w:eastAsia="Times New Roman" w:hAnsi="Calibri" w:cs="Times New Roman"/>
                <w:color w:val="000000"/>
                <w:sz w:val="20"/>
                <w:szCs w:val="20"/>
              </w:rPr>
              <w:t xml:space="preserve">. On the other hand, packages </w:t>
            </w:r>
            <w:r w:rsidR="0077234E">
              <w:rPr>
                <w:rFonts w:ascii="Calibri" w:eastAsia="Times New Roman" w:hAnsi="Calibri" w:cs="Times New Roman"/>
                <w:color w:val="000000"/>
                <w:sz w:val="20"/>
                <w:szCs w:val="20"/>
              </w:rPr>
              <w:t>that comprised community mobiliz</w:t>
            </w:r>
            <w:r w:rsidRPr="00330C37">
              <w:rPr>
                <w:rFonts w:ascii="Calibri" w:eastAsia="Times New Roman" w:hAnsi="Calibri" w:cs="Times New Roman"/>
                <w:color w:val="000000"/>
                <w:sz w:val="20"/>
                <w:szCs w:val="20"/>
              </w:rPr>
              <w:t>ation and education strategies and</w:t>
            </w:r>
            <w:r>
              <w:rPr>
                <w:rFonts w:ascii="Calibri" w:eastAsia="Times New Roman" w:hAnsi="Calibri" w:cs="Times New Roman"/>
                <w:color w:val="000000"/>
                <w:sz w:val="20"/>
                <w:szCs w:val="20"/>
              </w:rPr>
              <w:t xml:space="preserve"> </w:t>
            </w:r>
            <w:r w:rsidRPr="00330C37">
              <w:rPr>
                <w:rFonts w:ascii="Calibri" w:eastAsia="Times New Roman" w:hAnsi="Calibri" w:cs="Times New Roman"/>
                <w:color w:val="000000"/>
                <w:sz w:val="20"/>
                <w:szCs w:val="20"/>
              </w:rPr>
              <w:t>home visitation by CHWs managed to reduce neonatal, perinatal</w:t>
            </w:r>
            <w:r w:rsidR="0077234E">
              <w:rPr>
                <w:rFonts w:ascii="Calibri" w:eastAsia="Times New Roman" w:hAnsi="Calibri" w:cs="Times New Roman"/>
                <w:color w:val="000000"/>
                <w:sz w:val="20"/>
                <w:szCs w:val="20"/>
              </w:rPr>
              <w:t xml:space="preserve"> </w:t>
            </w:r>
            <w:r w:rsidRPr="00330C37">
              <w:rPr>
                <w:rFonts w:ascii="Calibri" w:eastAsia="Times New Roman" w:hAnsi="Calibri" w:cs="Times New Roman"/>
                <w:color w:val="000000"/>
                <w:sz w:val="20"/>
                <w:szCs w:val="20"/>
              </w:rPr>
              <w:t xml:space="preserve">deaths and stillbirths, possibly </w:t>
            </w:r>
            <w:r w:rsidR="00AE5832">
              <w:rPr>
                <w:rFonts w:ascii="Calibri" w:eastAsia="Times New Roman" w:hAnsi="Calibri" w:cs="Times New Roman"/>
                <w:color w:val="000000"/>
                <w:sz w:val="20"/>
                <w:szCs w:val="20"/>
              </w:rPr>
              <w:t>because</w:t>
            </w:r>
            <w:r w:rsidRPr="00330C37">
              <w:rPr>
                <w:rFonts w:ascii="Calibri" w:eastAsia="Times New Roman" w:hAnsi="Calibri" w:cs="Times New Roman"/>
                <w:color w:val="000000"/>
                <w:sz w:val="20"/>
                <w:szCs w:val="20"/>
              </w:rPr>
              <w:t xml:space="preserve"> these strategies</w:t>
            </w:r>
            <w:r>
              <w:rPr>
                <w:rFonts w:ascii="Calibri" w:eastAsia="Times New Roman" w:hAnsi="Calibri" w:cs="Times New Roman"/>
                <w:color w:val="000000"/>
                <w:sz w:val="20"/>
                <w:szCs w:val="20"/>
              </w:rPr>
              <w:t xml:space="preserve"> </w:t>
            </w:r>
            <w:r w:rsidRPr="00330C37">
              <w:rPr>
                <w:rFonts w:ascii="Calibri" w:eastAsia="Times New Roman" w:hAnsi="Calibri" w:cs="Times New Roman"/>
                <w:color w:val="000000"/>
                <w:sz w:val="20"/>
                <w:szCs w:val="20"/>
              </w:rPr>
              <w:t>focused on women in the antenatal period and on early newborn care</w:t>
            </w:r>
            <w:r w:rsidR="0065724A">
              <w:rPr>
                <w:rFonts w:ascii="Calibri" w:eastAsia="Times New Roman" w:hAnsi="Calibri" w:cs="Times New Roman"/>
                <w:color w:val="000000"/>
                <w:sz w:val="20"/>
                <w:szCs w:val="20"/>
              </w:rPr>
              <w:t xml:space="preserve"> as well as on the</w:t>
            </w:r>
            <w:r w:rsidRPr="00330C37">
              <w:rPr>
                <w:rFonts w:ascii="Calibri" w:eastAsia="Times New Roman" w:hAnsi="Calibri" w:cs="Times New Roman"/>
                <w:color w:val="000000"/>
                <w:sz w:val="20"/>
                <w:szCs w:val="20"/>
              </w:rPr>
              <w:t xml:space="preserve"> management and referral of sick newborns. </w:t>
            </w:r>
            <w:r w:rsidR="00095649">
              <w:rPr>
                <w:rFonts w:ascii="Calibri" w:eastAsia="Times New Roman" w:hAnsi="Calibri" w:cs="Times New Roman"/>
                <w:color w:val="000000"/>
                <w:sz w:val="20"/>
                <w:szCs w:val="20"/>
              </w:rPr>
              <w:t>W</w:t>
            </w:r>
            <w:r w:rsidR="00AE5832">
              <w:rPr>
                <w:rFonts w:ascii="Calibri" w:eastAsia="Times New Roman" w:hAnsi="Calibri" w:cs="Times New Roman"/>
                <w:color w:val="000000"/>
                <w:sz w:val="20"/>
                <w:szCs w:val="20"/>
              </w:rPr>
              <w:t>hen community mobiliz</w:t>
            </w:r>
            <w:r w:rsidRPr="00330C37">
              <w:rPr>
                <w:rFonts w:ascii="Calibri" w:eastAsia="Times New Roman" w:hAnsi="Calibri" w:cs="Times New Roman"/>
                <w:color w:val="000000"/>
                <w:sz w:val="20"/>
                <w:szCs w:val="20"/>
              </w:rPr>
              <w:t>ation was added to home</w:t>
            </w:r>
            <w:r>
              <w:rPr>
                <w:rFonts w:ascii="Calibri" w:eastAsia="Times New Roman" w:hAnsi="Calibri" w:cs="Times New Roman"/>
                <w:color w:val="000000"/>
                <w:sz w:val="20"/>
                <w:szCs w:val="20"/>
              </w:rPr>
              <w:t>-</w:t>
            </w:r>
            <w:r w:rsidRPr="00330C37">
              <w:rPr>
                <w:rFonts w:ascii="Calibri" w:eastAsia="Times New Roman" w:hAnsi="Calibri" w:cs="Times New Roman"/>
                <w:color w:val="000000"/>
                <w:sz w:val="20"/>
                <w:szCs w:val="20"/>
              </w:rPr>
              <w:t>based neonatal care</w:t>
            </w:r>
            <w:r w:rsidR="00095649">
              <w:rPr>
                <w:rFonts w:ascii="Calibri" w:eastAsia="Times New Roman" w:hAnsi="Calibri" w:cs="Times New Roman"/>
                <w:color w:val="000000"/>
                <w:sz w:val="20"/>
                <w:szCs w:val="20"/>
              </w:rPr>
              <w:t xml:space="preserve"> by CHWs</w:t>
            </w:r>
            <w:r w:rsidRPr="00330C37">
              <w:rPr>
                <w:rFonts w:ascii="Calibri" w:eastAsia="Times New Roman" w:hAnsi="Calibri" w:cs="Times New Roman"/>
                <w:color w:val="000000"/>
                <w:sz w:val="20"/>
                <w:szCs w:val="20"/>
              </w:rPr>
              <w:t>, it significantly reduced total neonatal deaths by 44% (</w:t>
            </w:r>
            <w:r w:rsidR="0065724A">
              <w:rPr>
                <w:rFonts w:ascii="Calibri" w:eastAsia="Times New Roman" w:hAnsi="Calibri" w:cs="Times New Roman"/>
                <w:color w:val="000000"/>
                <w:sz w:val="20"/>
                <w:szCs w:val="20"/>
              </w:rPr>
              <w:t xml:space="preserve">according to </w:t>
            </w:r>
            <w:r w:rsidRPr="00330C37">
              <w:rPr>
                <w:rFonts w:ascii="Calibri" w:eastAsia="Times New Roman" w:hAnsi="Calibri" w:cs="Times New Roman"/>
                <w:color w:val="000000"/>
                <w:sz w:val="20"/>
                <w:szCs w:val="20"/>
              </w:rPr>
              <w:t>one study</w:t>
            </w:r>
            <w:r w:rsidR="0077234E">
              <w:rPr>
                <w:rFonts w:ascii="Calibri" w:eastAsia="Times New Roman" w:hAnsi="Calibri" w:cs="Times New Roman"/>
                <w:color w:val="000000"/>
                <w:sz w:val="20"/>
                <w:szCs w:val="20"/>
              </w:rPr>
              <w:t>).</w:t>
            </w:r>
            <w:r w:rsidRPr="00330C37">
              <w:rPr>
                <w:rFonts w:ascii="Calibri" w:eastAsia="Times New Roman" w:hAnsi="Calibri" w:cs="Times New Roman"/>
                <w:color w:val="000000"/>
                <w:sz w:val="20"/>
                <w:szCs w:val="20"/>
              </w:rPr>
              <w:t xml:space="preserve"> </w:t>
            </w:r>
            <w:r w:rsidR="00DA44B2">
              <w:rPr>
                <w:rFonts w:ascii="Calibri" w:eastAsia="Times New Roman" w:hAnsi="Calibri" w:cs="Times New Roman"/>
                <w:color w:val="000000"/>
                <w:sz w:val="20"/>
                <w:szCs w:val="20"/>
              </w:rPr>
              <w:t xml:space="preserve">When </w:t>
            </w:r>
            <w:r w:rsidRPr="00330C37">
              <w:rPr>
                <w:rFonts w:ascii="Calibri" w:eastAsia="Times New Roman" w:hAnsi="Calibri" w:cs="Times New Roman"/>
                <w:color w:val="000000"/>
                <w:sz w:val="20"/>
                <w:szCs w:val="20"/>
              </w:rPr>
              <w:t>traditional birth attendants</w:t>
            </w:r>
            <w:r w:rsidR="00095649">
              <w:rPr>
                <w:rFonts w:ascii="Calibri" w:eastAsia="Times New Roman" w:hAnsi="Calibri" w:cs="Times New Roman"/>
                <w:color w:val="000000"/>
                <w:sz w:val="20"/>
                <w:szCs w:val="20"/>
              </w:rPr>
              <w:t xml:space="preserve"> (TBAs)</w:t>
            </w:r>
            <w:r w:rsidRPr="00330C37">
              <w:rPr>
                <w:rFonts w:ascii="Calibri" w:eastAsia="Times New Roman" w:hAnsi="Calibri" w:cs="Times New Roman"/>
                <w:color w:val="000000"/>
                <w:sz w:val="20"/>
                <w:szCs w:val="20"/>
              </w:rPr>
              <w:t xml:space="preserve"> </w:t>
            </w:r>
            <w:r w:rsidR="00095649">
              <w:rPr>
                <w:rFonts w:ascii="Calibri" w:eastAsia="Times New Roman" w:hAnsi="Calibri" w:cs="Times New Roman"/>
                <w:color w:val="000000"/>
                <w:sz w:val="20"/>
                <w:szCs w:val="20"/>
              </w:rPr>
              <w:t>visited homes with</w:t>
            </w:r>
            <w:r w:rsidRPr="00330C37">
              <w:rPr>
                <w:rFonts w:ascii="Calibri" w:eastAsia="Times New Roman" w:hAnsi="Calibri" w:cs="Times New Roman"/>
                <w:color w:val="000000"/>
                <w:sz w:val="20"/>
                <w:szCs w:val="20"/>
              </w:rPr>
              <w:t xml:space="preserve"> </w:t>
            </w:r>
            <w:r w:rsidR="00DA44B2">
              <w:rPr>
                <w:rFonts w:ascii="Calibri" w:eastAsia="Times New Roman" w:hAnsi="Calibri" w:cs="Times New Roman"/>
                <w:color w:val="000000"/>
                <w:sz w:val="20"/>
                <w:szCs w:val="20"/>
              </w:rPr>
              <w:t xml:space="preserve">formally trained </w:t>
            </w:r>
            <w:r w:rsidRPr="00330C37">
              <w:rPr>
                <w:rFonts w:ascii="Calibri" w:eastAsia="Times New Roman" w:hAnsi="Calibri" w:cs="Times New Roman"/>
                <w:color w:val="000000"/>
                <w:sz w:val="20"/>
                <w:szCs w:val="20"/>
              </w:rPr>
              <w:t>midwives</w:t>
            </w:r>
            <w:r w:rsidR="00DA44B2">
              <w:rPr>
                <w:rFonts w:ascii="Calibri" w:eastAsia="Times New Roman" w:hAnsi="Calibri" w:cs="Times New Roman"/>
                <w:color w:val="000000"/>
                <w:sz w:val="20"/>
                <w:szCs w:val="20"/>
              </w:rPr>
              <w:t xml:space="preserve">, </w:t>
            </w:r>
            <w:r w:rsidRPr="00330C37">
              <w:rPr>
                <w:rFonts w:ascii="Calibri" w:eastAsia="Times New Roman" w:hAnsi="Calibri" w:cs="Times New Roman"/>
                <w:color w:val="000000"/>
                <w:sz w:val="20"/>
                <w:szCs w:val="20"/>
              </w:rPr>
              <w:t xml:space="preserve">stillbirths </w:t>
            </w:r>
            <w:r w:rsidR="00DA44B2">
              <w:rPr>
                <w:rFonts w:ascii="Calibri" w:eastAsia="Times New Roman" w:hAnsi="Calibri" w:cs="Times New Roman"/>
                <w:color w:val="000000"/>
                <w:sz w:val="20"/>
                <w:szCs w:val="20"/>
              </w:rPr>
              <w:t xml:space="preserve">declined </w:t>
            </w:r>
            <w:r w:rsidRPr="00330C37">
              <w:rPr>
                <w:rFonts w:ascii="Calibri" w:eastAsia="Times New Roman" w:hAnsi="Calibri" w:cs="Times New Roman"/>
                <w:color w:val="000000"/>
                <w:sz w:val="20"/>
                <w:szCs w:val="20"/>
              </w:rPr>
              <w:t xml:space="preserve">by 46%, whereas when </w:t>
            </w:r>
            <w:r w:rsidR="002E2547">
              <w:rPr>
                <w:rFonts w:ascii="Calibri" w:eastAsia="Times New Roman" w:hAnsi="Calibri" w:cs="Times New Roman"/>
                <w:color w:val="000000"/>
                <w:sz w:val="20"/>
                <w:szCs w:val="20"/>
              </w:rPr>
              <w:t>TBAs</w:t>
            </w:r>
            <w:r w:rsidR="0077234E" w:rsidRPr="00330C37">
              <w:rPr>
                <w:rFonts w:ascii="Calibri" w:eastAsia="Times New Roman" w:hAnsi="Calibri" w:cs="Times New Roman"/>
                <w:color w:val="000000"/>
                <w:sz w:val="20"/>
                <w:szCs w:val="20"/>
              </w:rPr>
              <w:t xml:space="preserve"> </w:t>
            </w:r>
            <w:r w:rsidR="00095649">
              <w:rPr>
                <w:rFonts w:ascii="Calibri" w:eastAsia="Times New Roman" w:hAnsi="Calibri" w:cs="Times New Roman"/>
                <w:color w:val="000000"/>
                <w:sz w:val="20"/>
                <w:szCs w:val="20"/>
              </w:rPr>
              <w:t xml:space="preserve">visited homes </w:t>
            </w:r>
            <w:r w:rsidRPr="00330C37">
              <w:rPr>
                <w:rFonts w:ascii="Calibri" w:eastAsia="Times New Roman" w:hAnsi="Calibri" w:cs="Times New Roman"/>
                <w:color w:val="000000"/>
                <w:sz w:val="20"/>
                <w:szCs w:val="20"/>
              </w:rPr>
              <w:t xml:space="preserve">alone </w:t>
            </w:r>
            <w:r w:rsidR="0065724A">
              <w:rPr>
                <w:rFonts w:ascii="Calibri" w:eastAsia="Times New Roman" w:hAnsi="Calibri" w:cs="Times New Roman"/>
                <w:color w:val="000000"/>
                <w:sz w:val="20"/>
                <w:szCs w:val="20"/>
              </w:rPr>
              <w:t xml:space="preserve">no reduction in </w:t>
            </w:r>
            <w:r w:rsidRPr="00330C37">
              <w:rPr>
                <w:rFonts w:ascii="Calibri" w:eastAsia="Times New Roman" w:hAnsi="Calibri" w:cs="Times New Roman"/>
                <w:color w:val="000000"/>
                <w:sz w:val="20"/>
                <w:szCs w:val="20"/>
              </w:rPr>
              <w:t>stillbirths</w:t>
            </w:r>
            <w:r w:rsidR="0065724A">
              <w:rPr>
                <w:rFonts w:ascii="Calibri" w:eastAsia="Times New Roman" w:hAnsi="Calibri" w:cs="Times New Roman"/>
                <w:color w:val="000000"/>
                <w:sz w:val="20"/>
                <w:szCs w:val="20"/>
              </w:rPr>
              <w:t xml:space="preserve"> was observed</w:t>
            </w:r>
            <w:r w:rsidRPr="00330C37">
              <w:rPr>
                <w:rFonts w:ascii="Calibri" w:eastAsia="Times New Roman" w:hAnsi="Calibri" w:cs="Times New Roman"/>
                <w:color w:val="000000"/>
                <w:sz w:val="20"/>
                <w:szCs w:val="20"/>
              </w:rPr>
              <w:t xml:space="preserve">. </w:t>
            </w:r>
          </w:p>
        </w:tc>
      </w:tr>
      <w:tr w:rsidR="00862AF9" w:rsidRPr="00862AF9" w14:paraId="7E1FEC4C" w14:textId="77777777" w:rsidTr="00204FA4">
        <w:trPr>
          <w:cantSplit/>
          <w:trHeight w:val="320"/>
        </w:trPr>
        <w:tc>
          <w:tcPr>
            <w:tcW w:w="1148" w:type="dxa"/>
            <w:shd w:val="clear" w:color="auto" w:fill="auto"/>
            <w:noWrap/>
            <w:vAlign w:val="bottom"/>
          </w:tcPr>
          <w:p w14:paraId="26D924F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Lewin</w:t>
            </w:r>
          </w:p>
        </w:tc>
        <w:tc>
          <w:tcPr>
            <w:tcW w:w="739" w:type="dxa"/>
            <w:shd w:val="clear" w:color="auto" w:fill="auto"/>
            <w:noWrap/>
            <w:vAlign w:val="bottom"/>
          </w:tcPr>
          <w:p w14:paraId="736C069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2010</w:t>
            </w:r>
          </w:p>
        </w:tc>
        <w:tc>
          <w:tcPr>
            <w:tcW w:w="900" w:type="dxa"/>
            <w:shd w:val="clear" w:color="auto" w:fill="auto"/>
            <w:noWrap/>
            <w:vAlign w:val="bottom"/>
          </w:tcPr>
          <w:p w14:paraId="1246FB60"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48263DD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The use of lay health workers, compared to usual healthcare services: (1) probably increases breastfeeding and up-to-date childhood immunization (meta-analysis for immunization: RR 1.23, 95% CI 1.09 to 1.38; P = 0.0006, but heterogeneous effects I2 = 70%, P = 0.005), (2) may increase the number of parents who seek help for their sick child, and (3) may lead to slightly fewer children who suffer from fever, diarrhea and pneumonia as well as to (4) fewer deaths among children younger than five years of age. The use of lay health workers, compared to people helping themselves or going to a clinic, probably leads to an increase in the number of people with tuberculosis who are cured and probably makes little or no difference in the number of people who complete preventive treatment for tuberculosis.</w:t>
            </w:r>
          </w:p>
        </w:tc>
      </w:tr>
      <w:tr w:rsidR="00007323" w:rsidRPr="00862AF9" w14:paraId="57BBF275" w14:textId="77777777" w:rsidTr="00204FA4">
        <w:trPr>
          <w:cantSplit/>
          <w:trHeight w:val="320"/>
        </w:trPr>
        <w:tc>
          <w:tcPr>
            <w:tcW w:w="1148" w:type="dxa"/>
            <w:shd w:val="clear" w:color="auto" w:fill="auto"/>
            <w:noWrap/>
            <w:vAlign w:val="bottom"/>
          </w:tcPr>
          <w:p w14:paraId="28BF487B" w14:textId="16182636" w:rsidR="00007323" w:rsidRPr="00862AF9" w:rsidRDefault="00007323" w:rsidP="00E96A82">
            <w:pPr>
              <w:spacing w:after="0"/>
              <w:rPr>
                <w:rFonts w:ascii="Calibri" w:eastAsia="Times New Roman" w:hAnsi="Calibri" w:cs="Times New Roman"/>
                <w:color w:val="000000"/>
                <w:sz w:val="20"/>
                <w:szCs w:val="20"/>
              </w:rPr>
            </w:pPr>
            <w:r w:rsidRPr="00007323">
              <w:rPr>
                <w:rFonts w:ascii="Calibri" w:eastAsia="Times New Roman" w:hAnsi="Calibri" w:cs="Times New Roman"/>
                <w:color w:val="000000"/>
                <w:sz w:val="20"/>
                <w:szCs w:val="20"/>
              </w:rPr>
              <w:t>Miyake</w:t>
            </w:r>
          </w:p>
        </w:tc>
        <w:tc>
          <w:tcPr>
            <w:tcW w:w="739" w:type="dxa"/>
            <w:shd w:val="clear" w:color="auto" w:fill="auto"/>
            <w:noWrap/>
            <w:vAlign w:val="bottom"/>
          </w:tcPr>
          <w:p w14:paraId="4D4C6C2D" w14:textId="377E986B" w:rsidR="00007323" w:rsidRPr="00862AF9" w:rsidRDefault="00007323"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900" w:type="dxa"/>
            <w:shd w:val="clear" w:color="auto" w:fill="auto"/>
            <w:noWrap/>
            <w:vAlign w:val="bottom"/>
          </w:tcPr>
          <w:p w14:paraId="07DEDDDB" w14:textId="0EAA208F" w:rsidR="00007323" w:rsidRPr="00862AF9" w:rsidRDefault="00007323"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NSR</w:t>
            </w:r>
          </w:p>
        </w:tc>
        <w:tc>
          <w:tcPr>
            <w:tcW w:w="10836" w:type="dxa"/>
            <w:shd w:val="clear" w:color="auto" w:fill="auto"/>
            <w:noWrap/>
            <w:vAlign w:val="bottom"/>
          </w:tcPr>
          <w:p w14:paraId="0BF1D66E" w14:textId="3F5F95A2" w:rsidR="00007323" w:rsidRPr="00862AF9" w:rsidRDefault="00007323"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In fragile and conflict</w:t>
            </w:r>
            <w:r w:rsidR="00DA44B2">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affected states, </w:t>
            </w:r>
            <w:r w:rsidRPr="00007323">
              <w:rPr>
                <w:rFonts w:ascii="Calibri" w:eastAsia="Times New Roman" w:hAnsi="Calibri" w:cs="Times New Roman"/>
                <w:color w:val="000000"/>
                <w:sz w:val="20"/>
                <w:szCs w:val="20"/>
              </w:rPr>
              <w:t>community linkages and acceptance</w:t>
            </w:r>
            <w:r w:rsidR="00DA44B2">
              <w:rPr>
                <w:rFonts w:ascii="Calibri" w:eastAsia="Times New Roman" w:hAnsi="Calibri" w:cs="Times New Roman"/>
                <w:color w:val="000000"/>
                <w:sz w:val="20"/>
                <w:szCs w:val="20"/>
              </w:rPr>
              <w:t xml:space="preserve"> are enablers of </w:t>
            </w:r>
            <w:r w:rsidR="00DA44B2" w:rsidRPr="00007323">
              <w:rPr>
                <w:rFonts w:ascii="Calibri" w:eastAsia="Times New Roman" w:hAnsi="Calibri" w:cs="Times New Roman"/>
                <w:color w:val="000000"/>
                <w:sz w:val="20"/>
                <w:szCs w:val="20"/>
              </w:rPr>
              <w:t>community-level midwifery services t</w:t>
            </w:r>
            <w:r w:rsidR="00DA44B2">
              <w:rPr>
                <w:rFonts w:ascii="Calibri" w:eastAsia="Times New Roman" w:hAnsi="Calibri" w:cs="Times New Roman"/>
                <w:color w:val="000000"/>
                <w:sz w:val="20"/>
                <w:szCs w:val="20"/>
              </w:rPr>
              <w:t xml:space="preserve">hat produce </w:t>
            </w:r>
            <w:r w:rsidR="00DA44B2" w:rsidRPr="00007323">
              <w:rPr>
                <w:rFonts w:ascii="Calibri" w:eastAsia="Times New Roman" w:hAnsi="Calibri" w:cs="Times New Roman"/>
                <w:color w:val="000000"/>
                <w:sz w:val="20"/>
                <w:szCs w:val="20"/>
              </w:rPr>
              <w:t>improve skilled care</w:t>
            </w:r>
            <w:r w:rsidR="00DA44B2">
              <w:rPr>
                <w:rFonts w:ascii="Calibri" w:eastAsia="Times New Roman" w:hAnsi="Calibri" w:cs="Times New Roman"/>
                <w:color w:val="000000"/>
                <w:sz w:val="20"/>
                <w:szCs w:val="20"/>
              </w:rPr>
              <w:t>. B</w:t>
            </w:r>
            <w:r w:rsidRPr="00007323">
              <w:rPr>
                <w:rFonts w:ascii="Calibri" w:eastAsia="Times New Roman" w:hAnsi="Calibri" w:cs="Times New Roman"/>
                <w:color w:val="000000"/>
                <w:sz w:val="20"/>
                <w:szCs w:val="20"/>
              </w:rPr>
              <w:t xml:space="preserve">arriers </w:t>
            </w:r>
            <w:r w:rsidR="00DA44B2">
              <w:rPr>
                <w:rFonts w:ascii="Calibri" w:eastAsia="Times New Roman" w:hAnsi="Calibri" w:cs="Times New Roman"/>
                <w:color w:val="000000"/>
                <w:sz w:val="20"/>
                <w:szCs w:val="20"/>
              </w:rPr>
              <w:t xml:space="preserve">to improving such care </w:t>
            </w:r>
            <w:r w:rsidRPr="00007323">
              <w:rPr>
                <w:rFonts w:ascii="Calibri" w:eastAsia="Times New Roman" w:hAnsi="Calibri" w:cs="Times New Roman"/>
                <w:color w:val="000000"/>
                <w:sz w:val="20"/>
                <w:szCs w:val="20"/>
              </w:rPr>
              <w:t xml:space="preserve">include inappropriate recruitment, non-standardized education, </w:t>
            </w:r>
            <w:r w:rsidR="00DA44B2">
              <w:rPr>
                <w:rFonts w:ascii="Calibri" w:eastAsia="Times New Roman" w:hAnsi="Calibri" w:cs="Times New Roman"/>
                <w:color w:val="000000"/>
                <w:sz w:val="20"/>
                <w:szCs w:val="20"/>
              </w:rPr>
              <w:t xml:space="preserve">a </w:t>
            </w:r>
            <w:r w:rsidRPr="00007323">
              <w:rPr>
                <w:rFonts w:ascii="Calibri" w:eastAsia="Times New Roman" w:hAnsi="Calibri" w:cs="Times New Roman"/>
                <w:color w:val="000000"/>
                <w:sz w:val="20"/>
                <w:szCs w:val="20"/>
              </w:rPr>
              <w:t xml:space="preserve">weak supportive environment, </w:t>
            </w:r>
            <w:r w:rsidR="00DA44B2">
              <w:rPr>
                <w:rFonts w:ascii="Calibri" w:eastAsia="Times New Roman" w:hAnsi="Calibri" w:cs="Times New Roman"/>
                <w:color w:val="000000"/>
                <w:sz w:val="20"/>
                <w:szCs w:val="20"/>
              </w:rPr>
              <w:t xml:space="preserve">as well as </w:t>
            </w:r>
            <w:r w:rsidRPr="00007323">
              <w:rPr>
                <w:rFonts w:ascii="Calibri" w:eastAsia="Times New Roman" w:hAnsi="Calibri" w:cs="Times New Roman"/>
                <w:color w:val="000000"/>
                <w:sz w:val="20"/>
                <w:szCs w:val="20"/>
              </w:rPr>
              <w:t xml:space="preserve">political insecurity and violence. </w:t>
            </w:r>
          </w:p>
        </w:tc>
      </w:tr>
      <w:tr w:rsidR="00862AF9" w:rsidRPr="00862AF9" w14:paraId="7EDC2ECA" w14:textId="77777777" w:rsidTr="00204FA4">
        <w:trPr>
          <w:cantSplit/>
          <w:trHeight w:val="320"/>
        </w:trPr>
        <w:tc>
          <w:tcPr>
            <w:tcW w:w="1148" w:type="dxa"/>
            <w:shd w:val="clear" w:color="auto" w:fill="auto"/>
            <w:noWrap/>
            <w:vAlign w:val="bottom"/>
          </w:tcPr>
          <w:p w14:paraId="29B9157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Prost</w:t>
            </w:r>
          </w:p>
        </w:tc>
        <w:tc>
          <w:tcPr>
            <w:tcW w:w="739" w:type="dxa"/>
            <w:shd w:val="clear" w:color="auto" w:fill="auto"/>
            <w:noWrap/>
            <w:vAlign w:val="bottom"/>
          </w:tcPr>
          <w:p w14:paraId="3C79922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1EE8E226"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6738889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Women’s groups practicing participatory learning and action, compared with usual care, have a positive impact on birth outcomes in low-resource settings. Meta-analyses of seven trials showed that exposure to women’s groups was associated with a 37% reduction in maternal mortality (odds ratio 0.63, 95% CI 0.32–0.94), a 23% reduction in neonatal mortality (0.77, 0.65–0.90), and a 9% non-significant reduction in stillbirths (0.91, 0.79–1.03). Meta-regression found that increased proportion of pregnant women in groups was linearly associated with reduction in both maternal and neonatal mortality. Analysis of the four studies in which at least 30% of pregnant women participated in groups showed a 55% reduction in maternal mortality (0.45, 0.17–0.73) and a 33% reduction in neonatal mortality (0.67, 0.59–0.74). The intervention was cost-effective by WHO standards and could save an estimated 283 000 newborn infants and 41 100 mothers per year if implemented in rural areas of 74 priority LMIC countries.</w:t>
            </w:r>
          </w:p>
        </w:tc>
      </w:tr>
      <w:tr w:rsidR="00862AF9" w:rsidRPr="00862AF9" w14:paraId="498359A2" w14:textId="77777777" w:rsidTr="00204FA4">
        <w:trPr>
          <w:cantSplit/>
          <w:trHeight w:val="320"/>
        </w:trPr>
        <w:tc>
          <w:tcPr>
            <w:tcW w:w="1148" w:type="dxa"/>
            <w:shd w:val="clear" w:color="auto" w:fill="auto"/>
            <w:noWrap/>
            <w:vAlign w:val="bottom"/>
          </w:tcPr>
          <w:p w14:paraId="5FFBEED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Ribeiro Sarmento</w:t>
            </w:r>
          </w:p>
        </w:tc>
        <w:tc>
          <w:tcPr>
            <w:tcW w:w="739" w:type="dxa"/>
            <w:shd w:val="clear" w:color="auto" w:fill="auto"/>
            <w:noWrap/>
            <w:vAlign w:val="bottom"/>
          </w:tcPr>
          <w:p w14:paraId="5F06D13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900" w:type="dxa"/>
            <w:shd w:val="clear" w:color="auto" w:fill="auto"/>
            <w:noWrap/>
            <w:vAlign w:val="bottom"/>
          </w:tcPr>
          <w:p w14:paraId="2395621B"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34E17CF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Trained TBAs have performed a wide variety of tasks, including outreach and case finding, health and patient education, referrals, home visits and care management. TBA training was significantly associated with higher numbers of referrals and greater use of facility-based care by women with obstetric complications. TBAs can identify early signs of complications during labor and delivery, and they can successfully refer mothers for treatment in health centers by skilled health workers. </w:t>
            </w:r>
          </w:p>
        </w:tc>
      </w:tr>
      <w:tr w:rsidR="00862AF9" w:rsidRPr="00862AF9" w14:paraId="57E25A0B" w14:textId="77777777" w:rsidTr="00204FA4">
        <w:trPr>
          <w:cantSplit/>
          <w:trHeight w:val="320"/>
        </w:trPr>
        <w:tc>
          <w:tcPr>
            <w:tcW w:w="1148" w:type="dxa"/>
            <w:shd w:val="clear" w:color="auto" w:fill="auto"/>
            <w:noWrap/>
            <w:vAlign w:val="bottom"/>
          </w:tcPr>
          <w:p w14:paraId="4F12702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Sibley</w:t>
            </w:r>
          </w:p>
        </w:tc>
        <w:tc>
          <w:tcPr>
            <w:tcW w:w="739" w:type="dxa"/>
            <w:shd w:val="clear" w:color="auto" w:fill="auto"/>
            <w:noWrap/>
            <w:vAlign w:val="bottom"/>
          </w:tcPr>
          <w:p w14:paraId="1165228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2006</w:t>
            </w:r>
          </w:p>
        </w:tc>
        <w:tc>
          <w:tcPr>
            <w:tcW w:w="900" w:type="dxa"/>
            <w:shd w:val="clear" w:color="auto" w:fill="auto"/>
            <w:noWrap/>
            <w:vAlign w:val="bottom"/>
          </w:tcPr>
          <w:p w14:paraId="6FEB05EF" w14:textId="6DDB9E67" w:rsidR="00862AF9" w:rsidRPr="00862AF9" w:rsidRDefault="005117D0" w:rsidP="00E96A82">
            <w:pPr>
              <w:spacing w:after="0"/>
              <w:jc w:val="center"/>
              <w:rPr>
                <w:rFonts w:ascii="Calibri" w:eastAsia="Times New Roman" w:hAnsi="Calibri" w:cs="Times New Roman"/>
                <w:color w:val="000000"/>
                <w:sz w:val="20"/>
                <w:szCs w:val="20"/>
                <w:highlight w:val="yellow"/>
              </w:rPr>
            </w:pPr>
            <w:r>
              <w:rPr>
                <w:rFonts w:ascii="Calibri" w:eastAsia="Times New Roman" w:hAnsi="Calibri" w:cs="Times New Roman"/>
                <w:color w:val="000000"/>
                <w:sz w:val="20"/>
                <w:szCs w:val="20"/>
              </w:rPr>
              <w:t>SR MA</w:t>
            </w:r>
          </w:p>
        </w:tc>
        <w:tc>
          <w:tcPr>
            <w:tcW w:w="10836" w:type="dxa"/>
            <w:shd w:val="clear" w:color="auto" w:fill="auto"/>
            <w:noWrap/>
            <w:vAlign w:val="bottom"/>
          </w:tcPr>
          <w:p w14:paraId="264FA10E"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settings characterized by high mortality and weak health systems, trained TBAs can contribute to reducing mortality through participation in key evidence-based interventions. Compared to untrained TBAs, pooled meta-analysis showed that trained TBAs had a 44% increase over baseline in safe delivery (effect size: 0.35; 95% CI: 0.19-0.51), 103% increase in clean delivery (effect size: 0.72; 95% CI: 0.49-0.96), 53% increase in clean cord-care practices (effect size: 0.41; 95% CI: 0.24-0.57); 117% increase in knowledge of appropriate antenatal referral (effect size 0.97; 95% CI: 0.40-1.55); 47% increase in appropriate referral for antenatal issues (effect size 0.39; 95% CI 0.12-0.67); 36% increase in appropriate referral for obstetric complications (effect size 0.39; 95% CI 0.15-0.45). Trained TBAs showed significantly improved counseling behavior on maternal nutrition, early exclusive breastfeeding, and immunization (primarily tetanus toxoid immunization) (effect size 15%). TBA training is associated with small but significant decreases in perinatal mortality and neonatal mortality due to birth asphyxia and pneumonia. TBAs have been trained to act as a link to more formally trained skilled birth attendants. Some have been trained to upgrade their skills and perform safe deliveries, and others have taken on expanded functions including preventive services, screening and referral.</w:t>
            </w:r>
          </w:p>
        </w:tc>
      </w:tr>
      <w:tr w:rsidR="00862AF9" w:rsidRPr="00862AF9" w14:paraId="2FA14EBC" w14:textId="77777777" w:rsidTr="00204FA4">
        <w:trPr>
          <w:cantSplit/>
          <w:trHeight w:val="320"/>
        </w:trPr>
        <w:tc>
          <w:tcPr>
            <w:tcW w:w="1148" w:type="dxa"/>
            <w:shd w:val="clear" w:color="auto" w:fill="auto"/>
            <w:noWrap/>
            <w:vAlign w:val="bottom"/>
          </w:tcPr>
          <w:p w14:paraId="21A54E8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Sibley</w:t>
            </w:r>
          </w:p>
        </w:tc>
        <w:tc>
          <w:tcPr>
            <w:tcW w:w="739" w:type="dxa"/>
            <w:shd w:val="clear" w:color="auto" w:fill="auto"/>
            <w:noWrap/>
            <w:vAlign w:val="bottom"/>
          </w:tcPr>
          <w:p w14:paraId="5DC29EE1"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2012</w:t>
            </w:r>
          </w:p>
        </w:tc>
        <w:tc>
          <w:tcPr>
            <w:tcW w:w="900" w:type="dxa"/>
            <w:shd w:val="clear" w:color="auto" w:fill="auto"/>
            <w:noWrap/>
            <w:vAlign w:val="bottom"/>
          </w:tcPr>
          <w:p w14:paraId="0E561806" w14:textId="1D58B7BA"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w:t>
            </w:r>
            <w:r w:rsidR="005117D0">
              <w:rPr>
                <w:rFonts w:ascii="Calibri" w:eastAsia="Times New Roman" w:hAnsi="Calibri" w:cs="Times New Roman"/>
                <w:color w:val="000000"/>
                <w:sz w:val="20"/>
                <w:szCs w:val="20"/>
              </w:rPr>
              <w:t xml:space="preserve"> MA</w:t>
            </w:r>
          </w:p>
        </w:tc>
        <w:tc>
          <w:tcPr>
            <w:tcW w:w="10836" w:type="dxa"/>
            <w:shd w:val="clear" w:color="auto" w:fill="auto"/>
            <w:noWrap/>
            <w:vAlign w:val="bottom"/>
          </w:tcPr>
          <w:p w14:paraId="17E4627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There remains insufficient evidence to establish the potential of TBA training to improve perinatal and neonatal mortality. However there is evidence from one cluster randomized controlled trial that trained TBAs reduce perinatal mortality, stillbirths, and neonatal mortality. In a meta-analysis comparing TBAs who received additional training in resuscitation of newborns with TBAs who had received only basic training there was no significant difference in stillbirths or in early neonatal mortality. The results are promising for some outcomes (perinatal mortality, stillbirths and neonatal mortality) but more studies are needed. Trained TBAs can provide advice on use of antenatal iron and folic acid tablets or they can actually distribute them. They can provide advice on or distribute anti-malarials. They can advise on or distribute vitamin A. They can provide advice on tetanus vaccination, on early initiation of breastfeeding and exclusive breastfeeding during the first 6 months of life, on referral to a health facility, and on the use of antenatal and postnatal care as well as the use of family planning. </w:t>
            </w:r>
          </w:p>
        </w:tc>
      </w:tr>
      <w:tr w:rsidR="00862AF9" w:rsidRPr="00862AF9" w14:paraId="01E7A441" w14:textId="77777777" w:rsidTr="00204FA4">
        <w:trPr>
          <w:cantSplit/>
          <w:trHeight w:val="320"/>
        </w:trPr>
        <w:tc>
          <w:tcPr>
            <w:tcW w:w="1148" w:type="dxa"/>
            <w:shd w:val="clear" w:color="auto" w:fill="auto"/>
            <w:noWrap/>
            <w:vAlign w:val="bottom"/>
          </w:tcPr>
          <w:p w14:paraId="5A56594A"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Silveira Feyer</w:t>
            </w:r>
          </w:p>
        </w:tc>
        <w:tc>
          <w:tcPr>
            <w:tcW w:w="739" w:type="dxa"/>
            <w:shd w:val="clear" w:color="auto" w:fill="auto"/>
            <w:noWrap/>
            <w:vAlign w:val="bottom"/>
          </w:tcPr>
          <w:p w14:paraId="3DAC414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14520383"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295D789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Brazil, TBAs have entered into their careers on the basis of family tradition, feelings of solidarity, divine calling, or simply as a response to community needs. Virtues of a good TBA include patience, courage, respect, generosity of spirit, and perseverance. The TBAs’ knowledge and practices involved, among others, the use of herbal teas and maneuvers at different stages of delivery. Difficulties faced by some TBAs include being far from professional support, difficult working conditions, and lack of pay. The Brazilian health system has provisions now for paying those who attend deliveries, but TBAs struggle to access this remuneration.</w:t>
            </w:r>
          </w:p>
        </w:tc>
      </w:tr>
      <w:tr w:rsidR="00862AF9" w:rsidRPr="00862AF9" w14:paraId="578FBC22" w14:textId="77777777" w:rsidTr="00204FA4">
        <w:trPr>
          <w:cantSplit/>
          <w:trHeight w:val="320"/>
        </w:trPr>
        <w:tc>
          <w:tcPr>
            <w:tcW w:w="1148" w:type="dxa"/>
            <w:shd w:val="clear" w:color="auto" w:fill="auto"/>
            <w:noWrap/>
            <w:vAlign w:val="bottom"/>
          </w:tcPr>
          <w:p w14:paraId="2E9506F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Wilson</w:t>
            </w:r>
          </w:p>
        </w:tc>
        <w:tc>
          <w:tcPr>
            <w:tcW w:w="739" w:type="dxa"/>
            <w:shd w:val="clear" w:color="auto" w:fill="auto"/>
            <w:noWrap/>
            <w:vAlign w:val="bottom"/>
          </w:tcPr>
          <w:p w14:paraId="2638F1C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2012</w:t>
            </w:r>
          </w:p>
        </w:tc>
        <w:tc>
          <w:tcPr>
            <w:tcW w:w="900" w:type="dxa"/>
            <w:shd w:val="clear" w:color="auto" w:fill="auto"/>
            <w:noWrap/>
            <w:vAlign w:val="bottom"/>
          </w:tcPr>
          <w:p w14:paraId="71A0F533"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46EB9A6A"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Incorporating training on maternal, perinatal and neonatal health as well as support of TBAs in developing countries reduces perinatal mortality (relative risk 0.76, 95% confidence interval 0.64 to 0.88, P&lt;0.001) and neonatal death (relative risk 0.79, 95% confidence interval 0.69 to 0.88, P&lt;0.001. Meta-analysis of the non-randomized studies also showed a significant reduction in perinatal mortality (relative risk 0.70, 95% confidence interval 0.57 to 0.84, p&lt;0.001) and neonatal mortality (relative risk 0.61, 95% confidence interval 0.48 to 0.75, P&lt;0.001).</w:t>
            </w:r>
          </w:p>
        </w:tc>
      </w:tr>
      <w:tr w:rsidR="00862AF9" w:rsidRPr="00862AF9" w14:paraId="3D5F41A3" w14:textId="77777777" w:rsidTr="00204FA4">
        <w:trPr>
          <w:cantSplit/>
          <w:trHeight w:val="320"/>
        </w:trPr>
        <w:tc>
          <w:tcPr>
            <w:tcW w:w="13623" w:type="dxa"/>
            <w:gridSpan w:val="4"/>
            <w:shd w:val="clear" w:color="auto" w:fill="F2F2F2" w:themeFill="background1" w:themeFillShade="F2"/>
            <w:noWrap/>
            <w:vAlign w:val="bottom"/>
          </w:tcPr>
          <w:p w14:paraId="4031463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b/>
                <w:color w:val="000000"/>
                <w:sz w:val="20"/>
                <w:szCs w:val="20"/>
              </w:rPr>
              <w:t>Vaccination</w:t>
            </w:r>
          </w:p>
        </w:tc>
      </w:tr>
      <w:tr w:rsidR="00862AF9" w:rsidRPr="00862AF9" w14:paraId="4050FB4D" w14:textId="77777777" w:rsidTr="00204FA4">
        <w:trPr>
          <w:cantSplit/>
          <w:trHeight w:val="320"/>
        </w:trPr>
        <w:tc>
          <w:tcPr>
            <w:tcW w:w="1148" w:type="dxa"/>
            <w:shd w:val="clear" w:color="auto" w:fill="auto"/>
            <w:noWrap/>
            <w:vAlign w:val="bottom"/>
          </w:tcPr>
          <w:p w14:paraId="0A65D0A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Corluka</w:t>
            </w:r>
          </w:p>
        </w:tc>
        <w:tc>
          <w:tcPr>
            <w:tcW w:w="739" w:type="dxa"/>
            <w:shd w:val="clear" w:color="auto" w:fill="auto"/>
            <w:noWrap/>
            <w:vAlign w:val="bottom"/>
          </w:tcPr>
          <w:p w14:paraId="7F02404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2009</w:t>
            </w:r>
          </w:p>
        </w:tc>
        <w:tc>
          <w:tcPr>
            <w:tcW w:w="900" w:type="dxa"/>
            <w:shd w:val="clear" w:color="auto" w:fill="auto"/>
            <w:noWrap/>
            <w:vAlign w:val="bottom"/>
          </w:tcPr>
          <w:p w14:paraId="1467D03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6DAA7B8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This review sought to determine whether vaccination programs delivered by CHWs are cost-effective. Although the studies were methodologically strong, none adequately addressed affordability and sustainability, so no conclusions on cost-effectiveness could be drawn.</w:t>
            </w:r>
          </w:p>
        </w:tc>
      </w:tr>
      <w:tr w:rsidR="00862AF9" w:rsidRPr="00862AF9" w14:paraId="4EF92335" w14:textId="77777777" w:rsidTr="00204FA4">
        <w:trPr>
          <w:cantSplit/>
          <w:trHeight w:val="320"/>
        </w:trPr>
        <w:tc>
          <w:tcPr>
            <w:tcW w:w="1148" w:type="dxa"/>
            <w:shd w:val="clear" w:color="auto" w:fill="auto"/>
            <w:noWrap/>
            <w:vAlign w:val="bottom"/>
          </w:tcPr>
          <w:p w14:paraId="7DC5812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Glenton</w:t>
            </w:r>
            <w:r w:rsidRPr="00B47639">
              <w:rPr>
                <w:rStyle w:val="FootnoteReference"/>
              </w:rPr>
              <w:footnoteReference w:id="6"/>
            </w:r>
          </w:p>
        </w:tc>
        <w:tc>
          <w:tcPr>
            <w:tcW w:w="739" w:type="dxa"/>
            <w:shd w:val="clear" w:color="auto" w:fill="auto"/>
            <w:noWrap/>
            <w:vAlign w:val="bottom"/>
          </w:tcPr>
          <w:p w14:paraId="1CF7A5C2"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639EC42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5CD7698D"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Most of the studies showed that CHWs increased immunization coverage. A meta-analysis of four studies showed that CHW promotion of vaccination increased the proportion of children with up-to-date vaccinations (relative risk: 1.19, 95% CI: 1.09-1.30). For the two studies where LHWs actually provided immunization (in Papua New Guinea and Guatemala), both showed an improvement compared to a control group, but the evidence was of low quality. The remaining six studies, in which CHWs promoted immunization, showed no consistent findings.</w:t>
            </w:r>
          </w:p>
        </w:tc>
      </w:tr>
      <w:tr w:rsidR="00862AF9" w:rsidRPr="00862AF9" w14:paraId="29315DE4" w14:textId="77777777" w:rsidTr="00204FA4">
        <w:trPr>
          <w:cantSplit/>
          <w:trHeight w:val="320"/>
        </w:trPr>
        <w:tc>
          <w:tcPr>
            <w:tcW w:w="1148" w:type="dxa"/>
            <w:shd w:val="clear" w:color="auto" w:fill="auto"/>
            <w:noWrap/>
            <w:vAlign w:val="bottom"/>
          </w:tcPr>
          <w:p w14:paraId="46C8920D" w14:textId="2AC381BC"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Glenton</w:t>
            </w:r>
            <w:r w:rsidR="004A79D9">
              <w:rPr>
                <w:rFonts w:ascii="Calibri" w:eastAsia="Times New Roman" w:hAnsi="Calibri" w:cs="Times New Roman"/>
                <w:color w:val="000000"/>
                <w:sz w:val="20"/>
                <w:szCs w:val="20"/>
              </w:rPr>
              <w:t>, Khanna</w:t>
            </w:r>
          </w:p>
        </w:tc>
        <w:tc>
          <w:tcPr>
            <w:tcW w:w="739" w:type="dxa"/>
            <w:shd w:val="clear" w:color="auto" w:fill="auto"/>
            <w:noWrap/>
            <w:vAlign w:val="bottom"/>
          </w:tcPr>
          <w:p w14:paraId="1797E8D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39CC846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7601414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There is evidence, but of low-quality, that health professionals are confident that CHWs can deliver vaccines or other medicines using compact pre-filled auto-disposal devices (CPADs) to mothers and children. Some health professionals said providing adequate supervision was difficult. CHWs perceived CPADs as effective and important, but feared consequences if harm should come to the recipients. No studies have yet assessed side effects or safety.</w:t>
            </w:r>
          </w:p>
        </w:tc>
      </w:tr>
      <w:tr w:rsidR="00112EC8" w:rsidRPr="00862AF9" w14:paraId="413EEF8C" w14:textId="77777777" w:rsidTr="00204FA4">
        <w:trPr>
          <w:cantSplit/>
          <w:trHeight w:val="320"/>
        </w:trPr>
        <w:tc>
          <w:tcPr>
            <w:tcW w:w="1148" w:type="dxa"/>
            <w:shd w:val="clear" w:color="auto" w:fill="auto"/>
            <w:noWrap/>
            <w:vAlign w:val="bottom"/>
          </w:tcPr>
          <w:p w14:paraId="3343507F" w14:textId="509FF567" w:rsidR="00112EC8" w:rsidRPr="00862AF9" w:rsidRDefault="00112EC8" w:rsidP="00E96A82">
            <w:pPr>
              <w:spacing w:after="0"/>
              <w:rPr>
                <w:rFonts w:ascii="Calibri" w:eastAsia="Times New Roman" w:hAnsi="Calibri" w:cs="Times New Roman"/>
                <w:color w:val="000000"/>
                <w:sz w:val="20"/>
                <w:szCs w:val="20"/>
              </w:rPr>
            </w:pPr>
            <w:r w:rsidRPr="00112EC8">
              <w:rPr>
                <w:rFonts w:ascii="Calibri" w:eastAsia="Times New Roman" w:hAnsi="Calibri" w:cs="Times New Roman"/>
                <w:color w:val="000000"/>
                <w:sz w:val="20"/>
                <w:szCs w:val="20"/>
              </w:rPr>
              <w:t>Oyo-Ita</w:t>
            </w:r>
          </w:p>
        </w:tc>
        <w:tc>
          <w:tcPr>
            <w:tcW w:w="739" w:type="dxa"/>
            <w:shd w:val="clear" w:color="auto" w:fill="auto"/>
            <w:noWrap/>
            <w:vAlign w:val="bottom"/>
          </w:tcPr>
          <w:p w14:paraId="3873DE0C" w14:textId="23963F78" w:rsidR="00112EC8" w:rsidRPr="00862AF9" w:rsidRDefault="00112EC8"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900" w:type="dxa"/>
            <w:shd w:val="clear" w:color="auto" w:fill="auto"/>
            <w:noWrap/>
            <w:vAlign w:val="bottom"/>
          </w:tcPr>
          <w:p w14:paraId="501A37E4" w14:textId="0704433D" w:rsidR="00112EC8" w:rsidRPr="00862AF9" w:rsidRDefault="00112EC8"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r w:rsidR="00F20C57">
              <w:rPr>
                <w:rFonts w:ascii="Calibri" w:eastAsia="Times New Roman" w:hAnsi="Calibri" w:cs="Times New Roman"/>
                <w:color w:val="000000"/>
                <w:sz w:val="20"/>
                <w:szCs w:val="20"/>
              </w:rPr>
              <w:t xml:space="preserve"> MA</w:t>
            </w:r>
          </w:p>
        </w:tc>
        <w:tc>
          <w:tcPr>
            <w:tcW w:w="10836" w:type="dxa"/>
            <w:shd w:val="clear" w:color="auto" w:fill="auto"/>
            <w:noWrap/>
            <w:vAlign w:val="bottom"/>
          </w:tcPr>
          <w:p w14:paraId="18DF1540" w14:textId="3A6385BF" w:rsidR="00112EC8" w:rsidRPr="00862AF9" w:rsidRDefault="00112EC8"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There is </w:t>
            </w:r>
            <w:r w:rsidR="00DA44B2">
              <w:rPr>
                <w:rFonts w:ascii="Calibri" w:eastAsia="Times New Roman" w:hAnsi="Calibri" w:cs="Times New Roman"/>
                <w:color w:val="000000"/>
                <w:sz w:val="20"/>
                <w:szCs w:val="20"/>
              </w:rPr>
              <w:t xml:space="preserve">evidence of </w:t>
            </w:r>
            <w:r>
              <w:rPr>
                <w:rFonts w:ascii="Calibri" w:eastAsia="Times New Roman" w:hAnsi="Calibri" w:cs="Times New Roman"/>
                <w:color w:val="000000"/>
                <w:sz w:val="20"/>
                <w:szCs w:val="20"/>
              </w:rPr>
              <w:t>m</w:t>
            </w:r>
            <w:r w:rsidRPr="00112EC8">
              <w:rPr>
                <w:rFonts w:ascii="Calibri" w:eastAsia="Times New Roman" w:hAnsi="Calibri" w:cs="Times New Roman"/>
                <w:color w:val="000000"/>
                <w:sz w:val="20"/>
                <w:szCs w:val="20"/>
              </w:rPr>
              <w:t>oderate</w:t>
            </w:r>
            <w:r w:rsidR="00DA44B2">
              <w:rPr>
                <w:rFonts w:ascii="Calibri" w:eastAsia="Times New Roman" w:hAnsi="Calibri" w:cs="Times New Roman"/>
                <w:color w:val="000000"/>
                <w:sz w:val="20"/>
                <w:szCs w:val="20"/>
              </w:rPr>
              <w:t xml:space="preserve"> </w:t>
            </w:r>
            <w:r w:rsidRPr="00112EC8">
              <w:rPr>
                <w:rFonts w:ascii="Calibri" w:eastAsia="Times New Roman" w:hAnsi="Calibri" w:cs="Times New Roman"/>
                <w:color w:val="000000"/>
                <w:sz w:val="20"/>
                <w:szCs w:val="20"/>
              </w:rPr>
              <w:t>certainty that health education at village meetings or at home</w:t>
            </w:r>
            <w:r w:rsidR="00DA44B2">
              <w:rPr>
                <w:rFonts w:ascii="Calibri" w:eastAsia="Times New Roman" w:hAnsi="Calibri" w:cs="Times New Roman"/>
                <w:color w:val="000000"/>
                <w:sz w:val="20"/>
                <w:szCs w:val="20"/>
              </w:rPr>
              <w:t>s</w:t>
            </w:r>
            <w:r w:rsidRPr="00112EC8">
              <w:rPr>
                <w:rFonts w:ascii="Calibri" w:eastAsia="Times New Roman" w:hAnsi="Calibri" w:cs="Times New Roman"/>
                <w:color w:val="000000"/>
                <w:sz w:val="20"/>
                <w:szCs w:val="20"/>
              </w:rPr>
              <w:t xml:space="preserve"> </w:t>
            </w:r>
            <w:r w:rsidR="00932902">
              <w:rPr>
                <w:rFonts w:ascii="Calibri" w:eastAsia="Times New Roman" w:hAnsi="Calibri" w:cs="Times New Roman"/>
                <w:color w:val="000000"/>
                <w:sz w:val="20"/>
                <w:szCs w:val="20"/>
              </w:rPr>
              <w:t xml:space="preserve">(in some cases </w:t>
            </w:r>
            <w:r w:rsidR="00DA44B2">
              <w:rPr>
                <w:rFonts w:ascii="Calibri" w:eastAsia="Times New Roman" w:hAnsi="Calibri" w:cs="Times New Roman"/>
                <w:color w:val="000000"/>
                <w:sz w:val="20"/>
                <w:szCs w:val="20"/>
              </w:rPr>
              <w:t xml:space="preserve">provided </w:t>
            </w:r>
            <w:r w:rsidR="00932902">
              <w:rPr>
                <w:rFonts w:ascii="Calibri" w:eastAsia="Times New Roman" w:hAnsi="Calibri" w:cs="Times New Roman"/>
                <w:color w:val="000000"/>
                <w:sz w:val="20"/>
                <w:szCs w:val="20"/>
              </w:rPr>
              <w:t xml:space="preserve">by CBPs) </w:t>
            </w:r>
            <w:r w:rsidRPr="00112EC8">
              <w:rPr>
                <w:rFonts w:ascii="Calibri" w:eastAsia="Times New Roman" w:hAnsi="Calibri" w:cs="Times New Roman"/>
                <w:color w:val="000000"/>
                <w:sz w:val="20"/>
                <w:szCs w:val="20"/>
              </w:rPr>
              <w:t xml:space="preserve">probably improves coverage with three doses of diphtheria-tetanus-pertussis vaccines (DTP3: risk ratio (RR) 1.68, 95% confidence interval (CI) 1.09 to 2.59). </w:t>
            </w:r>
            <w:r>
              <w:rPr>
                <w:rFonts w:ascii="Calibri" w:eastAsia="Times New Roman" w:hAnsi="Calibri" w:cs="Times New Roman"/>
                <w:color w:val="000000"/>
                <w:sz w:val="20"/>
                <w:szCs w:val="20"/>
              </w:rPr>
              <w:t>Regular immuniz</w:t>
            </w:r>
            <w:r w:rsidRPr="00112EC8">
              <w:rPr>
                <w:rFonts w:ascii="Calibri" w:eastAsia="Times New Roman" w:hAnsi="Calibri" w:cs="Times New Roman"/>
                <w:color w:val="000000"/>
                <w:sz w:val="20"/>
                <w:szCs w:val="20"/>
              </w:rPr>
              <w:t>ation o</w:t>
            </w:r>
            <w:r>
              <w:rPr>
                <w:rFonts w:ascii="Calibri" w:eastAsia="Times New Roman" w:hAnsi="Calibri" w:cs="Times New Roman"/>
                <w:color w:val="000000"/>
                <w:sz w:val="20"/>
                <w:szCs w:val="20"/>
              </w:rPr>
              <w:t xml:space="preserve">utreach </w:t>
            </w:r>
            <w:r w:rsidR="00932902">
              <w:rPr>
                <w:rFonts w:ascii="Calibri" w:eastAsia="Times New Roman" w:hAnsi="Calibri" w:cs="Times New Roman"/>
                <w:color w:val="000000"/>
                <w:sz w:val="20"/>
                <w:szCs w:val="20"/>
              </w:rPr>
              <w:t xml:space="preserve">(by nurse plus assistant – unclear if this includes a CBP) </w:t>
            </w:r>
            <w:r>
              <w:rPr>
                <w:rFonts w:ascii="Calibri" w:eastAsia="Times New Roman" w:hAnsi="Calibri" w:cs="Times New Roman"/>
                <w:color w:val="000000"/>
                <w:sz w:val="20"/>
                <w:szCs w:val="20"/>
              </w:rPr>
              <w:t>may improve full immuniz</w:t>
            </w:r>
            <w:r w:rsidRPr="00112EC8">
              <w:rPr>
                <w:rFonts w:ascii="Calibri" w:eastAsia="Times New Roman" w:hAnsi="Calibri" w:cs="Times New Roman"/>
                <w:color w:val="000000"/>
                <w:sz w:val="20"/>
                <w:szCs w:val="20"/>
              </w:rPr>
              <w:t>ation coverage (RR 3.09, 95% CI 1.69 to 5.67, low-certainty evidence)</w:t>
            </w:r>
            <w:r>
              <w:rPr>
                <w:rFonts w:ascii="Calibri" w:eastAsia="Times New Roman" w:hAnsi="Calibri" w:cs="Times New Roman"/>
                <w:color w:val="000000"/>
                <w:sz w:val="20"/>
                <w:szCs w:val="20"/>
              </w:rPr>
              <w:t>,</w:t>
            </w:r>
            <w:r w:rsidRPr="00112EC8">
              <w:rPr>
                <w:rFonts w:ascii="Calibri" w:eastAsia="Times New Roman" w:hAnsi="Calibri" w:cs="Times New Roman"/>
                <w:color w:val="000000"/>
                <w:sz w:val="20"/>
                <w:szCs w:val="20"/>
              </w:rPr>
              <w:t xml:space="preserve"> which may substantially improve if combined with </w:t>
            </w:r>
            <w:r w:rsidR="00F20C57">
              <w:rPr>
                <w:rFonts w:ascii="Calibri" w:eastAsia="Times New Roman" w:hAnsi="Calibri" w:cs="Times New Roman"/>
                <w:color w:val="000000"/>
                <w:sz w:val="20"/>
                <w:szCs w:val="20"/>
              </w:rPr>
              <w:t>conditional cash transfer</w:t>
            </w:r>
            <w:r w:rsidRPr="00112EC8">
              <w:rPr>
                <w:rFonts w:ascii="Calibri" w:eastAsia="Times New Roman" w:hAnsi="Calibri" w:cs="Times New Roman"/>
                <w:color w:val="000000"/>
                <w:sz w:val="20"/>
                <w:szCs w:val="20"/>
              </w:rPr>
              <w:t xml:space="preserve"> incentives</w:t>
            </w:r>
            <w:r w:rsidR="00F20C57">
              <w:rPr>
                <w:rFonts w:ascii="Calibri" w:eastAsia="Times New Roman" w:hAnsi="Calibri" w:cs="Times New Roman"/>
                <w:color w:val="000000"/>
                <w:sz w:val="20"/>
                <w:szCs w:val="20"/>
              </w:rPr>
              <w:t xml:space="preserve"> to households</w:t>
            </w:r>
            <w:r w:rsidRPr="00112EC8">
              <w:rPr>
                <w:rFonts w:ascii="Calibri" w:eastAsia="Times New Roman" w:hAnsi="Calibri" w:cs="Times New Roman"/>
                <w:color w:val="000000"/>
                <w:sz w:val="20"/>
                <w:szCs w:val="20"/>
              </w:rPr>
              <w:t xml:space="preserve"> (RR 6.66, 95% CI 3.93 to 11.28, low-certainty evidence). Home visits to identify non-vaccinated children and refer them to health clinics may improve uptake of three doses of oral polio vaccine (RR 1.22, 95% CI 1.07 to 1.39, low-certainty evidence). There was low-certainty evid</w:t>
            </w:r>
            <w:r>
              <w:rPr>
                <w:rFonts w:ascii="Calibri" w:eastAsia="Times New Roman" w:hAnsi="Calibri" w:cs="Times New Roman"/>
                <w:color w:val="000000"/>
                <w:sz w:val="20"/>
                <w:szCs w:val="20"/>
              </w:rPr>
              <w:t>ence that integration of immuniz</w:t>
            </w:r>
            <w:r w:rsidRPr="00112EC8">
              <w:rPr>
                <w:rFonts w:ascii="Calibri" w:eastAsia="Times New Roman" w:hAnsi="Calibri" w:cs="Times New Roman"/>
                <w:color w:val="000000"/>
                <w:sz w:val="20"/>
                <w:szCs w:val="20"/>
              </w:rPr>
              <w:t>ation with other services may improve DTP3 coverage (RR 1.92, 95% CI 1.42 to 2.59).</w:t>
            </w:r>
            <w:r w:rsidR="004A79D9">
              <w:rPr>
                <w:rFonts w:ascii="Calibri" w:eastAsia="Times New Roman" w:hAnsi="Calibri" w:cs="Times New Roman"/>
                <w:color w:val="000000"/>
                <w:sz w:val="20"/>
                <w:szCs w:val="20"/>
              </w:rPr>
              <w:t xml:space="preserve"> </w:t>
            </w:r>
          </w:p>
        </w:tc>
      </w:tr>
      <w:tr w:rsidR="00862AF9" w:rsidRPr="00862AF9" w14:paraId="222D3BA9" w14:textId="77777777" w:rsidTr="00204FA4">
        <w:trPr>
          <w:cantSplit/>
          <w:trHeight w:val="320"/>
        </w:trPr>
        <w:tc>
          <w:tcPr>
            <w:tcW w:w="1148" w:type="dxa"/>
            <w:shd w:val="clear" w:color="auto" w:fill="auto"/>
            <w:noWrap/>
            <w:vAlign w:val="bottom"/>
          </w:tcPr>
          <w:p w14:paraId="65EBB04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Patel</w:t>
            </w:r>
          </w:p>
        </w:tc>
        <w:tc>
          <w:tcPr>
            <w:tcW w:w="739" w:type="dxa"/>
            <w:shd w:val="clear" w:color="auto" w:fill="auto"/>
            <w:noWrap/>
            <w:vAlign w:val="bottom"/>
          </w:tcPr>
          <w:p w14:paraId="1DD71D7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2010</w:t>
            </w:r>
          </w:p>
        </w:tc>
        <w:tc>
          <w:tcPr>
            <w:tcW w:w="900" w:type="dxa"/>
            <w:shd w:val="clear" w:color="auto" w:fill="auto"/>
            <w:noWrap/>
            <w:vAlign w:val="bottom"/>
          </w:tcPr>
          <w:p w14:paraId="609321F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078C0876"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While the limited number and poor quality of available studies make it difficult to directly compare CHW interventions to other strategies for improving immunization coverage, it is clear that CHWs make diverse contributions toward strengthening immunization programs. The roles CHWs played in interventions to increase vaccination included: compiling lists or making maps of children requiring vaccination, motivating parents, and following up with vaccine defaulters. Interventions involving CHWs had a mean increase in coverage of 20%. CHWs are well-suited to aid in identifying, tracking, and providing outreach services (especially to marginalized groups) as well as in providing information, education, and other communications to community members. </w:t>
            </w:r>
          </w:p>
        </w:tc>
      </w:tr>
      <w:tr w:rsidR="00862AF9" w:rsidRPr="00862AF9" w14:paraId="5D05D165" w14:textId="77777777" w:rsidTr="00204FA4">
        <w:trPr>
          <w:cantSplit/>
          <w:trHeight w:val="320"/>
        </w:trPr>
        <w:tc>
          <w:tcPr>
            <w:tcW w:w="13623" w:type="dxa"/>
            <w:gridSpan w:val="4"/>
            <w:shd w:val="clear" w:color="auto" w:fill="F2F2F2" w:themeFill="background1" w:themeFillShade="F2"/>
            <w:noWrap/>
            <w:vAlign w:val="bottom"/>
          </w:tcPr>
          <w:p w14:paraId="3C567CFD" w14:textId="77777777" w:rsidR="00862AF9" w:rsidRPr="00862AF9" w:rsidRDefault="00862AF9" w:rsidP="00E96A82">
            <w:pPr>
              <w:spacing w:after="0"/>
              <w:rPr>
                <w:rFonts w:ascii="Calibri" w:eastAsia="Times New Roman" w:hAnsi="Calibri" w:cs="Times New Roman"/>
                <w:b/>
                <w:color w:val="000000"/>
                <w:sz w:val="20"/>
                <w:szCs w:val="20"/>
              </w:rPr>
            </w:pPr>
            <w:r w:rsidRPr="00862AF9">
              <w:rPr>
                <w:rFonts w:ascii="Calibri" w:eastAsia="Times New Roman" w:hAnsi="Calibri" w:cs="Times New Roman"/>
                <w:b/>
                <w:color w:val="000000"/>
                <w:sz w:val="20"/>
                <w:szCs w:val="20"/>
              </w:rPr>
              <w:t>Maternal health</w:t>
            </w:r>
          </w:p>
        </w:tc>
      </w:tr>
      <w:tr w:rsidR="00862AF9" w:rsidRPr="00862AF9" w14:paraId="6D9809B2" w14:textId="77777777" w:rsidTr="00204FA4">
        <w:trPr>
          <w:cantSplit/>
          <w:trHeight w:val="320"/>
        </w:trPr>
        <w:tc>
          <w:tcPr>
            <w:tcW w:w="1148" w:type="dxa"/>
            <w:shd w:val="clear" w:color="auto" w:fill="auto"/>
            <w:noWrap/>
            <w:vAlign w:val="bottom"/>
          </w:tcPr>
          <w:p w14:paraId="433F079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Byrne</w:t>
            </w:r>
          </w:p>
        </w:tc>
        <w:tc>
          <w:tcPr>
            <w:tcW w:w="739" w:type="dxa"/>
            <w:shd w:val="clear" w:color="auto" w:fill="auto"/>
            <w:noWrap/>
            <w:vAlign w:val="bottom"/>
          </w:tcPr>
          <w:p w14:paraId="64128437"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35672ED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527BAC9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Integration of traditional birth attendants (TBAs) with the formal health system can increase skilled birth attendance. Mechanisms for integration include training and supervising TBAs, collaboration skills for health workers, inclusion of TBAs at health facilities, communication systems, and clear definition of roles. Success in increasing skilled birth attendance was context-dependent (e.g., the process for selection of TBAs, level of community participation, and reducing barriers to accessing the health system).</w:t>
            </w:r>
          </w:p>
        </w:tc>
      </w:tr>
      <w:tr w:rsidR="00862AF9" w:rsidRPr="00862AF9" w14:paraId="723520D0" w14:textId="77777777" w:rsidTr="00204FA4">
        <w:trPr>
          <w:cantSplit/>
          <w:trHeight w:val="320"/>
        </w:trPr>
        <w:tc>
          <w:tcPr>
            <w:tcW w:w="1148" w:type="dxa"/>
            <w:shd w:val="clear" w:color="auto" w:fill="auto"/>
            <w:noWrap/>
            <w:vAlign w:val="bottom"/>
          </w:tcPr>
          <w:p w14:paraId="7CB8D56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Rahman</w:t>
            </w:r>
          </w:p>
        </w:tc>
        <w:tc>
          <w:tcPr>
            <w:tcW w:w="739" w:type="dxa"/>
            <w:shd w:val="clear" w:color="auto" w:fill="auto"/>
            <w:noWrap/>
            <w:vAlign w:val="bottom"/>
          </w:tcPr>
          <w:p w14:paraId="59DF548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67BB0BAC"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0DBBA1A6" w14:textId="170EC73B"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In LMICs, the burden of common perinatal mental disorders can be reduced through mental health interventions delivered by supervised non-specialists and community workers (pooled effect size of -0.38, 95% CI: -0.56 to -0.21; F=79%). Local, trained </w:t>
            </w:r>
            <w:r w:rsidR="002E2547">
              <w:rPr>
                <w:rFonts w:ascii="Calibri" w:eastAsia="Times New Roman" w:hAnsi="Calibri" w:cs="Times New Roman"/>
                <w:color w:val="000000"/>
                <w:sz w:val="20"/>
                <w:szCs w:val="20"/>
              </w:rPr>
              <w:t>CHWs</w:t>
            </w:r>
            <w:r w:rsidRPr="00862AF9">
              <w:rPr>
                <w:rFonts w:ascii="Calibri" w:eastAsia="Times New Roman" w:hAnsi="Calibri" w:cs="Times New Roman"/>
                <w:color w:val="000000"/>
                <w:sz w:val="20"/>
                <w:szCs w:val="20"/>
              </w:rPr>
              <w:t xml:space="preserve"> were effective in delivering psychosocial and educational interventions to reduce maternal depression.</w:t>
            </w:r>
          </w:p>
        </w:tc>
      </w:tr>
      <w:tr w:rsidR="006F43AA" w:rsidRPr="00862AF9" w14:paraId="70778F68" w14:textId="77777777" w:rsidTr="00204FA4">
        <w:trPr>
          <w:cantSplit/>
          <w:trHeight w:val="320"/>
        </w:trPr>
        <w:tc>
          <w:tcPr>
            <w:tcW w:w="1148" w:type="dxa"/>
            <w:shd w:val="clear" w:color="auto" w:fill="auto"/>
            <w:noWrap/>
            <w:vAlign w:val="bottom"/>
          </w:tcPr>
          <w:p w14:paraId="30E66603" w14:textId="35C58D1B" w:rsidR="006F43AA" w:rsidRPr="00862AF9" w:rsidRDefault="006F43AA"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Smith</w:t>
            </w:r>
          </w:p>
        </w:tc>
        <w:tc>
          <w:tcPr>
            <w:tcW w:w="739" w:type="dxa"/>
            <w:shd w:val="clear" w:color="auto" w:fill="auto"/>
            <w:noWrap/>
            <w:vAlign w:val="bottom"/>
          </w:tcPr>
          <w:p w14:paraId="11E44235" w14:textId="76C31641" w:rsidR="006F43AA" w:rsidRPr="00862AF9" w:rsidRDefault="006F43AA"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900" w:type="dxa"/>
            <w:shd w:val="clear" w:color="auto" w:fill="auto"/>
            <w:noWrap/>
            <w:vAlign w:val="bottom"/>
          </w:tcPr>
          <w:p w14:paraId="7CCC98CF" w14:textId="3539A676" w:rsidR="006F43AA" w:rsidRPr="00862AF9" w:rsidRDefault="006F43AA"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NSR</w:t>
            </w:r>
          </w:p>
        </w:tc>
        <w:tc>
          <w:tcPr>
            <w:tcW w:w="10836" w:type="dxa"/>
            <w:shd w:val="clear" w:color="auto" w:fill="auto"/>
            <w:noWrap/>
            <w:vAlign w:val="bottom"/>
          </w:tcPr>
          <w:p w14:paraId="500F27D2" w14:textId="275EDD1C" w:rsidR="006F43AA" w:rsidRPr="00862AF9" w:rsidRDefault="0014650E" w:rsidP="00E96A82">
            <w:pPr>
              <w:spacing w:after="0"/>
              <w:rPr>
                <w:rFonts w:ascii="Calibri" w:eastAsia="Times New Roman" w:hAnsi="Calibri" w:cs="Times New Roman"/>
                <w:color w:val="000000"/>
                <w:sz w:val="20"/>
                <w:szCs w:val="20"/>
              </w:rPr>
            </w:pPr>
            <w:r w:rsidRPr="0014650E">
              <w:rPr>
                <w:rFonts w:ascii="Calibri" w:eastAsia="Times New Roman" w:hAnsi="Calibri" w:cs="Times New Roman"/>
                <w:color w:val="000000"/>
                <w:sz w:val="20"/>
                <w:szCs w:val="20"/>
              </w:rPr>
              <w:t xml:space="preserve">All </w:t>
            </w:r>
            <w:r>
              <w:rPr>
                <w:rFonts w:ascii="Calibri" w:eastAsia="Times New Roman" w:hAnsi="Calibri" w:cs="Times New Roman"/>
                <w:color w:val="000000"/>
                <w:sz w:val="20"/>
                <w:szCs w:val="20"/>
              </w:rPr>
              <w:t xml:space="preserve">three large </w:t>
            </w:r>
            <w:r w:rsidRPr="0014650E">
              <w:rPr>
                <w:rFonts w:ascii="Calibri" w:eastAsia="Times New Roman" w:hAnsi="Calibri" w:cs="Times New Roman"/>
                <w:color w:val="000000"/>
                <w:sz w:val="20"/>
                <w:szCs w:val="20"/>
              </w:rPr>
              <w:t xml:space="preserve">trials of community distribution of misoprostol </w:t>
            </w:r>
            <w:r w:rsidR="002701FE">
              <w:rPr>
                <w:rFonts w:ascii="Calibri" w:eastAsia="Times New Roman" w:hAnsi="Calibri" w:cs="Times New Roman"/>
                <w:color w:val="000000"/>
                <w:sz w:val="20"/>
                <w:szCs w:val="20"/>
              </w:rPr>
              <w:t xml:space="preserve">included in this review </w:t>
            </w:r>
            <w:r>
              <w:rPr>
                <w:rFonts w:ascii="Calibri" w:eastAsia="Times New Roman" w:hAnsi="Calibri" w:cs="Times New Roman"/>
                <w:color w:val="000000"/>
                <w:sz w:val="20"/>
                <w:szCs w:val="20"/>
              </w:rPr>
              <w:t>found that adminis</w:t>
            </w:r>
            <w:r w:rsidRPr="0014650E">
              <w:rPr>
                <w:rFonts w:ascii="Calibri" w:eastAsia="Times New Roman" w:hAnsi="Calibri" w:cs="Times New Roman"/>
                <w:color w:val="000000"/>
                <w:sz w:val="20"/>
                <w:szCs w:val="20"/>
              </w:rPr>
              <w:t>tration of misoprostol by L</w:t>
            </w:r>
            <w:r w:rsidR="002701FE">
              <w:rPr>
                <w:rFonts w:ascii="Calibri" w:eastAsia="Times New Roman" w:hAnsi="Calibri" w:cs="Times New Roman"/>
                <w:color w:val="000000"/>
                <w:sz w:val="20"/>
                <w:szCs w:val="20"/>
              </w:rPr>
              <w:t xml:space="preserve">ady Health </w:t>
            </w:r>
            <w:r w:rsidRPr="0014650E">
              <w:rPr>
                <w:rFonts w:ascii="Calibri" w:eastAsia="Times New Roman" w:hAnsi="Calibri" w:cs="Times New Roman"/>
                <w:color w:val="000000"/>
                <w:sz w:val="20"/>
                <w:szCs w:val="20"/>
              </w:rPr>
              <w:t>W</w:t>
            </w:r>
            <w:r w:rsidR="002701FE">
              <w:rPr>
                <w:rFonts w:ascii="Calibri" w:eastAsia="Times New Roman" w:hAnsi="Calibri" w:cs="Times New Roman"/>
                <w:color w:val="000000"/>
                <w:sz w:val="20"/>
                <w:szCs w:val="20"/>
              </w:rPr>
              <w:t>orker</w:t>
            </w:r>
            <w:r w:rsidRPr="0014650E">
              <w:rPr>
                <w:rFonts w:ascii="Calibri" w:eastAsia="Times New Roman" w:hAnsi="Calibri" w:cs="Times New Roman"/>
                <w:color w:val="000000"/>
                <w:sz w:val="20"/>
                <w:szCs w:val="20"/>
              </w:rPr>
              <w:t>s</w:t>
            </w:r>
            <w:r w:rsidR="002701FE">
              <w:rPr>
                <w:rFonts w:ascii="Calibri" w:eastAsia="Times New Roman" w:hAnsi="Calibri" w:cs="Times New Roman"/>
                <w:color w:val="000000"/>
                <w:sz w:val="20"/>
                <w:szCs w:val="20"/>
              </w:rPr>
              <w:t xml:space="preserve"> (LWS)</w:t>
            </w:r>
            <w:r w:rsidRPr="0014650E">
              <w:rPr>
                <w:rFonts w:ascii="Calibri" w:eastAsia="Times New Roman" w:hAnsi="Calibri" w:cs="Times New Roman"/>
                <w:color w:val="000000"/>
                <w:sz w:val="20"/>
                <w:szCs w:val="20"/>
              </w:rPr>
              <w:t xml:space="preserve"> to </w:t>
            </w:r>
            <w:r>
              <w:rPr>
                <w:rFonts w:ascii="Calibri" w:eastAsia="Times New Roman" w:hAnsi="Calibri" w:cs="Times New Roman"/>
                <w:color w:val="000000"/>
                <w:sz w:val="20"/>
                <w:szCs w:val="20"/>
              </w:rPr>
              <w:t>women in their care was associ</w:t>
            </w:r>
            <w:r w:rsidRPr="0014650E">
              <w:rPr>
                <w:rFonts w:ascii="Calibri" w:eastAsia="Times New Roman" w:hAnsi="Calibri" w:cs="Times New Roman"/>
                <w:color w:val="000000"/>
                <w:sz w:val="20"/>
                <w:szCs w:val="20"/>
              </w:rPr>
              <w:t xml:space="preserve">ated with some reduction in bleeding or </w:t>
            </w:r>
            <w:r w:rsidR="002701FE">
              <w:rPr>
                <w:rFonts w:ascii="Calibri" w:eastAsia="Times New Roman" w:hAnsi="Calibri" w:cs="Times New Roman"/>
                <w:color w:val="000000"/>
                <w:sz w:val="20"/>
                <w:szCs w:val="20"/>
              </w:rPr>
              <w:t xml:space="preserve">in serum hemoglobin (a measure of anemia) </w:t>
            </w:r>
            <w:r w:rsidRPr="0014650E">
              <w:rPr>
                <w:rFonts w:ascii="Calibri" w:eastAsia="Times New Roman" w:hAnsi="Calibri" w:cs="Times New Roman"/>
                <w:color w:val="000000"/>
                <w:sz w:val="20"/>
                <w:szCs w:val="20"/>
              </w:rPr>
              <w:t xml:space="preserve">post-partum compared with placebo or standard care. </w:t>
            </w:r>
            <w:r w:rsidR="008F6026">
              <w:rPr>
                <w:rFonts w:ascii="Calibri" w:eastAsia="Times New Roman" w:hAnsi="Calibri" w:cs="Times New Roman"/>
                <w:color w:val="000000"/>
                <w:sz w:val="20"/>
                <w:szCs w:val="20"/>
              </w:rPr>
              <w:t>Eleven trials implemented advance distribution</w:t>
            </w:r>
            <w:r w:rsidR="002701FE">
              <w:rPr>
                <w:rFonts w:ascii="Calibri" w:eastAsia="Times New Roman" w:hAnsi="Calibri" w:cs="Times New Roman"/>
                <w:color w:val="000000"/>
                <w:sz w:val="20"/>
                <w:szCs w:val="20"/>
              </w:rPr>
              <w:t xml:space="preserve"> of misoprostol</w:t>
            </w:r>
            <w:r w:rsidR="008F6026">
              <w:rPr>
                <w:rFonts w:ascii="Calibri" w:eastAsia="Times New Roman" w:hAnsi="Calibri" w:cs="Times New Roman"/>
                <w:color w:val="000000"/>
                <w:sz w:val="20"/>
                <w:szCs w:val="20"/>
              </w:rPr>
              <w:t xml:space="preserve">, wherein pregnant women received misoprostol from LHWs during their pregnancy and were counseled (along with family members) on its use. These studies show that </w:t>
            </w:r>
            <w:r w:rsidR="008F6026" w:rsidRPr="006F43AA">
              <w:rPr>
                <w:rFonts w:ascii="Calibri" w:eastAsia="Times New Roman" w:hAnsi="Calibri" w:cs="Times New Roman"/>
                <w:color w:val="000000"/>
                <w:sz w:val="20"/>
                <w:szCs w:val="20"/>
              </w:rPr>
              <w:t xml:space="preserve">advance distribution </w:t>
            </w:r>
            <w:r w:rsidR="008F6026">
              <w:rPr>
                <w:rFonts w:ascii="Calibri" w:eastAsia="Times New Roman" w:hAnsi="Calibri" w:cs="Times New Roman"/>
                <w:color w:val="000000"/>
                <w:sz w:val="20"/>
                <w:szCs w:val="20"/>
              </w:rPr>
              <w:t>of misoprostol for post</w:t>
            </w:r>
            <w:r w:rsidR="002E2547">
              <w:rPr>
                <w:rFonts w:ascii="Calibri" w:eastAsia="Times New Roman" w:hAnsi="Calibri" w:cs="Times New Roman"/>
                <w:color w:val="000000"/>
                <w:sz w:val="20"/>
                <w:szCs w:val="20"/>
              </w:rPr>
              <w:t>-</w:t>
            </w:r>
            <w:r w:rsidR="008F6026">
              <w:rPr>
                <w:rFonts w:ascii="Calibri" w:eastAsia="Times New Roman" w:hAnsi="Calibri" w:cs="Times New Roman"/>
                <w:color w:val="000000"/>
                <w:sz w:val="20"/>
                <w:szCs w:val="20"/>
              </w:rPr>
              <w:t xml:space="preserve">partum hemorrhage </w:t>
            </w:r>
            <w:r w:rsidR="008F6026" w:rsidRPr="006F43AA">
              <w:rPr>
                <w:rFonts w:ascii="Calibri" w:eastAsia="Times New Roman" w:hAnsi="Calibri" w:cs="Times New Roman"/>
                <w:color w:val="000000"/>
                <w:sz w:val="20"/>
                <w:szCs w:val="20"/>
              </w:rPr>
              <w:t>appear</w:t>
            </w:r>
            <w:r w:rsidR="002701FE">
              <w:rPr>
                <w:rFonts w:ascii="Calibri" w:eastAsia="Times New Roman" w:hAnsi="Calibri" w:cs="Times New Roman"/>
                <w:color w:val="000000"/>
                <w:sz w:val="20"/>
                <w:szCs w:val="20"/>
              </w:rPr>
              <w:t>s</w:t>
            </w:r>
            <w:r w:rsidR="008F6026" w:rsidRPr="006F43AA">
              <w:rPr>
                <w:rFonts w:ascii="Calibri" w:eastAsia="Times New Roman" w:hAnsi="Calibri" w:cs="Times New Roman"/>
                <w:color w:val="000000"/>
                <w:sz w:val="20"/>
                <w:szCs w:val="20"/>
              </w:rPr>
              <w:t xml:space="preserve"> manageable </w:t>
            </w:r>
            <w:r w:rsidR="002701FE">
              <w:rPr>
                <w:rFonts w:ascii="Calibri" w:eastAsia="Times New Roman" w:hAnsi="Calibri" w:cs="Times New Roman"/>
                <w:color w:val="000000"/>
                <w:sz w:val="20"/>
                <w:szCs w:val="20"/>
              </w:rPr>
              <w:t xml:space="preserve">with minimum risk </w:t>
            </w:r>
            <w:r w:rsidR="008F6026" w:rsidRPr="006F43AA">
              <w:rPr>
                <w:rFonts w:ascii="Calibri" w:eastAsia="Times New Roman" w:hAnsi="Calibri" w:cs="Times New Roman"/>
                <w:color w:val="000000"/>
                <w:sz w:val="20"/>
                <w:szCs w:val="20"/>
              </w:rPr>
              <w:t xml:space="preserve">and </w:t>
            </w:r>
            <w:r w:rsidR="002701FE">
              <w:rPr>
                <w:rFonts w:ascii="Calibri" w:eastAsia="Times New Roman" w:hAnsi="Calibri" w:cs="Times New Roman"/>
                <w:color w:val="000000"/>
                <w:sz w:val="20"/>
                <w:szCs w:val="20"/>
              </w:rPr>
              <w:t xml:space="preserve">that </w:t>
            </w:r>
            <w:r w:rsidR="008F6026" w:rsidRPr="006F43AA">
              <w:rPr>
                <w:rFonts w:ascii="Calibri" w:eastAsia="Times New Roman" w:hAnsi="Calibri" w:cs="Times New Roman"/>
                <w:color w:val="000000"/>
                <w:sz w:val="20"/>
                <w:szCs w:val="20"/>
              </w:rPr>
              <w:t>the benefits of self-administration, especially for women who have little chance of expert care for post</w:t>
            </w:r>
            <w:r w:rsidR="002E2547">
              <w:rPr>
                <w:rFonts w:ascii="Calibri" w:eastAsia="Times New Roman" w:hAnsi="Calibri" w:cs="Times New Roman"/>
                <w:color w:val="000000"/>
                <w:sz w:val="20"/>
                <w:szCs w:val="20"/>
              </w:rPr>
              <w:t>-</w:t>
            </w:r>
            <w:r w:rsidR="008F6026" w:rsidRPr="006F43AA">
              <w:rPr>
                <w:rFonts w:ascii="Calibri" w:eastAsia="Times New Roman" w:hAnsi="Calibri" w:cs="Times New Roman"/>
                <w:color w:val="000000"/>
                <w:sz w:val="20"/>
                <w:szCs w:val="20"/>
              </w:rPr>
              <w:t>partum hemorrhage</w:t>
            </w:r>
            <w:r w:rsidR="008F6026">
              <w:rPr>
                <w:rFonts w:ascii="Calibri" w:eastAsia="Times New Roman" w:hAnsi="Calibri" w:cs="Times New Roman"/>
                <w:color w:val="000000"/>
                <w:sz w:val="20"/>
                <w:szCs w:val="20"/>
              </w:rPr>
              <w:t>,</w:t>
            </w:r>
            <w:r w:rsidR="008F6026" w:rsidRPr="006F43AA">
              <w:rPr>
                <w:rFonts w:ascii="Calibri" w:eastAsia="Times New Roman" w:hAnsi="Calibri" w:cs="Times New Roman"/>
                <w:color w:val="000000"/>
                <w:sz w:val="20"/>
                <w:szCs w:val="20"/>
              </w:rPr>
              <w:t xml:space="preserve"> are considerable</w:t>
            </w:r>
            <w:r w:rsidR="008F6026">
              <w:rPr>
                <w:rFonts w:ascii="Calibri" w:eastAsia="Times New Roman" w:hAnsi="Calibri" w:cs="Times New Roman"/>
                <w:color w:val="000000"/>
                <w:sz w:val="20"/>
                <w:szCs w:val="20"/>
              </w:rPr>
              <w:t xml:space="preserve">. Key </w:t>
            </w:r>
            <w:r w:rsidR="00C73A9B">
              <w:rPr>
                <w:rFonts w:ascii="Calibri" w:eastAsia="Times New Roman" w:hAnsi="Calibri" w:cs="Times New Roman"/>
                <w:color w:val="000000"/>
                <w:sz w:val="20"/>
                <w:szCs w:val="20"/>
              </w:rPr>
              <w:t>progra</w:t>
            </w:r>
            <w:r w:rsidR="00112EC8">
              <w:rPr>
                <w:rFonts w:ascii="Calibri" w:eastAsia="Times New Roman" w:hAnsi="Calibri" w:cs="Times New Roman"/>
                <w:color w:val="000000"/>
                <w:sz w:val="20"/>
                <w:szCs w:val="20"/>
              </w:rPr>
              <w:t>mm</w:t>
            </w:r>
            <w:r w:rsidR="00C73A9B">
              <w:rPr>
                <w:rFonts w:ascii="Calibri" w:eastAsia="Times New Roman" w:hAnsi="Calibri" w:cs="Times New Roman"/>
                <w:color w:val="000000"/>
                <w:sz w:val="20"/>
                <w:szCs w:val="20"/>
              </w:rPr>
              <w:t xml:space="preserve">atic considerations </w:t>
            </w:r>
            <w:r w:rsidR="008F6026">
              <w:rPr>
                <w:rFonts w:ascii="Calibri" w:eastAsia="Times New Roman" w:hAnsi="Calibri" w:cs="Times New Roman"/>
                <w:color w:val="000000"/>
                <w:sz w:val="20"/>
                <w:szCs w:val="20"/>
              </w:rPr>
              <w:t>include</w:t>
            </w:r>
            <w:r w:rsidR="002701FE">
              <w:rPr>
                <w:rFonts w:ascii="Calibri" w:eastAsia="Times New Roman" w:hAnsi="Calibri" w:cs="Times New Roman"/>
                <w:color w:val="000000"/>
                <w:sz w:val="20"/>
                <w:szCs w:val="20"/>
              </w:rPr>
              <w:t xml:space="preserve"> the following</w:t>
            </w:r>
            <w:r w:rsidR="008F6026">
              <w:rPr>
                <w:rFonts w:ascii="Calibri" w:eastAsia="Times New Roman" w:hAnsi="Calibri" w:cs="Times New Roman"/>
                <w:color w:val="000000"/>
                <w:sz w:val="20"/>
                <w:szCs w:val="20"/>
              </w:rPr>
              <w:t xml:space="preserve">: </w:t>
            </w:r>
            <w:r w:rsidR="002701FE">
              <w:rPr>
                <w:rFonts w:ascii="Calibri" w:eastAsia="Times New Roman" w:hAnsi="Calibri" w:cs="Times New Roman"/>
                <w:color w:val="000000"/>
                <w:sz w:val="20"/>
                <w:szCs w:val="20"/>
              </w:rPr>
              <w:t>(1)</w:t>
            </w:r>
            <w:r w:rsidR="00C73A9B">
              <w:rPr>
                <w:rFonts w:ascii="Calibri" w:eastAsia="Times New Roman" w:hAnsi="Calibri" w:cs="Times New Roman"/>
                <w:color w:val="000000"/>
                <w:sz w:val="20"/>
                <w:szCs w:val="20"/>
              </w:rPr>
              <w:t xml:space="preserve"> </w:t>
            </w:r>
            <w:r w:rsidR="008F6026">
              <w:rPr>
                <w:rFonts w:ascii="Calibri" w:eastAsia="Times New Roman" w:hAnsi="Calibri" w:cs="Times New Roman"/>
                <w:color w:val="000000"/>
                <w:sz w:val="20"/>
                <w:szCs w:val="20"/>
              </w:rPr>
              <w:t xml:space="preserve">LHWs </w:t>
            </w:r>
            <w:r w:rsidR="002701FE">
              <w:rPr>
                <w:rFonts w:ascii="Calibri" w:eastAsia="Times New Roman" w:hAnsi="Calibri" w:cs="Times New Roman"/>
                <w:color w:val="000000"/>
                <w:sz w:val="20"/>
                <w:szCs w:val="20"/>
              </w:rPr>
              <w:t xml:space="preserve">should </w:t>
            </w:r>
            <w:r w:rsidR="00C73A9B">
              <w:rPr>
                <w:rFonts w:ascii="Calibri" w:eastAsia="Times New Roman" w:hAnsi="Calibri" w:cs="Times New Roman"/>
                <w:color w:val="000000"/>
                <w:sz w:val="20"/>
                <w:szCs w:val="20"/>
              </w:rPr>
              <w:t xml:space="preserve">receive adequate training on </w:t>
            </w:r>
            <w:r w:rsidR="008F6026" w:rsidRPr="008F6026">
              <w:rPr>
                <w:rFonts w:ascii="Calibri" w:eastAsia="Times New Roman" w:hAnsi="Calibri" w:cs="Times New Roman"/>
                <w:color w:val="000000"/>
                <w:sz w:val="20"/>
                <w:szCs w:val="20"/>
              </w:rPr>
              <w:t xml:space="preserve">misoprostol </w:t>
            </w:r>
            <w:r w:rsidR="008F6026">
              <w:rPr>
                <w:rFonts w:ascii="Calibri" w:eastAsia="Times New Roman" w:hAnsi="Calibri" w:cs="Times New Roman"/>
                <w:color w:val="000000"/>
                <w:sz w:val="20"/>
                <w:szCs w:val="20"/>
              </w:rPr>
              <w:t>and</w:t>
            </w:r>
            <w:r w:rsidR="008F6026" w:rsidRPr="008F6026">
              <w:rPr>
                <w:rFonts w:ascii="Calibri" w:eastAsia="Times New Roman" w:hAnsi="Calibri" w:cs="Times New Roman"/>
                <w:color w:val="000000"/>
                <w:sz w:val="20"/>
                <w:szCs w:val="20"/>
              </w:rPr>
              <w:t xml:space="preserve"> how to deliver information on its use to women</w:t>
            </w:r>
            <w:r w:rsidR="008F6026">
              <w:rPr>
                <w:rFonts w:ascii="Calibri" w:eastAsia="Times New Roman" w:hAnsi="Calibri" w:cs="Times New Roman"/>
                <w:color w:val="000000"/>
                <w:sz w:val="20"/>
                <w:szCs w:val="20"/>
              </w:rPr>
              <w:t xml:space="preserve">, </w:t>
            </w:r>
            <w:r w:rsidR="002701FE">
              <w:rPr>
                <w:rFonts w:ascii="Calibri" w:eastAsia="Times New Roman" w:hAnsi="Calibri" w:cs="Times New Roman"/>
                <w:color w:val="000000"/>
                <w:sz w:val="20"/>
                <w:szCs w:val="20"/>
              </w:rPr>
              <w:t xml:space="preserve">(2) </w:t>
            </w:r>
            <w:r w:rsidR="00C73A9B">
              <w:rPr>
                <w:rFonts w:ascii="Calibri" w:eastAsia="Times New Roman" w:hAnsi="Calibri" w:cs="Times New Roman"/>
                <w:color w:val="000000"/>
                <w:sz w:val="20"/>
                <w:szCs w:val="20"/>
              </w:rPr>
              <w:t xml:space="preserve">illiterate LHWs </w:t>
            </w:r>
            <w:r w:rsidR="002701FE">
              <w:rPr>
                <w:rFonts w:ascii="Calibri" w:eastAsia="Times New Roman" w:hAnsi="Calibri" w:cs="Times New Roman"/>
                <w:color w:val="000000"/>
                <w:sz w:val="20"/>
                <w:szCs w:val="20"/>
              </w:rPr>
              <w:t xml:space="preserve">need to have </w:t>
            </w:r>
            <w:r w:rsidR="00BB6DE5">
              <w:rPr>
                <w:rFonts w:ascii="Calibri" w:eastAsia="Times New Roman" w:hAnsi="Calibri" w:cs="Times New Roman"/>
                <w:color w:val="000000"/>
                <w:sz w:val="20"/>
                <w:szCs w:val="20"/>
              </w:rPr>
              <w:t xml:space="preserve">access </w:t>
            </w:r>
            <w:r w:rsidR="002701FE">
              <w:rPr>
                <w:rFonts w:ascii="Calibri" w:eastAsia="Times New Roman" w:hAnsi="Calibri" w:cs="Times New Roman"/>
                <w:color w:val="000000"/>
                <w:sz w:val="20"/>
                <w:szCs w:val="20"/>
              </w:rPr>
              <w:t xml:space="preserve">to </w:t>
            </w:r>
            <w:r w:rsidR="00BB6DE5">
              <w:rPr>
                <w:rFonts w:ascii="Calibri" w:eastAsia="Times New Roman" w:hAnsi="Calibri" w:cs="Times New Roman"/>
                <w:color w:val="000000"/>
                <w:sz w:val="20"/>
                <w:szCs w:val="20"/>
              </w:rPr>
              <w:t>sufficiently</w:t>
            </w:r>
            <w:r w:rsidR="00C73A9B">
              <w:rPr>
                <w:rFonts w:ascii="Calibri" w:eastAsia="Times New Roman" w:hAnsi="Calibri" w:cs="Times New Roman"/>
                <w:color w:val="000000"/>
                <w:sz w:val="20"/>
                <w:szCs w:val="20"/>
              </w:rPr>
              <w:t xml:space="preserve"> intensive training, </w:t>
            </w:r>
            <w:r w:rsidR="002701FE">
              <w:rPr>
                <w:rFonts w:ascii="Calibri" w:eastAsia="Times New Roman" w:hAnsi="Calibri" w:cs="Times New Roman"/>
                <w:color w:val="000000"/>
                <w:sz w:val="20"/>
                <w:szCs w:val="20"/>
              </w:rPr>
              <w:t xml:space="preserve">(3) </w:t>
            </w:r>
            <w:r w:rsidR="00BB6DE5">
              <w:rPr>
                <w:rFonts w:ascii="Calibri" w:eastAsia="Times New Roman" w:hAnsi="Calibri" w:cs="Times New Roman"/>
                <w:color w:val="000000"/>
                <w:sz w:val="20"/>
                <w:szCs w:val="20"/>
              </w:rPr>
              <w:t xml:space="preserve">an </w:t>
            </w:r>
            <w:r w:rsidR="008F6026">
              <w:rPr>
                <w:rFonts w:ascii="Calibri" w:eastAsia="Times New Roman" w:hAnsi="Calibri" w:cs="Times New Roman"/>
                <w:color w:val="000000"/>
                <w:sz w:val="20"/>
                <w:szCs w:val="20"/>
              </w:rPr>
              <w:t>adequate supply of misoprostol</w:t>
            </w:r>
            <w:r w:rsidR="002701FE">
              <w:rPr>
                <w:rFonts w:ascii="Calibri" w:eastAsia="Times New Roman" w:hAnsi="Calibri" w:cs="Times New Roman"/>
                <w:color w:val="000000"/>
                <w:sz w:val="20"/>
                <w:szCs w:val="20"/>
              </w:rPr>
              <w:t xml:space="preserve"> should be available</w:t>
            </w:r>
            <w:r w:rsidR="008F6026">
              <w:rPr>
                <w:rFonts w:ascii="Calibri" w:eastAsia="Times New Roman" w:hAnsi="Calibri" w:cs="Times New Roman"/>
                <w:color w:val="000000"/>
                <w:sz w:val="20"/>
                <w:szCs w:val="20"/>
              </w:rPr>
              <w:t xml:space="preserve">, </w:t>
            </w:r>
            <w:r w:rsidR="002701FE">
              <w:rPr>
                <w:rFonts w:ascii="Calibri" w:eastAsia="Times New Roman" w:hAnsi="Calibri" w:cs="Times New Roman"/>
                <w:color w:val="000000"/>
                <w:sz w:val="20"/>
                <w:szCs w:val="20"/>
              </w:rPr>
              <w:t xml:space="preserve">(4) </w:t>
            </w:r>
            <w:r w:rsidR="00C73A9B">
              <w:rPr>
                <w:rFonts w:ascii="Calibri" w:eastAsia="Times New Roman" w:hAnsi="Calibri" w:cs="Times New Roman"/>
                <w:color w:val="000000"/>
                <w:sz w:val="20"/>
                <w:szCs w:val="20"/>
              </w:rPr>
              <w:t xml:space="preserve">appropriate </w:t>
            </w:r>
            <w:r w:rsidR="00BB6DE5">
              <w:rPr>
                <w:rFonts w:ascii="Calibri" w:eastAsia="Times New Roman" w:hAnsi="Calibri" w:cs="Times New Roman"/>
                <w:color w:val="000000"/>
                <w:sz w:val="20"/>
                <w:szCs w:val="20"/>
              </w:rPr>
              <w:t xml:space="preserve">monitoring and </w:t>
            </w:r>
            <w:r w:rsidR="00C73A9B">
              <w:rPr>
                <w:rFonts w:ascii="Calibri" w:eastAsia="Times New Roman" w:hAnsi="Calibri" w:cs="Times New Roman"/>
                <w:color w:val="000000"/>
                <w:sz w:val="20"/>
                <w:szCs w:val="20"/>
              </w:rPr>
              <w:t xml:space="preserve">reporting mechanisms </w:t>
            </w:r>
            <w:r w:rsidR="002701FE">
              <w:rPr>
                <w:rFonts w:ascii="Calibri" w:eastAsia="Times New Roman" w:hAnsi="Calibri" w:cs="Times New Roman"/>
                <w:color w:val="000000"/>
                <w:sz w:val="20"/>
                <w:szCs w:val="20"/>
              </w:rPr>
              <w:t xml:space="preserve">should be in place for </w:t>
            </w:r>
            <w:r w:rsidR="00C73A9B">
              <w:rPr>
                <w:rFonts w:ascii="Calibri" w:eastAsia="Times New Roman" w:hAnsi="Calibri" w:cs="Times New Roman"/>
                <w:color w:val="000000"/>
                <w:sz w:val="20"/>
                <w:szCs w:val="20"/>
              </w:rPr>
              <w:t>drug supply and potential misuse, LHW capacity and motivation to reach remote community members,</w:t>
            </w:r>
            <w:r w:rsidR="00BB6DE5">
              <w:rPr>
                <w:rFonts w:ascii="Calibri" w:eastAsia="Times New Roman" w:hAnsi="Calibri" w:cs="Times New Roman"/>
                <w:color w:val="000000"/>
                <w:sz w:val="20"/>
                <w:szCs w:val="20"/>
              </w:rPr>
              <w:t xml:space="preserve"> </w:t>
            </w:r>
            <w:r w:rsidR="00C73A9B">
              <w:rPr>
                <w:rFonts w:ascii="Calibri" w:eastAsia="Times New Roman" w:hAnsi="Calibri" w:cs="Times New Roman"/>
                <w:color w:val="000000"/>
                <w:sz w:val="20"/>
                <w:szCs w:val="20"/>
              </w:rPr>
              <w:t>community acceptance of misoprostol, and the need to ensure that misoprostol does not influence women’s uptake of facility delivery.</w:t>
            </w:r>
          </w:p>
        </w:tc>
      </w:tr>
      <w:tr w:rsidR="00862AF9" w:rsidRPr="00862AF9" w14:paraId="4AF6E682" w14:textId="77777777" w:rsidTr="00204FA4">
        <w:trPr>
          <w:cantSplit/>
          <w:trHeight w:val="320"/>
        </w:trPr>
        <w:tc>
          <w:tcPr>
            <w:tcW w:w="13623" w:type="dxa"/>
            <w:gridSpan w:val="4"/>
            <w:shd w:val="clear" w:color="auto" w:fill="F2F2F2" w:themeFill="background1" w:themeFillShade="F2"/>
            <w:noWrap/>
            <w:vAlign w:val="bottom"/>
          </w:tcPr>
          <w:p w14:paraId="7B38BEA6" w14:textId="77777777" w:rsidR="00862AF9" w:rsidRPr="00862AF9" w:rsidRDefault="00862AF9" w:rsidP="00E96A82">
            <w:pPr>
              <w:spacing w:after="0"/>
              <w:rPr>
                <w:rFonts w:ascii="Calibri" w:eastAsia="Times New Roman" w:hAnsi="Calibri" w:cs="Times New Roman"/>
                <w:b/>
                <w:color w:val="000000"/>
                <w:sz w:val="20"/>
                <w:szCs w:val="20"/>
              </w:rPr>
            </w:pPr>
            <w:r w:rsidRPr="00862AF9">
              <w:rPr>
                <w:rFonts w:ascii="Calibri" w:eastAsia="Times New Roman" w:hAnsi="Calibri" w:cs="Times New Roman"/>
                <w:b/>
                <w:color w:val="000000"/>
                <w:sz w:val="20"/>
                <w:szCs w:val="20"/>
              </w:rPr>
              <w:t>Contraception</w:t>
            </w:r>
          </w:p>
        </w:tc>
      </w:tr>
      <w:tr w:rsidR="00862AF9" w:rsidRPr="00862AF9" w14:paraId="26C35E61" w14:textId="77777777" w:rsidTr="00204FA4">
        <w:trPr>
          <w:cantSplit/>
          <w:trHeight w:val="320"/>
        </w:trPr>
        <w:tc>
          <w:tcPr>
            <w:tcW w:w="1148" w:type="dxa"/>
            <w:shd w:val="clear" w:color="auto" w:fill="auto"/>
            <w:noWrap/>
            <w:vAlign w:val="bottom"/>
          </w:tcPr>
          <w:p w14:paraId="7CF5DAF8"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Bellows</w:t>
            </w:r>
          </w:p>
        </w:tc>
        <w:tc>
          <w:tcPr>
            <w:tcW w:w="739" w:type="dxa"/>
            <w:shd w:val="clear" w:color="auto" w:fill="auto"/>
            <w:noWrap/>
            <w:vAlign w:val="bottom"/>
          </w:tcPr>
          <w:p w14:paraId="7EDE62D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2015</w:t>
            </w:r>
          </w:p>
        </w:tc>
        <w:tc>
          <w:tcPr>
            <w:tcW w:w="900" w:type="dxa"/>
            <w:shd w:val="clear" w:color="auto" w:fill="auto"/>
            <w:noWrap/>
            <w:vAlign w:val="bottom"/>
          </w:tcPr>
          <w:p w14:paraId="3481B62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6F36DCD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There is some evidence that performance-based incentives for CBPs (primarily based on sales commission or payment for referral) can increase family planning uptake at the community level, but results are mixed and more research is needed. Careful attention must be paid to ethical issues and to ensuring non-coercion. </w:t>
            </w:r>
          </w:p>
        </w:tc>
      </w:tr>
      <w:tr w:rsidR="00862AF9" w:rsidRPr="00862AF9" w14:paraId="0636D160" w14:textId="77777777" w:rsidTr="00204FA4">
        <w:trPr>
          <w:cantSplit/>
          <w:trHeight w:val="320"/>
        </w:trPr>
        <w:tc>
          <w:tcPr>
            <w:tcW w:w="1148" w:type="dxa"/>
            <w:shd w:val="clear" w:color="auto" w:fill="auto"/>
            <w:noWrap/>
            <w:vAlign w:val="bottom"/>
          </w:tcPr>
          <w:p w14:paraId="3008784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Malarcher</w:t>
            </w:r>
          </w:p>
        </w:tc>
        <w:tc>
          <w:tcPr>
            <w:tcW w:w="739" w:type="dxa"/>
            <w:shd w:val="clear" w:color="auto" w:fill="auto"/>
            <w:noWrap/>
            <w:vAlign w:val="bottom"/>
          </w:tcPr>
          <w:p w14:paraId="4FFBB2E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900" w:type="dxa"/>
            <w:shd w:val="clear" w:color="auto" w:fill="auto"/>
            <w:noWrap/>
            <w:vAlign w:val="bottom"/>
          </w:tcPr>
          <w:p w14:paraId="060B4A1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7A255B91"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The injectable contraceptive depot-medroxyprogesterone acetate (DMPA) can be provided safely in communities by appropriately trained and supervised CHWs. The benefits outweigh the potential harms. Trained CHWs had sufficient knowledge and skills for screening potential clients regarding their eligibility for the use of DMPA. Clients of CHWs receiving DMPA had outcomes equivalent to those of clients of clinic-based providers of progestin-only injectables and were satisfied with community-based provision of DMPA.</w:t>
            </w:r>
          </w:p>
        </w:tc>
      </w:tr>
      <w:tr w:rsidR="00862AF9" w:rsidRPr="00862AF9" w14:paraId="02E238EF" w14:textId="77777777" w:rsidTr="00204FA4">
        <w:trPr>
          <w:cantSplit/>
          <w:trHeight w:val="320"/>
        </w:trPr>
        <w:tc>
          <w:tcPr>
            <w:tcW w:w="1148" w:type="dxa"/>
            <w:shd w:val="clear" w:color="auto" w:fill="auto"/>
            <w:noWrap/>
            <w:vAlign w:val="bottom"/>
          </w:tcPr>
          <w:p w14:paraId="000B018F"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Scott</w:t>
            </w:r>
          </w:p>
        </w:tc>
        <w:tc>
          <w:tcPr>
            <w:tcW w:w="739" w:type="dxa"/>
            <w:shd w:val="clear" w:color="auto" w:fill="auto"/>
            <w:noWrap/>
            <w:vAlign w:val="bottom"/>
          </w:tcPr>
          <w:p w14:paraId="4147687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2015</w:t>
            </w:r>
          </w:p>
        </w:tc>
        <w:tc>
          <w:tcPr>
            <w:tcW w:w="900" w:type="dxa"/>
            <w:shd w:val="clear" w:color="auto" w:fill="auto"/>
            <w:noWrap/>
            <w:vAlign w:val="bottom"/>
          </w:tcPr>
          <w:p w14:paraId="6B7FB32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836" w:type="dxa"/>
            <w:shd w:val="clear" w:color="auto" w:fill="auto"/>
            <w:noWrap/>
            <w:vAlign w:val="bottom"/>
          </w:tcPr>
          <w:p w14:paraId="1D092522"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Of 56 studies, 93% indicated that CHW family planning programs effectively increased the use of modern contraception, while 83% reported an improvement in knowledge and attitudes concerning contraceptives. CHWs were able to provide counseling on contraceptives, provide contraceptives, and refer to health facilities for more specialized care.</w:t>
            </w:r>
          </w:p>
        </w:tc>
      </w:tr>
    </w:tbl>
    <w:p w14:paraId="3BAEE96A" w14:textId="77777777" w:rsidR="00862AF9" w:rsidRPr="00862AF9" w:rsidRDefault="00862AF9" w:rsidP="00E96A82">
      <w:pPr>
        <w:spacing w:after="0"/>
        <w:rPr>
          <w:rFonts w:ascii="Calibri" w:hAnsi="Calibri"/>
        </w:rPr>
      </w:pPr>
    </w:p>
    <w:p w14:paraId="403D5104" w14:textId="48ABFF50" w:rsidR="00862AF9" w:rsidRPr="00862AF9" w:rsidRDefault="0074445E" w:rsidP="00E96A82">
      <w:pPr>
        <w:spacing w:after="0"/>
        <w:rPr>
          <w:rFonts w:ascii="Calibri" w:hAnsi="Calibri"/>
        </w:rPr>
      </w:pPr>
      <w:r>
        <w:rPr>
          <w:rFonts w:ascii="Calibri" w:hAnsi="Calibri"/>
        </w:rPr>
        <w:t>Five</w:t>
      </w:r>
      <w:r w:rsidR="00C95C13" w:rsidRPr="00862AF9">
        <w:rPr>
          <w:rFonts w:ascii="Calibri" w:hAnsi="Calibri"/>
        </w:rPr>
        <w:t xml:space="preserve"> </w:t>
      </w:r>
      <w:r w:rsidR="00862AF9" w:rsidRPr="00862AF9">
        <w:rPr>
          <w:rFonts w:ascii="Calibri" w:hAnsi="Calibri"/>
        </w:rPr>
        <w:t>reviews focused on CBP involvement in non-communicable diseases in LMICs</w:t>
      </w:r>
      <w:r w:rsidR="00C95C13">
        <w:rPr>
          <w:rFonts w:ascii="Calibri" w:hAnsi="Calibri"/>
        </w:rPr>
        <w:t>: one on cancer</w:t>
      </w:r>
      <w:r>
        <w:rPr>
          <w:rFonts w:ascii="Calibri" w:hAnsi="Calibri"/>
        </w:rPr>
        <w:t xml:space="preserve"> and four on mental health </w:t>
      </w:r>
      <w:r w:rsidR="00862AF9" w:rsidRPr="00862AF9">
        <w:rPr>
          <w:rFonts w:ascii="Calibri" w:hAnsi="Calibri"/>
        </w:rPr>
        <w:t>(</w:t>
      </w:r>
      <w:r w:rsidR="00862AF9" w:rsidRPr="00862AF9">
        <w:rPr>
          <w:rFonts w:ascii="Calibri" w:hAnsi="Calibri"/>
        </w:rPr>
        <w:fldChar w:fldCharType="begin"/>
      </w:r>
      <w:r w:rsidR="00862AF9" w:rsidRPr="00862AF9">
        <w:rPr>
          <w:rFonts w:ascii="Calibri" w:hAnsi="Calibri"/>
        </w:rPr>
        <w:instrText xml:space="preserve"> REF _Ref332756613 \h </w:instrText>
      </w:r>
      <w:r w:rsidR="00862AF9" w:rsidRPr="00862AF9">
        <w:rPr>
          <w:rFonts w:ascii="Calibri" w:hAnsi="Calibri"/>
        </w:rPr>
      </w:r>
      <w:r w:rsidR="00862AF9" w:rsidRPr="00862AF9">
        <w:rPr>
          <w:rFonts w:ascii="Calibri" w:hAnsi="Calibri"/>
        </w:rPr>
        <w:fldChar w:fldCharType="separate"/>
      </w:r>
      <w:r w:rsidR="001126EE" w:rsidRPr="00862AF9">
        <w:rPr>
          <w:rFonts w:ascii="Calibri" w:hAnsi="Calibri"/>
        </w:rPr>
        <w:t xml:space="preserve">Table </w:t>
      </w:r>
      <w:r w:rsidR="001126EE">
        <w:rPr>
          <w:rFonts w:ascii="Calibri" w:hAnsi="Calibri"/>
          <w:noProof/>
        </w:rPr>
        <w:t>10</w:t>
      </w:r>
      <w:r w:rsidR="00862AF9" w:rsidRPr="00862AF9">
        <w:rPr>
          <w:rFonts w:ascii="Calibri" w:hAnsi="Calibri"/>
        </w:rPr>
        <w:fldChar w:fldCharType="end"/>
      </w:r>
      <w:r w:rsidR="00862AF9" w:rsidRPr="00862AF9">
        <w:rPr>
          <w:rFonts w:ascii="Calibri" w:hAnsi="Calibri"/>
        </w:rPr>
        <w:t>).</w:t>
      </w:r>
    </w:p>
    <w:p w14:paraId="0B59D834" w14:textId="77777777" w:rsidR="00862AF9" w:rsidRPr="00862AF9" w:rsidRDefault="00862AF9" w:rsidP="00E96A82">
      <w:pPr>
        <w:spacing w:after="0"/>
        <w:rPr>
          <w:rFonts w:ascii="Calibri" w:hAnsi="Calibri"/>
        </w:rPr>
      </w:pP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9"/>
        <w:gridCol w:w="900"/>
        <w:gridCol w:w="10836"/>
      </w:tblGrid>
      <w:tr w:rsidR="00862AF9" w:rsidRPr="00862AF9" w14:paraId="633D5A91" w14:textId="77777777" w:rsidTr="00204FA4">
        <w:trPr>
          <w:cantSplit/>
          <w:trHeight w:val="320"/>
          <w:tblHeader/>
        </w:trPr>
        <w:tc>
          <w:tcPr>
            <w:tcW w:w="13623" w:type="dxa"/>
            <w:gridSpan w:val="4"/>
            <w:tcBorders>
              <w:top w:val="nil"/>
              <w:left w:val="nil"/>
              <w:bottom w:val="single" w:sz="4" w:space="0" w:color="auto"/>
              <w:right w:val="nil"/>
            </w:tcBorders>
            <w:shd w:val="clear" w:color="000000" w:fill="auto"/>
            <w:noWrap/>
            <w:vAlign w:val="bottom"/>
          </w:tcPr>
          <w:p w14:paraId="10C7FCE3" w14:textId="77777777" w:rsidR="00862AF9" w:rsidRPr="00862AF9" w:rsidRDefault="00862AF9" w:rsidP="00E96A82">
            <w:pPr>
              <w:pStyle w:val="atable"/>
              <w:rPr>
                <w:rFonts w:ascii="Calibri" w:eastAsia="Times New Roman" w:hAnsi="Calibri" w:cs="Times New Roman"/>
                <w:bCs/>
                <w:color w:val="000000"/>
                <w:szCs w:val="22"/>
                <w:lang w:val="en-US"/>
              </w:rPr>
            </w:pPr>
            <w:bookmarkStart w:id="31" w:name="_Ref332756613"/>
            <w:bookmarkStart w:id="32" w:name="_Toc346537980"/>
            <w:bookmarkStart w:id="33" w:name="_Toc387399720"/>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10</w:t>
            </w:r>
            <w:r w:rsidRPr="00862AF9">
              <w:rPr>
                <w:rFonts w:ascii="Calibri" w:hAnsi="Calibri"/>
                <w:szCs w:val="22"/>
                <w:lang w:val="en-US"/>
              </w:rPr>
              <w:fldChar w:fldCharType="end"/>
            </w:r>
            <w:bookmarkEnd w:id="31"/>
            <w:r w:rsidRPr="00862AF9">
              <w:rPr>
                <w:rFonts w:ascii="Calibri" w:hAnsi="Calibri"/>
                <w:szCs w:val="22"/>
                <w:lang w:val="en-US"/>
              </w:rPr>
              <w:t>. Non-communicable disease LMIC reviews</w:t>
            </w:r>
            <w:bookmarkEnd w:id="32"/>
            <w:bookmarkEnd w:id="33"/>
          </w:p>
        </w:tc>
      </w:tr>
      <w:tr w:rsidR="00862AF9" w:rsidRPr="00862AF9" w14:paraId="026F849C" w14:textId="77777777" w:rsidTr="00204FA4">
        <w:trPr>
          <w:cantSplit/>
          <w:trHeight w:val="320"/>
          <w:tblHeader/>
        </w:trPr>
        <w:tc>
          <w:tcPr>
            <w:tcW w:w="1148" w:type="dxa"/>
            <w:tcBorders>
              <w:top w:val="single" w:sz="4" w:space="0" w:color="auto"/>
            </w:tcBorders>
            <w:shd w:val="clear" w:color="000000" w:fill="D9D9D9"/>
            <w:noWrap/>
            <w:vAlign w:val="bottom"/>
            <w:hideMark/>
          </w:tcPr>
          <w:p w14:paraId="43C85F2B"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39" w:type="dxa"/>
            <w:tcBorders>
              <w:top w:val="single" w:sz="4" w:space="0" w:color="auto"/>
            </w:tcBorders>
            <w:shd w:val="clear" w:color="000000" w:fill="D9D9D9"/>
            <w:noWrap/>
            <w:vAlign w:val="bottom"/>
            <w:hideMark/>
          </w:tcPr>
          <w:p w14:paraId="78F7BD13" w14:textId="77777777" w:rsidR="00862AF9" w:rsidRPr="00862AF9" w:rsidRDefault="00862AF9" w:rsidP="00E96A82">
            <w:pPr>
              <w:spacing w:after="0"/>
              <w:jc w:val="center"/>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900" w:type="dxa"/>
            <w:tcBorders>
              <w:top w:val="single" w:sz="4" w:space="0" w:color="auto"/>
            </w:tcBorders>
            <w:shd w:val="clear" w:color="000000" w:fill="D9D9D9"/>
            <w:noWrap/>
            <w:vAlign w:val="bottom"/>
            <w:hideMark/>
          </w:tcPr>
          <w:p w14:paraId="531D748B" w14:textId="77777777" w:rsidR="00862AF9" w:rsidRPr="00862AF9" w:rsidRDefault="00862AF9" w:rsidP="00E96A82">
            <w:pPr>
              <w:spacing w:after="0"/>
              <w:jc w:val="center"/>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836" w:type="dxa"/>
            <w:tcBorders>
              <w:top w:val="single" w:sz="4" w:space="0" w:color="auto"/>
            </w:tcBorders>
            <w:shd w:val="clear" w:color="000000" w:fill="D9D9D9"/>
            <w:noWrap/>
            <w:vAlign w:val="bottom"/>
            <w:hideMark/>
          </w:tcPr>
          <w:p w14:paraId="2C0CCF0A"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0A84BE5D" w14:textId="77777777" w:rsidTr="00204FA4">
        <w:trPr>
          <w:cantSplit/>
          <w:trHeight w:val="320"/>
        </w:trPr>
        <w:tc>
          <w:tcPr>
            <w:tcW w:w="13623" w:type="dxa"/>
            <w:gridSpan w:val="4"/>
            <w:tcBorders>
              <w:top w:val="single" w:sz="4" w:space="0" w:color="auto"/>
            </w:tcBorders>
            <w:shd w:val="clear" w:color="000000" w:fill="F2F2F2" w:themeFill="background1" w:themeFillShade="F2"/>
            <w:noWrap/>
            <w:vAlign w:val="bottom"/>
          </w:tcPr>
          <w:p w14:paraId="0B3EFD36"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Cancer</w:t>
            </w:r>
          </w:p>
        </w:tc>
      </w:tr>
      <w:tr w:rsidR="00862AF9" w:rsidRPr="00862AF9" w14:paraId="6D5BF5DF" w14:textId="77777777" w:rsidTr="00204FA4">
        <w:trPr>
          <w:cantSplit/>
          <w:trHeight w:val="320"/>
        </w:trPr>
        <w:tc>
          <w:tcPr>
            <w:tcW w:w="1148" w:type="dxa"/>
            <w:shd w:val="clear" w:color="auto" w:fill="auto"/>
            <w:noWrap/>
            <w:vAlign w:val="bottom"/>
          </w:tcPr>
          <w:p w14:paraId="2187B3AB"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sz w:val="20"/>
                <w:szCs w:val="20"/>
              </w:rPr>
              <w:t>Wadler</w:t>
            </w:r>
          </w:p>
        </w:tc>
        <w:tc>
          <w:tcPr>
            <w:tcW w:w="739" w:type="dxa"/>
            <w:shd w:val="clear" w:color="auto" w:fill="auto"/>
            <w:noWrap/>
            <w:vAlign w:val="bottom"/>
          </w:tcPr>
          <w:p w14:paraId="6E04730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sz w:val="20"/>
                <w:szCs w:val="20"/>
              </w:rPr>
              <w:t>2011</w:t>
            </w:r>
          </w:p>
        </w:tc>
        <w:tc>
          <w:tcPr>
            <w:tcW w:w="900" w:type="dxa"/>
            <w:shd w:val="clear" w:color="auto" w:fill="auto"/>
            <w:noWrap/>
            <w:vAlign w:val="bottom"/>
          </w:tcPr>
          <w:p w14:paraId="3BBE9B0E"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1A4F4021" w14:textId="77777777" w:rsidR="00862AF9" w:rsidRPr="00862AF9" w:rsidRDefault="00862AF9" w:rsidP="00E96A82">
            <w:pPr>
              <w:spacing w:after="0"/>
              <w:rPr>
                <w:rFonts w:ascii="Calibri" w:eastAsia="Times New Roman" w:hAnsi="Calibri" w:cs="Times New Roman"/>
                <w:sz w:val="20"/>
                <w:szCs w:val="20"/>
              </w:rPr>
            </w:pPr>
            <w:r w:rsidRPr="00862AF9">
              <w:rPr>
                <w:rFonts w:ascii="Calibri" w:eastAsia="Times New Roman" w:hAnsi="Calibri" w:cs="Times New Roman"/>
                <w:sz w:val="20"/>
                <w:szCs w:val="20"/>
              </w:rPr>
              <w:t>CHWs could assume three main roles along the cancer control continuum: health education, screening, and patient navigation. By raising awareness about breast cancer through education, women are more likely to undergo screening. Many more women can be screened, resulting in earlier-stage disease if CHWs are trained to perform clinical breast exams.</w:t>
            </w:r>
          </w:p>
        </w:tc>
      </w:tr>
      <w:tr w:rsidR="00862AF9" w:rsidRPr="00862AF9" w14:paraId="686A286F" w14:textId="77777777" w:rsidTr="00204FA4">
        <w:trPr>
          <w:cantSplit/>
          <w:trHeight w:val="320"/>
        </w:trPr>
        <w:tc>
          <w:tcPr>
            <w:tcW w:w="13623" w:type="dxa"/>
            <w:gridSpan w:val="4"/>
            <w:shd w:val="clear" w:color="auto" w:fill="F2F2F2" w:themeFill="background1" w:themeFillShade="F2"/>
            <w:noWrap/>
            <w:vAlign w:val="bottom"/>
          </w:tcPr>
          <w:p w14:paraId="7BF45B94"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b/>
                <w:color w:val="000000"/>
                <w:sz w:val="20"/>
                <w:szCs w:val="20"/>
              </w:rPr>
              <w:t>Mental health</w:t>
            </w:r>
          </w:p>
        </w:tc>
      </w:tr>
      <w:tr w:rsidR="00862AF9" w:rsidRPr="00862AF9" w14:paraId="7E39C199" w14:textId="77777777" w:rsidTr="00204FA4">
        <w:trPr>
          <w:cantSplit/>
          <w:trHeight w:val="320"/>
        </w:trPr>
        <w:tc>
          <w:tcPr>
            <w:tcW w:w="1148" w:type="dxa"/>
            <w:shd w:val="clear" w:color="auto" w:fill="auto"/>
            <w:noWrap/>
            <w:vAlign w:val="bottom"/>
          </w:tcPr>
          <w:p w14:paraId="4B9E2B4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Mutamba</w:t>
            </w:r>
          </w:p>
        </w:tc>
        <w:tc>
          <w:tcPr>
            <w:tcW w:w="739" w:type="dxa"/>
            <w:shd w:val="clear" w:color="auto" w:fill="auto"/>
            <w:noWrap/>
            <w:vAlign w:val="bottom"/>
          </w:tcPr>
          <w:p w14:paraId="0DEF0D6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26E2BEC7"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63BDAA4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Three adult study populations provided evidence that CHW-led interventions are effective for reducing the burden of mental, neurological and substance-use disorders, including depression and post-traumatic stress disorder. Four of the studies targeting child mental health outcomes – one using selective prevention (targeting a higher-risk subgroup) and three using indicated prevention (targeting individuals identified as at-risk) –showed that the interventions were effective. CHW roles included providing psychosocial stimulation to children (in some cases along with nutritional supplements), emotional and social support, psychotherapy and counseling, as well as improving education and awareness.</w:t>
            </w:r>
          </w:p>
        </w:tc>
      </w:tr>
      <w:tr w:rsidR="00862AF9" w:rsidRPr="00862AF9" w14:paraId="323C3D59" w14:textId="77777777" w:rsidTr="00204FA4">
        <w:trPr>
          <w:cantSplit/>
          <w:trHeight w:val="320"/>
        </w:trPr>
        <w:tc>
          <w:tcPr>
            <w:tcW w:w="1148" w:type="dxa"/>
            <w:shd w:val="clear" w:color="auto" w:fill="auto"/>
            <w:noWrap/>
            <w:vAlign w:val="bottom"/>
          </w:tcPr>
          <w:p w14:paraId="08C5150E"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Stacciarini</w:t>
            </w:r>
          </w:p>
        </w:tc>
        <w:tc>
          <w:tcPr>
            <w:tcW w:w="739" w:type="dxa"/>
            <w:shd w:val="clear" w:color="auto" w:fill="auto"/>
            <w:noWrap/>
            <w:vAlign w:val="bottom"/>
          </w:tcPr>
          <w:p w14:paraId="0BC560FA"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2012</w:t>
            </w:r>
          </w:p>
        </w:tc>
        <w:tc>
          <w:tcPr>
            <w:tcW w:w="900" w:type="dxa"/>
            <w:shd w:val="clear" w:color="auto" w:fill="auto"/>
            <w:noWrap/>
            <w:vAlign w:val="bottom"/>
          </w:tcPr>
          <w:p w14:paraId="2E2614B6"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NSR</w:t>
            </w:r>
          </w:p>
        </w:tc>
        <w:tc>
          <w:tcPr>
            <w:tcW w:w="10836" w:type="dxa"/>
            <w:shd w:val="clear" w:color="auto" w:fill="auto"/>
            <w:noWrap/>
            <w:vAlign w:val="bottom"/>
          </w:tcPr>
          <w:p w14:paraId="05F5654F"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i/>
                <w:color w:val="000000"/>
                <w:sz w:val="20"/>
                <w:szCs w:val="20"/>
              </w:rPr>
              <w:t>Promotoras</w:t>
            </w:r>
            <w:r w:rsidRPr="00862AF9">
              <w:rPr>
                <w:rFonts w:ascii="Calibri" w:eastAsia="Times New Roman" w:hAnsi="Calibri" w:cs="Times New Roman"/>
                <w:color w:val="000000"/>
                <w:sz w:val="20"/>
                <w:szCs w:val="20"/>
              </w:rPr>
              <w:t xml:space="preserve"> (CHWs) empower community members to promote mental health and prevent exacerbations of mental illness. </w:t>
            </w:r>
            <w:r w:rsidRPr="00862AF9">
              <w:rPr>
                <w:rFonts w:ascii="Calibri" w:eastAsia="Times New Roman" w:hAnsi="Calibri" w:cs="Times New Roman"/>
                <w:i/>
                <w:color w:val="000000"/>
                <w:sz w:val="20"/>
                <w:szCs w:val="20"/>
              </w:rPr>
              <w:t>Promotoras</w:t>
            </w:r>
            <w:r w:rsidRPr="00862AF9">
              <w:rPr>
                <w:rFonts w:ascii="Calibri" w:eastAsia="Times New Roman" w:hAnsi="Calibri" w:cs="Times New Roman"/>
                <w:color w:val="000000"/>
                <w:sz w:val="20"/>
                <w:szCs w:val="20"/>
              </w:rPr>
              <w:t xml:space="preserve">, when trained carefully, have the ability to increase awareness and to promote mental health in populations that would otherwise have limited or no access to care. </w:t>
            </w:r>
            <w:r w:rsidRPr="00862AF9">
              <w:rPr>
                <w:rFonts w:ascii="Calibri" w:eastAsia="Times New Roman" w:hAnsi="Calibri" w:cs="Times New Roman"/>
                <w:i/>
                <w:color w:val="000000"/>
                <w:sz w:val="20"/>
                <w:szCs w:val="20"/>
              </w:rPr>
              <w:t>Promotoras</w:t>
            </w:r>
            <w:r w:rsidRPr="00862AF9">
              <w:rPr>
                <w:rFonts w:ascii="Calibri" w:eastAsia="Times New Roman" w:hAnsi="Calibri" w:cs="Times New Roman"/>
                <w:color w:val="000000"/>
                <w:sz w:val="20"/>
                <w:szCs w:val="20"/>
              </w:rPr>
              <w:t xml:space="preserve"> provide education, act as mediators between individuals and the health care system, advocate for both individual and community needs, and serve as role models for positive behaviors.</w:t>
            </w:r>
          </w:p>
        </w:tc>
      </w:tr>
      <w:tr w:rsidR="00C95C13" w:rsidRPr="00862AF9" w14:paraId="6E0A9998" w14:textId="77777777" w:rsidTr="00204FA4">
        <w:trPr>
          <w:cantSplit/>
          <w:trHeight w:val="320"/>
        </w:trPr>
        <w:tc>
          <w:tcPr>
            <w:tcW w:w="1148" w:type="dxa"/>
            <w:shd w:val="clear" w:color="auto" w:fill="auto"/>
            <w:noWrap/>
            <w:vAlign w:val="bottom"/>
          </w:tcPr>
          <w:p w14:paraId="064B22A9" w14:textId="27B34EDC" w:rsidR="00C95C13" w:rsidRPr="00862AF9" w:rsidRDefault="00C95C13"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Singla</w:t>
            </w:r>
          </w:p>
        </w:tc>
        <w:tc>
          <w:tcPr>
            <w:tcW w:w="739" w:type="dxa"/>
            <w:shd w:val="clear" w:color="auto" w:fill="auto"/>
            <w:noWrap/>
            <w:vAlign w:val="bottom"/>
          </w:tcPr>
          <w:p w14:paraId="0B7D6764" w14:textId="24E52477" w:rsidR="00C95C13" w:rsidRPr="00862AF9" w:rsidRDefault="00C95C13"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900" w:type="dxa"/>
            <w:shd w:val="clear" w:color="auto" w:fill="auto"/>
            <w:noWrap/>
            <w:vAlign w:val="bottom"/>
          </w:tcPr>
          <w:p w14:paraId="64F4316E" w14:textId="05B4BB35" w:rsidR="00C95C13" w:rsidRPr="00862AF9" w:rsidRDefault="00C95C13"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 MA</w:t>
            </w:r>
          </w:p>
        </w:tc>
        <w:tc>
          <w:tcPr>
            <w:tcW w:w="10836" w:type="dxa"/>
            <w:shd w:val="clear" w:color="auto" w:fill="auto"/>
            <w:noWrap/>
            <w:vAlign w:val="bottom"/>
          </w:tcPr>
          <w:p w14:paraId="07193B75" w14:textId="445DDFB2" w:rsidR="00C95C13" w:rsidRPr="00C900D0" w:rsidRDefault="00C95C13"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Non-specialist providers, usually </w:t>
            </w:r>
            <w:r w:rsidR="002E2547">
              <w:rPr>
                <w:rFonts w:ascii="Calibri" w:eastAsia="Times New Roman" w:hAnsi="Calibri" w:cs="Times New Roman"/>
                <w:color w:val="000000"/>
                <w:sz w:val="20"/>
                <w:szCs w:val="20"/>
              </w:rPr>
              <w:t>CHWs</w:t>
            </w:r>
            <w:r>
              <w:rPr>
                <w:rFonts w:ascii="Calibri" w:eastAsia="Times New Roman" w:hAnsi="Calibri" w:cs="Times New Roman"/>
                <w:color w:val="000000"/>
                <w:sz w:val="20"/>
                <w:szCs w:val="20"/>
              </w:rPr>
              <w:t xml:space="preserve"> or peers, </w:t>
            </w:r>
            <w:r w:rsidR="00446088">
              <w:rPr>
                <w:rFonts w:ascii="Calibri" w:eastAsia="Times New Roman" w:hAnsi="Calibri" w:cs="Times New Roman"/>
                <w:color w:val="000000"/>
                <w:sz w:val="20"/>
                <w:szCs w:val="20"/>
              </w:rPr>
              <w:t xml:space="preserve">are more effective than usual care or </w:t>
            </w:r>
            <w:r w:rsidR="003F4405">
              <w:rPr>
                <w:rFonts w:ascii="Calibri" w:eastAsia="Times New Roman" w:hAnsi="Calibri" w:cs="Times New Roman"/>
                <w:color w:val="000000"/>
                <w:sz w:val="20"/>
                <w:szCs w:val="20"/>
              </w:rPr>
              <w:t>delayed treatment (waitlisted) groups</w:t>
            </w:r>
            <w:r w:rsidR="00446088">
              <w:rPr>
                <w:rFonts w:ascii="Calibri" w:eastAsia="Times New Roman" w:hAnsi="Calibri" w:cs="Times New Roman"/>
                <w:color w:val="000000"/>
                <w:sz w:val="20"/>
                <w:szCs w:val="20"/>
              </w:rPr>
              <w:t xml:space="preserve"> in the provision of</w:t>
            </w:r>
            <w:r>
              <w:rPr>
                <w:rFonts w:ascii="Calibri" w:eastAsia="Times New Roman" w:hAnsi="Calibri" w:cs="Times New Roman"/>
                <w:color w:val="000000"/>
                <w:sz w:val="20"/>
                <w:szCs w:val="20"/>
              </w:rPr>
              <w:t xml:space="preserve"> mental health treatments</w:t>
            </w:r>
            <w:r w:rsidR="00446088">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w:t>
            </w:r>
            <w:r w:rsidRPr="00C95C13">
              <w:rPr>
                <w:rFonts w:ascii="Calibri" w:eastAsia="Times New Roman" w:hAnsi="Calibri" w:cs="Times New Roman"/>
                <w:color w:val="000000"/>
                <w:sz w:val="20"/>
                <w:szCs w:val="20"/>
              </w:rPr>
              <w:t>Most treatments targeted depression or post</w:t>
            </w:r>
            <w:r>
              <w:rPr>
                <w:rFonts w:ascii="Calibri" w:eastAsia="Times New Roman" w:hAnsi="Calibri" w:cs="Times New Roman"/>
                <w:color w:val="000000"/>
                <w:sz w:val="20"/>
                <w:szCs w:val="20"/>
              </w:rPr>
              <w:t>-</w:t>
            </w:r>
            <w:r w:rsidRPr="00C95C13">
              <w:rPr>
                <w:rFonts w:ascii="Calibri" w:eastAsia="Times New Roman" w:hAnsi="Calibri" w:cs="Times New Roman"/>
                <w:color w:val="000000"/>
                <w:sz w:val="20"/>
                <w:szCs w:val="20"/>
              </w:rPr>
              <w:t>traumatic stress. Treatments were usually delivered with</w:t>
            </w:r>
            <w:r>
              <w:rPr>
                <w:rFonts w:ascii="Calibri" w:eastAsia="Times New Roman" w:hAnsi="Calibri" w:cs="Times New Roman"/>
                <w:color w:val="000000"/>
                <w:sz w:val="20"/>
                <w:szCs w:val="20"/>
              </w:rPr>
              <w:t xml:space="preserve"> fewer than 10 sessions over two to three</w:t>
            </w:r>
            <w:r w:rsidRPr="00C95C13">
              <w:rPr>
                <w:rFonts w:ascii="Calibri" w:eastAsia="Times New Roman" w:hAnsi="Calibri" w:cs="Times New Roman"/>
                <w:color w:val="000000"/>
                <w:sz w:val="20"/>
                <w:szCs w:val="20"/>
              </w:rPr>
              <w:t xml:space="preserve"> months in an individual, face-to-face format</w:t>
            </w:r>
            <w:r w:rsidR="00446088">
              <w:rPr>
                <w:rFonts w:ascii="Calibri" w:eastAsia="Times New Roman" w:hAnsi="Calibri" w:cs="Times New Roman"/>
                <w:color w:val="000000"/>
                <w:sz w:val="20"/>
                <w:szCs w:val="20"/>
              </w:rPr>
              <w:t xml:space="preserve"> in community or primary</w:t>
            </w:r>
            <w:r w:rsidR="002701FE">
              <w:rPr>
                <w:rFonts w:ascii="Calibri" w:eastAsia="Times New Roman" w:hAnsi="Calibri" w:cs="Times New Roman"/>
                <w:color w:val="000000"/>
                <w:sz w:val="20"/>
                <w:szCs w:val="20"/>
              </w:rPr>
              <w:t>-</w:t>
            </w:r>
            <w:r w:rsidR="00446088">
              <w:rPr>
                <w:rFonts w:ascii="Calibri" w:eastAsia="Times New Roman" w:hAnsi="Calibri" w:cs="Times New Roman"/>
                <w:color w:val="000000"/>
                <w:sz w:val="20"/>
                <w:szCs w:val="20"/>
              </w:rPr>
              <w:t>care settings</w:t>
            </w:r>
            <w:r w:rsidRPr="00C95C13">
              <w:rPr>
                <w:rFonts w:ascii="Calibri" w:eastAsia="Times New Roman" w:hAnsi="Calibri" w:cs="Times New Roman"/>
                <w:color w:val="000000"/>
                <w:sz w:val="20"/>
                <w:szCs w:val="20"/>
              </w:rPr>
              <w:t>. Treatments included common elements, such as nonspecific engagement and specific domains of behavioral, interpersonal,</w:t>
            </w:r>
            <w:r>
              <w:rPr>
                <w:rFonts w:ascii="Calibri" w:eastAsia="Times New Roman" w:hAnsi="Calibri" w:cs="Times New Roman"/>
                <w:color w:val="000000"/>
                <w:sz w:val="20"/>
                <w:szCs w:val="20"/>
              </w:rPr>
              <w:t xml:space="preserve"> </w:t>
            </w:r>
            <w:r w:rsidRPr="00C95C13">
              <w:rPr>
                <w:rFonts w:ascii="Calibri" w:eastAsia="Times New Roman" w:hAnsi="Calibri" w:cs="Times New Roman"/>
                <w:color w:val="000000"/>
                <w:sz w:val="20"/>
                <w:szCs w:val="20"/>
              </w:rPr>
              <w:t>emotional, and cognitive elements. The pooled effect size was 0.49 (95% confidence</w:t>
            </w:r>
            <w:r>
              <w:rPr>
                <w:rFonts w:ascii="Calibri" w:eastAsia="Times New Roman" w:hAnsi="Calibri" w:cs="Times New Roman"/>
                <w:color w:val="000000"/>
                <w:sz w:val="20"/>
                <w:szCs w:val="20"/>
              </w:rPr>
              <w:t xml:space="preserve"> </w:t>
            </w:r>
            <w:r w:rsidRPr="00C95C13">
              <w:rPr>
                <w:rFonts w:ascii="Calibri" w:eastAsia="Times New Roman" w:hAnsi="Calibri" w:cs="Times New Roman"/>
                <w:color w:val="000000"/>
                <w:sz w:val="20"/>
                <w:szCs w:val="20"/>
              </w:rPr>
              <w:t>interval = 0.36–0.62), favoring intervention</w:t>
            </w:r>
            <w:r w:rsidR="002701FE">
              <w:rPr>
                <w:rFonts w:ascii="Calibri" w:eastAsia="Times New Roman" w:hAnsi="Calibri" w:cs="Times New Roman"/>
                <w:color w:val="000000"/>
                <w:sz w:val="20"/>
                <w:szCs w:val="20"/>
              </w:rPr>
              <w:t>s provided by non-specialist providers (including CHWs)</w:t>
            </w:r>
            <w:r w:rsidRPr="00C95C13">
              <w:rPr>
                <w:rFonts w:ascii="Calibri" w:eastAsia="Times New Roman" w:hAnsi="Calibri" w:cs="Times New Roman"/>
                <w:color w:val="000000"/>
                <w:sz w:val="20"/>
                <w:szCs w:val="20"/>
              </w:rPr>
              <w:t>.</w:t>
            </w:r>
            <w:r w:rsidR="00446088" w:rsidRPr="00C900D0">
              <w:rPr>
                <w:rFonts w:ascii="Calibri" w:eastAsia="Times New Roman" w:hAnsi="Calibri" w:cs="Times New Roman"/>
                <w:color w:val="000000"/>
                <w:sz w:val="20"/>
                <w:szCs w:val="20"/>
              </w:rPr>
              <w:t xml:space="preserve"> The provision of mental health care by non-specialist providers </w:t>
            </w:r>
            <w:r w:rsidR="00446088">
              <w:rPr>
                <w:rFonts w:ascii="Calibri" w:eastAsia="Times New Roman" w:hAnsi="Calibri" w:cs="Times New Roman"/>
                <w:color w:val="000000"/>
                <w:sz w:val="20"/>
                <w:szCs w:val="20"/>
              </w:rPr>
              <w:t xml:space="preserve">is more effective than usual care and improves </w:t>
            </w:r>
            <w:r w:rsidR="00446088" w:rsidRPr="00446088">
              <w:rPr>
                <w:rFonts w:ascii="Calibri" w:eastAsia="Times New Roman" w:hAnsi="Calibri" w:cs="Times New Roman"/>
                <w:color w:val="000000"/>
                <w:sz w:val="20"/>
                <w:szCs w:val="20"/>
              </w:rPr>
              <w:t>access to mental health care</w:t>
            </w:r>
            <w:r w:rsidR="00446088">
              <w:rPr>
                <w:rFonts w:ascii="Calibri" w:eastAsia="Times New Roman" w:hAnsi="Calibri" w:cs="Times New Roman"/>
                <w:color w:val="000000"/>
                <w:sz w:val="20"/>
                <w:szCs w:val="20"/>
              </w:rPr>
              <w:t xml:space="preserve">. </w:t>
            </w:r>
          </w:p>
        </w:tc>
      </w:tr>
      <w:tr w:rsidR="00862AF9" w:rsidRPr="00862AF9" w14:paraId="73BF5DF3" w14:textId="77777777" w:rsidTr="00204FA4">
        <w:trPr>
          <w:cantSplit/>
          <w:trHeight w:val="320"/>
        </w:trPr>
        <w:tc>
          <w:tcPr>
            <w:tcW w:w="1148" w:type="dxa"/>
            <w:shd w:val="clear" w:color="auto" w:fill="auto"/>
            <w:noWrap/>
            <w:vAlign w:val="bottom"/>
          </w:tcPr>
          <w:p w14:paraId="4C0A5B4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van Ginneken</w:t>
            </w:r>
          </w:p>
        </w:tc>
        <w:tc>
          <w:tcPr>
            <w:tcW w:w="739" w:type="dxa"/>
            <w:shd w:val="clear" w:color="auto" w:fill="auto"/>
            <w:noWrap/>
            <w:vAlign w:val="bottom"/>
          </w:tcPr>
          <w:p w14:paraId="445C3B09"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900" w:type="dxa"/>
            <w:shd w:val="clear" w:color="auto" w:fill="auto"/>
            <w:noWrap/>
            <w:vAlign w:val="bottom"/>
          </w:tcPr>
          <w:p w14:paraId="2151A15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836" w:type="dxa"/>
            <w:shd w:val="clear" w:color="auto" w:fill="auto"/>
            <w:noWrap/>
            <w:vAlign w:val="bottom"/>
          </w:tcPr>
          <w:p w14:paraId="53A81F2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Non-specialist health workers (NSHWs), a classification that includes both professionals (e.g., doctors, nurses, and social workers) and lay health workers working at the primary care or community level, have some promising benefits in improving people’s outcomes for general and perinatal depression, post-traumatic stress disorder and alcohol-use disorders, and patient- and carer-outcomes for dementia. Services provided by NSHWs, compared with usual healthcare services, may increase the number of adults who recover from depression or anxiety (or both) two to six months after treatment; may slightly reduce symptoms for mothers with depression; may slightly reduce the symptoms of adults with post-traumatic stress disorder; probably slightly improve the symptoms of people with dementia; probably improve or slightly improve the mental well-being, burden and distress of carers of people with dementia; and may decrease the quantity of alcohol consumed by problem drinkers. This evidence is mostly of low or very low quality, and for some issues no evidence is available. In most studies NSHWs delivered the mental health care and addressed depression or anxiety (or both) or post-traumatic stress disorder. NSHWs can provide follow up to check on adherence, effects of medications, and side effects. Of the 38 studies in the review, 22 used lay health workers.</w:t>
            </w:r>
          </w:p>
        </w:tc>
      </w:tr>
    </w:tbl>
    <w:p w14:paraId="0F84241F" w14:textId="77777777" w:rsidR="00862AF9" w:rsidRPr="00862AF9" w:rsidRDefault="00862AF9" w:rsidP="00E96A82">
      <w:pPr>
        <w:spacing w:after="0"/>
        <w:rPr>
          <w:rFonts w:ascii="Calibri" w:hAnsi="Calibri"/>
        </w:rPr>
      </w:pPr>
    </w:p>
    <w:p w14:paraId="2F8D80AD" w14:textId="5DDA18F8" w:rsidR="00204FA4" w:rsidRPr="00862AF9" w:rsidRDefault="00AC0888" w:rsidP="00E96A82">
      <w:pPr>
        <w:spacing w:after="0"/>
        <w:rPr>
          <w:rFonts w:ascii="Calibri" w:hAnsi="Calibri"/>
        </w:rPr>
      </w:pPr>
      <w:r>
        <w:rPr>
          <w:rFonts w:ascii="Calibri" w:hAnsi="Calibri"/>
        </w:rPr>
        <w:t>Sixteen</w:t>
      </w:r>
      <w:r w:rsidR="000816E0" w:rsidRPr="00862AF9">
        <w:rPr>
          <w:rFonts w:ascii="Calibri" w:hAnsi="Calibri"/>
        </w:rPr>
        <w:t xml:space="preserve"> </w:t>
      </w:r>
      <w:r w:rsidR="00862AF9" w:rsidRPr="00862AF9">
        <w:rPr>
          <w:rFonts w:ascii="Calibri" w:hAnsi="Calibri"/>
        </w:rPr>
        <w:t>reviews focused on CBP involvement in infectious disease in LMICs</w:t>
      </w:r>
      <w:r w:rsidR="000816E0">
        <w:rPr>
          <w:rFonts w:ascii="Calibri" w:hAnsi="Calibri"/>
        </w:rPr>
        <w:t xml:space="preserve">: </w:t>
      </w:r>
      <w:r w:rsidR="00723656">
        <w:rPr>
          <w:rFonts w:ascii="Calibri" w:hAnsi="Calibri"/>
        </w:rPr>
        <w:t>seven</w:t>
      </w:r>
      <w:r w:rsidR="000816E0">
        <w:rPr>
          <w:rFonts w:ascii="Calibri" w:hAnsi="Calibri"/>
        </w:rPr>
        <w:t xml:space="preserve"> on HIV, six in malaria, </w:t>
      </w:r>
      <w:r w:rsidR="008F72BE">
        <w:rPr>
          <w:rFonts w:ascii="Calibri" w:hAnsi="Calibri"/>
        </w:rPr>
        <w:t>one each on Buruli Ulcer, TB and neglected tropical diseases</w:t>
      </w:r>
      <w:r w:rsidR="00B8535E">
        <w:rPr>
          <w:rFonts w:ascii="Calibri" w:hAnsi="Calibri"/>
        </w:rPr>
        <w:t xml:space="preserve">. In addition, </w:t>
      </w:r>
      <w:r w:rsidR="00894D67">
        <w:rPr>
          <w:rFonts w:ascii="Calibri" w:hAnsi="Calibri"/>
        </w:rPr>
        <w:t>four</w:t>
      </w:r>
      <w:r w:rsidR="00B8535E">
        <w:rPr>
          <w:rFonts w:ascii="Calibri" w:hAnsi="Calibri"/>
        </w:rPr>
        <w:t xml:space="preserve"> reviews on HIV</w:t>
      </w:r>
      <w:r w:rsidR="000A368D">
        <w:rPr>
          <w:rFonts w:ascii="Calibri" w:hAnsi="Calibri"/>
        </w:rPr>
        <w:t xml:space="preserve"> </w:t>
      </w:r>
      <w:r w:rsidR="00E37D8E">
        <w:rPr>
          <w:rFonts w:ascii="Calibri" w:hAnsi="Calibri"/>
        </w:rPr>
        <w:fldChar w:fldCharType="begin" w:fldLock="1"/>
      </w:r>
      <w:r w:rsidR="004A79D9">
        <w:rPr>
          <w:rFonts w:ascii="Calibri" w:hAnsi="Calibri"/>
        </w:rPr>
        <w:instrText>ADDIN CSL_CITATION { "citationItems" : [ { "id" : "ITEM-1", "itemData" : { "DOI" : "10.1007/s10461-016-1537-0", "ISSN" : "1573-3254", "PMID" : "27582088", "abstract" : "Retention in HIV care is vital to the HIV care continuum. The current review aimed to synthesize qualitative research to identify facilitators and barriers to HIV retention in care interventions. A qualitative evidence meta-synthesis utilizing thematic analysis. Prospective review registration was made in PROSPERO and review procedures adhered to PRISMA guidelines. Nineteen databases were searched to identify qualitative research conducted with individuals living with HIV and their caregivers. Quality assessment was conducted using CASP and the certainty of the evidence was evaluated using CERQual. A total of 4419 citations were evaluated and 11 were included in the final meta-synthesis. Two studies were from high-income countries, 3 from middle-income countries, and 6 from low-income countries. A total of eight themes were identified as facilitators or barriers for retention in HIV care intervention: (1) Stigma and discrimination, (2) Fear of HIV status disclosure, (3) task shifting to lay health workers, (4) Human resource and institutional challenges, (5) Mobile Health (mHealth), (6) Family and friend support, (7) Intensive case management, and, (8) Relationships with caregivers. The current review suggests that task shifting interventions with lay health workers were feasible and acceptable. mHealth interventions and stigma reduction interventions appear to be promising interventions aimed at improving retention in HIV care. Future studies should focus on improving the evidence base for these interventions. Additional research is needed among women and adolescents who were under-represented in retention interventions.", "author" : [ { "dropping-particle" : "", "family" : "Hall", "given" : "Brian J.", "non-dropping-particle" : "", "parse-names" : false, "suffix" : "" }, { "dropping-particle" : "", "family" : "Rachel", "given" : "Ka-lon Sou", "non-dropping-particle" : "", "parse-names" : false, "suffix" : "" }, { "dropping-particle" : "", "family" : "Mellanye", "given" : "Beanland", "non-dropping-particle" : "", "parse-names" : false, "suffix" : "" }, { "dropping-particle" : "", "family" : "Sze", "given" : "Lai", "non-dropping-particle" : "", "parse-names" : false, "suffix" : "" }, { "dropping-particle" : "", "family" : "Qingyan", "given" : "Tso", "non-dropping-particle" : "", "parse-names" : false, "suffix" : "" }, { "dropping-particle" : "", "family" : "Doherty", "given" : "Meg", "non-dropping-particle" : "", "parse-names" : false, "suffix" : "" }, { "dropping-particle" : "", "family" : "Tucker", "given" : "Joseph D.", "non-dropping-particle" : "", "parse-names" : false, "suffix" : "" }, { "dropping-particle" : "", "family" : "Hall", "given" : "Brian J.", "non-dropping-particle" : "", "parse-names" : false, "suffix" : "" } ], "container-title" : "AIDS and Behavior", "id" : "ITEM-1", "issue" : "6", "issued" : { "date-parts" : [ [ "2017" ] ] }, "page" : "1755-1767", "publisher" : "Springer US", "title" : "Barriers and Facilitators to Interventions Improving Retention in HIV Care : A Qualitative Evidence Meta-Synthesis", "type" : "article-journal", "volume" : "21" }, "uris" : [ "http://www.mendeley.com/documents/?uuid=1a928732-425c-494d-90dd-0d376f79b1fb" ] }, { "id" : "ITEM-2", "itemData" : { "DOI" : "10.1186/s13104-016-2339-1", "ISSN" : "1756-0500", "abstract" : "Only an estimated 54% of people living with HIV are aware of their status. Despite progress scaling up HIV testing services (HTS), a testing gap remains. Delivery of HTS by lay providers may help close this testing gap, while also increasing uptake and acceptability of HIV testing among key populations and other priority groups. 50 National HIV testing policies were collated from WHO country intelligence databases, contacts and testing program websites. Data regarding lay provider use for HTS was extracted and collated. Our search had no geographical or language restrictions. This data was then compared with reported data from the Global AIDS Response Progress Reporting (GARPR) from July 2015. Forty-two percent of countries permit lay providers to perform HIV testing and 56% permit lay providers to administer pre-and post-test counseling. Comparative analysis with GARPR found that less than half (46%) of reported data from countries were consistent with their corresponding national HIV testing policy. Given the low uptake of lay provider use globally and their proven use in increasing HIV testing, countries should consider revising policies to support lay provider testing using rapid diagnostic tests.", "author" : [ { "dropping-particle" : "", "family" : "Flynn", "given" : "David E", "non-dropping-particle" : "", "parse-names" : false, "suffix" : "" }, { "dropping-particle" : "", "family" : "Johnson", "given" : "Cheryl", "non-dropping-particle" : "", "parse-names" : false, "suffix" : "" }, { "dropping-particle" : "", "family" : "Sands", "given" : "Anita", "non-dropping-particle" : "", "parse-names" : false, "suffix" : "" }, { "dropping-particle" : "", "family" : "Wong", "given" : "Vincent", "non-dropping-particle" : "", "parse-names" : false, "suffix" : "" }, { "dropping-particle" : "", "family" : "Figueroa", "given" : "Carmen", "non-dropping-particle" : "", "parse-names" : false, "suffix" : "" }, { "dropping-particle" : "", "family" : "Baggaley", "given" : "Rachel", "non-dropping-particle" : "", "parse-names" : false, "suffix" : "" } ], "container-title" : "BMC Research Notes", "id" : "ITEM-2", "issue" : "1", "issued" : { "date-parts" : [ [ "2017" ] ] }, "page" : "20", "publisher" : "BioMed Central", "title" : "Can trained lay providers perform HIV testing services? A review of national HIV testing policies", "type" : "article-journal", "volume" : "10" }, "uris" : [ "http://www.mendeley.com/documents/?uuid=c4dad231-ce5c-4050-9deb-42190ebd4fc6" ] }, { "id" : "ITEM-3", "itemData" : { "DOI" : "10.1097/QAD.0000000000001101.Facilitators", "ISBN" : "0000000000", "author" : [ { "dropping-particle" : "", "family" : "Tso", "given" : "Lai Sze", "non-dropping-particle" : "", "parse-names" : false, "suffix" : "" }, { "dropping-particle" : "", "family" : "Best", "given" : "John", "non-dropping-particle" : "", "parse-names" : false, "suffix" : "" }, { "dropping-particle" : "", "family" : "Beanland", "given" : "Rachel", "non-dropping-particle" : "", "parse-names" : false, "suffix" : "" }, { "dropping-particle" : "", "family" : "Doherty", "given" : "Meg", "non-dropping-particle" : "", "parse-names" : false, "suffix" : "" }, { "dropping-particle" : "", "family" : "Lackey", "given" : "Mellayne", "non-dropping-particle" : "", "parse-names" : false, "suffix" : "" }, { "dropping-particle" : "", "family" : "Ma", "given" : "Qingyan", "non-dropping-particle" : "", "parse-names" : false, "suffix" : "" }, { "dropping-particle" : "", "family" : "Hall", "given" : "Brian J", "non-dropping-particle" : "", "parse-names" : false, "suffix" : "" }, { "dropping-particle" : "", "family" : "Yang", "given" : "Bin", "non-dropping-particle" : "", "parse-names" : false, "suffix" : "" }, { "dropping-particle" : "", "family" : "Tucker", "given" : "Josheph D", "non-dropping-particle" : "", "parse-names" : false, "suffix" : "" } ], "container-title" : "AIDS", "id" : "ITEM-3", "issue" : "10", "issued" : { "date-parts" : [ [ "2016" ] ] }, "page" : "1639-1653", "title" : "Facilitators and Barriers in HIV Linkage to Care Interventions: Qualitative Evidence Review", "type" : "article-journal", "volume" : "30" }, "uris" : [ "http://www.mendeley.com/documents/?uuid=dac310d8-7d88-4c62-a6cb-e34d22575cc3" ] }, { "id" : "ITEM-4", "itemData" : { "DOI" : "10.7448/IAS.19.1.21166", "ISBN" : "1758-2652", "ISSN" : "1758-2652", "PMID" : "27756450", "abstract" : "Introduction: Qualitative research on antiretroviral therapy (ART) adherence interventions can provide a deeper understanding of intervention facilitators and barriers. This systematic review aims to synthesize qualitative evidence of interventions for improving ART adherence and to inform patient-centred policymaking. Methods: We searched 19 databases to identify studies presenting primary qualitative data on the experiences, attitudes and acceptability of interventions to improve ART adherence among PLHIV and treatment providers. We used thematic synthesis to synthesize qualitative evidence and the CERQual (Confidence in the Evidence from Reviews of Qualitative Research) approach to assess the confidence of review findings. Results: Of 2982 references identified, a total of 31 studies from 17 countries were included. Twelve studies were conducted in high-income countries, 13 in middle-income countries and six in low-income countries. Study populations focused on adults living with HIV (21 studies, n=1025), children living with HIV (two studies, n=46), adolescents living with HIV (four studies, n=70) and pregnant women living with HIV (one study, n=79). Twenty-three studies examined PLHIV perspectives and 13 studies examined healthcare provider perspectives. We identified six themes related to types of interventions, including task shifting, education, mobile phone text messaging, directly observed therapy, medical professional outreach and complex interventions. We also identified five cross-cutting themes, including strengthening social relationships, ensuring confidentiality, empowerment of PLHIV, compensation and integrating religious beliefs into interventions. Our qualitative evidence suggests that strengthening PLHIV social relationships, PLHIV empowerment and developing culturally appropriate interventions may facilitate adherence interventions. Our study indicates that potential barriers are inadequate training and compensation for lay health workers and inadvertent disclosure of serostatus by participating in the intervention. Conclusions: Our study evaluated adherence interventions based on qualitative data from PLHIV and health providers. The study underlines the importance of incorporating social and cultural factors into the design and implementation of interventions. Further qualitative research is needed to evaluate ART adherence interventions.", "author" : [ { "dropping-particle" : "", "family" : "Ma", "given" : "Qingyan", "non-dropping-particle" : "", "parse-names" : false, "suffix" : "" }, { "dropping-particle" : "", "family" : "Tso", "given" : "Lai Sze", "non-dropping-particle" : "", "parse-names" : false, "suffix" : "" }, { "dropping-particle" : "", "family" : "Rich", "given" : "Zachary C", "non-dropping-particle" : "", "parse-names" : false, "suffix" : "" }, { "dropping-particle" : "", "family" : "Hall", "given" : "Brian J", "non-dropping-particle" : "", "parse-names" : false, "suffix" : "" }, { "dropping-particle" : "", "family" : "Beanland", "given" : "Rachel", "non-dropping-particle" : "", "parse-names" : false, "suffix" : "" }, { "dropping-particle" : "", "family" : "Li", "given" : "Haochu", "non-dropping-particle" : "", "parse-names" : false, "suffix" : "" }, { "dropping-particle" : "", "family" : "Lackey", "given" : "Mellanye", "non-dropping-particle" : "", "parse-names" : false, "suffix" : "" }, { "dropping-particle" : "", "family" : "Hu", "given" : "Fengyu", "non-dropping-particle" : "", "parse-names" : false, "suffix" : "" }, { "dropping-particle" : "", "family" : "Cai", "given" : "Weiping", "non-dropping-particle" : "", "parse-names" : false, "suffix" : "" }, { "dropping-particle" : "", "family" : "Doherty", "given" : "Meg", "non-dropping-particle" : "", "parse-names" : false, "suffix" : "" }, { "dropping-particle" : "", "family" : "Tucker", "given" : "Joseph D", "non-dropping-particle" : "", "parse-names" : false, "suffix" : "" } ], "container-title" : "Journal of the International AIDS Society", "id" : "ITEM-4", "issue" : "1", "issued" : { "date-parts" : [ [ "2016" ] ] }, "page" : "1-13", "title" : "Barriers and facilitators of interventions for improving antiretroviral therapy adherence: a systematic review of global qualitative evidence", "type" : "article-journal", "volume" : "19" }, "uris" : [ "http://www.mendeley.com/documents/?uuid=4441fe8a-f260-4806-83c8-288f3c080072" ] } ], "mendeley" : { "formattedCitation" : "(Flynn et al., 2017; Hall et al., 2017; Ma et al., 2016; Tso et al., 2016)", "plainTextFormattedCitation" : "(Flynn et al., 2017; Hall et al., 2017; Ma et al., 2016; Tso et al., 2016)", "previouslyFormattedCitation" : "(Flynn et al., 2017; Hall et al., 2017; Ma et al., 2016; Tso et al., 2016)" }, "properties" : { "noteIndex" : 0 }, "schema" : "https://github.com/citation-style-language/schema/raw/master/csl-citation.json" }</w:instrText>
      </w:r>
      <w:r w:rsidR="00E37D8E">
        <w:rPr>
          <w:rFonts w:ascii="Calibri" w:hAnsi="Calibri"/>
        </w:rPr>
        <w:fldChar w:fldCharType="separate"/>
      </w:r>
      <w:r w:rsidR="00894D67" w:rsidRPr="00894D67">
        <w:rPr>
          <w:rFonts w:ascii="Calibri" w:hAnsi="Calibri"/>
          <w:noProof/>
        </w:rPr>
        <w:t>(Flynn et al., 2017; Hall et al., 2017; Ma et al., 2016; Tso et al., 2016)</w:t>
      </w:r>
      <w:r w:rsidR="00E37D8E">
        <w:rPr>
          <w:rFonts w:ascii="Calibri" w:hAnsi="Calibri"/>
        </w:rPr>
        <w:fldChar w:fldCharType="end"/>
      </w:r>
      <w:r w:rsidR="00B8535E">
        <w:rPr>
          <w:rFonts w:ascii="Calibri" w:hAnsi="Calibri"/>
        </w:rPr>
        <w:t xml:space="preserve"> had a global focus but included primarily LMIC literature and are thus also presented below</w:t>
      </w:r>
      <w:r w:rsidR="008F72BE">
        <w:rPr>
          <w:rFonts w:ascii="Calibri" w:hAnsi="Calibri"/>
        </w:rPr>
        <w:t xml:space="preserve"> </w:t>
      </w:r>
      <w:r w:rsidR="00D24518">
        <w:rPr>
          <w:rFonts w:ascii="Calibri" w:hAnsi="Calibri"/>
        </w:rPr>
        <w:t>(Table 11</w:t>
      </w:r>
      <w:r w:rsidR="00862AF9" w:rsidRPr="00862AF9">
        <w:rPr>
          <w:rFonts w:ascii="Calibri" w:hAnsi="Calibri"/>
        </w:rPr>
        <w:t>).</w:t>
      </w:r>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709"/>
        <w:gridCol w:w="850"/>
        <w:gridCol w:w="10773"/>
      </w:tblGrid>
      <w:tr w:rsidR="00862AF9" w:rsidRPr="00862AF9" w14:paraId="68A4FCE0" w14:textId="77777777" w:rsidTr="00204FA4">
        <w:trPr>
          <w:cantSplit/>
          <w:trHeight w:val="320"/>
          <w:tblHeader/>
        </w:trPr>
        <w:tc>
          <w:tcPr>
            <w:tcW w:w="13623" w:type="dxa"/>
            <w:gridSpan w:val="4"/>
            <w:tcBorders>
              <w:top w:val="nil"/>
              <w:left w:val="nil"/>
              <w:bottom w:val="single" w:sz="4" w:space="0" w:color="auto"/>
              <w:right w:val="nil"/>
            </w:tcBorders>
            <w:shd w:val="clear" w:color="000000" w:fill="auto"/>
            <w:noWrap/>
          </w:tcPr>
          <w:p w14:paraId="200ABB9B" w14:textId="77777777" w:rsidR="00862AF9" w:rsidRPr="00862AF9" w:rsidRDefault="00862AF9" w:rsidP="00E96A82">
            <w:pPr>
              <w:pStyle w:val="atable"/>
              <w:rPr>
                <w:rFonts w:ascii="Calibri" w:hAnsi="Calibri" w:hint="eastAsia"/>
                <w:szCs w:val="22"/>
                <w:lang w:val="en-US"/>
              </w:rPr>
            </w:pPr>
            <w:bookmarkStart w:id="34" w:name="_Ref332756682"/>
          </w:p>
          <w:p w14:paraId="56CBEF37" w14:textId="77777777" w:rsidR="00862AF9" w:rsidRPr="00862AF9" w:rsidRDefault="00862AF9" w:rsidP="00E96A82">
            <w:pPr>
              <w:pStyle w:val="atable"/>
              <w:rPr>
                <w:rFonts w:ascii="Calibri" w:eastAsia="Times New Roman" w:hAnsi="Calibri" w:cs="Times New Roman"/>
                <w:bCs/>
                <w:color w:val="000000"/>
                <w:szCs w:val="22"/>
                <w:lang w:val="en-US"/>
              </w:rPr>
            </w:pPr>
            <w:bookmarkStart w:id="35" w:name="_Toc346537981"/>
            <w:bookmarkStart w:id="36" w:name="_Toc387399721"/>
            <w:r w:rsidRPr="00862AF9">
              <w:rPr>
                <w:rFonts w:ascii="Calibri" w:hAnsi="Calibri"/>
                <w:szCs w:val="22"/>
                <w:lang w:val="en-US"/>
              </w:rPr>
              <w:t xml:space="preserve">Table </w:t>
            </w:r>
            <w:r w:rsidRPr="00862AF9">
              <w:rPr>
                <w:rFonts w:ascii="Calibri" w:hAnsi="Calibri"/>
                <w:szCs w:val="22"/>
                <w:lang w:val="en-US"/>
              </w:rPr>
              <w:fldChar w:fldCharType="begin"/>
            </w:r>
            <w:r w:rsidRPr="00862AF9">
              <w:rPr>
                <w:rFonts w:ascii="Calibri" w:hAnsi="Calibri"/>
                <w:szCs w:val="22"/>
                <w:lang w:val="en-US"/>
              </w:rPr>
              <w:instrText xml:space="preserve"> SEQ Table \* ARABIC </w:instrText>
            </w:r>
            <w:r w:rsidRPr="00862AF9">
              <w:rPr>
                <w:rFonts w:ascii="Calibri" w:hAnsi="Calibri"/>
                <w:szCs w:val="22"/>
                <w:lang w:val="en-US"/>
              </w:rPr>
              <w:fldChar w:fldCharType="separate"/>
            </w:r>
            <w:r w:rsidR="00D24518">
              <w:rPr>
                <w:rFonts w:ascii="Calibri" w:hAnsi="Calibri" w:hint="eastAsia"/>
                <w:noProof/>
                <w:szCs w:val="22"/>
                <w:lang w:val="en-US"/>
              </w:rPr>
              <w:t>11</w:t>
            </w:r>
            <w:r w:rsidRPr="00862AF9">
              <w:rPr>
                <w:rFonts w:ascii="Calibri" w:hAnsi="Calibri"/>
                <w:szCs w:val="22"/>
                <w:lang w:val="en-US"/>
              </w:rPr>
              <w:fldChar w:fldCharType="end"/>
            </w:r>
            <w:bookmarkEnd w:id="34"/>
            <w:r w:rsidRPr="00862AF9">
              <w:rPr>
                <w:rFonts w:ascii="Calibri" w:hAnsi="Calibri"/>
                <w:szCs w:val="22"/>
                <w:lang w:val="en-US"/>
              </w:rPr>
              <w:t>. Infectious disease LMIC reviews</w:t>
            </w:r>
            <w:bookmarkEnd w:id="35"/>
            <w:bookmarkEnd w:id="36"/>
          </w:p>
        </w:tc>
      </w:tr>
      <w:tr w:rsidR="00862AF9" w:rsidRPr="00862AF9" w14:paraId="6F7C8DDE" w14:textId="77777777" w:rsidTr="00A46DF7">
        <w:trPr>
          <w:cantSplit/>
          <w:trHeight w:val="320"/>
          <w:tblHeader/>
        </w:trPr>
        <w:tc>
          <w:tcPr>
            <w:tcW w:w="1291" w:type="dxa"/>
            <w:tcBorders>
              <w:top w:val="single" w:sz="4" w:space="0" w:color="auto"/>
            </w:tcBorders>
            <w:shd w:val="clear" w:color="000000" w:fill="D9D9D9"/>
            <w:noWrap/>
            <w:vAlign w:val="bottom"/>
            <w:hideMark/>
          </w:tcPr>
          <w:p w14:paraId="1C860CCC"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09" w:type="dxa"/>
            <w:tcBorders>
              <w:top w:val="single" w:sz="4" w:space="0" w:color="auto"/>
            </w:tcBorders>
            <w:shd w:val="clear" w:color="000000" w:fill="D9D9D9"/>
            <w:noWrap/>
            <w:vAlign w:val="bottom"/>
            <w:hideMark/>
          </w:tcPr>
          <w:p w14:paraId="5DA5A568"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850" w:type="dxa"/>
            <w:tcBorders>
              <w:top w:val="single" w:sz="4" w:space="0" w:color="auto"/>
            </w:tcBorders>
            <w:shd w:val="clear" w:color="000000" w:fill="D9D9D9"/>
            <w:noWrap/>
            <w:vAlign w:val="bottom"/>
            <w:hideMark/>
          </w:tcPr>
          <w:p w14:paraId="36C76292"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773" w:type="dxa"/>
            <w:tcBorders>
              <w:top w:val="single" w:sz="4" w:space="0" w:color="auto"/>
            </w:tcBorders>
            <w:shd w:val="clear" w:color="000000" w:fill="D9D9D9"/>
            <w:noWrap/>
            <w:vAlign w:val="bottom"/>
            <w:hideMark/>
          </w:tcPr>
          <w:p w14:paraId="1A1D4213"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862AF9" w:rsidRPr="00862AF9" w14:paraId="08B00941" w14:textId="77777777" w:rsidTr="00204FA4">
        <w:trPr>
          <w:cantSplit/>
          <w:trHeight w:val="320"/>
        </w:trPr>
        <w:tc>
          <w:tcPr>
            <w:tcW w:w="13623" w:type="dxa"/>
            <w:gridSpan w:val="4"/>
            <w:tcBorders>
              <w:top w:val="single" w:sz="4" w:space="0" w:color="auto"/>
            </w:tcBorders>
            <w:shd w:val="clear" w:color="000000" w:fill="F2F2F2" w:themeFill="background1" w:themeFillShade="F2"/>
            <w:noWrap/>
            <w:vAlign w:val="bottom"/>
          </w:tcPr>
          <w:p w14:paraId="185B7BFB" w14:textId="77777777" w:rsidR="00862AF9" w:rsidRPr="00862AF9" w:rsidRDefault="00862AF9" w:rsidP="00E96A8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HIV</w:t>
            </w:r>
          </w:p>
        </w:tc>
      </w:tr>
      <w:tr w:rsidR="000816E0" w:rsidRPr="00862AF9" w14:paraId="4E87D345" w14:textId="77777777" w:rsidTr="00A46DF7">
        <w:trPr>
          <w:cantSplit/>
          <w:trHeight w:val="320"/>
        </w:trPr>
        <w:tc>
          <w:tcPr>
            <w:tcW w:w="1291" w:type="dxa"/>
            <w:shd w:val="clear" w:color="auto" w:fill="auto"/>
            <w:noWrap/>
            <w:vAlign w:val="bottom"/>
          </w:tcPr>
          <w:p w14:paraId="2A268112" w14:textId="1599564A" w:rsidR="000816E0" w:rsidRPr="00862AF9" w:rsidRDefault="000816E0" w:rsidP="00E96A82">
            <w:pPr>
              <w:spacing w:after="0"/>
              <w:rPr>
                <w:rFonts w:ascii="Calibri" w:eastAsia="Times New Roman" w:hAnsi="Calibri" w:cs="Times New Roman"/>
                <w:color w:val="000000"/>
                <w:sz w:val="20"/>
                <w:szCs w:val="20"/>
              </w:rPr>
            </w:pPr>
            <w:r w:rsidRPr="000816E0">
              <w:rPr>
                <w:rFonts w:ascii="Calibri" w:eastAsia="Times New Roman" w:hAnsi="Calibri" w:cs="Times New Roman"/>
                <w:color w:val="000000"/>
                <w:sz w:val="20"/>
                <w:szCs w:val="20"/>
              </w:rPr>
              <w:t>Bemelmans</w:t>
            </w:r>
          </w:p>
        </w:tc>
        <w:tc>
          <w:tcPr>
            <w:tcW w:w="709" w:type="dxa"/>
            <w:shd w:val="clear" w:color="auto" w:fill="auto"/>
            <w:noWrap/>
            <w:vAlign w:val="bottom"/>
          </w:tcPr>
          <w:p w14:paraId="22325DD7" w14:textId="4A6C473F" w:rsidR="000816E0" w:rsidRPr="00862AF9" w:rsidRDefault="000816E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850" w:type="dxa"/>
            <w:shd w:val="clear" w:color="auto" w:fill="auto"/>
            <w:noWrap/>
            <w:vAlign w:val="bottom"/>
          </w:tcPr>
          <w:p w14:paraId="0146D3D5" w14:textId="36F60F95" w:rsidR="000816E0" w:rsidRPr="00862AF9" w:rsidRDefault="000816E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NSR</w:t>
            </w:r>
          </w:p>
        </w:tc>
        <w:tc>
          <w:tcPr>
            <w:tcW w:w="10773" w:type="dxa"/>
            <w:shd w:val="clear" w:color="auto" w:fill="auto"/>
            <w:noWrap/>
            <w:vAlign w:val="bottom"/>
          </w:tcPr>
          <w:p w14:paraId="153933E0" w14:textId="2A9E61DB" w:rsidR="000816E0" w:rsidRPr="00862AF9" w:rsidRDefault="00FD1F39"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In sub-Saharan Africa, </w:t>
            </w:r>
            <w:r w:rsidR="00853E92">
              <w:rPr>
                <w:rFonts w:ascii="Calibri" w:eastAsia="Times New Roman" w:hAnsi="Calibri" w:cs="Times New Roman"/>
                <w:color w:val="000000"/>
                <w:sz w:val="20"/>
                <w:szCs w:val="20"/>
              </w:rPr>
              <w:t>la</w:t>
            </w:r>
            <w:r w:rsidR="00A37124">
              <w:rPr>
                <w:rFonts w:ascii="Calibri" w:eastAsia="Times New Roman" w:hAnsi="Calibri" w:cs="Times New Roman"/>
                <w:color w:val="000000"/>
                <w:sz w:val="20"/>
                <w:szCs w:val="20"/>
              </w:rPr>
              <w:t>y counse</w:t>
            </w:r>
            <w:r w:rsidRPr="00FD1F39">
              <w:rPr>
                <w:rFonts w:ascii="Calibri" w:eastAsia="Times New Roman" w:hAnsi="Calibri" w:cs="Times New Roman"/>
                <w:color w:val="000000"/>
                <w:sz w:val="20"/>
                <w:szCs w:val="20"/>
              </w:rPr>
              <w:t>lors play a critical role in scaling up HIV services and addressing gaps in the HIV testing and treatment cascade by pro</w:t>
            </w:r>
            <w:r w:rsidR="00A37124">
              <w:rPr>
                <w:rFonts w:ascii="Calibri" w:eastAsia="Times New Roman" w:hAnsi="Calibri" w:cs="Times New Roman"/>
                <w:color w:val="000000"/>
                <w:sz w:val="20"/>
                <w:szCs w:val="20"/>
              </w:rPr>
              <w:t>viding HIV testing and counseli</w:t>
            </w:r>
            <w:r w:rsidRPr="00FD1F39">
              <w:rPr>
                <w:rFonts w:ascii="Calibri" w:eastAsia="Times New Roman" w:hAnsi="Calibri" w:cs="Times New Roman"/>
                <w:color w:val="000000"/>
                <w:sz w:val="20"/>
                <w:szCs w:val="20"/>
              </w:rPr>
              <w:t xml:space="preserve">ng and adherence support at both the facility and community levels. </w:t>
            </w:r>
            <w:r w:rsidR="00853E92" w:rsidRPr="00853E92">
              <w:rPr>
                <w:rFonts w:ascii="Calibri" w:eastAsia="Times New Roman" w:hAnsi="Calibri" w:cs="Times New Roman"/>
                <w:color w:val="000000"/>
                <w:sz w:val="20"/>
                <w:szCs w:val="20"/>
              </w:rPr>
              <w:t xml:space="preserve">Countries have taken various </w:t>
            </w:r>
            <w:r w:rsidR="00853E92">
              <w:rPr>
                <w:rFonts w:ascii="Calibri" w:eastAsia="Times New Roman" w:hAnsi="Calibri" w:cs="Times New Roman"/>
                <w:color w:val="000000"/>
                <w:sz w:val="20"/>
                <w:szCs w:val="20"/>
              </w:rPr>
              <w:t>steps in recognizing lay counse</w:t>
            </w:r>
            <w:r w:rsidR="00853E92" w:rsidRPr="00853E92">
              <w:rPr>
                <w:rFonts w:ascii="Calibri" w:eastAsia="Times New Roman" w:hAnsi="Calibri" w:cs="Times New Roman"/>
                <w:color w:val="000000"/>
                <w:sz w:val="20"/>
                <w:szCs w:val="20"/>
              </w:rPr>
              <w:t xml:space="preserve">lors, including </w:t>
            </w:r>
            <w:r w:rsidR="00853E92">
              <w:rPr>
                <w:rFonts w:ascii="Calibri" w:eastAsia="Times New Roman" w:hAnsi="Calibri" w:cs="Times New Roman"/>
                <w:color w:val="000000"/>
                <w:sz w:val="20"/>
                <w:szCs w:val="20"/>
              </w:rPr>
              <w:t>(</w:t>
            </w:r>
            <w:r w:rsidR="00853E92" w:rsidRPr="00FD1F39">
              <w:rPr>
                <w:rFonts w:ascii="Calibri" w:eastAsia="Times New Roman" w:hAnsi="Calibri" w:cs="Times New Roman"/>
                <w:color w:val="000000"/>
                <w:sz w:val="20"/>
                <w:szCs w:val="20"/>
              </w:rPr>
              <w:t>in Lesotho, Mozambique and Zimbabwe</w:t>
            </w:r>
            <w:r w:rsidR="00853E92">
              <w:rPr>
                <w:rFonts w:ascii="Calibri" w:eastAsia="Times New Roman" w:hAnsi="Calibri" w:cs="Times New Roman"/>
                <w:color w:val="000000"/>
                <w:sz w:val="20"/>
                <w:szCs w:val="20"/>
              </w:rPr>
              <w:t>) well</w:t>
            </w:r>
            <w:r w:rsidR="00D0514E">
              <w:rPr>
                <w:rFonts w:ascii="Calibri" w:eastAsia="Times New Roman" w:hAnsi="Calibri" w:cs="Times New Roman"/>
                <w:color w:val="000000"/>
                <w:sz w:val="20"/>
                <w:szCs w:val="20"/>
              </w:rPr>
              <w:t>-</w:t>
            </w:r>
            <w:r w:rsidR="00853E92">
              <w:rPr>
                <w:rFonts w:ascii="Calibri" w:eastAsia="Times New Roman" w:hAnsi="Calibri" w:cs="Times New Roman"/>
                <w:color w:val="000000"/>
                <w:sz w:val="20"/>
                <w:szCs w:val="20"/>
              </w:rPr>
              <w:t xml:space="preserve">defined </w:t>
            </w:r>
            <w:r w:rsidR="00853E92" w:rsidRPr="00853E92">
              <w:rPr>
                <w:rFonts w:ascii="Calibri" w:eastAsia="Times New Roman" w:hAnsi="Calibri" w:cs="Times New Roman"/>
                <w:color w:val="000000"/>
                <w:sz w:val="20"/>
                <w:szCs w:val="20"/>
              </w:rPr>
              <w:t>harmonizing training</w:t>
            </w:r>
            <w:r w:rsidR="00853E92">
              <w:rPr>
                <w:rFonts w:ascii="Calibri" w:eastAsia="Times New Roman" w:hAnsi="Calibri" w:cs="Times New Roman"/>
                <w:color w:val="000000"/>
                <w:sz w:val="20"/>
                <w:szCs w:val="20"/>
              </w:rPr>
              <w:t xml:space="preserve">, job descriptions, </w:t>
            </w:r>
            <w:r w:rsidR="00853E92" w:rsidRPr="00853E92">
              <w:rPr>
                <w:rFonts w:ascii="Calibri" w:eastAsia="Times New Roman" w:hAnsi="Calibri" w:cs="Times New Roman"/>
                <w:color w:val="000000"/>
                <w:sz w:val="20"/>
                <w:szCs w:val="20"/>
              </w:rPr>
              <w:t>support structures</w:t>
            </w:r>
            <w:r w:rsidR="00853E92" w:rsidRPr="00FD1F39">
              <w:rPr>
                <w:rFonts w:ascii="Calibri" w:eastAsia="Times New Roman" w:hAnsi="Calibri" w:cs="Times New Roman"/>
                <w:color w:val="000000"/>
                <w:sz w:val="20"/>
                <w:szCs w:val="20"/>
              </w:rPr>
              <w:t xml:space="preserve"> for supervision and remuneration </w:t>
            </w:r>
            <w:r w:rsidR="00853E92">
              <w:rPr>
                <w:rFonts w:ascii="Calibri" w:eastAsia="Times New Roman" w:hAnsi="Calibri" w:cs="Times New Roman"/>
                <w:color w:val="000000"/>
                <w:sz w:val="20"/>
                <w:szCs w:val="20"/>
              </w:rPr>
              <w:t xml:space="preserve">and (in </w:t>
            </w:r>
            <w:r w:rsidR="00853E92" w:rsidRPr="00FD1F39">
              <w:rPr>
                <w:rFonts w:ascii="Calibri" w:eastAsia="Times New Roman" w:hAnsi="Calibri" w:cs="Times New Roman"/>
                <w:color w:val="000000"/>
                <w:sz w:val="20"/>
                <w:szCs w:val="20"/>
              </w:rPr>
              <w:t>Lesotho, Mozambique, Zambia and Zimbabwe</w:t>
            </w:r>
            <w:r w:rsidR="00853E92">
              <w:rPr>
                <w:rFonts w:ascii="Calibri" w:eastAsia="Times New Roman" w:hAnsi="Calibri" w:cs="Times New Roman"/>
                <w:color w:val="000000"/>
                <w:sz w:val="20"/>
                <w:szCs w:val="20"/>
              </w:rPr>
              <w:t xml:space="preserve">) Ministry of Health </w:t>
            </w:r>
            <w:r w:rsidR="00853E92" w:rsidRPr="00FD1F39">
              <w:rPr>
                <w:rFonts w:ascii="Calibri" w:eastAsia="Times New Roman" w:hAnsi="Calibri" w:cs="Times New Roman"/>
                <w:color w:val="000000"/>
                <w:sz w:val="20"/>
                <w:szCs w:val="20"/>
              </w:rPr>
              <w:t>certification for H</w:t>
            </w:r>
            <w:r w:rsidR="00853E92">
              <w:rPr>
                <w:rFonts w:ascii="Calibri" w:eastAsia="Times New Roman" w:hAnsi="Calibri" w:cs="Times New Roman"/>
                <w:color w:val="000000"/>
                <w:sz w:val="20"/>
                <w:szCs w:val="20"/>
              </w:rPr>
              <w:t>IV testing services</w:t>
            </w:r>
            <w:r w:rsidR="00853E92" w:rsidRPr="00FD1F39">
              <w:rPr>
                <w:rFonts w:ascii="Calibri" w:eastAsia="Times New Roman" w:hAnsi="Calibri" w:cs="Times New Roman"/>
                <w:color w:val="000000"/>
                <w:sz w:val="20"/>
                <w:szCs w:val="20"/>
              </w:rPr>
              <w:t xml:space="preserve"> training</w:t>
            </w:r>
            <w:r w:rsidR="00853E92" w:rsidRPr="00853E92">
              <w:rPr>
                <w:rFonts w:ascii="Calibri" w:eastAsia="Times New Roman" w:hAnsi="Calibri" w:cs="Times New Roman"/>
                <w:color w:val="000000"/>
                <w:sz w:val="20"/>
                <w:szCs w:val="20"/>
              </w:rPr>
              <w:t xml:space="preserve">. However, formal integration of this cadre into national health systems is limited, as lay counsellors are usually not included in national </w:t>
            </w:r>
            <w:r w:rsidR="00D0514E">
              <w:rPr>
                <w:rFonts w:ascii="Calibri" w:eastAsia="Times New Roman" w:hAnsi="Calibri" w:cs="Times New Roman"/>
                <w:color w:val="000000"/>
                <w:sz w:val="20"/>
                <w:szCs w:val="20"/>
              </w:rPr>
              <w:t xml:space="preserve">health workforce </w:t>
            </w:r>
            <w:r w:rsidR="00853E92" w:rsidRPr="00853E92">
              <w:rPr>
                <w:rFonts w:ascii="Calibri" w:eastAsia="Times New Roman" w:hAnsi="Calibri" w:cs="Times New Roman"/>
                <w:color w:val="000000"/>
                <w:sz w:val="20"/>
                <w:szCs w:val="20"/>
              </w:rPr>
              <w:t xml:space="preserve">strategies or budgeting. </w:t>
            </w:r>
          </w:p>
        </w:tc>
      </w:tr>
      <w:tr w:rsidR="00862AF9" w:rsidRPr="00862AF9" w14:paraId="090B347D" w14:textId="77777777" w:rsidTr="00A46DF7">
        <w:trPr>
          <w:cantSplit/>
          <w:trHeight w:val="320"/>
        </w:trPr>
        <w:tc>
          <w:tcPr>
            <w:tcW w:w="1291" w:type="dxa"/>
            <w:shd w:val="clear" w:color="auto" w:fill="auto"/>
            <w:noWrap/>
            <w:vAlign w:val="bottom"/>
          </w:tcPr>
          <w:p w14:paraId="645FB78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Campbell</w:t>
            </w:r>
          </w:p>
        </w:tc>
        <w:tc>
          <w:tcPr>
            <w:tcW w:w="709" w:type="dxa"/>
            <w:shd w:val="clear" w:color="auto" w:fill="auto"/>
            <w:noWrap/>
            <w:vAlign w:val="bottom"/>
          </w:tcPr>
          <w:p w14:paraId="470FFF92"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2011</w:t>
            </w:r>
          </w:p>
        </w:tc>
        <w:tc>
          <w:tcPr>
            <w:tcW w:w="850" w:type="dxa"/>
            <w:shd w:val="clear" w:color="auto" w:fill="auto"/>
            <w:noWrap/>
            <w:vAlign w:val="bottom"/>
          </w:tcPr>
          <w:p w14:paraId="4BCC5BD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773" w:type="dxa"/>
            <w:shd w:val="clear" w:color="auto" w:fill="auto"/>
            <w:noWrap/>
            <w:vAlign w:val="bottom"/>
          </w:tcPr>
          <w:p w14:paraId="79ECB5E6"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"Community embeddedness" has been overlooked in the WHO report on task shifting for HIV. Community embeddedness is required for CHWs to successfully perform socially embedded tasks such as health education and counseling, which are critical for HIV programming. The literature review identified six lessons for CHW success: (1) need for strong management, (2) appropriate selection of CHWs (3) suitable training, (4) adequate retention structures, and (5) good relationships with other healthcare workers, and (6) "community embeddedness."</w:t>
            </w:r>
          </w:p>
        </w:tc>
      </w:tr>
      <w:tr w:rsidR="000A368D" w:rsidRPr="00862AF9" w14:paraId="192AC1B7" w14:textId="77777777" w:rsidTr="000816E0">
        <w:trPr>
          <w:cantSplit/>
          <w:trHeight w:val="320"/>
        </w:trPr>
        <w:tc>
          <w:tcPr>
            <w:tcW w:w="1291" w:type="dxa"/>
            <w:shd w:val="clear" w:color="auto" w:fill="auto"/>
            <w:noWrap/>
            <w:vAlign w:val="bottom"/>
          </w:tcPr>
          <w:p w14:paraId="793540C3" w14:textId="3AED172A" w:rsidR="000A368D" w:rsidRPr="00862AF9" w:rsidRDefault="000A368D"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Flynn</w:t>
            </w:r>
            <w:r w:rsidR="0076362D" w:rsidRPr="00B47639">
              <w:rPr>
                <w:rStyle w:val="FootnoteReference"/>
              </w:rPr>
              <w:footnoteReference w:id="7"/>
            </w:r>
          </w:p>
        </w:tc>
        <w:tc>
          <w:tcPr>
            <w:tcW w:w="709" w:type="dxa"/>
            <w:shd w:val="clear" w:color="auto" w:fill="auto"/>
            <w:noWrap/>
            <w:vAlign w:val="bottom"/>
          </w:tcPr>
          <w:p w14:paraId="0B026FC1" w14:textId="398BD8D2" w:rsidR="000A368D" w:rsidRPr="00862AF9" w:rsidRDefault="000A368D"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850" w:type="dxa"/>
            <w:shd w:val="clear" w:color="auto" w:fill="auto"/>
            <w:noWrap/>
            <w:vAlign w:val="bottom"/>
          </w:tcPr>
          <w:p w14:paraId="7785FCC7" w14:textId="703F0E4B" w:rsidR="000A368D" w:rsidRPr="00862AF9" w:rsidRDefault="002549B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773" w:type="dxa"/>
            <w:shd w:val="clear" w:color="auto" w:fill="auto"/>
            <w:noWrap/>
            <w:vAlign w:val="bottom"/>
          </w:tcPr>
          <w:p w14:paraId="6A3F4AF0" w14:textId="03ECEFAA" w:rsidR="000A368D" w:rsidRPr="00862AF9" w:rsidRDefault="00BD4721"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Of the</w:t>
            </w:r>
            <w:r w:rsidRPr="00BD4721">
              <w:rPr>
                <w:rFonts w:ascii="Calibri" w:eastAsia="Times New Roman" w:hAnsi="Calibri" w:cs="Times New Roman"/>
                <w:color w:val="000000"/>
                <w:sz w:val="20"/>
                <w:szCs w:val="20"/>
              </w:rPr>
              <w:t xml:space="preserve"> 50 countries analyzed</w:t>
            </w:r>
            <w:r>
              <w:rPr>
                <w:rFonts w:ascii="Calibri" w:eastAsia="Times New Roman" w:hAnsi="Calibri" w:cs="Times New Roman"/>
                <w:color w:val="000000"/>
                <w:sz w:val="20"/>
                <w:szCs w:val="20"/>
              </w:rPr>
              <w:t xml:space="preserve">, 58% either do not permit lay </w:t>
            </w:r>
            <w:r w:rsidRPr="00BD4721">
              <w:rPr>
                <w:rFonts w:ascii="Calibri" w:eastAsia="Times New Roman" w:hAnsi="Calibri" w:cs="Times New Roman"/>
                <w:color w:val="000000"/>
                <w:sz w:val="20"/>
                <w:szCs w:val="20"/>
              </w:rPr>
              <w:t xml:space="preserve">providers to perform HIV </w:t>
            </w:r>
            <w:r>
              <w:rPr>
                <w:rFonts w:ascii="Calibri" w:eastAsia="Times New Roman" w:hAnsi="Calibri" w:cs="Times New Roman"/>
                <w:color w:val="000000"/>
                <w:sz w:val="20"/>
                <w:szCs w:val="20"/>
              </w:rPr>
              <w:t>rapid diagnostic tests</w:t>
            </w:r>
            <w:r w:rsidRPr="00BD4721">
              <w:rPr>
                <w:rFonts w:ascii="Calibri" w:eastAsia="Times New Roman" w:hAnsi="Calibri" w:cs="Times New Roman"/>
                <w:color w:val="000000"/>
                <w:sz w:val="20"/>
                <w:szCs w:val="20"/>
              </w:rPr>
              <w:t xml:space="preserve"> using fingerstick blood (the most common type) or do not specify if they can, while 44% do not permit or do not specify whether lay providers can perform HIV pre- and post-test counseling. </w:t>
            </w:r>
            <w:r>
              <w:rPr>
                <w:rFonts w:ascii="Calibri" w:eastAsia="Times New Roman" w:hAnsi="Calibri" w:cs="Times New Roman"/>
                <w:color w:val="000000"/>
                <w:sz w:val="20"/>
                <w:szCs w:val="20"/>
              </w:rPr>
              <w:t xml:space="preserve">In addition, </w:t>
            </w:r>
            <w:r w:rsidR="00D0514E">
              <w:rPr>
                <w:rFonts w:ascii="Calibri" w:eastAsia="Times New Roman" w:hAnsi="Calibri" w:cs="Times New Roman"/>
                <w:color w:val="000000"/>
                <w:sz w:val="20"/>
                <w:szCs w:val="20"/>
              </w:rPr>
              <w:t xml:space="preserve">fewer </w:t>
            </w:r>
            <w:r w:rsidRPr="00A31714">
              <w:rPr>
                <w:rFonts w:ascii="Calibri" w:eastAsia="Times New Roman" w:hAnsi="Calibri" w:cs="Times New Roman"/>
                <w:color w:val="000000"/>
                <w:sz w:val="20"/>
                <w:szCs w:val="20"/>
              </w:rPr>
              <w:t xml:space="preserve">than half (46%) of </w:t>
            </w:r>
            <w:r w:rsidR="00D0514E">
              <w:rPr>
                <w:rFonts w:ascii="Calibri" w:eastAsia="Times New Roman" w:hAnsi="Calibri" w:cs="Times New Roman"/>
                <w:color w:val="000000"/>
                <w:sz w:val="20"/>
                <w:szCs w:val="20"/>
              </w:rPr>
              <w:t xml:space="preserve">the </w:t>
            </w:r>
            <w:r w:rsidRPr="00A31714">
              <w:rPr>
                <w:rFonts w:ascii="Calibri" w:eastAsia="Times New Roman" w:hAnsi="Calibri" w:cs="Times New Roman"/>
                <w:color w:val="000000"/>
                <w:sz w:val="20"/>
                <w:szCs w:val="20"/>
              </w:rPr>
              <w:t>report</w:t>
            </w:r>
            <w:r w:rsidR="00D0514E">
              <w:rPr>
                <w:rFonts w:ascii="Calibri" w:eastAsia="Times New Roman" w:hAnsi="Calibri" w:cs="Times New Roman"/>
                <w:color w:val="000000"/>
                <w:sz w:val="20"/>
                <w:szCs w:val="20"/>
              </w:rPr>
              <w:t>s</w:t>
            </w:r>
            <w:r w:rsidRPr="00A31714">
              <w:rPr>
                <w:rFonts w:ascii="Calibri" w:eastAsia="Times New Roman" w:hAnsi="Calibri" w:cs="Times New Roman"/>
                <w:color w:val="000000"/>
                <w:sz w:val="20"/>
                <w:szCs w:val="20"/>
              </w:rPr>
              <w:t xml:space="preserve"> from countries</w:t>
            </w:r>
            <w:r>
              <w:rPr>
                <w:rFonts w:ascii="Calibri" w:eastAsia="Times New Roman" w:hAnsi="Calibri" w:cs="Times New Roman"/>
                <w:color w:val="000000"/>
                <w:sz w:val="20"/>
                <w:szCs w:val="20"/>
              </w:rPr>
              <w:t xml:space="preserve"> to the </w:t>
            </w:r>
            <w:r w:rsidRPr="00A31714">
              <w:rPr>
                <w:rFonts w:ascii="Calibri" w:eastAsia="Times New Roman" w:hAnsi="Calibri" w:cs="Times New Roman"/>
                <w:color w:val="000000"/>
                <w:sz w:val="20"/>
                <w:szCs w:val="20"/>
              </w:rPr>
              <w:t xml:space="preserve">Global AIDS Response Progress Reporting </w:t>
            </w:r>
            <w:r w:rsidR="00D0514E">
              <w:rPr>
                <w:rFonts w:ascii="Calibri" w:eastAsia="Times New Roman" w:hAnsi="Calibri" w:cs="Times New Roman"/>
                <w:color w:val="000000"/>
                <w:sz w:val="20"/>
                <w:szCs w:val="20"/>
              </w:rPr>
              <w:t xml:space="preserve">provided data that </w:t>
            </w:r>
            <w:r w:rsidRPr="00A31714">
              <w:rPr>
                <w:rFonts w:ascii="Calibri" w:eastAsia="Times New Roman" w:hAnsi="Calibri" w:cs="Times New Roman"/>
                <w:color w:val="000000"/>
                <w:sz w:val="20"/>
                <w:szCs w:val="20"/>
              </w:rPr>
              <w:t>were consistent with their corresponding national HIV testing policy</w:t>
            </w:r>
            <w:r>
              <w:rPr>
                <w:rFonts w:ascii="Calibri" w:eastAsia="Times New Roman" w:hAnsi="Calibri" w:cs="Times New Roman"/>
                <w:color w:val="000000"/>
                <w:sz w:val="20"/>
                <w:szCs w:val="20"/>
              </w:rPr>
              <w:t xml:space="preserve">. </w:t>
            </w:r>
            <w:r w:rsidRPr="00BD4721">
              <w:rPr>
                <w:rFonts w:ascii="Calibri" w:eastAsia="Times New Roman" w:hAnsi="Calibri" w:cs="Times New Roman"/>
                <w:color w:val="000000"/>
                <w:sz w:val="20"/>
                <w:szCs w:val="20"/>
              </w:rPr>
              <w:t xml:space="preserve">Greater care must be taken when reporting </w:t>
            </w:r>
            <w:r w:rsidRPr="00A31714">
              <w:rPr>
                <w:rFonts w:ascii="Calibri" w:eastAsia="Times New Roman" w:hAnsi="Calibri" w:cs="Times New Roman"/>
                <w:color w:val="000000"/>
                <w:sz w:val="20"/>
                <w:szCs w:val="20"/>
              </w:rPr>
              <w:t>Global AIDS Response Progress Reporting</w:t>
            </w:r>
            <w:r w:rsidRPr="00BD4721">
              <w:rPr>
                <w:rFonts w:ascii="Calibri" w:eastAsia="Times New Roman" w:hAnsi="Calibri" w:cs="Times New Roman"/>
                <w:color w:val="000000"/>
                <w:sz w:val="20"/>
                <w:szCs w:val="20"/>
              </w:rPr>
              <w:t xml:space="preserve"> data to make sure it correlates with approved practice. </w:t>
            </w:r>
            <w:r>
              <w:rPr>
                <w:rFonts w:ascii="Calibri" w:eastAsia="Times New Roman" w:hAnsi="Calibri" w:cs="Times New Roman"/>
                <w:color w:val="000000"/>
                <w:sz w:val="20"/>
                <w:szCs w:val="20"/>
              </w:rPr>
              <w:t>Africa has</w:t>
            </w:r>
            <w:r w:rsidRPr="00BD4721">
              <w:rPr>
                <w:rFonts w:ascii="Calibri" w:eastAsia="Times New Roman" w:hAnsi="Calibri" w:cs="Times New Roman"/>
                <w:color w:val="000000"/>
                <w:sz w:val="20"/>
                <w:szCs w:val="20"/>
              </w:rPr>
              <w:t xml:space="preserve"> a more supportive policy environment for lay provider </w:t>
            </w:r>
            <w:r>
              <w:rPr>
                <w:rFonts w:ascii="Calibri" w:eastAsia="Times New Roman" w:hAnsi="Calibri" w:cs="Times New Roman"/>
                <w:color w:val="000000"/>
                <w:sz w:val="20"/>
                <w:szCs w:val="20"/>
              </w:rPr>
              <w:t>HIV testing services</w:t>
            </w:r>
            <w:r w:rsidRPr="00BD4721">
              <w:rPr>
                <w:rFonts w:ascii="Calibri" w:eastAsia="Times New Roman" w:hAnsi="Calibri" w:cs="Times New Roman"/>
                <w:color w:val="000000"/>
                <w:sz w:val="20"/>
                <w:szCs w:val="20"/>
              </w:rPr>
              <w:t xml:space="preserve"> compared to other global regions. </w:t>
            </w:r>
            <w:r w:rsidR="00A31714" w:rsidRPr="00A31714">
              <w:rPr>
                <w:rFonts w:ascii="Calibri" w:eastAsia="Times New Roman" w:hAnsi="Calibri" w:cs="Times New Roman"/>
                <w:color w:val="000000"/>
                <w:sz w:val="20"/>
                <w:szCs w:val="20"/>
              </w:rPr>
              <w:t>Given the low uptake of lay provider use globally and their proven use i</w:t>
            </w:r>
            <w:r w:rsidR="00A31714">
              <w:rPr>
                <w:rFonts w:ascii="Calibri" w:eastAsia="Times New Roman" w:hAnsi="Calibri" w:cs="Times New Roman"/>
                <w:color w:val="000000"/>
                <w:sz w:val="20"/>
                <w:szCs w:val="20"/>
              </w:rPr>
              <w:t>n increasing HIV testing, coun</w:t>
            </w:r>
            <w:r w:rsidR="00A31714" w:rsidRPr="00A31714">
              <w:rPr>
                <w:rFonts w:ascii="Calibri" w:eastAsia="Times New Roman" w:hAnsi="Calibri" w:cs="Times New Roman"/>
                <w:color w:val="000000"/>
                <w:sz w:val="20"/>
                <w:szCs w:val="20"/>
              </w:rPr>
              <w:t>tries should consider revising policies to support lay provider testing using rapid diagnostic tests.</w:t>
            </w:r>
          </w:p>
        </w:tc>
      </w:tr>
      <w:tr w:rsidR="00723656" w:rsidRPr="00862AF9" w14:paraId="776BE26D" w14:textId="77777777" w:rsidTr="000816E0">
        <w:trPr>
          <w:cantSplit/>
          <w:trHeight w:val="320"/>
        </w:trPr>
        <w:tc>
          <w:tcPr>
            <w:tcW w:w="1291" w:type="dxa"/>
            <w:shd w:val="clear" w:color="auto" w:fill="auto"/>
            <w:noWrap/>
            <w:vAlign w:val="bottom"/>
          </w:tcPr>
          <w:p w14:paraId="0C085CBC" w14:textId="03A8EE12" w:rsidR="00723656" w:rsidRPr="00A46DF7" w:rsidRDefault="00723656" w:rsidP="00E96A82">
            <w:pPr>
              <w:keepNext/>
              <w:keepLines/>
              <w:spacing w:after="0"/>
              <w:outlineLvl w:val="8"/>
              <w:rPr>
                <w:rFonts w:ascii="Calibri" w:eastAsia="Times New Roman" w:hAnsi="Calibri" w:cs="Times New Roman"/>
                <w:color w:val="000000"/>
                <w:sz w:val="20"/>
                <w:szCs w:val="20"/>
                <w:vertAlign w:val="superscript"/>
              </w:rPr>
            </w:pPr>
            <w:r>
              <w:rPr>
                <w:rFonts w:ascii="Calibri" w:eastAsia="Times New Roman" w:hAnsi="Calibri" w:cs="Times New Roman"/>
                <w:color w:val="000000"/>
                <w:sz w:val="20"/>
                <w:szCs w:val="20"/>
              </w:rPr>
              <w:t>Hall</w:t>
            </w:r>
            <w:r w:rsidR="0006266F">
              <w:rPr>
                <w:rFonts w:ascii="Calibri" w:eastAsia="Times New Roman" w:hAnsi="Calibri" w:cs="Times New Roman"/>
                <w:color w:val="000000"/>
                <w:sz w:val="20"/>
                <w:szCs w:val="20"/>
                <w:vertAlign w:val="superscript"/>
              </w:rPr>
              <w:t>7</w:t>
            </w:r>
          </w:p>
        </w:tc>
        <w:tc>
          <w:tcPr>
            <w:tcW w:w="709" w:type="dxa"/>
            <w:shd w:val="clear" w:color="auto" w:fill="auto"/>
            <w:noWrap/>
            <w:vAlign w:val="bottom"/>
          </w:tcPr>
          <w:p w14:paraId="37DA5032" w14:textId="583EEEF0" w:rsidR="00723656" w:rsidRDefault="00723656"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850" w:type="dxa"/>
            <w:shd w:val="clear" w:color="auto" w:fill="auto"/>
            <w:noWrap/>
            <w:vAlign w:val="bottom"/>
          </w:tcPr>
          <w:p w14:paraId="4D4354F9" w14:textId="01615771" w:rsidR="00723656" w:rsidRDefault="00723656"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 MA</w:t>
            </w:r>
          </w:p>
        </w:tc>
        <w:tc>
          <w:tcPr>
            <w:tcW w:w="10773" w:type="dxa"/>
            <w:shd w:val="clear" w:color="auto" w:fill="auto"/>
            <w:noWrap/>
            <w:vAlign w:val="bottom"/>
          </w:tcPr>
          <w:p w14:paraId="2B1FA0E3" w14:textId="171D4FA2" w:rsidR="00723656" w:rsidRDefault="00723656" w:rsidP="00E96A82">
            <w:pPr>
              <w:spacing w:after="0"/>
              <w:rPr>
                <w:rFonts w:ascii="Calibri" w:eastAsia="Times New Roman" w:hAnsi="Calibri" w:cs="Times New Roman"/>
                <w:color w:val="000000"/>
                <w:sz w:val="20"/>
                <w:szCs w:val="20"/>
              </w:rPr>
            </w:pPr>
            <w:r w:rsidRPr="00723656">
              <w:rPr>
                <w:rFonts w:ascii="Calibri" w:eastAsia="Times New Roman" w:hAnsi="Calibri" w:cs="Times New Roman"/>
                <w:color w:val="000000"/>
                <w:sz w:val="20"/>
                <w:szCs w:val="20"/>
              </w:rPr>
              <w:t>Task shifting to lay health workers was generally acceptable to individuals living with HIV. Lay counselors were able to spend more time with individuals living with HIV</w:t>
            </w:r>
            <w:r>
              <w:rPr>
                <w:rFonts w:ascii="Calibri" w:eastAsia="Times New Roman" w:hAnsi="Calibri" w:cs="Times New Roman"/>
                <w:color w:val="000000"/>
                <w:sz w:val="20"/>
                <w:szCs w:val="20"/>
              </w:rPr>
              <w:t>, provided more social and non-</w:t>
            </w:r>
            <w:r w:rsidRPr="00723656">
              <w:rPr>
                <w:rFonts w:ascii="Calibri" w:eastAsia="Times New Roman" w:hAnsi="Calibri" w:cs="Times New Roman"/>
                <w:color w:val="000000"/>
                <w:sz w:val="20"/>
                <w:szCs w:val="20"/>
              </w:rPr>
              <w:t>medical instrumental support (</w:t>
            </w:r>
            <w:r w:rsidR="00D0514E">
              <w:rPr>
                <w:rFonts w:ascii="Calibri" w:eastAsia="Times New Roman" w:hAnsi="Calibri" w:cs="Times New Roman"/>
                <w:color w:val="000000"/>
                <w:sz w:val="20"/>
                <w:szCs w:val="20"/>
              </w:rPr>
              <w:t xml:space="preserve">such as </w:t>
            </w:r>
            <w:r w:rsidRPr="00723656">
              <w:rPr>
                <w:rFonts w:ascii="Calibri" w:eastAsia="Times New Roman" w:hAnsi="Calibri" w:cs="Times New Roman"/>
                <w:color w:val="000000"/>
                <w:sz w:val="20"/>
                <w:szCs w:val="20"/>
              </w:rPr>
              <w:t>arrangement of rides to clinic). Lay health worker counseling and peer health education nurtured hope and a positive attitude, which increased retention in care</w:t>
            </w:r>
            <w:r>
              <w:rPr>
                <w:rFonts w:ascii="Calibri" w:eastAsia="Times New Roman" w:hAnsi="Calibri" w:cs="Times New Roman"/>
                <w:color w:val="000000"/>
                <w:sz w:val="20"/>
                <w:szCs w:val="20"/>
              </w:rPr>
              <w:t xml:space="preserve">. </w:t>
            </w:r>
          </w:p>
        </w:tc>
      </w:tr>
      <w:tr w:rsidR="00862AF9" w:rsidRPr="00862AF9" w14:paraId="3EC6C1AD" w14:textId="77777777" w:rsidTr="00A46DF7">
        <w:trPr>
          <w:cantSplit/>
          <w:trHeight w:val="320"/>
        </w:trPr>
        <w:tc>
          <w:tcPr>
            <w:tcW w:w="1291" w:type="dxa"/>
            <w:shd w:val="clear" w:color="auto" w:fill="auto"/>
            <w:noWrap/>
            <w:vAlign w:val="bottom"/>
          </w:tcPr>
          <w:p w14:paraId="0DE963A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Kredo</w:t>
            </w:r>
          </w:p>
        </w:tc>
        <w:tc>
          <w:tcPr>
            <w:tcW w:w="709" w:type="dxa"/>
            <w:shd w:val="clear" w:color="auto" w:fill="auto"/>
            <w:noWrap/>
            <w:vAlign w:val="bottom"/>
          </w:tcPr>
          <w:p w14:paraId="4DA1832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850" w:type="dxa"/>
            <w:shd w:val="clear" w:color="auto" w:fill="auto"/>
            <w:noWrap/>
            <w:vAlign w:val="bottom"/>
          </w:tcPr>
          <w:p w14:paraId="4831DF9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 MA</w:t>
            </w:r>
          </w:p>
        </w:tc>
        <w:tc>
          <w:tcPr>
            <w:tcW w:w="10773" w:type="dxa"/>
            <w:shd w:val="clear" w:color="auto" w:fill="auto"/>
            <w:noWrap/>
            <w:vAlign w:val="bottom"/>
          </w:tcPr>
          <w:p w14:paraId="3C5C5F74" w14:textId="73902150"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Shifting responsibility from doctors to adequately trained and supported </w:t>
            </w:r>
            <w:r w:rsidR="002E2547">
              <w:rPr>
                <w:rFonts w:ascii="Calibri" w:eastAsia="Times New Roman" w:hAnsi="Calibri" w:cs="Times New Roman"/>
                <w:color w:val="000000"/>
                <w:sz w:val="20"/>
                <w:szCs w:val="20"/>
              </w:rPr>
              <w:t>CHWs</w:t>
            </w:r>
            <w:r w:rsidRPr="00862AF9">
              <w:rPr>
                <w:rFonts w:ascii="Calibri" w:eastAsia="Times New Roman" w:hAnsi="Calibri" w:cs="Times New Roman"/>
                <w:color w:val="000000"/>
                <w:sz w:val="20"/>
                <w:szCs w:val="20"/>
              </w:rPr>
              <w:t xml:space="preserve"> for managing HIV patients probably does not decrease the quality of care.</w:t>
            </w:r>
          </w:p>
        </w:tc>
      </w:tr>
      <w:tr w:rsidR="00894D67" w:rsidRPr="00862AF9" w14:paraId="73C54F07" w14:textId="77777777" w:rsidTr="000816E0">
        <w:trPr>
          <w:cantSplit/>
          <w:trHeight w:val="320"/>
        </w:trPr>
        <w:tc>
          <w:tcPr>
            <w:tcW w:w="1291" w:type="dxa"/>
            <w:shd w:val="clear" w:color="auto" w:fill="auto"/>
            <w:noWrap/>
            <w:vAlign w:val="bottom"/>
          </w:tcPr>
          <w:p w14:paraId="18B91242" w14:textId="6208784A" w:rsidR="00894D67" w:rsidRPr="00A46DF7" w:rsidRDefault="00894D67" w:rsidP="00E96A82">
            <w:pPr>
              <w:keepNext/>
              <w:keepLines/>
              <w:spacing w:after="0"/>
              <w:outlineLvl w:val="8"/>
              <w:rPr>
                <w:rFonts w:ascii="Calibri" w:eastAsia="Times New Roman" w:hAnsi="Calibri" w:cs="Times New Roman"/>
                <w:color w:val="000000"/>
                <w:sz w:val="20"/>
                <w:szCs w:val="20"/>
                <w:vertAlign w:val="superscript"/>
              </w:rPr>
            </w:pPr>
            <w:r>
              <w:rPr>
                <w:rFonts w:ascii="Calibri" w:eastAsia="Times New Roman" w:hAnsi="Calibri" w:cs="Times New Roman"/>
                <w:color w:val="000000"/>
                <w:sz w:val="20"/>
                <w:szCs w:val="20"/>
              </w:rPr>
              <w:t>Ma</w:t>
            </w:r>
            <w:r w:rsidR="0006266F">
              <w:rPr>
                <w:rFonts w:ascii="Calibri" w:eastAsia="Times New Roman" w:hAnsi="Calibri" w:cs="Times New Roman"/>
                <w:color w:val="000000"/>
                <w:sz w:val="20"/>
                <w:szCs w:val="20"/>
                <w:vertAlign w:val="superscript"/>
              </w:rPr>
              <w:t>7</w:t>
            </w:r>
          </w:p>
        </w:tc>
        <w:tc>
          <w:tcPr>
            <w:tcW w:w="709" w:type="dxa"/>
            <w:shd w:val="clear" w:color="auto" w:fill="auto"/>
            <w:noWrap/>
            <w:vAlign w:val="bottom"/>
          </w:tcPr>
          <w:p w14:paraId="0EFE25F4" w14:textId="0801CBDC" w:rsidR="00894D67" w:rsidRPr="00862AF9" w:rsidRDefault="00894D67"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850" w:type="dxa"/>
            <w:shd w:val="clear" w:color="auto" w:fill="auto"/>
            <w:noWrap/>
            <w:vAlign w:val="bottom"/>
          </w:tcPr>
          <w:p w14:paraId="4702A90E" w14:textId="47F675C9" w:rsidR="00894D67" w:rsidRPr="00862AF9" w:rsidRDefault="00894D67"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 MA</w:t>
            </w:r>
          </w:p>
        </w:tc>
        <w:tc>
          <w:tcPr>
            <w:tcW w:w="10773" w:type="dxa"/>
            <w:shd w:val="clear" w:color="auto" w:fill="auto"/>
            <w:noWrap/>
            <w:vAlign w:val="bottom"/>
          </w:tcPr>
          <w:p w14:paraId="4C1C4664" w14:textId="7A30754C" w:rsidR="00894D67" w:rsidRPr="00862AF9" w:rsidRDefault="00894D67" w:rsidP="00E96A82">
            <w:pPr>
              <w:spacing w:after="0"/>
              <w:rPr>
                <w:rFonts w:ascii="Calibri" w:eastAsia="Times New Roman" w:hAnsi="Calibri" w:cs="Times New Roman"/>
                <w:color w:val="000000"/>
                <w:sz w:val="20"/>
                <w:szCs w:val="20"/>
              </w:rPr>
            </w:pPr>
            <w:r w:rsidRPr="00894D67">
              <w:rPr>
                <w:rFonts w:ascii="Calibri" w:eastAsia="Times New Roman" w:hAnsi="Calibri" w:cs="Times New Roman"/>
                <w:color w:val="000000"/>
                <w:sz w:val="20"/>
                <w:szCs w:val="20"/>
              </w:rPr>
              <w:t xml:space="preserve">Task shifting was acceptable </w:t>
            </w:r>
            <w:r w:rsidR="00D0514E">
              <w:rPr>
                <w:rFonts w:ascii="Calibri" w:eastAsia="Times New Roman" w:hAnsi="Calibri" w:cs="Times New Roman"/>
                <w:color w:val="000000"/>
                <w:sz w:val="20"/>
                <w:szCs w:val="20"/>
              </w:rPr>
              <w:t>to persons living with HIV infection (</w:t>
            </w:r>
            <w:r w:rsidRPr="00894D67">
              <w:rPr>
                <w:rFonts w:ascii="Calibri" w:eastAsia="Times New Roman" w:hAnsi="Calibri" w:cs="Times New Roman"/>
                <w:color w:val="000000"/>
                <w:sz w:val="20"/>
                <w:szCs w:val="20"/>
              </w:rPr>
              <w:t>PLHIV</w:t>
            </w:r>
            <w:r w:rsidR="00D0514E">
              <w:rPr>
                <w:rFonts w:ascii="Calibri" w:eastAsia="Times New Roman" w:hAnsi="Calibri" w:cs="Times New Roman"/>
                <w:color w:val="000000"/>
                <w:sz w:val="20"/>
                <w:szCs w:val="20"/>
              </w:rPr>
              <w:t>),</w:t>
            </w:r>
            <w:r w:rsidRPr="00894D67">
              <w:rPr>
                <w:rFonts w:ascii="Calibri" w:eastAsia="Times New Roman" w:hAnsi="Calibri" w:cs="Times New Roman"/>
                <w:color w:val="000000"/>
                <w:sz w:val="20"/>
                <w:szCs w:val="20"/>
              </w:rPr>
              <w:t xml:space="preserve"> and lay health workers </w:t>
            </w:r>
            <w:r w:rsidR="00D0514E">
              <w:rPr>
                <w:rFonts w:ascii="Calibri" w:eastAsia="Times New Roman" w:hAnsi="Calibri" w:cs="Times New Roman"/>
                <w:color w:val="000000"/>
                <w:sz w:val="20"/>
                <w:szCs w:val="20"/>
              </w:rPr>
              <w:t>can</w:t>
            </w:r>
            <w:r w:rsidRPr="00894D67">
              <w:rPr>
                <w:rFonts w:ascii="Calibri" w:eastAsia="Times New Roman" w:hAnsi="Calibri" w:cs="Times New Roman"/>
                <w:color w:val="000000"/>
                <w:sz w:val="20"/>
                <w:szCs w:val="20"/>
              </w:rPr>
              <w:t xml:space="preserve"> resolve the shortage of medical professionals</w:t>
            </w:r>
            <w:r w:rsidR="00D0514E">
              <w:rPr>
                <w:rFonts w:ascii="Calibri" w:eastAsia="Times New Roman" w:hAnsi="Calibri" w:cs="Times New Roman"/>
                <w:color w:val="000000"/>
                <w:sz w:val="20"/>
                <w:szCs w:val="20"/>
              </w:rPr>
              <w:t xml:space="preserve"> for HIV care</w:t>
            </w:r>
            <w:r w:rsidRPr="00894D67">
              <w:rPr>
                <w:rFonts w:ascii="Calibri" w:eastAsia="Times New Roman" w:hAnsi="Calibri" w:cs="Times New Roman"/>
                <w:color w:val="000000"/>
                <w:sz w:val="20"/>
                <w:szCs w:val="20"/>
              </w:rPr>
              <w:t xml:space="preserve">, strengthen the relationship </w:t>
            </w:r>
            <w:r w:rsidR="00D0514E">
              <w:rPr>
                <w:rFonts w:ascii="Calibri" w:eastAsia="Times New Roman" w:hAnsi="Calibri" w:cs="Times New Roman"/>
                <w:color w:val="000000"/>
                <w:sz w:val="20"/>
                <w:szCs w:val="20"/>
              </w:rPr>
              <w:t xml:space="preserve">between </w:t>
            </w:r>
            <w:r w:rsidRPr="00894D67">
              <w:rPr>
                <w:rFonts w:ascii="Calibri" w:eastAsia="Times New Roman" w:hAnsi="Calibri" w:cs="Times New Roman"/>
                <w:color w:val="000000"/>
                <w:sz w:val="20"/>
                <w:szCs w:val="20"/>
              </w:rPr>
              <w:t>the community</w:t>
            </w:r>
            <w:r w:rsidR="00D0514E">
              <w:rPr>
                <w:rFonts w:ascii="Calibri" w:eastAsia="Times New Roman" w:hAnsi="Calibri" w:cs="Times New Roman"/>
                <w:color w:val="000000"/>
                <w:sz w:val="20"/>
                <w:szCs w:val="20"/>
              </w:rPr>
              <w:t xml:space="preserve"> and the health system</w:t>
            </w:r>
            <w:r w:rsidRPr="00894D67">
              <w:rPr>
                <w:rFonts w:ascii="Calibri" w:eastAsia="Times New Roman" w:hAnsi="Calibri" w:cs="Times New Roman"/>
                <w:color w:val="000000"/>
                <w:sz w:val="20"/>
                <w:szCs w:val="20"/>
              </w:rPr>
              <w:t>, improve the psychosocial wellbeing of PLHIV</w:t>
            </w:r>
            <w:r w:rsidR="00D0514E">
              <w:rPr>
                <w:rFonts w:ascii="Calibri" w:eastAsia="Times New Roman" w:hAnsi="Calibri" w:cs="Times New Roman"/>
                <w:color w:val="000000"/>
                <w:sz w:val="20"/>
                <w:szCs w:val="20"/>
              </w:rPr>
              <w:t>,</w:t>
            </w:r>
            <w:r w:rsidRPr="00894D67">
              <w:rPr>
                <w:rFonts w:ascii="Calibri" w:eastAsia="Times New Roman" w:hAnsi="Calibri" w:cs="Times New Roman"/>
                <w:color w:val="000000"/>
                <w:sz w:val="20"/>
                <w:szCs w:val="20"/>
              </w:rPr>
              <w:t xml:space="preserve"> and empower them to achieve better adherence. Proper training and compensation for lay health workers can better facilitate task shifting.</w:t>
            </w:r>
          </w:p>
        </w:tc>
      </w:tr>
      <w:tr w:rsidR="00862AF9" w:rsidRPr="00862AF9" w14:paraId="27968016" w14:textId="77777777" w:rsidTr="00A46DF7">
        <w:trPr>
          <w:cantSplit/>
          <w:trHeight w:val="320"/>
        </w:trPr>
        <w:tc>
          <w:tcPr>
            <w:tcW w:w="1291" w:type="dxa"/>
            <w:shd w:val="clear" w:color="auto" w:fill="auto"/>
            <w:noWrap/>
            <w:vAlign w:val="bottom"/>
          </w:tcPr>
          <w:p w14:paraId="6A00F03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Mdege</w:t>
            </w:r>
          </w:p>
        </w:tc>
        <w:tc>
          <w:tcPr>
            <w:tcW w:w="709" w:type="dxa"/>
            <w:shd w:val="clear" w:color="auto" w:fill="auto"/>
            <w:noWrap/>
            <w:vAlign w:val="bottom"/>
          </w:tcPr>
          <w:p w14:paraId="410BB303"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850" w:type="dxa"/>
            <w:shd w:val="clear" w:color="auto" w:fill="auto"/>
            <w:noWrap/>
            <w:vAlign w:val="bottom"/>
          </w:tcPr>
          <w:p w14:paraId="78DF55CD"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773" w:type="dxa"/>
            <w:shd w:val="clear" w:color="auto" w:fill="auto"/>
            <w:noWrap/>
            <w:vAlign w:val="bottom"/>
          </w:tcPr>
          <w:p w14:paraId="2AEB7FE7"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Task shifting from health care professionals to lay health worker for antiretroviral treatment achieved equivalent patient outcomes in terms of mortality, viral load, CD4 cell count, adherence to treatment, loss to follow-up, health care utilization, occurrence of new AIDS-defining illnesses, incidence of opportunistic infections, toxicity of antiretroviral treatment, quality of life, and other measures of treatment failure. However, most of the identified studies in the review were underpowered. Task-shifting resulted in substantial cost and physician time savings.</w:t>
            </w:r>
          </w:p>
        </w:tc>
      </w:tr>
      <w:tr w:rsidR="00862AF9" w:rsidRPr="00862AF9" w14:paraId="6116BEEA" w14:textId="77777777" w:rsidTr="00A46DF7">
        <w:trPr>
          <w:cantSplit/>
          <w:trHeight w:val="320"/>
        </w:trPr>
        <w:tc>
          <w:tcPr>
            <w:tcW w:w="1291" w:type="dxa"/>
            <w:shd w:val="clear" w:color="auto" w:fill="auto"/>
            <w:noWrap/>
            <w:vAlign w:val="bottom"/>
          </w:tcPr>
          <w:p w14:paraId="53BC843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Mwai</w:t>
            </w:r>
          </w:p>
        </w:tc>
        <w:tc>
          <w:tcPr>
            <w:tcW w:w="709" w:type="dxa"/>
            <w:shd w:val="clear" w:color="auto" w:fill="auto"/>
            <w:noWrap/>
            <w:vAlign w:val="bottom"/>
          </w:tcPr>
          <w:p w14:paraId="0228081F"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850" w:type="dxa"/>
            <w:shd w:val="clear" w:color="auto" w:fill="auto"/>
            <w:noWrap/>
            <w:vAlign w:val="bottom"/>
          </w:tcPr>
          <w:p w14:paraId="54CC4934"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773" w:type="dxa"/>
            <w:shd w:val="clear" w:color="auto" w:fill="auto"/>
            <w:noWrap/>
            <w:vAlign w:val="bottom"/>
          </w:tcPr>
          <w:p w14:paraId="3C2135B9"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CHWs were reported to enhance the reach, uptake and quality of HIV services, as well as the dignity, quality of life and retention in care for people living with HIV. The presence of CHWs in clinics was reported to reduce waiting times, streamline patient flow and reduce the workload of health workers. Clinical outcomes appeared not to be compromised, with no differences in virologic failure and mortality when comparing patients receiving community-based care with receiving facility-based care.</w:t>
            </w:r>
          </w:p>
        </w:tc>
      </w:tr>
      <w:tr w:rsidR="00862AF9" w:rsidRPr="00862AF9" w14:paraId="6EB9607F" w14:textId="77777777" w:rsidTr="00A46DF7">
        <w:trPr>
          <w:cantSplit/>
          <w:trHeight w:val="320"/>
        </w:trPr>
        <w:tc>
          <w:tcPr>
            <w:tcW w:w="1291" w:type="dxa"/>
            <w:shd w:val="clear" w:color="auto" w:fill="auto"/>
            <w:noWrap/>
            <w:vAlign w:val="bottom"/>
          </w:tcPr>
          <w:p w14:paraId="40A7068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Petersen</w:t>
            </w:r>
          </w:p>
        </w:tc>
        <w:tc>
          <w:tcPr>
            <w:tcW w:w="709" w:type="dxa"/>
            <w:shd w:val="clear" w:color="auto" w:fill="auto"/>
            <w:noWrap/>
            <w:vAlign w:val="bottom"/>
          </w:tcPr>
          <w:p w14:paraId="62B1412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850" w:type="dxa"/>
            <w:shd w:val="clear" w:color="auto" w:fill="auto"/>
            <w:noWrap/>
            <w:vAlign w:val="bottom"/>
          </w:tcPr>
          <w:p w14:paraId="451C66A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773" w:type="dxa"/>
            <w:shd w:val="clear" w:color="auto" w:fill="auto"/>
            <w:noWrap/>
            <w:vAlign w:val="bottom"/>
          </w:tcPr>
          <w:p w14:paraId="6D9B026F"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South African lay counselors working in chronic care have poorly defined roles, inconsistent remuneration, no standardized training, as well as poor supervision and logistical support. Studies provide evidence that under controlled conditions with adequate training and supervision, lay-counselor behavior change counseling interventions using various adaptions of the information-motivation-behavioral skills model can reduce HIV-risk behaviors including unprotected sex, alcohol use before sex, number of sexual partners; and transactional sex.</w:t>
            </w:r>
          </w:p>
        </w:tc>
      </w:tr>
      <w:tr w:rsidR="000A368D" w:rsidRPr="00862AF9" w14:paraId="52B214AE" w14:textId="77777777" w:rsidTr="000816E0">
        <w:trPr>
          <w:cantSplit/>
          <w:trHeight w:val="320"/>
        </w:trPr>
        <w:tc>
          <w:tcPr>
            <w:tcW w:w="1291" w:type="dxa"/>
            <w:shd w:val="clear" w:color="auto" w:fill="auto"/>
            <w:noWrap/>
            <w:vAlign w:val="bottom"/>
          </w:tcPr>
          <w:p w14:paraId="696A1025" w14:textId="4176ECDB" w:rsidR="000A368D" w:rsidRPr="00A46DF7" w:rsidRDefault="000A368D" w:rsidP="00E96A82">
            <w:pPr>
              <w:keepNext/>
              <w:keepLines/>
              <w:spacing w:after="0"/>
              <w:outlineLvl w:val="8"/>
              <w:rPr>
                <w:rFonts w:ascii="Calibri" w:eastAsia="Times New Roman" w:hAnsi="Calibri" w:cs="Times New Roman"/>
                <w:color w:val="000000"/>
                <w:sz w:val="20"/>
                <w:szCs w:val="20"/>
                <w:vertAlign w:val="superscript"/>
              </w:rPr>
            </w:pPr>
            <w:r>
              <w:rPr>
                <w:rFonts w:ascii="Calibri" w:eastAsia="Times New Roman" w:hAnsi="Calibri" w:cs="Times New Roman"/>
                <w:color w:val="000000"/>
                <w:sz w:val="20"/>
                <w:szCs w:val="20"/>
              </w:rPr>
              <w:t>Tso</w:t>
            </w:r>
            <w:r w:rsidR="0006266F">
              <w:rPr>
                <w:rFonts w:ascii="Calibri" w:eastAsia="Times New Roman" w:hAnsi="Calibri" w:cs="Times New Roman"/>
                <w:color w:val="000000"/>
                <w:sz w:val="20"/>
                <w:szCs w:val="20"/>
                <w:vertAlign w:val="superscript"/>
              </w:rPr>
              <w:t>7</w:t>
            </w:r>
          </w:p>
        </w:tc>
        <w:tc>
          <w:tcPr>
            <w:tcW w:w="709" w:type="dxa"/>
            <w:shd w:val="clear" w:color="auto" w:fill="auto"/>
            <w:noWrap/>
            <w:vAlign w:val="bottom"/>
          </w:tcPr>
          <w:p w14:paraId="24FA525B" w14:textId="40D774B9" w:rsidR="000A368D" w:rsidRPr="00862AF9" w:rsidRDefault="000A368D"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850" w:type="dxa"/>
            <w:shd w:val="clear" w:color="auto" w:fill="auto"/>
            <w:noWrap/>
            <w:vAlign w:val="bottom"/>
          </w:tcPr>
          <w:p w14:paraId="32362AA7" w14:textId="55118911" w:rsidR="000A368D" w:rsidRPr="00862AF9" w:rsidRDefault="002549B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r w:rsidR="00894D67">
              <w:rPr>
                <w:rFonts w:ascii="Calibri" w:eastAsia="Times New Roman" w:hAnsi="Calibri" w:cs="Times New Roman"/>
                <w:color w:val="000000"/>
                <w:sz w:val="20"/>
                <w:szCs w:val="20"/>
              </w:rPr>
              <w:t xml:space="preserve"> MA</w:t>
            </w:r>
          </w:p>
        </w:tc>
        <w:tc>
          <w:tcPr>
            <w:tcW w:w="10773" w:type="dxa"/>
            <w:shd w:val="clear" w:color="auto" w:fill="auto"/>
            <w:noWrap/>
            <w:vAlign w:val="bottom"/>
          </w:tcPr>
          <w:p w14:paraId="630F07FB" w14:textId="3010D2C1" w:rsidR="000A368D" w:rsidRPr="007C6EE1" w:rsidRDefault="008226F5" w:rsidP="00E96A82">
            <w:pPr>
              <w:spacing w:after="0"/>
              <w:rPr>
                <w:rFonts w:ascii="Calibri" w:eastAsia="Times New Roman" w:hAnsi="Calibri" w:cs="Times New Roman"/>
                <w:bCs/>
                <w:color w:val="000000"/>
                <w:sz w:val="20"/>
                <w:szCs w:val="20"/>
              </w:rPr>
            </w:pPr>
            <w:r>
              <w:rPr>
                <w:rFonts w:ascii="Calibri" w:eastAsia="Times New Roman" w:hAnsi="Calibri" w:cs="Times New Roman"/>
                <w:color w:val="000000"/>
                <w:sz w:val="20"/>
                <w:szCs w:val="20"/>
              </w:rPr>
              <w:t xml:space="preserve">Effective </w:t>
            </w:r>
            <w:r w:rsidRPr="007C6EE1">
              <w:rPr>
                <w:rFonts w:ascii="Calibri" w:eastAsia="Times New Roman" w:hAnsi="Calibri" w:cs="Times New Roman"/>
                <w:color w:val="000000"/>
                <w:sz w:val="20"/>
                <w:szCs w:val="20"/>
              </w:rPr>
              <w:t>interventions that link people living with HIV to care include: task shifting (</w:t>
            </w:r>
            <w:r w:rsidR="007C6EE1">
              <w:rPr>
                <w:rFonts w:ascii="Calibri" w:eastAsia="Times New Roman" w:hAnsi="Calibri" w:cs="Times New Roman"/>
                <w:bCs/>
                <w:color w:val="000000"/>
                <w:sz w:val="20"/>
                <w:szCs w:val="20"/>
              </w:rPr>
              <w:t>4</w:t>
            </w:r>
            <w:r w:rsidRPr="00A46DF7">
              <w:rPr>
                <w:rFonts w:ascii="Calibri" w:eastAsia="Times New Roman" w:hAnsi="Calibri" w:cs="Times New Roman"/>
                <w:bCs/>
                <w:color w:val="000000"/>
                <w:sz w:val="20"/>
                <w:szCs w:val="20"/>
              </w:rPr>
              <w:t xml:space="preserve"> studies, high confidence</w:t>
            </w:r>
            <w:r w:rsidR="000E7B95">
              <w:rPr>
                <w:rFonts w:ascii="Calibri" w:eastAsia="Times New Roman" w:hAnsi="Calibri" w:cs="Times New Roman"/>
                <w:bCs/>
                <w:color w:val="000000"/>
                <w:sz w:val="20"/>
                <w:szCs w:val="20"/>
              </w:rPr>
              <w:t xml:space="preserve"> rated using CERQual, </w:t>
            </w:r>
            <w:r w:rsidR="000E7B95" w:rsidRPr="000E7B95">
              <w:rPr>
                <w:rFonts w:ascii="Calibri" w:eastAsia="Times New Roman" w:hAnsi="Calibri" w:cs="Times New Roman"/>
                <w:bCs/>
                <w:color w:val="000000"/>
                <w:sz w:val="20"/>
                <w:szCs w:val="20"/>
              </w:rPr>
              <w:t>a tool analogous to GRADE for evaluating the confidence of qualitative systematic review</w:t>
            </w:r>
            <w:r w:rsidR="000E7B95">
              <w:rPr>
                <w:rFonts w:ascii="Calibri" w:eastAsia="Times New Roman" w:hAnsi="Calibri" w:cs="Times New Roman"/>
                <w:bCs/>
                <w:color w:val="000000"/>
                <w:sz w:val="20"/>
                <w:szCs w:val="20"/>
              </w:rPr>
              <w:t xml:space="preserve"> findings</w:t>
            </w:r>
            <w:r w:rsidRPr="00A46DF7">
              <w:rPr>
                <w:rFonts w:ascii="Calibri" w:eastAsia="Times New Roman" w:hAnsi="Calibri" w:cs="Times New Roman"/>
                <w:bCs/>
                <w:color w:val="000000"/>
                <w:sz w:val="20"/>
                <w:szCs w:val="20"/>
              </w:rPr>
              <w:t>)</w:t>
            </w:r>
            <w:r w:rsidRPr="007C6EE1">
              <w:rPr>
                <w:rFonts w:ascii="Calibri" w:eastAsia="Times New Roman" w:hAnsi="Calibri" w:cs="Times New Roman"/>
                <w:color w:val="000000"/>
                <w:sz w:val="20"/>
                <w:szCs w:val="20"/>
              </w:rPr>
              <w:t xml:space="preserve">, </w:t>
            </w:r>
            <w:r w:rsidR="007C6EE1" w:rsidRPr="007C6EE1">
              <w:rPr>
                <w:rFonts w:ascii="Calibri" w:eastAsia="Times New Roman" w:hAnsi="Calibri" w:cs="Times New Roman"/>
                <w:bCs/>
                <w:color w:val="000000"/>
                <w:sz w:val="20"/>
                <w:szCs w:val="20"/>
              </w:rPr>
              <w:t>c</w:t>
            </w:r>
            <w:r w:rsidRPr="00A46DF7">
              <w:rPr>
                <w:rFonts w:ascii="Calibri" w:eastAsia="Times New Roman" w:hAnsi="Calibri" w:cs="Times New Roman"/>
                <w:bCs/>
                <w:color w:val="000000"/>
                <w:sz w:val="20"/>
                <w:szCs w:val="20"/>
              </w:rPr>
              <w:t>ommunity-based mobile outreach testing and linkage (</w:t>
            </w:r>
            <w:r w:rsidR="007C6EE1">
              <w:rPr>
                <w:rFonts w:ascii="Calibri" w:eastAsia="Times New Roman" w:hAnsi="Calibri" w:cs="Times New Roman"/>
                <w:bCs/>
                <w:color w:val="000000"/>
                <w:sz w:val="20"/>
                <w:szCs w:val="20"/>
              </w:rPr>
              <w:t>3</w:t>
            </w:r>
            <w:r w:rsidRPr="00A46DF7">
              <w:rPr>
                <w:rFonts w:ascii="Calibri" w:eastAsia="Times New Roman" w:hAnsi="Calibri" w:cs="Times New Roman"/>
                <w:bCs/>
                <w:color w:val="000000"/>
                <w:sz w:val="20"/>
                <w:szCs w:val="20"/>
              </w:rPr>
              <w:t xml:space="preserve"> s</w:t>
            </w:r>
            <w:r w:rsidR="007C6EE1" w:rsidRPr="007C6EE1">
              <w:rPr>
                <w:rFonts w:ascii="Calibri" w:eastAsia="Times New Roman" w:hAnsi="Calibri" w:cs="Times New Roman"/>
                <w:bCs/>
                <w:color w:val="000000"/>
                <w:sz w:val="20"/>
                <w:szCs w:val="20"/>
              </w:rPr>
              <w:t>tudies, high confidence</w:t>
            </w:r>
            <w:r w:rsidRPr="00A46DF7">
              <w:rPr>
                <w:rFonts w:ascii="Calibri" w:eastAsia="Times New Roman" w:hAnsi="Calibri" w:cs="Times New Roman"/>
                <w:bCs/>
                <w:color w:val="000000"/>
                <w:sz w:val="20"/>
                <w:szCs w:val="20"/>
              </w:rPr>
              <w:t xml:space="preserve">), </w:t>
            </w:r>
            <w:r w:rsidR="007C6EE1" w:rsidRPr="007C6EE1">
              <w:rPr>
                <w:rFonts w:ascii="Calibri" w:eastAsia="Times New Roman" w:hAnsi="Calibri" w:cs="Times New Roman"/>
                <w:bCs/>
                <w:color w:val="000000"/>
                <w:sz w:val="20"/>
                <w:szCs w:val="20"/>
              </w:rPr>
              <w:t>i</w:t>
            </w:r>
            <w:r w:rsidRPr="00A46DF7">
              <w:rPr>
                <w:rFonts w:ascii="Calibri" w:eastAsia="Times New Roman" w:hAnsi="Calibri" w:cs="Times New Roman"/>
                <w:bCs/>
                <w:color w:val="000000"/>
                <w:sz w:val="20"/>
                <w:szCs w:val="20"/>
              </w:rPr>
              <w:t>ntegration of HIV-specific and primary medical care (</w:t>
            </w:r>
            <w:r w:rsidR="007C6EE1">
              <w:rPr>
                <w:rFonts w:ascii="Calibri" w:eastAsia="Times New Roman" w:hAnsi="Calibri" w:cs="Times New Roman"/>
                <w:bCs/>
                <w:color w:val="000000"/>
                <w:sz w:val="20"/>
                <w:szCs w:val="20"/>
              </w:rPr>
              <w:t>2</w:t>
            </w:r>
            <w:r w:rsidRPr="00A46DF7">
              <w:rPr>
                <w:rFonts w:ascii="Calibri" w:eastAsia="Times New Roman" w:hAnsi="Calibri" w:cs="Times New Roman"/>
                <w:bCs/>
                <w:color w:val="000000"/>
                <w:sz w:val="20"/>
                <w:szCs w:val="20"/>
              </w:rPr>
              <w:t xml:space="preserve"> studies, moderate confidence), </w:t>
            </w:r>
            <w:r w:rsidR="007C6EE1" w:rsidRPr="007C6EE1">
              <w:rPr>
                <w:rFonts w:ascii="Calibri" w:eastAsia="Times New Roman" w:hAnsi="Calibri" w:cs="Times New Roman"/>
                <w:bCs/>
                <w:color w:val="000000"/>
                <w:sz w:val="20"/>
                <w:szCs w:val="20"/>
              </w:rPr>
              <w:t>provider initiated testing, counseling and l</w:t>
            </w:r>
            <w:r w:rsidRPr="00A46DF7">
              <w:rPr>
                <w:rFonts w:ascii="Calibri" w:eastAsia="Times New Roman" w:hAnsi="Calibri" w:cs="Times New Roman"/>
                <w:bCs/>
                <w:color w:val="000000"/>
                <w:sz w:val="20"/>
                <w:szCs w:val="20"/>
              </w:rPr>
              <w:t>inkage (</w:t>
            </w:r>
            <w:r w:rsidR="007C6EE1">
              <w:rPr>
                <w:rFonts w:ascii="Calibri" w:eastAsia="Times New Roman" w:hAnsi="Calibri" w:cs="Times New Roman"/>
                <w:bCs/>
                <w:color w:val="000000"/>
                <w:sz w:val="20"/>
                <w:szCs w:val="20"/>
              </w:rPr>
              <w:t>2</w:t>
            </w:r>
            <w:r w:rsidRPr="00A46DF7">
              <w:rPr>
                <w:rFonts w:ascii="Calibri" w:eastAsia="Times New Roman" w:hAnsi="Calibri" w:cs="Times New Roman"/>
                <w:bCs/>
                <w:color w:val="000000"/>
                <w:sz w:val="20"/>
                <w:szCs w:val="20"/>
              </w:rPr>
              <w:t xml:space="preserve"> s</w:t>
            </w:r>
            <w:r w:rsidR="007C6EE1" w:rsidRPr="00A46DF7">
              <w:rPr>
                <w:rFonts w:ascii="Calibri" w:eastAsia="Times New Roman" w:hAnsi="Calibri" w:cs="Times New Roman"/>
                <w:bCs/>
                <w:color w:val="000000"/>
                <w:sz w:val="20"/>
                <w:szCs w:val="20"/>
              </w:rPr>
              <w:t xml:space="preserve">tudies, low confidence), and </w:t>
            </w:r>
            <w:r w:rsidR="007C6EE1" w:rsidRPr="007C6EE1">
              <w:rPr>
                <w:rFonts w:ascii="Calibri" w:eastAsia="Times New Roman" w:hAnsi="Calibri" w:cs="Times New Roman"/>
                <w:bCs/>
                <w:color w:val="000000"/>
                <w:sz w:val="20"/>
                <w:szCs w:val="20"/>
              </w:rPr>
              <w:t>ce</w:t>
            </w:r>
            <w:r w:rsidR="007C6EE1" w:rsidRPr="00A46DF7">
              <w:rPr>
                <w:rFonts w:ascii="Calibri" w:eastAsia="Times New Roman" w:hAnsi="Calibri" w:cs="Times New Roman"/>
                <w:bCs/>
                <w:color w:val="000000"/>
                <w:sz w:val="20"/>
                <w:szCs w:val="20"/>
              </w:rPr>
              <w:t xml:space="preserve">ssation support for people who use </w:t>
            </w:r>
            <w:r w:rsidR="00686A39">
              <w:rPr>
                <w:rFonts w:ascii="Calibri" w:eastAsia="Times New Roman" w:hAnsi="Calibri" w:cs="Times New Roman"/>
                <w:bCs/>
                <w:color w:val="000000"/>
                <w:sz w:val="20"/>
                <w:szCs w:val="20"/>
              </w:rPr>
              <w:t xml:space="preserve">illicit </w:t>
            </w:r>
            <w:r w:rsidR="007C6EE1" w:rsidRPr="00A46DF7">
              <w:rPr>
                <w:rFonts w:ascii="Calibri" w:eastAsia="Times New Roman" w:hAnsi="Calibri" w:cs="Times New Roman"/>
                <w:bCs/>
                <w:color w:val="000000"/>
                <w:sz w:val="20"/>
                <w:szCs w:val="20"/>
              </w:rPr>
              <w:t xml:space="preserve">drugs to prepare for HIV </w:t>
            </w:r>
            <w:r w:rsidR="00686A39">
              <w:rPr>
                <w:rFonts w:ascii="Calibri" w:eastAsia="Times New Roman" w:hAnsi="Calibri" w:cs="Times New Roman"/>
                <w:bCs/>
                <w:color w:val="000000"/>
                <w:sz w:val="20"/>
                <w:szCs w:val="20"/>
              </w:rPr>
              <w:t>treatment [??]</w:t>
            </w:r>
            <w:r w:rsidR="007C6EE1" w:rsidRPr="00A46DF7">
              <w:rPr>
                <w:rFonts w:ascii="Calibri" w:eastAsia="Times New Roman" w:hAnsi="Calibri" w:cs="Times New Roman"/>
                <w:bCs/>
                <w:color w:val="000000"/>
                <w:sz w:val="20"/>
                <w:szCs w:val="20"/>
              </w:rPr>
              <w:t xml:space="preserve"> (</w:t>
            </w:r>
            <w:r w:rsidR="007C6EE1">
              <w:rPr>
                <w:rFonts w:ascii="Calibri" w:eastAsia="Times New Roman" w:hAnsi="Calibri" w:cs="Times New Roman"/>
                <w:bCs/>
                <w:color w:val="000000"/>
                <w:sz w:val="20"/>
                <w:szCs w:val="20"/>
              </w:rPr>
              <w:t>2</w:t>
            </w:r>
            <w:r w:rsidR="007C6EE1" w:rsidRPr="00A46DF7">
              <w:rPr>
                <w:rFonts w:ascii="Calibri" w:eastAsia="Times New Roman" w:hAnsi="Calibri" w:cs="Times New Roman"/>
                <w:bCs/>
                <w:color w:val="000000"/>
                <w:sz w:val="20"/>
                <w:szCs w:val="20"/>
              </w:rPr>
              <w:t xml:space="preserve"> st</w:t>
            </w:r>
            <w:r w:rsidR="007C6EE1" w:rsidRPr="007C6EE1">
              <w:rPr>
                <w:rFonts w:ascii="Calibri" w:eastAsia="Times New Roman" w:hAnsi="Calibri" w:cs="Times New Roman"/>
                <w:bCs/>
                <w:color w:val="000000"/>
                <w:sz w:val="20"/>
                <w:szCs w:val="20"/>
              </w:rPr>
              <w:t xml:space="preserve">udies, high confidence). </w:t>
            </w:r>
            <w:r w:rsidR="007C6EE1">
              <w:rPr>
                <w:rFonts w:ascii="Calibri" w:eastAsia="Times New Roman" w:hAnsi="Calibri" w:cs="Times New Roman"/>
                <w:bCs/>
                <w:color w:val="000000"/>
                <w:sz w:val="20"/>
                <w:szCs w:val="20"/>
              </w:rPr>
              <w:t>Lay health workers generally found these interventions acceptable but were hindered by insufficient administrative support and</w:t>
            </w:r>
            <w:r w:rsidR="000E7B95">
              <w:rPr>
                <w:rFonts w:ascii="Calibri" w:eastAsia="Times New Roman" w:hAnsi="Calibri" w:cs="Times New Roman"/>
                <w:bCs/>
                <w:color w:val="000000"/>
                <w:sz w:val="20"/>
                <w:szCs w:val="20"/>
              </w:rPr>
              <w:t xml:space="preserve"> inadequate</w:t>
            </w:r>
            <w:r w:rsidR="007C6EE1">
              <w:rPr>
                <w:rFonts w:ascii="Calibri" w:eastAsia="Times New Roman" w:hAnsi="Calibri" w:cs="Times New Roman"/>
                <w:bCs/>
                <w:color w:val="000000"/>
                <w:sz w:val="20"/>
                <w:szCs w:val="20"/>
              </w:rPr>
              <w:t xml:space="preserve"> training. </w:t>
            </w:r>
          </w:p>
        </w:tc>
      </w:tr>
      <w:tr w:rsidR="00862AF9" w:rsidRPr="00862AF9" w14:paraId="2A23EC3B" w14:textId="77777777" w:rsidTr="00A46DF7">
        <w:trPr>
          <w:cantSplit/>
          <w:trHeight w:val="320"/>
        </w:trPr>
        <w:tc>
          <w:tcPr>
            <w:tcW w:w="1291" w:type="dxa"/>
            <w:shd w:val="clear" w:color="auto" w:fill="auto"/>
            <w:noWrap/>
            <w:vAlign w:val="bottom"/>
          </w:tcPr>
          <w:p w14:paraId="58B7D1D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Wouters</w:t>
            </w:r>
          </w:p>
        </w:tc>
        <w:tc>
          <w:tcPr>
            <w:tcW w:w="709" w:type="dxa"/>
            <w:shd w:val="clear" w:color="auto" w:fill="auto"/>
            <w:noWrap/>
            <w:vAlign w:val="bottom"/>
          </w:tcPr>
          <w:p w14:paraId="1EFACA27"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2012</w:t>
            </w:r>
          </w:p>
        </w:tc>
        <w:tc>
          <w:tcPr>
            <w:tcW w:w="850" w:type="dxa"/>
            <w:shd w:val="clear" w:color="auto" w:fill="auto"/>
            <w:noWrap/>
            <w:vAlign w:val="bottom"/>
          </w:tcPr>
          <w:p w14:paraId="1629FCDB"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SR</w:t>
            </w:r>
          </w:p>
        </w:tc>
        <w:tc>
          <w:tcPr>
            <w:tcW w:w="10773" w:type="dxa"/>
            <w:shd w:val="clear" w:color="auto" w:fill="auto"/>
            <w:noWrap/>
            <w:vAlign w:val="bottom"/>
          </w:tcPr>
          <w:p w14:paraId="63D62A5C"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In task-shifting to support antiretroviral treatment (ART), CHWs can provide psycho-social care, help trace treatment defaulters, serve as peer counselors and adherence supporters to increase compliance with ART. Task-shifting to CHWS had a definite positive impact on a wide range of program quality indicators, including access, coverage, adherence, virological and immunological outcomes, patient retention, and patient survival.</w:t>
            </w:r>
          </w:p>
        </w:tc>
      </w:tr>
      <w:tr w:rsidR="00862AF9" w:rsidRPr="00862AF9" w14:paraId="57D77D4F" w14:textId="77777777" w:rsidTr="00204FA4">
        <w:trPr>
          <w:cantSplit/>
          <w:trHeight w:val="320"/>
        </w:trPr>
        <w:tc>
          <w:tcPr>
            <w:tcW w:w="13623" w:type="dxa"/>
            <w:gridSpan w:val="4"/>
            <w:shd w:val="clear" w:color="auto" w:fill="F2F2F2" w:themeFill="background1" w:themeFillShade="F2"/>
            <w:noWrap/>
            <w:vAlign w:val="bottom"/>
          </w:tcPr>
          <w:p w14:paraId="3F2A60FC" w14:textId="77777777" w:rsidR="00862AF9" w:rsidRPr="00862AF9" w:rsidRDefault="00862AF9" w:rsidP="00E96A82">
            <w:pPr>
              <w:spacing w:after="0"/>
              <w:rPr>
                <w:rFonts w:ascii="Calibri" w:eastAsia="Times New Roman" w:hAnsi="Calibri" w:cs="Times New Roman"/>
                <w:b/>
                <w:color w:val="000000"/>
                <w:sz w:val="20"/>
                <w:szCs w:val="20"/>
              </w:rPr>
            </w:pPr>
            <w:r w:rsidRPr="00862AF9">
              <w:rPr>
                <w:rFonts w:ascii="Calibri" w:eastAsia="Times New Roman" w:hAnsi="Calibri" w:cs="Times New Roman"/>
                <w:b/>
                <w:color w:val="000000"/>
                <w:sz w:val="20"/>
                <w:szCs w:val="20"/>
              </w:rPr>
              <w:t>Malaria</w:t>
            </w:r>
          </w:p>
        </w:tc>
      </w:tr>
      <w:tr w:rsidR="000816E0" w:rsidRPr="00862AF9" w14:paraId="4C2F3F9F" w14:textId="77777777" w:rsidTr="000816E0">
        <w:trPr>
          <w:cantSplit/>
          <w:trHeight w:val="320"/>
        </w:trPr>
        <w:tc>
          <w:tcPr>
            <w:tcW w:w="1291" w:type="dxa"/>
            <w:shd w:val="clear" w:color="auto" w:fill="auto"/>
            <w:noWrap/>
            <w:vAlign w:val="bottom"/>
          </w:tcPr>
          <w:p w14:paraId="107EBABF" w14:textId="4BA89938" w:rsidR="000816E0" w:rsidRPr="00862AF9" w:rsidRDefault="000816E0"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Boyce</w:t>
            </w:r>
          </w:p>
        </w:tc>
        <w:tc>
          <w:tcPr>
            <w:tcW w:w="709" w:type="dxa"/>
            <w:shd w:val="clear" w:color="auto" w:fill="auto"/>
            <w:noWrap/>
            <w:vAlign w:val="bottom"/>
          </w:tcPr>
          <w:p w14:paraId="68CEF7F8" w14:textId="1E0AC6BF" w:rsidR="000816E0" w:rsidRPr="00862AF9" w:rsidRDefault="000816E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850" w:type="dxa"/>
            <w:shd w:val="clear" w:color="auto" w:fill="auto"/>
            <w:noWrap/>
            <w:vAlign w:val="bottom"/>
          </w:tcPr>
          <w:p w14:paraId="670BC2FA" w14:textId="01A111DD" w:rsidR="000816E0" w:rsidRPr="00862AF9" w:rsidRDefault="000816E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773" w:type="dxa"/>
            <w:shd w:val="clear" w:color="auto" w:fill="auto"/>
            <w:noWrap/>
            <w:vAlign w:val="bottom"/>
          </w:tcPr>
          <w:p w14:paraId="4943E183" w14:textId="755CACFD" w:rsidR="000816E0" w:rsidRPr="00862AF9" w:rsidRDefault="00146EA4"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Rapid diagnostic tests</w:t>
            </w:r>
            <w:r w:rsidRPr="00146EA4">
              <w:rPr>
                <w:rFonts w:ascii="Calibri" w:eastAsia="Times New Roman" w:hAnsi="Calibri" w:cs="Times New Roman"/>
                <w:color w:val="000000"/>
                <w:sz w:val="20"/>
                <w:szCs w:val="20"/>
              </w:rPr>
              <w:t xml:space="preserve"> are</w:t>
            </w:r>
            <w:r>
              <w:rPr>
                <w:rFonts w:ascii="Calibri" w:eastAsia="Times New Roman" w:hAnsi="Calibri" w:cs="Times New Roman"/>
                <w:color w:val="000000"/>
                <w:sz w:val="20"/>
                <w:szCs w:val="20"/>
              </w:rPr>
              <w:t xml:space="preserve"> performed safely by CBP</w:t>
            </w:r>
            <w:r w:rsidRPr="00146EA4">
              <w:rPr>
                <w:rFonts w:ascii="Calibri" w:eastAsia="Times New Roman" w:hAnsi="Calibri" w:cs="Times New Roman"/>
                <w:color w:val="000000"/>
                <w:sz w:val="20"/>
                <w:szCs w:val="20"/>
              </w:rPr>
              <w:t>s wh</w:t>
            </w:r>
            <w:r>
              <w:rPr>
                <w:rFonts w:ascii="Calibri" w:eastAsia="Times New Roman" w:hAnsi="Calibri" w:cs="Times New Roman"/>
                <w:color w:val="000000"/>
                <w:sz w:val="20"/>
                <w:szCs w:val="20"/>
              </w:rPr>
              <w:t>en proper training is provided. Rapid diagnostic tests</w:t>
            </w:r>
            <w:r w:rsidRPr="00146EA4">
              <w:rPr>
                <w:rFonts w:ascii="Calibri" w:eastAsia="Times New Roman" w:hAnsi="Calibri" w:cs="Times New Roman"/>
                <w:color w:val="000000"/>
                <w:sz w:val="20"/>
                <w:szCs w:val="20"/>
              </w:rPr>
              <w:t xml:space="preserve"> are </w:t>
            </w:r>
            <w:r w:rsidR="00686A39">
              <w:rPr>
                <w:rFonts w:ascii="Calibri" w:eastAsia="Times New Roman" w:hAnsi="Calibri" w:cs="Times New Roman"/>
                <w:color w:val="000000"/>
                <w:sz w:val="20"/>
                <w:szCs w:val="20"/>
              </w:rPr>
              <w:t xml:space="preserve">executed by CHWs with </w:t>
            </w:r>
            <w:r w:rsidRPr="00146EA4">
              <w:rPr>
                <w:rFonts w:ascii="Calibri" w:eastAsia="Times New Roman" w:hAnsi="Calibri" w:cs="Times New Roman"/>
                <w:color w:val="000000"/>
                <w:sz w:val="20"/>
                <w:szCs w:val="20"/>
              </w:rPr>
              <w:t>high sensitiv</w:t>
            </w:r>
            <w:r w:rsidR="00686A39">
              <w:rPr>
                <w:rFonts w:ascii="Calibri" w:eastAsia="Times New Roman" w:hAnsi="Calibri" w:cs="Times New Roman"/>
                <w:color w:val="000000"/>
                <w:sz w:val="20"/>
                <w:szCs w:val="20"/>
              </w:rPr>
              <w:t xml:space="preserve">ity </w:t>
            </w:r>
            <w:r w:rsidRPr="00146EA4">
              <w:rPr>
                <w:rFonts w:ascii="Calibri" w:eastAsia="Times New Roman" w:hAnsi="Calibri" w:cs="Times New Roman"/>
                <w:color w:val="000000"/>
                <w:sz w:val="20"/>
                <w:szCs w:val="20"/>
              </w:rPr>
              <w:t xml:space="preserve">and </w:t>
            </w:r>
            <w:r>
              <w:rPr>
                <w:rFonts w:ascii="Calibri" w:eastAsia="Times New Roman" w:hAnsi="Calibri" w:cs="Times New Roman"/>
                <w:color w:val="000000"/>
                <w:sz w:val="20"/>
                <w:szCs w:val="20"/>
              </w:rPr>
              <w:t>specific</w:t>
            </w:r>
            <w:r w:rsidR="00686A39">
              <w:rPr>
                <w:rFonts w:ascii="Calibri" w:eastAsia="Times New Roman" w:hAnsi="Calibri" w:cs="Times New Roman"/>
                <w:color w:val="000000"/>
                <w:sz w:val="20"/>
                <w:szCs w:val="20"/>
              </w:rPr>
              <w:t xml:space="preserve">ity, </w:t>
            </w:r>
            <w:r w:rsidRPr="00146EA4">
              <w:rPr>
                <w:rFonts w:ascii="Calibri" w:eastAsia="Times New Roman" w:hAnsi="Calibri" w:cs="Times New Roman"/>
                <w:color w:val="000000"/>
                <w:sz w:val="20"/>
                <w:szCs w:val="20"/>
              </w:rPr>
              <w:t>and CHWs display high levels of adherence to treatment guidelines. Several of the included studies showed that supplying</w:t>
            </w:r>
            <w:r>
              <w:rPr>
                <w:rFonts w:ascii="Calibri" w:eastAsia="Times New Roman" w:hAnsi="Calibri" w:cs="Times New Roman"/>
                <w:color w:val="000000"/>
                <w:sz w:val="20"/>
                <w:szCs w:val="20"/>
              </w:rPr>
              <w:t xml:space="preserve"> </w:t>
            </w:r>
            <w:r w:rsidRPr="00146EA4">
              <w:rPr>
                <w:rFonts w:ascii="Calibri" w:eastAsia="Times New Roman" w:hAnsi="Calibri" w:cs="Times New Roman"/>
                <w:color w:val="000000"/>
                <w:sz w:val="20"/>
                <w:szCs w:val="20"/>
              </w:rPr>
              <w:t xml:space="preserve">CHWs with additional training and job aids significantly improved their performance of </w:t>
            </w:r>
            <w:r>
              <w:rPr>
                <w:rFonts w:ascii="Calibri" w:eastAsia="Times New Roman" w:hAnsi="Calibri" w:cs="Times New Roman"/>
                <w:color w:val="000000"/>
                <w:sz w:val="20"/>
                <w:szCs w:val="20"/>
              </w:rPr>
              <w:t>rapid diagnostic test</w:t>
            </w:r>
            <w:r w:rsidRPr="00146EA4">
              <w:rPr>
                <w:rFonts w:ascii="Calibri" w:eastAsia="Times New Roman" w:hAnsi="Calibri" w:cs="Times New Roman"/>
                <w:color w:val="000000"/>
                <w:sz w:val="20"/>
                <w:szCs w:val="20"/>
              </w:rPr>
              <w:t xml:space="preserve"> procedures</w:t>
            </w:r>
            <w:r>
              <w:rPr>
                <w:rFonts w:ascii="Calibri" w:eastAsia="Times New Roman" w:hAnsi="Calibri" w:cs="Times New Roman"/>
                <w:color w:val="000000"/>
                <w:sz w:val="20"/>
                <w:szCs w:val="20"/>
              </w:rPr>
              <w:t xml:space="preserve">. </w:t>
            </w:r>
          </w:p>
        </w:tc>
      </w:tr>
      <w:tr w:rsidR="000816E0" w:rsidRPr="00862AF9" w14:paraId="230E126E" w14:textId="77777777" w:rsidTr="000816E0">
        <w:trPr>
          <w:cantSplit/>
          <w:trHeight w:val="320"/>
        </w:trPr>
        <w:tc>
          <w:tcPr>
            <w:tcW w:w="1291" w:type="dxa"/>
            <w:shd w:val="clear" w:color="auto" w:fill="auto"/>
            <w:noWrap/>
            <w:vAlign w:val="bottom"/>
          </w:tcPr>
          <w:p w14:paraId="645BB8B9" w14:textId="2F30900B" w:rsidR="000816E0" w:rsidRDefault="000816E0"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Kabaghe</w:t>
            </w:r>
          </w:p>
        </w:tc>
        <w:tc>
          <w:tcPr>
            <w:tcW w:w="709" w:type="dxa"/>
            <w:shd w:val="clear" w:color="auto" w:fill="auto"/>
            <w:noWrap/>
            <w:vAlign w:val="bottom"/>
          </w:tcPr>
          <w:p w14:paraId="2DCA6AE6" w14:textId="17B546E1" w:rsidR="000816E0" w:rsidRDefault="000816E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2016</w:t>
            </w:r>
          </w:p>
        </w:tc>
        <w:tc>
          <w:tcPr>
            <w:tcW w:w="850" w:type="dxa"/>
            <w:shd w:val="clear" w:color="auto" w:fill="auto"/>
            <w:noWrap/>
            <w:vAlign w:val="bottom"/>
          </w:tcPr>
          <w:p w14:paraId="4973BD4A" w14:textId="206CF3AA" w:rsidR="000816E0" w:rsidRDefault="000816E0"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 MA</w:t>
            </w:r>
          </w:p>
        </w:tc>
        <w:tc>
          <w:tcPr>
            <w:tcW w:w="10773" w:type="dxa"/>
            <w:shd w:val="clear" w:color="auto" w:fill="auto"/>
            <w:noWrap/>
            <w:vAlign w:val="bottom"/>
          </w:tcPr>
          <w:p w14:paraId="7831A183" w14:textId="6D287997" w:rsidR="002A483B" w:rsidRPr="00862AF9" w:rsidRDefault="002A483B"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In the three studies that assessed CBP performance in malaria diagnosis and management, CBP</w:t>
            </w:r>
            <w:r w:rsidRPr="002A483B">
              <w:rPr>
                <w:rFonts w:ascii="Calibri" w:eastAsia="Times New Roman" w:hAnsi="Calibri" w:cs="Times New Roman"/>
                <w:color w:val="000000"/>
                <w:sz w:val="20"/>
                <w:szCs w:val="20"/>
              </w:rPr>
              <w:t>s provided appropriate treatment for 98% of the cases. Those testing positive were treated 99% of the time and those testing negative were not treated 94% of the time</w:t>
            </w:r>
            <w:r>
              <w:rPr>
                <w:rFonts w:ascii="Calibri" w:eastAsia="Times New Roman" w:hAnsi="Calibri" w:cs="Times New Roman"/>
                <w:color w:val="000000"/>
                <w:sz w:val="20"/>
                <w:szCs w:val="20"/>
              </w:rPr>
              <w:t xml:space="preserve">. Improving health worker </w:t>
            </w:r>
            <w:r w:rsidRPr="002A483B">
              <w:rPr>
                <w:rFonts w:ascii="Calibri" w:eastAsia="Times New Roman" w:hAnsi="Calibri" w:cs="Times New Roman"/>
                <w:color w:val="000000"/>
                <w:sz w:val="20"/>
                <w:szCs w:val="20"/>
              </w:rPr>
              <w:t>compliance to negative</w:t>
            </w:r>
            <w:r>
              <w:rPr>
                <w:rFonts w:ascii="Calibri" w:eastAsia="Times New Roman" w:hAnsi="Calibri" w:cs="Times New Roman"/>
                <w:color w:val="000000"/>
                <w:sz w:val="20"/>
                <w:szCs w:val="20"/>
              </w:rPr>
              <w:t xml:space="preserve"> malaria rapid diagnostic test </w:t>
            </w:r>
            <w:r w:rsidRPr="002A483B">
              <w:rPr>
                <w:rFonts w:ascii="Calibri" w:eastAsia="Times New Roman" w:hAnsi="Calibri" w:cs="Times New Roman"/>
                <w:color w:val="000000"/>
                <w:sz w:val="20"/>
                <w:szCs w:val="20"/>
              </w:rPr>
              <w:t xml:space="preserve">results will </w:t>
            </w:r>
            <w:r>
              <w:rPr>
                <w:rFonts w:ascii="Calibri" w:eastAsia="Times New Roman" w:hAnsi="Calibri" w:cs="Times New Roman"/>
                <w:color w:val="000000"/>
                <w:sz w:val="20"/>
                <w:szCs w:val="20"/>
              </w:rPr>
              <w:t xml:space="preserve">prevent the </w:t>
            </w:r>
            <w:r w:rsidRPr="002A483B">
              <w:rPr>
                <w:rFonts w:ascii="Calibri" w:eastAsia="Times New Roman" w:hAnsi="Calibri" w:cs="Times New Roman"/>
                <w:color w:val="000000"/>
                <w:sz w:val="20"/>
                <w:szCs w:val="20"/>
              </w:rPr>
              <w:t xml:space="preserve">mismanagement of patients and overprescribing of anti-malarial drugs. Improving diagnostic capacity for other febrile illnesses and developing local evidence-based guidelines may help improve compliance and management of negative </w:t>
            </w:r>
            <w:r>
              <w:rPr>
                <w:rFonts w:ascii="Calibri" w:eastAsia="Times New Roman" w:hAnsi="Calibri" w:cs="Times New Roman"/>
                <w:color w:val="000000"/>
                <w:sz w:val="20"/>
                <w:szCs w:val="20"/>
              </w:rPr>
              <w:t xml:space="preserve">rapid diagnostic test </w:t>
            </w:r>
            <w:r w:rsidRPr="002A483B">
              <w:rPr>
                <w:rFonts w:ascii="Calibri" w:eastAsia="Times New Roman" w:hAnsi="Calibri" w:cs="Times New Roman"/>
                <w:color w:val="000000"/>
                <w:sz w:val="20"/>
                <w:szCs w:val="20"/>
              </w:rPr>
              <w:t>results.</w:t>
            </w:r>
          </w:p>
        </w:tc>
      </w:tr>
      <w:tr w:rsidR="00862AF9" w:rsidRPr="00862AF9" w14:paraId="059106B5" w14:textId="77777777" w:rsidTr="00A46DF7">
        <w:trPr>
          <w:cantSplit/>
          <w:trHeight w:val="320"/>
        </w:trPr>
        <w:tc>
          <w:tcPr>
            <w:tcW w:w="1291" w:type="dxa"/>
            <w:shd w:val="clear" w:color="auto" w:fill="auto"/>
            <w:noWrap/>
            <w:vAlign w:val="bottom"/>
          </w:tcPr>
          <w:p w14:paraId="00EF30C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Kamal-Yanni</w:t>
            </w:r>
          </w:p>
        </w:tc>
        <w:tc>
          <w:tcPr>
            <w:tcW w:w="709" w:type="dxa"/>
            <w:shd w:val="clear" w:color="auto" w:fill="auto"/>
            <w:noWrap/>
            <w:vAlign w:val="bottom"/>
          </w:tcPr>
          <w:p w14:paraId="732EACB6"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2012</w:t>
            </w:r>
          </w:p>
        </w:tc>
        <w:tc>
          <w:tcPr>
            <w:tcW w:w="850" w:type="dxa"/>
            <w:shd w:val="clear" w:color="auto" w:fill="auto"/>
            <w:noWrap/>
            <w:vAlign w:val="bottom"/>
          </w:tcPr>
          <w:p w14:paraId="60A4B655"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NSR</w:t>
            </w:r>
          </w:p>
        </w:tc>
        <w:tc>
          <w:tcPr>
            <w:tcW w:w="10773" w:type="dxa"/>
            <w:shd w:val="clear" w:color="auto" w:fill="auto"/>
            <w:noWrap/>
            <w:vAlign w:val="bottom"/>
          </w:tcPr>
          <w:p w14:paraId="29F3B5C5"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CHWs can effectively diagnose and treat malaria and other common fevers, even in remote areas. CHWs correctly used rapid diagnostic tests, dispensed artemisinin-based combination therapies (with substantially lower rates of over-prescription compared to healthcare providers in public and private facilities), counseled patients, and performed effective case management of child pneumonia. CHWs scored well in their knowledge and practices of treatment provision in most studies. CHWs increased treatment coverage in underserved areas and reduced delays in care seeking. Their role should be recognized and expanded. The evidence shows that there is no short-cut to investing in training and supervision of providers and that malaria treatment must be integrated into the public health system (rather than treated through vertical programs).</w:t>
            </w:r>
          </w:p>
        </w:tc>
      </w:tr>
      <w:tr w:rsidR="00862AF9" w:rsidRPr="00862AF9" w14:paraId="062FB061" w14:textId="77777777" w:rsidTr="00A46DF7">
        <w:trPr>
          <w:cantSplit/>
          <w:trHeight w:val="320"/>
        </w:trPr>
        <w:tc>
          <w:tcPr>
            <w:tcW w:w="1291" w:type="dxa"/>
            <w:shd w:val="clear" w:color="auto" w:fill="auto"/>
            <w:noWrap/>
            <w:vAlign w:val="bottom"/>
          </w:tcPr>
          <w:p w14:paraId="27BB13D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Paintain</w:t>
            </w:r>
          </w:p>
        </w:tc>
        <w:tc>
          <w:tcPr>
            <w:tcW w:w="709" w:type="dxa"/>
            <w:shd w:val="clear" w:color="auto" w:fill="auto"/>
            <w:noWrap/>
            <w:vAlign w:val="bottom"/>
          </w:tcPr>
          <w:p w14:paraId="4EF3E60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850" w:type="dxa"/>
            <w:shd w:val="clear" w:color="auto" w:fill="auto"/>
            <w:noWrap/>
            <w:vAlign w:val="bottom"/>
          </w:tcPr>
          <w:p w14:paraId="7DCCA814"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w:t>
            </w:r>
          </w:p>
        </w:tc>
        <w:tc>
          <w:tcPr>
            <w:tcW w:w="10773" w:type="dxa"/>
            <w:shd w:val="clear" w:color="auto" w:fill="auto"/>
            <w:noWrap/>
            <w:vAlign w:val="bottom"/>
          </w:tcPr>
          <w:p w14:paraId="2F590C0A"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CHWs are able to provide good-quality malaria care, including performing procedures such as rapid diagnostic tests (RDTs). Appropriate training, clear guidelines, and regular supportive supervision are important facilitating factors. Crucial to sustainable success of CHW programs is strengthening health system capacity to support the supply of commodities used by CHWs, supervision of CHWs, and appropriate treatment of cases referred by CHWs. Study findings support the notion that pre-packaged antimalarial drugs can be administered effectively by CHWs and adhered to by those receiving these medications. Appropriate treatment at the community level according to RDT result was higher than that found in a number of studies of RDT use by more highly trained health workers located at facilities, who inappropriately treated 30-80% of RDT-negative patients with antimalarial drugs. In contrast to the positive findings on quality of malaria case management, the evidence from this review suggests a more mixed performance for community-level management of pneumonia by CHWs in the context of integration with malaria diagnosis and treatment.</w:t>
            </w:r>
          </w:p>
        </w:tc>
      </w:tr>
      <w:tr w:rsidR="00862AF9" w:rsidRPr="00862AF9" w14:paraId="65267646" w14:textId="77777777" w:rsidTr="00A46DF7">
        <w:trPr>
          <w:cantSplit/>
          <w:trHeight w:val="320"/>
        </w:trPr>
        <w:tc>
          <w:tcPr>
            <w:tcW w:w="1291" w:type="dxa"/>
            <w:shd w:val="clear" w:color="auto" w:fill="auto"/>
            <w:noWrap/>
            <w:vAlign w:val="bottom"/>
          </w:tcPr>
          <w:p w14:paraId="6E8E3D6C" w14:textId="73D0DFD2" w:rsidR="00862AF9" w:rsidRPr="00862AF9" w:rsidRDefault="005C3DEF"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Ruizen</w:t>
            </w:r>
            <w:r w:rsidR="00862AF9" w:rsidRPr="00862AF9">
              <w:rPr>
                <w:rFonts w:ascii="Calibri" w:eastAsia="Times New Roman" w:hAnsi="Calibri" w:cs="Times New Roman"/>
                <w:color w:val="000000"/>
                <w:sz w:val="20"/>
                <w:szCs w:val="20"/>
              </w:rPr>
              <w:t>daal</w:t>
            </w:r>
          </w:p>
        </w:tc>
        <w:tc>
          <w:tcPr>
            <w:tcW w:w="709" w:type="dxa"/>
            <w:shd w:val="clear" w:color="auto" w:fill="auto"/>
            <w:noWrap/>
            <w:vAlign w:val="bottom"/>
          </w:tcPr>
          <w:p w14:paraId="61D73D50"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2014</w:t>
            </w:r>
          </w:p>
        </w:tc>
        <w:tc>
          <w:tcPr>
            <w:tcW w:w="850" w:type="dxa"/>
            <w:shd w:val="clear" w:color="auto" w:fill="auto"/>
            <w:noWrap/>
            <w:vAlign w:val="bottom"/>
          </w:tcPr>
          <w:p w14:paraId="19580141" w14:textId="77777777" w:rsidR="00862AF9" w:rsidRPr="00862AF9" w:rsidRDefault="00862AF9" w:rsidP="00E96A82">
            <w:pPr>
              <w:spacing w:after="0"/>
              <w:jc w:val="center"/>
              <w:rPr>
                <w:rFonts w:ascii="Calibri" w:eastAsia="Times New Roman" w:hAnsi="Calibri" w:cs="Times New Roman"/>
                <w:color w:val="000000"/>
                <w:sz w:val="20"/>
                <w:szCs w:val="20"/>
                <w:highlight w:val="yellow"/>
              </w:rPr>
            </w:pPr>
            <w:r w:rsidRPr="00862AF9">
              <w:rPr>
                <w:rFonts w:ascii="Calibri" w:eastAsia="Times New Roman" w:hAnsi="Calibri" w:cs="Times New Roman"/>
                <w:color w:val="000000"/>
                <w:sz w:val="20"/>
                <w:szCs w:val="20"/>
              </w:rPr>
              <w:t>SR</w:t>
            </w:r>
          </w:p>
        </w:tc>
        <w:tc>
          <w:tcPr>
            <w:tcW w:w="10773" w:type="dxa"/>
            <w:shd w:val="clear" w:color="auto" w:fill="auto"/>
            <w:noWrap/>
            <w:vAlign w:val="bottom"/>
          </w:tcPr>
          <w:p w14:paraId="6034D043"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For community case management of malaria, CHWs were able to correctly perform rapid diagnostic tests (RDTs), although specificity levels were variable. CHWs showed high adherence to test results, but in some studies a substantial group of patients who were RDT-negative received treatment. Because of the poor quality of the studies, no effect on morbidity or mortality could be estimated. Uptake and acceptance by the community was high. However, patients with negative RDT results did not always follow up referral advice. Drug or RDT stock-outs and limited information on CHW motivation are bottlenecks for sustainable implementation.</w:t>
            </w:r>
          </w:p>
        </w:tc>
      </w:tr>
      <w:tr w:rsidR="008F72BE" w:rsidRPr="00862AF9" w14:paraId="69FE7BFF" w14:textId="77777777" w:rsidTr="000816E0">
        <w:trPr>
          <w:cantSplit/>
          <w:trHeight w:val="320"/>
        </w:trPr>
        <w:tc>
          <w:tcPr>
            <w:tcW w:w="1291" w:type="dxa"/>
            <w:shd w:val="clear" w:color="auto" w:fill="auto"/>
            <w:noWrap/>
            <w:vAlign w:val="bottom"/>
          </w:tcPr>
          <w:p w14:paraId="2487332F" w14:textId="62E7E829" w:rsidR="008F72BE" w:rsidRPr="00862AF9" w:rsidRDefault="008F72BE"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Sunguya</w:t>
            </w:r>
          </w:p>
        </w:tc>
        <w:tc>
          <w:tcPr>
            <w:tcW w:w="709" w:type="dxa"/>
            <w:shd w:val="clear" w:color="auto" w:fill="auto"/>
            <w:noWrap/>
            <w:vAlign w:val="bottom"/>
          </w:tcPr>
          <w:p w14:paraId="71C35C07" w14:textId="75C256C4" w:rsidR="008F72BE" w:rsidRPr="00862AF9" w:rsidRDefault="008F72BE"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850" w:type="dxa"/>
            <w:shd w:val="clear" w:color="auto" w:fill="auto"/>
            <w:noWrap/>
            <w:vAlign w:val="bottom"/>
          </w:tcPr>
          <w:p w14:paraId="6EAE5D18" w14:textId="3B87904B" w:rsidR="008F72BE" w:rsidRPr="00862AF9" w:rsidRDefault="008F72BE"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773" w:type="dxa"/>
            <w:shd w:val="clear" w:color="auto" w:fill="auto"/>
            <w:noWrap/>
            <w:vAlign w:val="bottom"/>
          </w:tcPr>
          <w:p w14:paraId="323658EE" w14:textId="02651F88" w:rsidR="008F72BE" w:rsidRPr="00862AF9" w:rsidRDefault="00285E28" w:rsidP="00E96A82">
            <w:pPr>
              <w:spacing w:after="0"/>
              <w:rPr>
                <w:rFonts w:ascii="Calibri" w:eastAsia="Times New Roman" w:hAnsi="Calibri" w:cs="Times New Roman"/>
                <w:color w:val="000000"/>
                <w:sz w:val="20"/>
                <w:szCs w:val="20"/>
              </w:rPr>
            </w:pPr>
            <w:r w:rsidRPr="00285E28">
              <w:rPr>
                <w:rFonts w:ascii="Calibri" w:eastAsia="Times New Roman" w:hAnsi="Calibri" w:cs="Times New Roman"/>
                <w:color w:val="000000"/>
                <w:sz w:val="20"/>
                <w:szCs w:val="20"/>
              </w:rPr>
              <w:t>C</w:t>
            </w:r>
            <w:r w:rsidR="00686A39">
              <w:rPr>
                <w:rFonts w:ascii="Calibri" w:eastAsia="Times New Roman" w:hAnsi="Calibri" w:cs="Times New Roman"/>
                <w:color w:val="000000"/>
                <w:sz w:val="20"/>
                <w:szCs w:val="20"/>
              </w:rPr>
              <w:t>BPs</w:t>
            </w:r>
            <w:r w:rsidR="00264B10">
              <w:rPr>
                <w:rFonts w:ascii="Calibri" w:eastAsia="Times New Roman" w:hAnsi="Calibri" w:cs="Times New Roman"/>
                <w:color w:val="000000"/>
                <w:sz w:val="20"/>
                <w:szCs w:val="20"/>
              </w:rPr>
              <w:t xml:space="preserve"> </w:t>
            </w:r>
            <w:r w:rsidRPr="00285E28">
              <w:rPr>
                <w:rFonts w:ascii="Calibri" w:eastAsia="Times New Roman" w:hAnsi="Calibri" w:cs="Times New Roman"/>
                <w:color w:val="000000"/>
                <w:sz w:val="20"/>
                <w:szCs w:val="20"/>
              </w:rPr>
              <w:t>had important preventive, case management</w:t>
            </w:r>
            <w:r w:rsidR="00264B10">
              <w:rPr>
                <w:rFonts w:ascii="Calibri" w:eastAsia="Times New Roman" w:hAnsi="Calibri" w:cs="Times New Roman"/>
                <w:color w:val="000000"/>
                <w:sz w:val="20"/>
                <w:szCs w:val="20"/>
              </w:rPr>
              <w:t>,</w:t>
            </w:r>
            <w:r w:rsidRPr="00285E28">
              <w:rPr>
                <w:rFonts w:ascii="Calibri" w:eastAsia="Times New Roman" w:hAnsi="Calibri" w:cs="Times New Roman"/>
                <w:color w:val="000000"/>
                <w:sz w:val="20"/>
                <w:szCs w:val="20"/>
              </w:rPr>
              <w:t xml:space="preserve"> and promotive roles in malaria interven</w:t>
            </w:r>
            <w:r w:rsidR="00264B10">
              <w:rPr>
                <w:rFonts w:ascii="Calibri" w:eastAsia="Times New Roman" w:hAnsi="Calibri" w:cs="Times New Roman"/>
                <w:color w:val="000000"/>
                <w:sz w:val="20"/>
                <w:szCs w:val="20"/>
              </w:rPr>
              <w:t>tions</w:t>
            </w:r>
            <w:r w:rsidR="00503E8D">
              <w:rPr>
                <w:rFonts w:ascii="Calibri" w:eastAsia="Times New Roman" w:hAnsi="Calibri" w:cs="Times New Roman"/>
                <w:color w:val="000000"/>
                <w:sz w:val="20"/>
                <w:szCs w:val="20"/>
              </w:rPr>
              <w:t xml:space="preserve">, including </w:t>
            </w:r>
            <w:r w:rsidR="00503E8D" w:rsidRPr="00834D87">
              <w:rPr>
                <w:rFonts w:ascii="Calibri" w:eastAsia="Times New Roman" w:hAnsi="Calibri" w:cs="Times New Roman"/>
                <w:color w:val="000000"/>
                <w:sz w:val="20"/>
                <w:szCs w:val="20"/>
              </w:rPr>
              <w:t>heal</w:t>
            </w:r>
            <w:r w:rsidR="00503E8D">
              <w:rPr>
                <w:rFonts w:ascii="Calibri" w:eastAsia="Times New Roman" w:hAnsi="Calibri" w:cs="Times New Roman"/>
                <w:color w:val="000000"/>
                <w:sz w:val="20"/>
                <w:szCs w:val="20"/>
              </w:rPr>
              <w:t>th surveillance and health pro</w:t>
            </w:r>
            <w:r w:rsidR="00503E8D" w:rsidRPr="00834D87">
              <w:rPr>
                <w:rFonts w:ascii="Calibri" w:eastAsia="Times New Roman" w:hAnsi="Calibri" w:cs="Times New Roman"/>
                <w:color w:val="000000"/>
                <w:sz w:val="20"/>
                <w:szCs w:val="20"/>
              </w:rPr>
              <w:t>motion specific to malaria</w:t>
            </w:r>
            <w:r w:rsidR="00503E8D">
              <w:rPr>
                <w:rFonts w:ascii="Calibri" w:eastAsia="Times New Roman" w:hAnsi="Calibri" w:cs="Times New Roman"/>
                <w:color w:val="000000"/>
                <w:sz w:val="20"/>
                <w:szCs w:val="20"/>
              </w:rPr>
              <w:t xml:space="preserve">. However, CBPs </w:t>
            </w:r>
            <w:r w:rsidR="00264B10">
              <w:rPr>
                <w:rFonts w:ascii="Calibri" w:eastAsia="Times New Roman" w:hAnsi="Calibri" w:cs="Times New Roman"/>
                <w:color w:val="000000"/>
                <w:sz w:val="20"/>
                <w:szCs w:val="20"/>
              </w:rPr>
              <w:t>faced many challenges</w:t>
            </w:r>
            <w:r w:rsidR="00503E8D">
              <w:rPr>
                <w:rFonts w:ascii="Calibri" w:eastAsia="Times New Roman" w:hAnsi="Calibri" w:cs="Times New Roman"/>
                <w:color w:val="000000"/>
                <w:sz w:val="20"/>
                <w:szCs w:val="20"/>
              </w:rPr>
              <w:t xml:space="preserve"> in implementing integrated community case management for malaria</w:t>
            </w:r>
            <w:r w:rsidR="00264B10">
              <w:rPr>
                <w:rFonts w:ascii="Calibri" w:eastAsia="Times New Roman" w:hAnsi="Calibri" w:cs="Times New Roman"/>
                <w:color w:val="000000"/>
                <w:sz w:val="20"/>
                <w:szCs w:val="20"/>
              </w:rPr>
              <w:t xml:space="preserve">. These challenges included </w:t>
            </w:r>
            <w:r w:rsidR="00686A39">
              <w:rPr>
                <w:rFonts w:ascii="Calibri" w:eastAsia="Times New Roman" w:hAnsi="Calibri" w:cs="Times New Roman"/>
                <w:color w:val="000000"/>
                <w:sz w:val="20"/>
                <w:szCs w:val="20"/>
              </w:rPr>
              <w:t xml:space="preserve">(1) </w:t>
            </w:r>
            <w:r w:rsidRPr="00285E28">
              <w:rPr>
                <w:rFonts w:ascii="Calibri" w:eastAsia="Times New Roman" w:hAnsi="Calibri" w:cs="Times New Roman"/>
                <w:color w:val="000000"/>
                <w:sz w:val="20"/>
                <w:szCs w:val="20"/>
              </w:rPr>
              <w:t>poor and unsustainable financ</w:t>
            </w:r>
            <w:r w:rsidR="00686A39">
              <w:rPr>
                <w:rFonts w:ascii="Calibri" w:eastAsia="Times New Roman" w:hAnsi="Calibri" w:cs="Times New Roman"/>
                <w:color w:val="000000"/>
                <w:sz w:val="20"/>
                <w:szCs w:val="20"/>
              </w:rPr>
              <w:t>ing</w:t>
            </w:r>
            <w:r w:rsidRPr="00285E28">
              <w:rPr>
                <w:rFonts w:ascii="Calibri" w:eastAsia="Times New Roman" w:hAnsi="Calibri" w:cs="Times New Roman"/>
                <w:color w:val="000000"/>
                <w:sz w:val="20"/>
                <w:szCs w:val="20"/>
              </w:rPr>
              <w:t xml:space="preserve"> for</w:t>
            </w:r>
            <w:r>
              <w:rPr>
                <w:rFonts w:ascii="Calibri" w:eastAsia="Times New Roman" w:hAnsi="Calibri" w:cs="Times New Roman"/>
                <w:color w:val="000000"/>
                <w:sz w:val="20"/>
                <w:szCs w:val="20"/>
              </w:rPr>
              <w:t xml:space="preserve"> </w:t>
            </w:r>
            <w:r w:rsidRPr="00285E28">
              <w:rPr>
                <w:rFonts w:ascii="Calibri" w:eastAsia="Times New Roman" w:hAnsi="Calibri" w:cs="Times New Roman"/>
                <w:color w:val="000000"/>
                <w:sz w:val="20"/>
                <w:szCs w:val="20"/>
              </w:rPr>
              <w:t>integrated community c</w:t>
            </w:r>
            <w:r w:rsidR="00264B10">
              <w:rPr>
                <w:rFonts w:ascii="Calibri" w:eastAsia="Times New Roman" w:hAnsi="Calibri" w:cs="Times New Roman"/>
                <w:color w:val="000000"/>
                <w:sz w:val="20"/>
                <w:szCs w:val="20"/>
              </w:rPr>
              <w:t>ase management for malaria</w:t>
            </w:r>
            <w:r w:rsidRPr="00285E28">
              <w:rPr>
                <w:rFonts w:ascii="Calibri" w:eastAsia="Times New Roman" w:hAnsi="Calibri" w:cs="Times New Roman"/>
                <w:color w:val="000000"/>
                <w:sz w:val="20"/>
                <w:szCs w:val="20"/>
              </w:rPr>
              <w:t xml:space="preserve">, </w:t>
            </w:r>
            <w:r w:rsidR="00686A39">
              <w:rPr>
                <w:rFonts w:ascii="Calibri" w:eastAsia="Times New Roman" w:hAnsi="Calibri" w:cs="Times New Roman"/>
                <w:color w:val="000000"/>
                <w:sz w:val="20"/>
                <w:szCs w:val="20"/>
              </w:rPr>
              <w:t xml:space="preserve">(2) </w:t>
            </w:r>
            <w:r w:rsidRPr="00285E28">
              <w:rPr>
                <w:rFonts w:ascii="Calibri" w:eastAsia="Times New Roman" w:hAnsi="Calibri" w:cs="Times New Roman"/>
                <w:color w:val="000000"/>
                <w:sz w:val="20"/>
                <w:szCs w:val="20"/>
              </w:rPr>
              <w:t>workforce</w:t>
            </w:r>
            <w:r w:rsidR="00686A39">
              <w:rPr>
                <w:rFonts w:ascii="Calibri" w:eastAsia="Times New Roman" w:hAnsi="Calibri" w:cs="Times New Roman"/>
                <w:color w:val="000000"/>
                <w:sz w:val="20"/>
                <w:szCs w:val="20"/>
              </w:rPr>
              <w:t>-</w:t>
            </w:r>
            <w:r w:rsidRPr="00285E28">
              <w:rPr>
                <w:rFonts w:ascii="Calibri" w:eastAsia="Times New Roman" w:hAnsi="Calibri" w:cs="Times New Roman"/>
                <w:color w:val="000000"/>
                <w:sz w:val="20"/>
                <w:szCs w:val="20"/>
              </w:rPr>
              <w:t xml:space="preserve">related </w:t>
            </w:r>
            <w:r w:rsidR="00264B10">
              <w:rPr>
                <w:rFonts w:ascii="Calibri" w:eastAsia="Times New Roman" w:hAnsi="Calibri" w:cs="Times New Roman"/>
                <w:color w:val="000000"/>
                <w:sz w:val="20"/>
                <w:szCs w:val="20"/>
              </w:rPr>
              <w:t>issues</w:t>
            </w:r>
            <w:r w:rsidR="003D4C1F">
              <w:rPr>
                <w:rFonts w:ascii="Calibri" w:eastAsia="Times New Roman" w:hAnsi="Calibri" w:cs="Times New Roman"/>
                <w:color w:val="000000"/>
                <w:sz w:val="20"/>
                <w:szCs w:val="20"/>
              </w:rPr>
              <w:t xml:space="preserve"> (including short</w:t>
            </w:r>
            <w:r w:rsidR="00A654C9">
              <w:rPr>
                <w:rFonts w:ascii="Calibri" w:eastAsia="Times New Roman" w:hAnsi="Calibri" w:cs="Times New Roman"/>
                <w:color w:val="000000"/>
                <w:sz w:val="20"/>
                <w:szCs w:val="20"/>
              </w:rPr>
              <w:t>-</w:t>
            </w:r>
            <w:r w:rsidR="003D4C1F">
              <w:rPr>
                <w:rFonts w:ascii="Calibri" w:eastAsia="Times New Roman" w:hAnsi="Calibri" w:cs="Times New Roman"/>
                <w:color w:val="000000"/>
                <w:sz w:val="20"/>
                <w:szCs w:val="20"/>
              </w:rPr>
              <w:t>term training, which reduced community confidence in CBPs)</w:t>
            </w:r>
            <w:r w:rsidRPr="00285E28">
              <w:rPr>
                <w:rFonts w:ascii="Calibri" w:eastAsia="Times New Roman" w:hAnsi="Calibri" w:cs="Times New Roman"/>
                <w:color w:val="000000"/>
                <w:sz w:val="20"/>
                <w:szCs w:val="20"/>
              </w:rPr>
              <w:t xml:space="preserve">, </w:t>
            </w:r>
            <w:r w:rsidR="00A654C9">
              <w:rPr>
                <w:rFonts w:ascii="Calibri" w:eastAsia="Times New Roman" w:hAnsi="Calibri" w:cs="Times New Roman"/>
                <w:color w:val="000000"/>
                <w:sz w:val="20"/>
                <w:szCs w:val="20"/>
              </w:rPr>
              <w:t xml:space="preserve">(3) </w:t>
            </w:r>
            <w:r w:rsidRPr="00285E28">
              <w:rPr>
                <w:rFonts w:ascii="Calibri" w:eastAsia="Times New Roman" w:hAnsi="Calibri" w:cs="Times New Roman"/>
                <w:color w:val="000000"/>
                <w:sz w:val="20"/>
                <w:szCs w:val="20"/>
              </w:rPr>
              <w:t xml:space="preserve">lack of and </w:t>
            </w:r>
            <w:r w:rsidR="00264B10">
              <w:rPr>
                <w:rFonts w:ascii="Calibri" w:eastAsia="Times New Roman" w:hAnsi="Calibri" w:cs="Times New Roman"/>
                <w:color w:val="000000"/>
                <w:sz w:val="20"/>
                <w:szCs w:val="20"/>
              </w:rPr>
              <w:t>unstable</w:t>
            </w:r>
            <w:r w:rsidRPr="00285E28">
              <w:rPr>
                <w:rFonts w:ascii="Calibri" w:eastAsia="Times New Roman" w:hAnsi="Calibri" w:cs="Times New Roman"/>
                <w:color w:val="000000"/>
                <w:sz w:val="20"/>
                <w:szCs w:val="20"/>
              </w:rPr>
              <w:t xml:space="preserve"> supply of medicines and diagnostics, </w:t>
            </w:r>
            <w:r w:rsidR="00A654C9">
              <w:rPr>
                <w:rFonts w:ascii="Calibri" w:eastAsia="Times New Roman" w:hAnsi="Calibri" w:cs="Times New Roman"/>
                <w:color w:val="000000"/>
                <w:sz w:val="20"/>
                <w:szCs w:val="20"/>
              </w:rPr>
              <w:t xml:space="preserve">(4) </w:t>
            </w:r>
            <w:r w:rsidRPr="00285E28">
              <w:rPr>
                <w:rFonts w:ascii="Calibri" w:eastAsia="Times New Roman" w:hAnsi="Calibri" w:cs="Times New Roman"/>
                <w:color w:val="000000"/>
                <w:sz w:val="20"/>
                <w:szCs w:val="20"/>
              </w:rPr>
              <w:t xml:space="preserve">lack of information and research, </w:t>
            </w:r>
            <w:r w:rsidR="00264B10">
              <w:rPr>
                <w:rFonts w:ascii="Calibri" w:eastAsia="Times New Roman" w:hAnsi="Calibri" w:cs="Times New Roman"/>
                <w:color w:val="000000"/>
                <w:sz w:val="20"/>
                <w:szCs w:val="20"/>
              </w:rPr>
              <w:t xml:space="preserve">and </w:t>
            </w:r>
            <w:r w:rsidR="00A654C9">
              <w:rPr>
                <w:rFonts w:ascii="Calibri" w:eastAsia="Times New Roman" w:hAnsi="Calibri" w:cs="Times New Roman"/>
                <w:color w:val="000000"/>
                <w:sz w:val="20"/>
                <w:szCs w:val="20"/>
              </w:rPr>
              <w:t xml:space="preserve">(5) challenges related to </w:t>
            </w:r>
            <w:r w:rsidRPr="00285E28">
              <w:rPr>
                <w:rFonts w:ascii="Calibri" w:eastAsia="Times New Roman" w:hAnsi="Calibri" w:cs="Times New Roman"/>
                <w:color w:val="000000"/>
                <w:sz w:val="20"/>
                <w:szCs w:val="20"/>
              </w:rPr>
              <w:t>service delivery and leadership.</w:t>
            </w:r>
            <w:r w:rsidR="00264B10">
              <w:rPr>
                <w:rFonts w:ascii="Calibri" w:eastAsia="Times New Roman" w:hAnsi="Calibri" w:cs="Times New Roman"/>
                <w:color w:val="000000"/>
                <w:sz w:val="20"/>
                <w:szCs w:val="20"/>
              </w:rPr>
              <w:t xml:space="preserve"> </w:t>
            </w:r>
          </w:p>
        </w:tc>
      </w:tr>
      <w:tr w:rsidR="00862AF9" w:rsidRPr="00862AF9" w14:paraId="48D14FEE" w14:textId="77777777" w:rsidTr="00204FA4">
        <w:trPr>
          <w:cantSplit/>
          <w:trHeight w:val="320"/>
        </w:trPr>
        <w:tc>
          <w:tcPr>
            <w:tcW w:w="13623" w:type="dxa"/>
            <w:gridSpan w:val="4"/>
            <w:shd w:val="clear" w:color="auto" w:fill="F2F2F2" w:themeFill="background1" w:themeFillShade="F2"/>
            <w:noWrap/>
            <w:vAlign w:val="bottom"/>
          </w:tcPr>
          <w:p w14:paraId="0F9456C4" w14:textId="77777777" w:rsidR="00862AF9" w:rsidRPr="00862AF9" w:rsidRDefault="00862AF9" w:rsidP="00E96A82">
            <w:pPr>
              <w:spacing w:after="0"/>
              <w:rPr>
                <w:rFonts w:ascii="Calibri" w:eastAsia="Times New Roman" w:hAnsi="Calibri" w:cs="Times New Roman"/>
                <w:b/>
                <w:color w:val="000000"/>
                <w:sz w:val="20"/>
                <w:szCs w:val="20"/>
              </w:rPr>
            </w:pPr>
            <w:r w:rsidRPr="00862AF9">
              <w:rPr>
                <w:rFonts w:ascii="Calibri" w:eastAsia="Times New Roman" w:hAnsi="Calibri" w:cs="Times New Roman"/>
                <w:b/>
                <w:color w:val="000000"/>
                <w:sz w:val="20"/>
                <w:szCs w:val="20"/>
              </w:rPr>
              <w:t>Buruli ulcer</w:t>
            </w:r>
          </w:p>
        </w:tc>
      </w:tr>
      <w:tr w:rsidR="00862AF9" w:rsidRPr="00862AF9" w14:paraId="2EA8D107" w14:textId="77777777" w:rsidTr="00A46DF7">
        <w:trPr>
          <w:cantSplit/>
          <w:trHeight w:val="320"/>
        </w:trPr>
        <w:tc>
          <w:tcPr>
            <w:tcW w:w="1291" w:type="dxa"/>
            <w:shd w:val="clear" w:color="auto" w:fill="auto"/>
            <w:noWrap/>
            <w:vAlign w:val="bottom"/>
          </w:tcPr>
          <w:p w14:paraId="20F4362E"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Vouking Zambu</w:t>
            </w:r>
          </w:p>
        </w:tc>
        <w:tc>
          <w:tcPr>
            <w:tcW w:w="709" w:type="dxa"/>
            <w:shd w:val="clear" w:color="auto" w:fill="auto"/>
            <w:noWrap/>
            <w:vAlign w:val="bottom"/>
          </w:tcPr>
          <w:p w14:paraId="53CF3895"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2013</w:t>
            </w:r>
          </w:p>
        </w:tc>
        <w:tc>
          <w:tcPr>
            <w:tcW w:w="850" w:type="dxa"/>
            <w:shd w:val="clear" w:color="auto" w:fill="auto"/>
            <w:noWrap/>
            <w:vAlign w:val="bottom"/>
          </w:tcPr>
          <w:p w14:paraId="4FBA9CF8" w14:textId="77777777" w:rsidR="00862AF9" w:rsidRPr="00862AF9" w:rsidRDefault="00862AF9" w:rsidP="00E96A82">
            <w:pPr>
              <w:spacing w:after="0"/>
              <w:jc w:val="center"/>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NSR</w:t>
            </w:r>
          </w:p>
        </w:tc>
        <w:tc>
          <w:tcPr>
            <w:tcW w:w="10773" w:type="dxa"/>
            <w:shd w:val="clear" w:color="auto" w:fill="auto"/>
            <w:noWrap/>
            <w:vAlign w:val="bottom"/>
          </w:tcPr>
          <w:p w14:paraId="4524C510" w14:textId="77777777" w:rsidR="00862AF9" w:rsidRPr="00862AF9" w:rsidRDefault="00862AF9" w:rsidP="00E96A82">
            <w:pPr>
              <w:spacing w:after="0"/>
              <w:rPr>
                <w:rFonts w:ascii="Calibri" w:eastAsia="Times New Roman" w:hAnsi="Calibri" w:cs="Times New Roman"/>
                <w:color w:val="000000"/>
                <w:sz w:val="20"/>
                <w:szCs w:val="20"/>
              </w:rPr>
            </w:pPr>
            <w:r w:rsidRPr="00862AF9">
              <w:rPr>
                <w:rFonts w:ascii="Calibri" w:eastAsia="Times New Roman" w:hAnsi="Calibri" w:cs="Times New Roman"/>
                <w:color w:val="000000"/>
                <w:sz w:val="20"/>
                <w:szCs w:val="20"/>
              </w:rPr>
              <w:t xml:space="preserve">CHW programs can have large impacts on the control of Buruli ulcer in sub-Saharan Africa. However, larger numbers of CHWs are needed in order to improve the detection and management of cases. One of the major obstacles to the control of Buruli ulcer is inadequately staffed and poorly-equipped health facilities in the affected areas. </w:t>
            </w:r>
          </w:p>
        </w:tc>
      </w:tr>
      <w:tr w:rsidR="008F72BE" w:rsidRPr="00862AF9" w14:paraId="178FFD0B" w14:textId="77777777" w:rsidTr="008F72BE">
        <w:trPr>
          <w:cantSplit/>
          <w:trHeight w:val="320"/>
        </w:trPr>
        <w:tc>
          <w:tcPr>
            <w:tcW w:w="13623" w:type="dxa"/>
            <w:gridSpan w:val="4"/>
            <w:shd w:val="clear" w:color="auto" w:fill="E7E6E6" w:themeFill="background2"/>
            <w:noWrap/>
            <w:vAlign w:val="bottom"/>
          </w:tcPr>
          <w:p w14:paraId="74D12BF3" w14:textId="21AF6EB9" w:rsidR="008F72BE" w:rsidRPr="00A46DF7" w:rsidRDefault="008F72BE" w:rsidP="00E96A82">
            <w:pPr>
              <w:keepNext/>
              <w:keepLines/>
              <w:spacing w:after="0"/>
              <w:outlineLvl w:val="8"/>
              <w:rPr>
                <w:rFonts w:ascii="Calibri" w:eastAsia="Times New Roman" w:hAnsi="Calibri" w:cs="Times New Roman"/>
                <w:b/>
                <w:color w:val="000000"/>
                <w:sz w:val="20"/>
                <w:szCs w:val="20"/>
              </w:rPr>
            </w:pPr>
            <w:r w:rsidRPr="00A46DF7">
              <w:rPr>
                <w:rFonts w:ascii="Calibri" w:eastAsia="Times New Roman" w:hAnsi="Calibri" w:cs="Times New Roman"/>
                <w:b/>
                <w:color w:val="000000"/>
                <w:sz w:val="20"/>
                <w:szCs w:val="20"/>
              </w:rPr>
              <w:t>TB</w:t>
            </w:r>
          </w:p>
        </w:tc>
      </w:tr>
      <w:tr w:rsidR="008F72BE" w:rsidRPr="00862AF9" w14:paraId="77BF9CE4" w14:textId="77777777" w:rsidTr="000816E0">
        <w:trPr>
          <w:cantSplit/>
          <w:trHeight w:val="320"/>
        </w:trPr>
        <w:tc>
          <w:tcPr>
            <w:tcW w:w="1291" w:type="dxa"/>
            <w:shd w:val="clear" w:color="auto" w:fill="auto"/>
            <w:noWrap/>
            <w:vAlign w:val="bottom"/>
          </w:tcPr>
          <w:p w14:paraId="359684C7" w14:textId="705D32E6" w:rsidR="008F72BE" w:rsidRPr="00862AF9" w:rsidRDefault="008503B2"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Wu </w:t>
            </w:r>
          </w:p>
        </w:tc>
        <w:tc>
          <w:tcPr>
            <w:tcW w:w="709" w:type="dxa"/>
            <w:shd w:val="clear" w:color="auto" w:fill="auto"/>
            <w:noWrap/>
            <w:vAlign w:val="bottom"/>
          </w:tcPr>
          <w:p w14:paraId="6A708E99" w14:textId="42769911" w:rsidR="008F72BE" w:rsidRPr="00862AF9" w:rsidRDefault="008503B2"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2017</w:t>
            </w:r>
          </w:p>
        </w:tc>
        <w:tc>
          <w:tcPr>
            <w:tcW w:w="850" w:type="dxa"/>
            <w:shd w:val="clear" w:color="auto" w:fill="auto"/>
            <w:noWrap/>
            <w:vAlign w:val="bottom"/>
          </w:tcPr>
          <w:p w14:paraId="7B1B6848" w14:textId="5ADAF039" w:rsidR="008F72BE" w:rsidRPr="00862AF9" w:rsidRDefault="008503B2"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NSR</w:t>
            </w:r>
          </w:p>
        </w:tc>
        <w:tc>
          <w:tcPr>
            <w:tcW w:w="10773" w:type="dxa"/>
            <w:shd w:val="clear" w:color="auto" w:fill="auto"/>
            <w:noWrap/>
            <w:vAlign w:val="bottom"/>
          </w:tcPr>
          <w:p w14:paraId="657C9727" w14:textId="7C775B53" w:rsidR="008F72BE" w:rsidRPr="00862AF9" w:rsidRDefault="00ED701F"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Three of the 21 included studies on TB healthcare training programs contained information on lay health workers: one was experiential hands-on training and two were lecture</w:t>
            </w:r>
            <w:r w:rsidR="00A654C9">
              <w:rPr>
                <w:rFonts w:ascii="Calibri" w:eastAsia="Times New Roman" w:hAnsi="Calibri" w:cs="Times New Roman"/>
                <w:color w:val="000000"/>
                <w:sz w:val="20"/>
                <w:szCs w:val="20"/>
              </w:rPr>
              <w:t>-</w:t>
            </w:r>
            <w:r>
              <w:rPr>
                <w:rFonts w:ascii="Calibri" w:eastAsia="Times New Roman" w:hAnsi="Calibri" w:cs="Times New Roman"/>
                <w:color w:val="000000"/>
                <w:sz w:val="20"/>
                <w:szCs w:val="20"/>
              </w:rPr>
              <w:t>based. Data on the effectiveness of these training programs was not presented but the authors conclude that although significant</w:t>
            </w:r>
            <w:r w:rsidRPr="00ED701F">
              <w:rPr>
                <w:rFonts w:ascii="Calibri" w:eastAsia="Times New Roman" w:hAnsi="Calibri" w:cs="Times New Roman"/>
                <w:color w:val="000000"/>
                <w:sz w:val="20"/>
                <w:szCs w:val="20"/>
              </w:rPr>
              <w:t xml:space="preserve"> funds have been invested in TB </w:t>
            </w:r>
            <w:r>
              <w:rPr>
                <w:rFonts w:ascii="Calibri" w:eastAsia="Times New Roman" w:hAnsi="Calibri" w:cs="Times New Roman"/>
                <w:color w:val="000000"/>
                <w:sz w:val="20"/>
                <w:szCs w:val="20"/>
              </w:rPr>
              <w:t>health care provider</w:t>
            </w:r>
            <w:r w:rsidRPr="00ED701F">
              <w:rPr>
                <w:rFonts w:ascii="Calibri" w:eastAsia="Times New Roman" w:hAnsi="Calibri" w:cs="Times New Roman"/>
                <w:color w:val="000000"/>
                <w:sz w:val="20"/>
                <w:szCs w:val="20"/>
              </w:rPr>
              <w:t xml:space="preserve"> training, publications </w:t>
            </w:r>
            <w:r>
              <w:rPr>
                <w:rFonts w:ascii="Calibri" w:eastAsia="Times New Roman" w:hAnsi="Calibri" w:cs="Times New Roman"/>
                <w:color w:val="000000"/>
                <w:sz w:val="20"/>
                <w:szCs w:val="20"/>
              </w:rPr>
              <w:t>of</w:t>
            </w:r>
            <w:r w:rsidRPr="00ED701F">
              <w:rPr>
                <w:rFonts w:ascii="Calibri" w:eastAsia="Times New Roman" w:hAnsi="Calibri" w:cs="Times New Roman"/>
                <w:color w:val="000000"/>
                <w:sz w:val="20"/>
                <w:szCs w:val="20"/>
              </w:rPr>
              <w:t xml:space="preserve"> robust evaluations assessing the impact on quality of care and behaviour change are limited.</w:t>
            </w:r>
          </w:p>
        </w:tc>
      </w:tr>
      <w:tr w:rsidR="008F72BE" w:rsidRPr="00862AF9" w14:paraId="6D1A0D48" w14:textId="77777777" w:rsidTr="00FD1F39">
        <w:trPr>
          <w:cantSplit/>
          <w:trHeight w:val="320"/>
        </w:trPr>
        <w:tc>
          <w:tcPr>
            <w:tcW w:w="13623" w:type="dxa"/>
            <w:gridSpan w:val="4"/>
            <w:shd w:val="clear" w:color="auto" w:fill="E7E6E6" w:themeFill="background2"/>
            <w:noWrap/>
            <w:vAlign w:val="bottom"/>
          </w:tcPr>
          <w:p w14:paraId="4345F021" w14:textId="623781DA" w:rsidR="008F72BE" w:rsidRPr="00A46DF7" w:rsidRDefault="008F72BE" w:rsidP="00E96A82">
            <w:pPr>
              <w:keepNext/>
              <w:keepLines/>
              <w:spacing w:after="0"/>
              <w:outlineLvl w:val="8"/>
              <w:rPr>
                <w:rFonts w:ascii="Calibri" w:eastAsia="Times New Roman" w:hAnsi="Calibri" w:cs="Times New Roman"/>
                <w:b/>
                <w:color w:val="000000"/>
                <w:sz w:val="20"/>
                <w:szCs w:val="20"/>
              </w:rPr>
            </w:pPr>
            <w:r w:rsidRPr="00A46DF7">
              <w:rPr>
                <w:rFonts w:ascii="Calibri" w:eastAsia="Times New Roman" w:hAnsi="Calibri" w:cs="Times New Roman"/>
                <w:b/>
                <w:color w:val="000000"/>
                <w:sz w:val="20"/>
                <w:szCs w:val="20"/>
              </w:rPr>
              <w:t>Neglected tropical diseases</w:t>
            </w:r>
          </w:p>
        </w:tc>
      </w:tr>
      <w:tr w:rsidR="008F72BE" w:rsidRPr="00862AF9" w14:paraId="348CF2E3" w14:textId="77777777" w:rsidTr="000816E0">
        <w:trPr>
          <w:cantSplit/>
          <w:trHeight w:val="320"/>
        </w:trPr>
        <w:tc>
          <w:tcPr>
            <w:tcW w:w="1291" w:type="dxa"/>
            <w:shd w:val="clear" w:color="auto" w:fill="auto"/>
            <w:noWrap/>
            <w:vAlign w:val="bottom"/>
          </w:tcPr>
          <w:p w14:paraId="59D0FDAC" w14:textId="4B65B08A" w:rsidR="008F72BE" w:rsidRPr="00862AF9" w:rsidRDefault="00BD4E6E" w:rsidP="00E96A82">
            <w:pPr>
              <w:spacing w:after="0"/>
              <w:rPr>
                <w:rFonts w:ascii="Calibri" w:eastAsia="Times New Roman" w:hAnsi="Calibri" w:cs="Times New Roman"/>
                <w:color w:val="000000"/>
                <w:sz w:val="20"/>
                <w:szCs w:val="20"/>
              </w:rPr>
            </w:pPr>
            <w:r w:rsidRPr="00BD4E6E">
              <w:rPr>
                <w:rFonts w:ascii="Calibri" w:eastAsia="Times New Roman" w:hAnsi="Calibri" w:cs="Times New Roman"/>
                <w:color w:val="000000"/>
                <w:sz w:val="20"/>
                <w:szCs w:val="20"/>
              </w:rPr>
              <w:t>Corley</w:t>
            </w:r>
          </w:p>
        </w:tc>
        <w:tc>
          <w:tcPr>
            <w:tcW w:w="709" w:type="dxa"/>
            <w:shd w:val="clear" w:color="auto" w:fill="auto"/>
            <w:noWrap/>
            <w:vAlign w:val="bottom"/>
          </w:tcPr>
          <w:p w14:paraId="41A09B4E" w14:textId="77777777" w:rsidR="008F72BE" w:rsidRPr="00862AF9" w:rsidRDefault="008F72BE" w:rsidP="00E96A82">
            <w:pPr>
              <w:spacing w:after="0"/>
              <w:jc w:val="center"/>
              <w:rPr>
                <w:rFonts w:ascii="Calibri" w:eastAsia="Times New Roman" w:hAnsi="Calibri" w:cs="Times New Roman"/>
                <w:color w:val="000000"/>
                <w:sz w:val="20"/>
                <w:szCs w:val="20"/>
              </w:rPr>
            </w:pPr>
          </w:p>
        </w:tc>
        <w:tc>
          <w:tcPr>
            <w:tcW w:w="850" w:type="dxa"/>
            <w:shd w:val="clear" w:color="auto" w:fill="auto"/>
            <w:noWrap/>
            <w:vAlign w:val="bottom"/>
          </w:tcPr>
          <w:p w14:paraId="4972E7C9" w14:textId="17326DA2" w:rsidR="008F72BE" w:rsidRPr="00862AF9" w:rsidRDefault="00BD4E6E" w:rsidP="00E96A8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SR</w:t>
            </w:r>
          </w:p>
        </w:tc>
        <w:tc>
          <w:tcPr>
            <w:tcW w:w="10773" w:type="dxa"/>
            <w:shd w:val="clear" w:color="auto" w:fill="auto"/>
            <w:noWrap/>
            <w:vAlign w:val="bottom"/>
          </w:tcPr>
          <w:p w14:paraId="5832EBCD" w14:textId="09F784D5" w:rsidR="008F72BE" w:rsidRPr="00862AF9" w:rsidRDefault="00442674" w:rsidP="00E96A8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CHWs and nurses </w:t>
            </w:r>
            <w:r w:rsidRPr="00442674">
              <w:rPr>
                <w:rFonts w:ascii="Calibri" w:eastAsia="Times New Roman" w:hAnsi="Calibri" w:cs="Times New Roman"/>
                <w:color w:val="000000"/>
                <w:sz w:val="20"/>
                <w:szCs w:val="20"/>
              </w:rPr>
              <w:t xml:space="preserve">have contributed to the control and near eradication of a number of </w:t>
            </w:r>
            <w:r>
              <w:rPr>
                <w:rFonts w:ascii="Calibri" w:eastAsia="Times New Roman" w:hAnsi="Calibri" w:cs="Times New Roman"/>
                <w:color w:val="000000"/>
                <w:sz w:val="20"/>
                <w:szCs w:val="20"/>
              </w:rPr>
              <w:t>neglected tropical diseases in sub-Saharan Africa</w:t>
            </w:r>
            <w:r w:rsidRPr="00442674">
              <w:rPr>
                <w:rFonts w:ascii="Calibri" w:eastAsia="Times New Roman" w:hAnsi="Calibri" w:cs="Times New Roman"/>
                <w:color w:val="000000"/>
                <w:sz w:val="20"/>
                <w:szCs w:val="20"/>
              </w:rPr>
              <w:t xml:space="preserve">. CHWs are important for enabling meaningful engagement and participation of communities in </w:t>
            </w:r>
            <w:r>
              <w:rPr>
                <w:rFonts w:ascii="Calibri" w:eastAsia="Times New Roman" w:hAnsi="Calibri" w:cs="Times New Roman"/>
                <w:color w:val="000000"/>
                <w:sz w:val="20"/>
                <w:szCs w:val="20"/>
              </w:rPr>
              <w:t>neglected tropical diseases</w:t>
            </w:r>
            <w:r w:rsidRPr="00442674">
              <w:rPr>
                <w:rFonts w:ascii="Calibri" w:eastAsia="Times New Roman" w:hAnsi="Calibri" w:cs="Times New Roman"/>
                <w:color w:val="000000"/>
                <w:sz w:val="20"/>
                <w:szCs w:val="20"/>
              </w:rPr>
              <w:t xml:space="preserve"> programs that are successful and sustainable. Expanded roles for </w:t>
            </w:r>
            <w:r>
              <w:rPr>
                <w:rFonts w:ascii="Calibri" w:eastAsia="Times New Roman" w:hAnsi="Calibri" w:cs="Times New Roman"/>
                <w:color w:val="000000"/>
                <w:sz w:val="20"/>
                <w:szCs w:val="20"/>
              </w:rPr>
              <w:t>neglected tropical diseases</w:t>
            </w:r>
            <w:r w:rsidRPr="00442674">
              <w:rPr>
                <w:rFonts w:ascii="Calibri" w:eastAsia="Times New Roman" w:hAnsi="Calibri" w:cs="Times New Roman"/>
                <w:color w:val="000000"/>
                <w:sz w:val="20"/>
                <w:szCs w:val="20"/>
              </w:rPr>
              <w:t xml:space="preserve"> are needed in the future.</w:t>
            </w:r>
            <w:r>
              <w:rPr>
                <w:rFonts w:ascii="Calibri" w:eastAsia="Times New Roman" w:hAnsi="Calibri" w:cs="Times New Roman"/>
                <w:color w:val="000000"/>
                <w:sz w:val="20"/>
                <w:szCs w:val="20"/>
              </w:rPr>
              <w:t xml:space="preserve"> K</w:t>
            </w:r>
            <w:r w:rsidR="00BD4E6E" w:rsidRPr="00BD4E6E">
              <w:rPr>
                <w:rFonts w:ascii="Calibri" w:eastAsia="Times New Roman" w:hAnsi="Calibri" w:cs="Times New Roman"/>
                <w:color w:val="000000"/>
                <w:sz w:val="20"/>
                <w:szCs w:val="20"/>
              </w:rPr>
              <w:t>ey lessons</w:t>
            </w:r>
            <w:r w:rsidR="002E2547">
              <w:rPr>
                <w:rFonts w:ascii="Calibri" w:eastAsia="Times New Roman" w:hAnsi="Calibri" w:cs="Times New Roman"/>
                <w:color w:val="000000"/>
                <w:sz w:val="20"/>
                <w:szCs w:val="20"/>
              </w:rPr>
              <w:t xml:space="preserve"> are</w:t>
            </w:r>
            <w:r w:rsidR="00BD4E6E" w:rsidRPr="00BD4E6E">
              <w:rPr>
                <w:rFonts w:ascii="Calibri" w:eastAsia="Times New Roman" w:hAnsi="Calibri" w:cs="Times New Roman"/>
                <w:color w:val="000000"/>
                <w:sz w:val="20"/>
                <w:szCs w:val="20"/>
              </w:rPr>
              <w:t xml:space="preserve">: (1) successful disease control requires deep and meaningful engagement with local communities; (2) expanding the role of nurses and CHWs will be required if </w:t>
            </w:r>
            <w:r>
              <w:rPr>
                <w:rFonts w:ascii="Calibri" w:eastAsia="Times New Roman" w:hAnsi="Calibri" w:cs="Times New Roman"/>
                <w:color w:val="000000"/>
                <w:sz w:val="20"/>
                <w:szCs w:val="20"/>
              </w:rPr>
              <w:t>sub-Saharan African</w:t>
            </w:r>
            <w:r w:rsidR="00BD4E6E" w:rsidRPr="00BD4E6E">
              <w:rPr>
                <w:rFonts w:ascii="Calibri" w:eastAsia="Times New Roman" w:hAnsi="Calibri" w:cs="Times New Roman"/>
                <w:color w:val="000000"/>
                <w:sz w:val="20"/>
                <w:szCs w:val="20"/>
              </w:rPr>
              <w:t xml:space="preserve"> countries are to meet </w:t>
            </w:r>
            <w:r>
              <w:rPr>
                <w:rFonts w:ascii="Calibri" w:eastAsia="Times New Roman" w:hAnsi="Calibri" w:cs="Times New Roman"/>
                <w:color w:val="000000"/>
                <w:sz w:val="20"/>
                <w:szCs w:val="20"/>
              </w:rPr>
              <w:t xml:space="preserve">neglected tropical disease </w:t>
            </w:r>
            <w:r w:rsidR="00BD4E6E" w:rsidRPr="00BD4E6E">
              <w:rPr>
                <w:rFonts w:ascii="Calibri" w:eastAsia="Times New Roman" w:hAnsi="Calibri" w:cs="Times New Roman"/>
                <w:color w:val="000000"/>
                <w:sz w:val="20"/>
                <w:szCs w:val="20"/>
              </w:rPr>
              <w:t xml:space="preserve">treatment goals and eliminate the possibility future disease transmission; and (3) horizontal disease control programs can create complementary interactions between their different control activities as well as reduce costs through improved program efficiencies—benefits that vertical programs are not able to attain. There exists a growing body of literature to suggest that interventions against conditions such as malaria, diarrheal diseases, malnutrition, and a whole host of </w:t>
            </w:r>
            <w:r>
              <w:rPr>
                <w:rFonts w:ascii="Calibri" w:eastAsia="Times New Roman" w:hAnsi="Calibri" w:cs="Times New Roman"/>
                <w:color w:val="000000"/>
                <w:sz w:val="20"/>
                <w:szCs w:val="20"/>
              </w:rPr>
              <w:t>neglected tropical diseases</w:t>
            </w:r>
            <w:r w:rsidRPr="00BD4E6E">
              <w:rPr>
                <w:rFonts w:ascii="Calibri" w:eastAsia="Times New Roman" w:hAnsi="Calibri" w:cs="Times New Roman"/>
                <w:color w:val="000000"/>
                <w:sz w:val="20"/>
                <w:szCs w:val="20"/>
              </w:rPr>
              <w:t xml:space="preserve"> </w:t>
            </w:r>
            <w:r w:rsidR="00BD4E6E" w:rsidRPr="00BD4E6E">
              <w:rPr>
                <w:rFonts w:ascii="Calibri" w:eastAsia="Times New Roman" w:hAnsi="Calibri" w:cs="Times New Roman"/>
                <w:color w:val="000000"/>
                <w:sz w:val="20"/>
                <w:szCs w:val="20"/>
              </w:rPr>
              <w:t>can realistically be managed at the community level by well</w:t>
            </w:r>
            <w:r>
              <w:rPr>
                <w:rFonts w:ascii="Calibri" w:eastAsia="Times New Roman" w:hAnsi="Calibri" w:cs="Times New Roman"/>
                <w:color w:val="000000"/>
                <w:sz w:val="20"/>
                <w:szCs w:val="20"/>
              </w:rPr>
              <w:t>-</w:t>
            </w:r>
            <w:r w:rsidR="00BD4E6E" w:rsidRPr="00BD4E6E">
              <w:rPr>
                <w:rFonts w:ascii="Calibri" w:eastAsia="Times New Roman" w:hAnsi="Calibri" w:cs="Times New Roman"/>
                <w:color w:val="000000"/>
                <w:sz w:val="20"/>
                <w:szCs w:val="20"/>
              </w:rPr>
              <w:t xml:space="preserve">trained and well-managed CHWs. </w:t>
            </w:r>
            <w:r>
              <w:rPr>
                <w:rFonts w:ascii="Calibri" w:eastAsia="Times New Roman" w:hAnsi="Calibri" w:cs="Times New Roman"/>
                <w:color w:val="000000"/>
                <w:sz w:val="20"/>
                <w:szCs w:val="20"/>
              </w:rPr>
              <w:t>F</w:t>
            </w:r>
            <w:r w:rsidR="00BD4E6E" w:rsidRPr="00BD4E6E">
              <w:rPr>
                <w:rFonts w:ascii="Calibri" w:eastAsia="Times New Roman" w:hAnsi="Calibri" w:cs="Times New Roman"/>
                <w:color w:val="000000"/>
                <w:sz w:val="20"/>
                <w:szCs w:val="20"/>
              </w:rPr>
              <w:t xml:space="preserve">uture </w:t>
            </w:r>
            <w:r>
              <w:rPr>
                <w:rFonts w:ascii="Calibri" w:eastAsia="Times New Roman" w:hAnsi="Calibri" w:cs="Times New Roman"/>
                <w:color w:val="000000"/>
                <w:sz w:val="20"/>
                <w:szCs w:val="20"/>
              </w:rPr>
              <w:t>neglected tropical diseases</w:t>
            </w:r>
            <w:r w:rsidRPr="00BD4E6E">
              <w:rPr>
                <w:rFonts w:ascii="Calibri" w:eastAsia="Times New Roman" w:hAnsi="Calibri" w:cs="Times New Roman"/>
                <w:color w:val="000000"/>
                <w:sz w:val="20"/>
                <w:szCs w:val="20"/>
              </w:rPr>
              <w:t xml:space="preserve"> </w:t>
            </w:r>
            <w:r w:rsidR="00BD4E6E" w:rsidRPr="00BD4E6E">
              <w:rPr>
                <w:rFonts w:ascii="Calibri" w:eastAsia="Times New Roman" w:hAnsi="Calibri" w:cs="Times New Roman"/>
                <w:color w:val="000000"/>
                <w:sz w:val="20"/>
                <w:szCs w:val="20"/>
              </w:rPr>
              <w:t>control programs should be thoughtfully crafted, well-integrated horizontal programs that operate parallel to and in harmony with other primary</w:t>
            </w:r>
            <w:r w:rsidR="002E2547">
              <w:rPr>
                <w:rFonts w:ascii="Calibri" w:eastAsia="Times New Roman" w:hAnsi="Calibri" w:cs="Times New Roman"/>
                <w:color w:val="000000"/>
                <w:sz w:val="20"/>
                <w:szCs w:val="20"/>
              </w:rPr>
              <w:t>-</w:t>
            </w:r>
            <w:r w:rsidR="00BD4E6E" w:rsidRPr="00BD4E6E">
              <w:rPr>
                <w:rFonts w:ascii="Calibri" w:eastAsia="Times New Roman" w:hAnsi="Calibri" w:cs="Times New Roman"/>
                <w:color w:val="000000"/>
                <w:sz w:val="20"/>
                <w:szCs w:val="20"/>
              </w:rPr>
              <w:t xml:space="preserve"> care</w:t>
            </w:r>
            <w:r w:rsidR="002E2547">
              <w:rPr>
                <w:rFonts w:ascii="Calibri" w:eastAsia="Times New Roman" w:hAnsi="Calibri" w:cs="Times New Roman"/>
                <w:color w:val="000000"/>
                <w:sz w:val="20"/>
                <w:szCs w:val="20"/>
              </w:rPr>
              <w:t>-</w:t>
            </w:r>
            <w:r w:rsidR="00BD4E6E" w:rsidRPr="00BD4E6E">
              <w:rPr>
                <w:rFonts w:ascii="Calibri" w:eastAsia="Times New Roman" w:hAnsi="Calibri" w:cs="Times New Roman"/>
                <w:color w:val="000000"/>
                <w:sz w:val="20"/>
                <w:szCs w:val="20"/>
              </w:rPr>
              <w:t>health efforts.</w:t>
            </w:r>
          </w:p>
        </w:tc>
      </w:tr>
    </w:tbl>
    <w:p w14:paraId="12FCCFA4" w14:textId="77777777" w:rsidR="00D24518" w:rsidRPr="00862AF9" w:rsidRDefault="00D24518" w:rsidP="00E96A82">
      <w:pPr>
        <w:spacing w:after="0"/>
        <w:rPr>
          <w:rFonts w:ascii="Calibri" w:hAnsi="Calibri"/>
        </w:rPr>
      </w:pPr>
    </w:p>
    <w:p w14:paraId="3164BC73" w14:textId="77777777" w:rsidR="00862AF9" w:rsidRDefault="00862AF9" w:rsidP="00E96A82">
      <w:pPr>
        <w:spacing w:after="0"/>
        <w:rPr>
          <w:rFonts w:ascii="Calibri" w:hAnsi="Calibri"/>
        </w:rPr>
      </w:pPr>
      <w:r w:rsidRPr="00862AF9">
        <w:rPr>
          <w:rFonts w:ascii="Calibri" w:hAnsi="Calibri"/>
        </w:rPr>
        <w:t xml:space="preserve">No studies on CBP involvement in palliative community-based care were found that met Horey et al.’s </w:t>
      </w:r>
      <w:r w:rsidRPr="00862AF9">
        <w:rPr>
          <w:rFonts w:ascii="Calibri" w:hAnsi="Calibri"/>
        </w:rPr>
        <w:fldChar w:fldCharType="begin" w:fldLock="1"/>
      </w:r>
      <w:r w:rsidRPr="00862AF9">
        <w:rPr>
          <w:rFonts w:ascii="Calibri" w:hAnsi="Calibri"/>
        </w:rPr>
        <w:instrText>ADDIN CSL_CITATION { "citationItems" : [ { "id" : "ITEM-1", "itemData" : { "DOI" : "10.1002/14651858.CD009500.pub2", "ISBN" : "1469-493x", "ISSN" : "1469493X", "PMID" : "26189823", "abstract" : "This is the protocol for a review and there is no abstract. The objectives are as follows:To assess the effects of training and support strategies for palliative care volunteers on palliative care clients and their families, volunteers and service quality.", "author" : [ { "dropping-particle" : "", "family" : "Horey", "given" : "Dell", "non-dropping-particle" : "", "parse-names" : false, "suffix" : "" }, { "dropping-particle" : "", "family" : "Street", "given" : "Annette F.", "non-dropping-particle" : "", "parse-names" : false, "suffix" : "" }, { "dropping-particle" : "", "family" : "O'Connor", "given" : "Margaret", "non-dropping-particle" : "", "parse-names" : false, "suffix" : "" }, { "dropping-particle" : "", "family" : "Peters", "given" : "Louise", "non-dropping-particle" : "", "parse-names" : false, "suffix" : "" }, { "dropping-particle" : "", "family" : "Lee", "given" : "Susan F.", "non-dropping-particle" : "", "parse-names" : false, "suffix" : "" } ], "container-title" : "The Cochrane database of systematic reviews", "id" : "ITEM-1", "issue" : "7", "issued" : { "date-parts" : [ [ "2015" ] ] }, "page" : "CD009500", "title" : "Training and supportive programs for palliative care volunteers in community settings", "type" : "article-journal", "volume" : "7" }, "suppress-author" : 1, "uris" : [ "http://www.mendeley.com/documents/?uuid=23fe1168-ae92-4602-aca3-3686bfbaf52f" ] } ], "mendeley" : { "formattedCitation" : "(2015)", "plainTextFormattedCitation" : "(2015)", "previouslyFormattedCitation" : "(2015)" }, "properties" : { "noteIndex" : 0 }, "schema" : "https://github.com/citation-style-language/schema/raw/master/csl-citation.json" }</w:instrText>
      </w:r>
      <w:r w:rsidRPr="00862AF9">
        <w:rPr>
          <w:rFonts w:ascii="Calibri" w:hAnsi="Calibri"/>
        </w:rPr>
        <w:fldChar w:fldCharType="separate"/>
      </w:r>
      <w:r w:rsidRPr="00862AF9">
        <w:rPr>
          <w:rFonts w:ascii="Calibri" w:hAnsi="Calibri"/>
          <w:noProof/>
        </w:rPr>
        <w:t>(2015)</w:t>
      </w:r>
      <w:r w:rsidRPr="00862AF9">
        <w:rPr>
          <w:rFonts w:ascii="Calibri" w:hAnsi="Calibri"/>
        </w:rPr>
        <w:fldChar w:fldCharType="end"/>
      </w:r>
      <w:r w:rsidRPr="00862AF9">
        <w:rPr>
          <w:rFonts w:ascii="Calibri" w:hAnsi="Calibri"/>
        </w:rPr>
        <w:t xml:space="preserve"> meta-analysis inclusion criteria. They concluded that there is an absence of evidence to show how best to train or support palliative care volunteers whilst maintaining standards of care for palliative care patients and their families.</w:t>
      </w:r>
    </w:p>
    <w:p w14:paraId="07B68F7D" w14:textId="77777777" w:rsidR="00D24518" w:rsidRDefault="00D24518" w:rsidP="00E96A82">
      <w:pPr>
        <w:spacing w:after="0"/>
        <w:rPr>
          <w:rFonts w:ascii="Calibri" w:hAnsi="Calibri"/>
        </w:rPr>
      </w:pPr>
    </w:p>
    <w:p w14:paraId="01AB57C6" w14:textId="32E8F7BD" w:rsidR="00D24518" w:rsidRDefault="00D24518" w:rsidP="00E96A82">
      <w:pPr>
        <w:spacing w:after="0"/>
        <w:rPr>
          <w:rFonts w:ascii="Calibri" w:hAnsi="Calibri"/>
        </w:rPr>
      </w:pPr>
      <w:r>
        <w:rPr>
          <w:rFonts w:ascii="Calibri" w:hAnsi="Calibri"/>
        </w:rPr>
        <w:t>One study was classified as “LMIC other” and focused on adolescent health (</w:t>
      </w:r>
      <w:r>
        <w:rPr>
          <w:rFonts w:ascii="Calibri" w:hAnsi="Calibri"/>
        </w:rPr>
        <w:fldChar w:fldCharType="begin"/>
      </w:r>
      <w:r>
        <w:rPr>
          <w:rFonts w:ascii="Calibri" w:hAnsi="Calibri"/>
        </w:rPr>
        <w:instrText xml:space="preserve"> REF _Ref387399357 \h </w:instrText>
      </w:r>
      <w:r>
        <w:rPr>
          <w:rFonts w:ascii="Calibri" w:hAnsi="Calibri"/>
        </w:rPr>
      </w:r>
      <w:r>
        <w:rPr>
          <w:rFonts w:ascii="Calibri" w:hAnsi="Calibri"/>
        </w:rPr>
        <w:fldChar w:fldCharType="separate"/>
      </w:r>
      <w:r>
        <w:t xml:space="preserve">Table </w:t>
      </w:r>
      <w:r>
        <w:rPr>
          <w:rFonts w:hint="eastAsia"/>
          <w:noProof/>
        </w:rPr>
        <w:t>12</w:t>
      </w:r>
      <w:r>
        <w:rPr>
          <w:rFonts w:ascii="Calibri" w:hAnsi="Calibri"/>
        </w:rPr>
        <w:fldChar w:fldCharType="end"/>
      </w:r>
      <w:r>
        <w:rPr>
          <w:rFonts w:ascii="Calibri" w:hAnsi="Calibri"/>
        </w:rPr>
        <w:t>).</w:t>
      </w:r>
    </w:p>
    <w:p w14:paraId="7087C900" w14:textId="77777777" w:rsidR="00D24518" w:rsidRDefault="00D24518" w:rsidP="00E96A82">
      <w:pPr>
        <w:spacing w:after="0"/>
        <w:rPr>
          <w:rFonts w:ascii="Calibri" w:hAnsi="Calibri"/>
        </w:rPr>
      </w:pPr>
    </w:p>
    <w:p w14:paraId="6AB05196" w14:textId="56B3C1BB" w:rsidR="00D24518" w:rsidRPr="00862AF9" w:rsidRDefault="00D24518" w:rsidP="00D24518">
      <w:pPr>
        <w:pStyle w:val="atable"/>
        <w:rPr>
          <w:rFonts w:ascii="Calibri" w:hAnsi="Calibri" w:hint="eastAsia"/>
        </w:rPr>
      </w:pPr>
      <w:bookmarkStart w:id="37" w:name="_Ref387399357"/>
      <w:bookmarkStart w:id="38" w:name="_Toc387399722"/>
      <w:r>
        <w:t xml:space="preserve">Table </w:t>
      </w:r>
      <w:r>
        <w:fldChar w:fldCharType="begin"/>
      </w:r>
      <w:r>
        <w:instrText xml:space="preserve"> SEQ Table \* ARABIC </w:instrText>
      </w:r>
      <w:r>
        <w:fldChar w:fldCharType="separate"/>
      </w:r>
      <w:r>
        <w:rPr>
          <w:rFonts w:hint="eastAsia"/>
          <w:noProof/>
        </w:rPr>
        <w:t>12</w:t>
      </w:r>
      <w:r>
        <w:fldChar w:fldCharType="end"/>
      </w:r>
      <w:bookmarkEnd w:id="37"/>
      <w:r>
        <w:t>. Other LMIC reviews</w:t>
      </w:r>
      <w:bookmarkEnd w:id="38"/>
    </w:p>
    <w:tbl>
      <w:tblPr>
        <w:tblW w:w="136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709"/>
        <w:gridCol w:w="850"/>
        <w:gridCol w:w="10773"/>
      </w:tblGrid>
      <w:tr w:rsidR="00D24518" w:rsidRPr="00862AF9" w14:paraId="0CDB75D7" w14:textId="77777777" w:rsidTr="00B55D32">
        <w:trPr>
          <w:cantSplit/>
          <w:trHeight w:val="320"/>
          <w:tblHeader/>
        </w:trPr>
        <w:tc>
          <w:tcPr>
            <w:tcW w:w="1291" w:type="dxa"/>
            <w:tcBorders>
              <w:top w:val="single" w:sz="4" w:space="0" w:color="auto"/>
            </w:tcBorders>
            <w:shd w:val="clear" w:color="000000" w:fill="D9D9D9"/>
            <w:noWrap/>
            <w:vAlign w:val="bottom"/>
            <w:hideMark/>
          </w:tcPr>
          <w:p w14:paraId="46701ADC" w14:textId="77777777" w:rsidR="00D24518" w:rsidRPr="00862AF9" w:rsidRDefault="00D24518" w:rsidP="00B55D3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1</w:t>
            </w:r>
            <w:r w:rsidRPr="00862AF9">
              <w:rPr>
                <w:rFonts w:ascii="Calibri" w:eastAsia="Times New Roman" w:hAnsi="Calibri" w:cs="Times New Roman"/>
                <w:b/>
                <w:bCs/>
                <w:color w:val="000000"/>
                <w:sz w:val="20"/>
                <w:szCs w:val="20"/>
                <w:vertAlign w:val="superscript"/>
              </w:rPr>
              <w:t>st</w:t>
            </w:r>
            <w:r w:rsidRPr="00862AF9">
              <w:rPr>
                <w:rFonts w:ascii="Calibri" w:eastAsia="Times New Roman" w:hAnsi="Calibri" w:cs="Times New Roman"/>
                <w:b/>
                <w:bCs/>
                <w:color w:val="000000"/>
                <w:sz w:val="20"/>
                <w:szCs w:val="20"/>
              </w:rPr>
              <w:t xml:space="preserve"> author</w:t>
            </w:r>
          </w:p>
        </w:tc>
        <w:tc>
          <w:tcPr>
            <w:tcW w:w="709" w:type="dxa"/>
            <w:tcBorders>
              <w:top w:val="single" w:sz="4" w:space="0" w:color="auto"/>
            </w:tcBorders>
            <w:shd w:val="clear" w:color="000000" w:fill="D9D9D9"/>
            <w:noWrap/>
            <w:vAlign w:val="bottom"/>
            <w:hideMark/>
          </w:tcPr>
          <w:p w14:paraId="55C34F60" w14:textId="77777777" w:rsidR="00D24518" w:rsidRPr="00862AF9" w:rsidRDefault="00D24518" w:rsidP="00B55D3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Date</w:t>
            </w:r>
          </w:p>
        </w:tc>
        <w:tc>
          <w:tcPr>
            <w:tcW w:w="850" w:type="dxa"/>
            <w:tcBorders>
              <w:top w:val="single" w:sz="4" w:space="0" w:color="auto"/>
            </w:tcBorders>
            <w:shd w:val="clear" w:color="000000" w:fill="D9D9D9"/>
            <w:noWrap/>
            <w:vAlign w:val="bottom"/>
            <w:hideMark/>
          </w:tcPr>
          <w:p w14:paraId="40C8ED77" w14:textId="77777777" w:rsidR="00D24518" w:rsidRPr="00862AF9" w:rsidRDefault="00D24518" w:rsidP="00B55D3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Review type</w:t>
            </w:r>
          </w:p>
        </w:tc>
        <w:tc>
          <w:tcPr>
            <w:tcW w:w="10773" w:type="dxa"/>
            <w:tcBorders>
              <w:top w:val="single" w:sz="4" w:space="0" w:color="auto"/>
            </w:tcBorders>
            <w:shd w:val="clear" w:color="000000" w:fill="D9D9D9"/>
            <w:noWrap/>
            <w:vAlign w:val="bottom"/>
            <w:hideMark/>
          </w:tcPr>
          <w:p w14:paraId="774AD507" w14:textId="77777777" w:rsidR="00D24518" w:rsidRPr="00862AF9" w:rsidRDefault="00D24518" w:rsidP="00B55D32">
            <w:pPr>
              <w:spacing w:after="0"/>
              <w:rPr>
                <w:rFonts w:ascii="Calibri" w:eastAsia="Times New Roman" w:hAnsi="Calibri" w:cs="Times New Roman"/>
                <w:b/>
                <w:bCs/>
                <w:color w:val="000000"/>
                <w:sz w:val="20"/>
                <w:szCs w:val="20"/>
              </w:rPr>
            </w:pPr>
            <w:r w:rsidRPr="00862AF9">
              <w:rPr>
                <w:rFonts w:ascii="Calibri" w:eastAsia="Times New Roman" w:hAnsi="Calibri" w:cs="Times New Roman"/>
                <w:b/>
                <w:bCs/>
                <w:color w:val="000000"/>
                <w:sz w:val="20"/>
                <w:szCs w:val="20"/>
              </w:rPr>
              <w:t>Main outcomes and CBP roles</w:t>
            </w:r>
          </w:p>
        </w:tc>
      </w:tr>
      <w:tr w:rsidR="00D24518" w:rsidRPr="00862AF9" w14:paraId="3AFFD2ED" w14:textId="77777777" w:rsidTr="00B55D32">
        <w:trPr>
          <w:cantSplit/>
          <w:trHeight w:val="320"/>
        </w:trPr>
        <w:tc>
          <w:tcPr>
            <w:tcW w:w="1291" w:type="dxa"/>
            <w:shd w:val="clear" w:color="auto" w:fill="auto"/>
            <w:noWrap/>
            <w:vAlign w:val="bottom"/>
          </w:tcPr>
          <w:p w14:paraId="3F18D81F" w14:textId="04F87C15" w:rsidR="00D24518" w:rsidRPr="00862AF9" w:rsidRDefault="00D24518" w:rsidP="00B55D32">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Koon</w:t>
            </w:r>
          </w:p>
        </w:tc>
        <w:tc>
          <w:tcPr>
            <w:tcW w:w="709" w:type="dxa"/>
            <w:shd w:val="clear" w:color="auto" w:fill="auto"/>
            <w:noWrap/>
            <w:vAlign w:val="bottom"/>
          </w:tcPr>
          <w:p w14:paraId="3727ECB0" w14:textId="2AF5AB39" w:rsidR="00D24518" w:rsidRPr="00862AF9" w:rsidRDefault="00D24518" w:rsidP="00B55D32">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2013</w:t>
            </w:r>
          </w:p>
        </w:tc>
        <w:tc>
          <w:tcPr>
            <w:tcW w:w="850" w:type="dxa"/>
            <w:shd w:val="clear" w:color="auto" w:fill="auto"/>
            <w:noWrap/>
            <w:vAlign w:val="bottom"/>
          </w:tcPr>
          <w:p w14:paraId="11AFE419" w14:textId="77777777" w:rsidR="00D24518" w:rsidRPr="00862AF9" w:rsidRDefault="00D24518" w:rsidP="00D24518">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NSR</w:t>
            </w:r>
          </w:p>
        </w:tc>
        <w:tc>
          <w:tcPr>
            <w:tcW w:w="10773" w:type="dxa"/>
            <w:shd w:val="clear" w:color="auto" w:fill="auto"/>
            <w:noWrap/>
            <w:vAlign w:val="bottom"/>
          </w:tcPr>
          <w:p w14:paraId="23CE437D" w14:textId="217B8DCB" w:rsidR="00D24518" w:rsidRPr="00862AF9" w:rsidRDefault="00D24518" w:rsidP="00D24518">
            <w:pPr>
              <w:spacing w:after="0"/>
              <w:rPr>
                <w:rFonts w:ascii="Calibri" w:eastAsia="Times New Roman" w:hAnsi="Calibri" w:cs="Times New Roman"/>
                <w:color w:val="000000"/>
                <w:sz w:val="20"/>
                <w:szCs w:val="20"/>
              </w:rPr>
            </w:pPr>
            <w:r w:rsidRPr="00D24518">
              <w:rPr>
                <w:rFonts w:ascii="Calibri" w:eastAsia="Times New Roman" w:hAnsi="Calibri" w:cs="Times New Roman"/>
                <w:color w:val="000000"/>
                <w:sz w:val="20"/>
                <w:szCs w:val="20"/>
              </w:rPr>
              <w:t>This review examined the potential of CHWs for strengthening the delivery of adolescent health services</w:t>
            </w:r>
            <w:r>
              <w:rPr>
                <w:rFonts w:ascii="Calibri" w:eastAsia="Times New Roman" w:hAnsi="Calibri" w:cs="Times New Roman"/>
                <w:color w:val="000000"/>
                <w:sz w:val="20"/>
                <w:szCs w:val="20"/>
              </w:rPr>
              <w:t xml:space="preserve"> in sub-Saharan Africa</w:t>
            </w:r>
            <w:r w:rsidRPr="00D24518">
              <w:rPr>
                <w:rFonts w:ascii="Calibri" w:eastAsia="Times New Roman" w:hAnsi="Calibri" w:cs="Times New Roman"/>
                <w:color w:val="000000"/>
                <w:sz w:val="20"/>
                <w:szCs w:val="20"/>
              </w:rPr>
              <w:t xml:space="preserve">. A single study used CHWs to deliver adolescent health services with promising results. </w:t>
            </w:r>
            <w:r>
              <w:rPr>
                <w:rFonts w:ascii="Calibri" w:eastAsia="Times New Roman" w:hAnsi="Calibri" w:cs="Times New Roman"/>
                <w:color w:val="000000"/>
                <w:sz w:val="20"/>
                <w:szCs w:val="20"/>
              </w:rPr>
              <w:t>CHW programs involving the delivery of adolescent health services</w:t>
            </w:r>
            <w:r w:rsidRPr="00D24518">
              <w:rPr>
                <w:rFonts w:ascii="Calibri" w:eastAsia="Times New Roman" w:hAnsi="Calibri" w:cs="Times New Roman"/>
                <w:color w:val="000000"/>
                <w:sz w:val="20"/>
                <w:szCs w:val="20"/>
              </w:rPr>
              <w:t xml:space="preserve"> have proliferated despite the abse</w:t>
            </w:r>
            <w:r>
              <w:rPr>
                <w:rFonts w:ascii="Calibri" w:eastAsia="Times New Roman" w:hAnsi="Calibri" w:cs="Times New Roman"/>
                <w:color w:val="000000"/>
                <w:sz w:val="20"/>
                <w:szCs w:val="20"/>
              </w:rPr>
              <w:t>nce of high quality evaluations</w:t>
            </w:r>
            <w:r w:rsidR="00F96AD0">
              <w:rPr>
                <w:rFonts w:ascii="Calibri" w:eastAsia="Times New Roman" w:hAnsi="Calibri" w:cs="Times New Roman"/>
                <w:color w:val="000000"/>
                <w:sz w:val="20"/>
                <w:szCs w:val="20"/>
              </w:rPr>
              <w:t>. Further research is needed,</w:t>
            </w:r>
            <w:r>
              <w:rPr>
                <w:rFonts w:ascii="Calibri" w:eastAsia="Times New Roman" w:hAnsi="Calibri" w:cs="Times New Roman"/>
                <w:color w:val="000000"/>
                <w:sz w:val="20"/>
                <w:szCs w:val="20"/>
              </w:rPr>
              <w:t xml:space="preserve"> including on the capacity and comparative </w:t>
            </w:r>
            <w:r w:rsidRPr="00D24518">
              <w:rPr>
                <w:rFonts w:ascii="Calibri" w:eastAsia="Times New Roman" w:hAnsi="Calibri" w:cs="Times New Roman"/>
                <w:color w:val="000000"/>
                <w:sz w:val="20"/>
                <w:szCs w:val="20"/>
              </w:rPr>
              <w:t>effectiveness of generalist</w:t>
            </w:r>
            <w:r>
              <w:rPr>
                <w:rFonts w:ascii="Calibri" w:eastAsia="Times New Roman" w:hAnsi="Calibri" w:cs="Times New Roman"/>
                <w:color w:val="000000"/>
                <w:sz w:val="20"/>
                <w:szCs w:val="20"/>
              </w:rPr>
              <w:t xml:space="preserve"> versus specialist CHW programs. </w:t>
            </w:r>
          </w:p>
        </w:tc>
      </w:tr>
    </w:tbl>
    <w:p w14:paraId="47E9873C" w14:textId="77777777" w:rsidR="00F96D4F" w:rsidRPr="00862AF9" w:rsidRDefault="00F96D4F" w:rsidP="00E96A82">
      <w:pPr>
        <w:pStyle w:val="Subtitle"/>
        <w:spacing w:after="0"/>
        <w:rPr>
          <w:rFonts w:ascii="Calibri" w:hAnsi="Calibri" w:hint="eastAsia"/>
          <w:b/>
          <w:color w:val="auto"/>
          <w:sz w:val="28"/>
          <w:szCs w:val="28"/>
        </w:rPr>
      </w:pPr>
    </w:p>
    <w:sectPr w:rsidR="00F96D4F" w:rsidRPr="00862AF9" w:rsidSect="00757311">
      <w:footerReference w:type="even" r:id="rId8"/>
      <w:footerReference w:type="default" r:id="rId9"/>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D3AAAC" w15:done="0"/>
  <w15:commentEx w15:paraId="0420CA9D" w15:done="0"/>
  <w15:commentEx w15:paraId="1BD90243" w15:done="0"/>
  <w15:commentEx w15:paraId="7862DB92" w15:done="0"/>
  <w15:commentEx w15:paraId="066F093C" w15:done="0"/>
  <w15:commentEx w15:paraId="117FF46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626AE" w14:textId="77777777" w:rsidR="005C3DEF" w:rsidRDefault="005C3DEF" w:rsidP="00F96D4F">
      <w:pPr>
        <w:spacing w:after="0" w:line="240" w:lineRule="auto"/>
      </w:pPr>
      <w:r>
        <w:separator/>
      </w:r>
    </w:p>
  </w:endnote>
  <w:endnote w:type="continuationSeparator" w:id="0">
    <w:p w14:paraId="1526DCE5" w14:textId="77777777" w:rsidR="005C3DEF" w:rsidRDefault="005C3DEF" w:rsidP="00F9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ＭＳ 明朝">
    <w:altName w:val="Arial Unicode MS"/>
    <w:panose1 w:val="00000000000000000000"/>
    <w:charset w:val="80"/>
    <w:family w:val="roman"/>
    <w:notTrueType/>
    <w:pitch w:val="fixed"/>
    <w:sig w:usb0="00000001" w:usb1="08070000" w:usb2="00000010" w:usb3="00000000" w:csb0="00020000" w:csb1="00000000"/>
  </w:font>
  <w:font w:name="Calibri Light">
    <w:altName w:val="Arial"/>
    <w:panose1 w:val="020F0302020204030204"/>
    <w:charset w:val="00"/>
    <w:family w:val="swiss"/>
    <w:pitch w:val="variable"/>
    <w:sig w:usb0="A00002EF" w:usb1="4000207B" w:usb2="00000000" w:usb3="00000000" w:csb0="0000019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Segoe UI">
    <w:altName w:val="Arial"/>
    <w:charset w:val="00"/>
    <w:family w:val="swiss"/>
    <w:pitch w:val="variable"/>
    <w:sig w:usb0="E4002EFF" w:usb1="C000E47F" w:usb2="00000009" w:usb3="00000000" w:csb0="000001FF" w:csb1="00000000"/>
  </w:font>
  <w:font w:name="Cambria">
    <w:altName w:val="Times New Roman"/>
    <w:panose1 w:val="02040503050406030204"/>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3CAD4" w14:textId="77777777" w:rsidR="005C3DEF" w:rsidRDefault="005C3DEF" w:rsidP="00204FA4">
    <w:pPr>
      <w:pStyle w:val="Footer"/>
      <w:framePr w:wrap="around" w:vAnchor="text" w:hAnchor="margin" w:xAlign="right" w:y="1"/>
      <w:rPr>
        <w:rStyle w:val="PageNumber"/>
        <w:rFonts w:hint="eastAsia"/>
      </w:rPr>
    </w:pPr>
    <w:r>
      <w:rPr>
        <w:rStyle w:val="PageNumber"/>
      </w:rPr>
      <w:fldChar w:fldCharType="begin"/>
    </w:r>
    <w:r>
      <w:rPr>
        <w:rStyle w:val="PageNumber"/>
      </w:rPr>
      <w:instrText xml:space="preserve">PAGE  </w:instrText>
    </w:r>
    <w:r>
      <w:rPr>
        <w:rStyle w:val="PageNumber"/>
      </w:rPr>
      <w:fldChar w:fldCharType="end"/>
    </w:r>
  </w:p>
  <w:p w14:paraId="218E2666" w14:textId="77777777" w:rsidR="005C3DEF" w:rsidRDefault="005C3DEF" w:rsidP="00862AF9">
    <w:pPr>
      <w:pStyle w:val="Footer"/>
      <w:ind w:right="360"/>
      <w:rPr>
        <w:rFonts w:hint="eastAsia"/>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3B112" w14:textId="77777777" w:rsidR="005C3DEF" w:rsidRDefault="005C3DEF" w:rsidP="00204FA4">
    <w:pPr>
      <w:pStyle w:val="Footer"/>
      <w:framePr w:wrap="around" w:vAnchor="text" w:hAnchor="margin" w:xAlign="right" w:y="1"/>
      <w:rPr>
        <w:rStyle w:val="PageNumber"/>
        <w:rFonts w:hint="eastAsia"/>
      </w:rPr>
    </w:pPr>
    <w:r>
      <w:rPr>
        <w:rStyle w:val="PageNumber"/>
      </w:rPr>
      <w:fldChar w:fldCharType="begin"/>
    </w:r>
    <w:r>
      <w:rPr>
        <w:rStyle w:val="PageNumber"/>
      </w:rPr>
      <w:instrText xml:space="preserve">PAGE  </w:instrText>
    </w:r>
    <w:r>
      <w:rPr>
        <w:rStyle w:val="PageNumber"/>
      </w:rPr>
      <w:fldChar w:fldCharType="separate"/>
    </w:r>
    <w:r w:rsidR="00DC3FBF">
      <w:rPr>
        <w:rStyle w:val="PageNumber"/>
        <w:rFonts w:hint="eastAsia"/>
        <w:noProof/>
      </w:rPr>
      <w:t>8</w:t>
    </w:r>
    <w:r>
      <w:rPr>
        <w:rStyle w:val="PageNumber"/>
      </w:rPr>
      <w:fldChar w:fldCharType="end"/>
    </w:r>
  </w:p>
  <w:p w14:paraId="1A46A138" w14:textId="77777777" w:rsidR="005C3DEF" w:rsidRDefault="005C3DEF" w:rsidP="00862AF9">
    <w:pPr>
      <w:pStyle w:val="Footer"/>
      <w:ind w:right="360"/>
      <w:rPr>
        <w:rFonts w:hint="eastAsi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79579" w14:textId="77777777" w:rsidR="005C3DEF" w:rsidRDefault="005C3DEF" w:rsidP="00F96D4F">
      <w:pPr>
        <w:spacing w:after="0" w:line="240" w:lineRule="auto"/>
      </w:pPr>
      <w:r>
        <w:separator/>
      </w:r>
    </w:p>
  </w:footnote>
  <w:footnote w:type="continuationSeparator" w:id="0">
    <w:p w14:paraId="2C086752" w14:textId="77777777" w:rsidR="005C3DEF" w:rsidRDefault="005C3DEF" w:rsidP="00F96D4F">
      <w:pPr>
        <w:spacing w:after="0" w:line="240" w:lineRule="auto"/>
      </w:pPr>
      <w:r>
        <w:continuationSeparator/>
      </w:r>
    </w:p>
  </w:footnote>
  <w:footnote w:id="1">
    <w:p w14:paraId="5BDF0EA3" w14:textId="34C709EC" w:rsidR="005C3DEF" w:rsidRPr="00862AF9" w:rsidRDefault="005C3DEF" w:rsidP="00357036">
      <w:pPr>
        <w:spacing w:after="0"/>
        <w:rPr>
          <w:rFonts w:ascii="Calibri" w:eastAsia="Times New Roman" w:hAnsi="Calibri" w:cs="Times New Roman"/>
          <w:color w:val="000000"/>
          <w:sz w:val="20"/>
          <w:szCs w:val="20"/>
        </w:rPr>
      </w:pPr>
      <w:r w:rsidRPr="00B47639">
        <w:rPr>
          <w:rStyle w:val="FootnoteReference"/>
        </w:rPr>
        <w:footnoteRef/>
      </w:r>
      <w:r>
        <w:rPr>
          <w:rFonts w:ascii="Calibri" w:eastAsia="Times New Roman" w:hAnsi="Calibri" w:cs="Times New Roman"/>
          <w:color w:val="000000"/>
          <w:sz w:val="20"/>
          <w:szCs w:val="20"/>
        </w:rPr>
        <w:t>This article had a global scope but the majority of the included studies were from HIC settings</w:t>
      </w:r>
    </w:p>
    <w:p w14:paraId="28E87F98" w14:textId="42D40C0C" w:rsidR="005C3DEF" w:rsidRDefault="005C3DEF">
      <w:pPr>
        <w:pStyle w:val="FootnoteText"/>
      </w:pPr>
    </w:p>
  </w:footnote>
  <w:footnote w:id="2">
    <w:p w14:paraId="15457174" w14:textId="20BF25DD" w:rsidR="005C3DEF" w:rsidRDefault="005C3DEF">
      <w:pPr>
        <w:pStyle w:val="FootnoteText"/>
      </w:pPr>
      <w:r w:rsidRPr="00B47639">
        <w:rPr>
          <w:rStyle w:val="FootnoteReference"/>
        </w:rPr>
        <w:footnoteRef/>
      </w:r>
      <w:r>
        <w:t xml:space="preserve"> </w:t>
      </w:r>
      <w:r>
        <w:rPr>
          <w:rFonts w:ascii="Calibri" w:eastAsia="Times New Roman" w:hAnsi="Calibri" w:cs="Times New Roman"/>
          <w:color w:val="000000"/>
          <w:sz w:val="20"/>
          <w:szCs w:val="20"/>
        </w:rPr>
        <w:t>This article had a global scope but the included studies appear to be from HIC settings</w:t>
      </w:r>
    </w:p>
  </w:footnote>
  <w:footnote w:id="3">
    <w:p w14:paraId="34FB4C94" w14:textId="7B60D5B2" w:rsidR="005C3DEF" w:rsidRDefault="005C3DEF">
      <w:pPr>
        <w:pStyle w:val="FootnoteText"/>
      </w:pPr>
      <w:r w:rsidRPr="00B47639">
        <w:rPr>
          <w:rStyle w:val="FootnoteReference"/>
        </w:rPr>
        <w:footnoteRef/>
      </w:r>
      <w:r>
        <w:t xml:space="preserve"> </w:t>
      </w:r>
      <w:r>
        <w:rPr>
          <w:rFonts w:ascii="Calibri" w:eastAsia="Times New Roman" w:hAnsi="Calibri" w:cs="Times New Roman"/>
          <w:color w:val="000000"/>
          <w:sz w:val="20"/>
          <w:szCs w:val="20"/>
        </w:rPr>
        <w:t>This article had a global scope but the majority of the included studies were from HIC settings</w:t>
      </w:r>
    </w:p>
  </w:footnote>
  <w:footnote w:id="4">
    <w:p w14:paraId="4E511516" w14:textId="3F95FCD2" w:rsidR="005C3DEF" w:rsidRDefault="005C3DEF">
      <w:pPr>
        <w:pStyle w:val="FootnoteText"/>
      </w:pPr>
      <w:r w:rsidRPr="00B47639">
        <w:rPr>
          <w:rStyle w:val="FootnoteReference"/>
        </w:rPr>
        <w:footnoteRef/>
      </w:r>
      <w:r w:rsidRPr="00862AF9">
        <w:rPr>
          <w:rFonts w:ascii="Calibri" w:hAnsi="Calibri"/>
          <w:sz w:val="20"/>
          <w:szCs w:val="20"/>
        </w:rPr>
        <w:t>No regional focus mentioned but the included article appears to be from HICs</w:t>
      </w:r>
    </w:p>
  </w:footnote>
  <w:footnote w:id="5">
    <w:p w14:paraId="2C5952D6" w14:textId="2954DB92" w:rsidR="005C3DEF" w:rsidRPr="004A79D9" w:rsidRDefault="005C3DEF" w:rsidP="004A79D9">
      <w:pPr>
        <w:pStyle w:val="FootnoteText"/>
      </w:pPr>
      <w:r w:rsidRPr="00B47639">
        <w:rPr>
          <w:rStyle w:val="FootnoteReference"/>
        </w:rPr>
        <w:footnoteRef/>
      </w:r>
      <w:r>
        <w:rPr>
          <w:rFonts w:ascii="Cambria" w:hAnsi="Cambria"/>
          <w:sz w:val="18"/>
          <w:szCs w:val="18"/>
        </w:rPr>
        <w:t>Se</w:t>
      </w:r>
      <w:r w:rsidRPr="00B46CB4">
        <w:rPr>
          <w:rFonts w:ascii="Cambria" w:hAnsi="Cambria"/>
          <w:sz w:val="18"/>
          <w:szCs w:val="18"/>
        </w:rPr>
        <w:t>venteen of the LHW program</w:t>
      </w:r>
      <w:r w:rsidRPr="004A79D9">
        <w:rPr>
          <w:rFonts w:ascii="Cambria" w:hAnsi="Cambria"/>
          <w:sz w:val="18"/>
          <w:szCs w:val="18"/>
        </w:rPr>
        <w:t>s</w:t>
      </w:r>
      <w:r w:rsidRPr="00B46CB4">
        <w:rPr>
          <w:rFonts w:ascii="Cambria" w:hAnsi="Cambria"/>
          <w:sz w:val="18"/>
          <w:szCs w:val="18"/>
        </w:rPr>
        <w:t xml:space="preserve"> were based in low income countries (Bangladesh, Ethiopia, Gambia, Kenya, Malawi, Nepal, Uganda, Viet Nam, Zambia, Zimbabwe); 19 were based in middle income countries (Brazil, Ghana, Guatemala, Honduras, India, Iran, Mexico, Nicaragua, Pakistan, Papua New Guinea, South Africa, Thailand); and 17 were based in </w:t>
      </w:r>
      <w:r>
        <w:rPr>
          <w:rFonts w:ascii="Cambria" w:hAnsi="Cambria"/>
          <w:sz w:val="18"/>
          <w:szCs w:val="18"/>
        </w:rPr>
        <w:t>HICs</w:t>
      </w:r>
      <w:r w:rsidRPr="00B46CB4">
        <w:rPr>
          <w:rFonts w:ascii="Cambria" w:hAnsi="Cambria"/>
          <w:sz w:val="18"/>
          <w:szCs w:val="18"/>
        </w:rPr>
        <w:t xml:space="preserve"> (Australia, Canada, USA, UK).</w:t>
      </w:r>
      <w:r w:rsidRPr="004A79D9">
        <w:t xml:space="preserve"> </w:t>
      </w:r>
    </w:p>
    <w:p w14:paraId="61A223EC" w14:textId="1F0EEDE5" w:rsidR="005C3DEF" w:rsidRDefault="005C3DEF">
      <w:pPr>
        <w:pStyle w:val="FootnoteText"/>
      </w:pPr>
    </w:p>
  </w:footnote>
  <w:footnote w:id="6">
    <w:p w14:paraId="2B611225" w14:textId="21F63020" w:rsidR="005C3DEF" w:rsidRDefault="005C3DEF" w:rsidP="00575DFF">
      <w:pPr>
        <w:spacing w:after="0" w:line="240" w:lineRule="auto"/>
        <w:rPr>
          <w:sz w:val="20"/>
          <w:szCs w:val="20"/>
        </w:rPr>
      </w:pPr>
      <w:r w:rsidRPr="00B47639">
        <w:rPr>
          <w:rStyle w:val="FootnoteReference"/>
        </w:rPr>
        <w:footnoteRef/>
      </w:r>
      <w:r>
        <w:rPr>
          <w:sz w:val="20"/>
          <w:szCs w:val="20"/>
        </w:rPr>
        <w:t xml:space="preserve"> </w:t>
      </w:r>
      <w:r w:rsidRPr="00063538">
        <w:rPr>
          <w:sz w:val="20"/>
          <w:szCs w:val="20"/>
        </w:rPr>
        <w:t xml:space="preserve">Glenton et al. </w:t>
      </w:r>
      <w:r w:rsidRPr="00063538">
        <w:rPr>
          <w:sz w:val="20"/>
          <w:szCs w:val="20"/>
        </w:rPr>
        <w:fldChar w:fldCharType="begin" w:fldLock="1"/>
      </w:r>
      <w:r w:rsidRPr="00063538">
        <w:rPr>
          <w:sz w:val="20"/>
          <w:szCs w:val="20"/>
        </w:rPr>
        <w:instrText>ADDIN CSL_CITATION { "citationItems" : [ { "id" : "ITEM-1", "itemData" : { "DOI" : "10.1111/j.1365-3156.2011.02813.x", "ISBN" : "1365-3156 (Electronic)\\n1360-2276 (Linking)", "ISSN" : "13602276", "PMID" : "21707877", "abstract" : "Objectives Lay health workers (LHWs) are used in many settings to increase immunisation uptake among children. However, little is known about the effectiveness of these interventions. The objective of this review was to assess the effects of LHW interventions on childhood immunisation uptake.Methods We searched Cochrane Central Register of Controlled Trials, MEDLINE, EMBASE, CINAHL, British Nursing Index and Archive, AMED, POPLINE and WHOLIS, reference lists of included papers and relevant reviews, and contacted the authors of relevant papers. We selected randomised and non-randomised controlled trials, controlled before\u2013after studies, and interrupted time series of any intervention delivered by LHWs and designed to increase childhood immunisation uptake. Two authors independently extracted data using a standard form and assessed risk of bias and evidence quality.Findings We identified twelve studies, ten of which were randomised controlled trials. Seven studies were conducted among economically disadvantaged populations in high-income countries. Five studies were from low- and middle-income countries. In ten studies, LHWs promoted childhood immunisation. In two studies, LHWs vaccinated children themselves. In most of the studies, the control group populations received no intervention or standard care. Most of the studies showed that LHWs increased immunisation coverage. However, study settings were diverse, allowing us to carry out only one meta-analysis including four studies.Conclusion LHWs could make an important contribution to achieving the Millennium Development Goal for child health. However, more high-quality studies are needed, particularly from LMICs. More studies are also needed to assess the effects of using LHWs to vaccinate children themselves.", "author" : [ { "dropping-particle" : "", "family" : "Glenton", "given" : "Claire", "non-dropping-particle" : "", "parse-names" : false, "suffix" : "" }, { "dropping-particle" : "", "family" : "Scheel", "given" : "Inger B.", "non-dropping-particle" : "", "parse-names" : false, "suffix" : "" }, { "dropping-particle" : "", "family" : "Lewin", "given" : "Simon", "non-dropping-particle" : "", "parse-names" : false, "suffix" : "" }, { "dropping-particle" : "", "family" : "Swingler", "given" : "George H.", "non-dropping-particle" : "", "parse-names" : false, "suffix" : "" } ], "container-title" : "Tropical Medicine and International Health", "id" : "ITEM-1", "issue" : "9", "issued" : { "date-parts" : [ [ "2011" ] ] }, "page" : "1044-1053", "title" : "Can lay health workers increase the uptake of childhood immunisation? Systematic review and typology", "type" : "article-journal", "volume" : "16" }, "suppress-author" : 1, "uris" : [ "http://www.mendeley.com/documents/?uuid=ef6b8423-4a79-4b6b-9dc8-902d4e35d282" ] } ], "mendeley" : { "formattedCitation" : "(2011)", "plainTextFormattedCitation" : "(2011)", "previouslyFormattedCitation" : "(2011)" }, "properties" : { "noteIndex" : 0 }, "schema" : "https://github.com/citation-style-language/schema/raw/master/csl-citation.json" }</w:instrText>
      </w:r>
      <w:r w:rsidRPr="00063538">
        <w:rPr>
          <w:sz w:val="20"/>
          <w:szCs w:val="20"/>
        </w:rPr>
        <w:fldChar w:fldCharType="separate"/>
      </w:r>
      <w:r w:rsidRPr="00063538">
        <w:rPr>
          <w:noProof/>
          <w:sz w:val="20"/>
          <w:szCs w:val="20"/>
        </w:rPr>
        <w:t>(2011)</w:t>
      </w:r>
      <w:r w:rsidRPr="00063538">
        <w:rPr>
          <w:sz w:val="20"/>
          <w:szCs w:val="20"/>
        </w:rPr>
        <w:fldChar w:fldCharType="end"/>
      </w:r>
      <w:r w:rsidRPr="00063538">
        <w:rPr>
          <w:sz w:val="20"/>
          <w:szCs w:val="20"/>
        </w:rPr>
        <w:t xml:space="preserve"> included seven studies from HICs and five from LMICs. We have included it in the LMIC section to cluster the studies on CBP involvement in vaccination coverage.</w:t>
      </w:r>
    </w:p>
    <w:p w14:paraId="75D306FD" w14:textId="3BC00096" w:rsidR="005C3DEF" w:rsidRPr="00063538" w:rsidRDefault="005C3DEF" w:rsidP="00575DFF">
      <w:pPr>
        <w:spacing w:after="0" w:line="240" w:lineRule="auto"/>
        <w:rPr>
          <w:sz w:val="20"/>
          <w:szCs w:val="20"/>
        </w:rPr>
      </w:pPr>
      <w:r>
        <w:rPr>
          <w:sz w:val="20"/>
          <w:szCs w:val="20"/>
        </w:rPr>
        <w:t># Lassi et al. included 26 studies, of which one was from a HIC (Greece)</w:t>
      </w:r>
    </w:p>
    <w:p w14:paraId="4601E4CA" w14:textId="77777777" w:rsidR="005C3DEF" w:rsidRDefault="005C3DEF" w:rsidP="00862AF9">
      <w:pPr>
        <w:pStyle w:val="FootnoteText"/>
      </w:pPr>
    </w:p>
  </w:footnote>
  <w:footnote w:id="7">
    <w:p w14:paraId="7B0E6EBA" w14:textId="21E6E305" w:rsidR="005C3DEF" w:rsidRDefault="005C3DEF" w:rsidP="0076362D">
      <w:pPr>
        <w:spacing w:after="0"/>
        <w:rPr>
          <w:rFonts w:ascii="Calibri" w:hAnsi="Calibri"/>
        </w:rPr>
      </w:pPr>
      <w:r w:rsidRPr="00B47639">
        <w:rPr>
          <w:rStyle w:val="FootnoteReference"/>
        </w:rPr>
        <w:footnoteRef/>
      </w:r>
      <w:r>
        <w:rPr>
          <w:rFonts w:ascii="Calibri" w:eastAsia="Times New Roman" w:hAnsi="Calibri" w:cs="Times New Roman"/>
          <w:color w:val="000000"/>
          <w:sz w:val="20"/>
          <w:szCs w:val="20"/>
        </w:rPr>
        <w:t>These review articles had a global scope but the majority of the included studies were from LMIC settings</w:t>
      </w:r>
    </w:p>
    <w:p w14:paraId="349E8964" w14:textId="7D95E8BC" w:rsidR="005C3DEF" w:rsidRDefault="005C3DEF">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B0C"/>
    <w:multiLevelType w:val="hybridMultilevel"/>
    <w:tmpl w:val="9DD8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4F798A"/>
    <w:multiLevelType w:val="hybridMultilevel"/>
    <w:tmpl w:val="F3A2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35AEC"/>
    <w:multiLevelType w:val="hybridMultilevel"/>
    <w:tmpl w:val="093E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2346F"/>
    <w:multiLevelType w:val="hybridMultilevel"/>
    <w:tmpl w:val="96C8E4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9B7111"/>
    <w:multiLevelType w:val="hybridMultilevel"/>
    <w:tmpl w:val="D49C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E1DDE"/>
    <w:multiLevelType w:val="hybridMultilevel"/>
    <w:tmpl w:val="D4E04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0B35D9"/>
    <w:multiLevelType w:val="hybridMultilevel"/>
    <w:tmpl w:val="AB3A69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A595D"/>
    <w:multiLevelType w:val="hybridMultilevel"/>
    <w:tmpl w:val="3E76A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220D7D"/>
    <w:multiLevelType w:val="hybridMultilevel"/>
    <w:tmpl w:val="40FA1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9601FF"/>
    <w:multiLevelType w:val="hybridMultilevel"/>
    <w:tmpl w:val="7D9C5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9F44D7"/>
    <w:multiLevelType w:val="hybridMultilevel"/>
    <w:tmpl w:val="76A63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7626AF"/>
    <w:multiLevelType w:val="hybridMultilevel"/>
    <w:tmpl w:val="5E182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57322"/>
    <w:multiLevelType w:val="hybridMultilevel"/>
    <w:tmpl w:val="811E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7D7D5A"/>
    <w:multiLevelType w:val="hybridMultilevel"/>
    <w:tmpl w:val="7A7C7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A66F7F"/>
    <w:multiLevelType w:val="hybridMultilevel"/>
    <w:tmpl w:val="9864C17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2E4F4674"/>
    <w:multiLevelType w:val="hybridMultilevel"/>
    <w:tmpl w:val="13D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11495E"/>
    <w:multiLevelType w:val="multilevel"/>
    <w:tmpl w:val="3390745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BB12C20"/>
    <w:multiLevelType w:val="hybridMultilevel"/>
    <w:tmpl w:val="FB1030C8"/>
    <w:lvl w:ilvl="0" w:tplc="C3760B56">
      <w:start w:val="1"/>
      <w:numFmt w:val="bullet"/>
      <w:lvlText w:val="•"/>
      <w:lvlJc w:val="left"/>
      <w:pPr>
        <w:tabs>
          <w:tab w:val="num" w:pos="720"/>
        </w:tabs>
        <w:ind w:left="720" w:hanging="360"/>
      </w:pPr>
      <w:rPr>
        <w:rFonts w:ascii="Arial" w:hAnsi="Arial" w:hint="default"/>
      </w:rPr>
    </w:lvl>
    <w:lvl w:ilvl="1" w:tplc="2020D59C" w:tentative="1">
      <w:start w:val="1"/>
      <w:numFmt w:val="bullet"/>
      <w:lvlText w:val="•"/>
      <w:lvlJc w:val="left"/>
      <w:pPr>
        <w:tabs>
          <w:tab w:val="num" w:pos="1440"/>
        </w:tabs>
        <w:ind w:left="1440" w:hanging="360"/>
      </w:pPr>
      <w:rPr>
        <w:rFonts w:ascii="Arial" w:hAnsi="Arial" w:hint="default"/>
      </w:rPr>
    </w:lvl>
    <w:lvl w:ilvl="2" w:tplc="4C7EED30" w:tentative="1">
      <w:start w:val="1"/>
      <w:numFmt w:val="bullet"/>
      <w:lvlText w:val="•"/>
      <w:lvlJc w:val="left"/>
      <w:pPr>
        <w:tabs>
          <w:tab w:val="num" w:pos="2160"/>
        </w:tabs>
        <w:ind w:left="2160" w:hanging="360"/>
      </w:pPr>
      <w:rPr>
        <w:rFonts w:ascii="Arial" w:hAnsi="Arial" w:hint="default"/>
      </w:rPr>
    </w:lvl>
    <w:lvl w:ilvl="3" w:tplc="D74408D6" w:tentative="1">
      <w:start w:val="1"/>
      <w:numFmt w:val="bullet"/>
      <w:lvlText w:val="•"/>
      <w:lvlJc w:val="left"/>
      <w:pPr>
        <w:tabs>
          <w:tab w:val="num" w:pos="2880"/>
        </w:tabs>
        <w:ind w:left="2880" w:hanging="360"/>
      </w:pPr>
      <w:rPr>
        <w:rFonts w:ascii="Arial" w:hAnsi="Arial" w:hint="default"/>
      </w:rPr>
    </w:lvl>
    <w:lvl w:ilvl="4" w:tplc="76F07784" w:tentative="1">
      <w:start w:val="1"/>
      <w:numFmt w:val="bullet"/>
      <w:lvlText w:val="•"/>
      <w:lvlJc w:val="left"/>
      <w:pPr>
        <w:tabs>
          <w:tab w:val="num" w:pos="3600"/>
        </w:tabs>
        <w:ind w:left="3600" w:hanging="360"/>
      </w:pPr>
      <w:rPr>
        <w:rFonts w:ascii="Arial" w:hAnsi="Arial" w:hint="default"/>
      </w:rPr>
    </w:lvl>
    <w:lvl w:ilvl="5" w:tplc="68AE5A72" w:tentative="1">
      <w:start w:val="1"/>
      <w:numFmt w:val="bullet"/>
      <w:lvlText w:val="•"/>
      <w:lvlJc w:val="left"/>
      <w:pPr>
        <w:tabs>
          <w:tab w:val="num" w:pos="4320"/>
        </w:tabs>
        <w:ind w:left="4320" w:hanging="360"/>
      </w:pPr>
      <w:rPr>
        <w:rFonts w:ascii="Arial" w:hAnsi="Arial" w:hint="default"/>
      </w:rPr>
    </w:lvl>
    <w:lvl w:ilvl="6" w:tplc="4E14E24E" w:tentative="1">
      <w:start w:val="1"/>
      <w:numFmt w:val="bullet"/>
      <w:lvlText w:val="•"/>
      <w:lvlJc w:val="left"/>
      <w:pPr>
        <w:tabs>
          <w:tab w:val="num" w:pos="5040"/>
        </w:tabs>
        <w:ind w:left="5040" w:hanging="360"/>
      </w:pPr>
      <w:rPr>
        <w:rFonts w:ascii="Arial" w:hAnsi="Arial" w:hint="default"/>
      </w:rPr>
    </w:lvl>
    <w:lvl w:ilvl="7" w:tplc="8258E826" w:tentative="1">
      <w:start w:val="1"/>
      <w:numFmt w:val="bullet"/>
      <w:lvlText w:val="•"/>
      <w:lvlJc w:val="left"/>
      <w:pPr>
        <w:tabs>
          <w:tab w:val="num" w:pos="5760"/>
        </w:tabs>
        <w:ind w:left="5760" w:hanging="360"/>
      </w:pPr>
      <w:rPr>
        <w:rFonts w:ascii="Arial" w:hAnsi="Arial" w:hint="default"/>
      </w:rPr>
    </w:lvl>
    <w:lvl w:ilvl="8" w:tplc="9AA89C5E" w:tentative="1">
      <w:start w:val="1"/>
      <w:numFmt w:val="bullet"/>
      <w:lvlText w:val="•"/>
      <w:lvlJc w:val="left"/>
      <w:pPr>
        <w:tabs>
          <w:tab w:val="num" w:pos="6480"/>
        </w:tabs>
        <w:ind w:left="6480" w:hanging="360"/>
      </w:pPr>
      <w:rPr>
        <w:rFonts w:ascii="Arial" w:hAnsi="Arial" w:hint="default"/>
      </w:rPr>
    </w:lvl>
  </w:abstractNum>
  <w:abstractNum w:abstractNumId="18">
    <w:nsid w:val="3EF44A48"/>
    <w:multiLevelType w:val="hybridMultilevel"/>
    <w:tmpl w:val="E19E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8558CF"/>
    <w:multiLevelType w:val="hybridMultilevel"/>
    <w:tmpl w:val="A928FBF0"/>
    <w:lvl w:ilvl="0" w:tplc="BC8AA332">
      <w:start w:val="1"/>
      <w:numFmt w:val="bullet"/>
      <w:lvlText w:val="•"/>
      <w:lvlJc w:val="left"/>
      <w:pPr>
        <w:tabs>
          <w:tab w:val="num" w:pos="720"/>
        </w:tabs>
        <w:ind w:left="720" w:hanging="360"/>
      </w:pPr>
      <w:rPr>
        <w:rFonts w:ascii="Arial" w:hAnsi="Arial" w:hint="default"/>
      </w:rPr>
    </w:lvl>
    <w:lvl w:ilvl="1" w:tplc="1C52D158" w:tentative="1">
      <w:start w:val="1"/>
      <w:numFmt w:val="bullet"/>
      <w:lvlText w:val="•"/>
      <w:lvlJc w:val="left"/>
      <w:pPr>
        <w:tabs>
          <w:tab w:val="num" w:pos="1440"/>
        </w:tabs>
        <w:ind w:left="1440" w:hanging="360"/>
      </w:pPr>
      <w:rPr>
        <w:rFonts w:ascii="Arial" w:hAnsi="Arial" w:hint="default"/>
      </w:rPr>
    </w:lvl>
    <w:lvl w:ilvl="2" w:tplc="95DCBD66" w:tentative="1">
      <w:start w:val="1"/>
      <w:numFmt w:val="bullet"/>
      <w:lvlText w:val="•"/>
      <w:lvlJc w:val="left"/>
      <w:pPr>
        <w:tabs>
          <w:tab w:val="num" w:pos="2160"/>
        </w:tabs>
        <w:ind w:left="2160" w:hanging="360"/>
      </w:pPr>
      <w:rPr>
        <w:rFonts w:ascii="Arial" w:hAnsi="Arial" w:hint="default"/>
      </w:rPr>
    </w:lvl>
    <w:lvl w:ilvl="3" w:tplc="72A45FD2" w:tentative="1">
      <w:start w:val="1"/>
      <w:numFmt w:val="bullet"/>
      <w:lvlText w:val="•"/>
      <w:lvlJc w:val="left"/>
      <w:pPr>
        <w:tabs>
          <w:tab w:val="num" w:pos="2880"/>
        </w:tabs>
        <w:ind w:left="2880" w:hanging="360"/>
      </w:pPr>
      <w:rPr>
        <w:rFonts w:ascii="Arial" w:hAnsi="Arial" w:hint="default"/>
      </w:rPr>
    </w:lvl>
    <w:lvl w:ilvl="4" w:tplc="8632B53C" w:tentative="1">
      <w:start w:val="1"/>
      <w:numFmt w:val="bullet"/>
      <w:lvlText w:val="•"/>
      <w:lvlJc w:val="left"/>
      <w:pPr>
        <w:tabs>
          <w:tab w:val="num" w:pos="3600"/>
        </w:tabs>
        <w:ind w:left="3600" w:hanging="360"/>
      </w:pPr>
      <w:rPr>
        <w:rFonts w:ascii="Arial" w:hAnsi="Arial" w:hint="default"/>
      </w:rPr>
    </w:lvl>
    <w:lvl w:ilvl="5" w:tplc="3D2E8A20" w:tentative="1">
      <w:start w:val="1"/>
      <w:numFmt w:val="bullet"/>
      <w:lvlText w:val="•"/>
      <w:lvlJc w:val="left"/>
      <w:pPr>
        <w:tabs>
          <w:tab w:val="num" w:pos="4320"/>
        </w:tabs>
        <w:ind w:left="4320" w:hanging="360"/>
      </w:pPr>
      <w:rPr>
        <w:rFonts w:ascii="Arial" w:hAnsi="Arial" w:hint="default"/>
      </w:rPr>
    </w:lvl>
    <w:lvl w:ilvl="6" w:tplc="5D10BA76" w:tentative="1">
      <w:start w:val="1"/>
      <w:numFmt w:val="bullet"/>
      <w:lvlText w:val="•"/>
      <w:lvlJc w:val="left"/>
      <w:pPr>
        <w:tabs>
          <w:tab w:val="num" w:pos="5040"/>
        </w:tabs>
        <w:ind w:left="5040" w:hanging="360"/>
      </w:pPr>
      <w:rPr>
        <w:rFonts w:ascii="Arial" w:hAnsi="Arial" w:hint="default"/>
      </w:rPr>
    </w:lvl>
    <w:lvl w:ilvl="7" w:tplc="C270B394" w:tentative="1">
      <w:start w:val="1"/>
      <w:numFmt w:val="bullet"/>
      <w:lvlText w:val="•"/>
      <w:lvlJc w:val="left"/>
      <w:pPr>
        <w:tabs>
          <w:tab w:val="num" w:pos="5760"/>
        </w:tabs>
        <w:ind w:left="5760" w:hanging="360"/>
      </w:pPr>
      <w:rPr>
        <w:rFonts w:ascii="Arial" w:hAnsi="Arial" w:hint="default"/>
      </w:rPr>
    </w:lvl>
    <w:lvl w:ilvl="8" w:tplc="CEA2C650" w:tentative="1">
      <w:start w:val="1"/>
      <w:numFmt w:val="bullet"/>
      <w:lvlText w:val="•"/>
      <w:lvlJc w:val="left"/>
      <w:pPr>
        <w:tabs>
          <w:tab w:val="num" w:pos="6480"/>
        </w:tabs>
        <w:ind w:left="6480" w:hanging="360"/>
      </w:pPr>
      <w:rPr>
        <w:rFonts w:ascii="Arial" w:hAnsi="Arial" w:hint="default"/>
      </w:rPr>
    </w:lvl>
  </w:abstractNum>
  <w:abstractNum w:abstractNumId="20">
    <w:nsid w:val="46131269"/>
    <w:multiLevelType w:val="hybridMultilevel"/>
    <w:tmpl w:val="FC08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A9719B"/>
    <w:multiLevelType w:val="hybridMultilevel"/>
    <w:tmpl w:val="368298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nsid w:val="4ED45452"/>
    <w:multiLevelType w:val="hybridMultilevel"/>
    <w:tmpl w:val="A462B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3708DF"/>
    <w:multiLevelType w:val="hybridMultilevel"/>
    <w:tmpl w:val="F5B8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FA6023"/>
    <w:multiLevelType w:val="hybridMultilevel"/>
    <w:tmpl w:val="EC4CC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4F3BA8"/>
    <w:multiLevelType w:val="hybridMultilevel"/>
    <w:tmpl w:val="B9D6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794BBD"/>
    <w:multiLevelType w:val="hybridMultilevel"/>
    <w:tmpl w:val="A964F462"/>
    <w:lvl w:ilvl="0" w:tplc="D52A4D9C">
      <w:start w:val="1"/>
      <w:numFmt w:val="bullet"/>
      <w:lvlText w:val="•"/>
      <w:lvlJc w:val="left"/>
      <w:pPr>
        <w:tabs>
          <w:tab w:val="num" w:pos="720"/>
        </w:tabs>
        <w:ind w:left="720" w:hanging="360"/>
      </w:pPr>
      <w:rPr>
        <w:rFonts w:ascii="Arial" w:hAnsi="Arial" w:hint="default"/>
      </w:rPr>
    </w:lvl>
    <w:lvl w:ilvl="1" w:tplc="A7AE6FEC" w:tentative="1">
      <w:start w:val="1"/>
      <w:numFmt w:val="bullet"/>
      <w:lvlText w:val="•"/>
      <w:lvlJc w:val="left"/>
      <w:pPr>
        <w:tabs>
          <w:tab w:val="num" w:pos="1440"/>
        </w:tabs>
        <w:ind w:left="1440" w:hanging="360"/>
      </w:pPr>
      <w:rPr>
        <w:rFonts w:ascii="Arial" w:hAnsi="Arial" w:hint="default"/>
      </w:rPr>
    </w:lvl>
    <w:lvl w:ilvl="2" w:tplc="2CC29858" w:tentative="1">
      <w:start w:val="1"/>
      <w:numFmt w:val="bullet"/>
      <w:lvlText w:val="•"/>
      <w:lvlJc w:val="left"/>
      <w:pPr>
        <w:tabs>
          <w:tab w:val="num" w:pos="2160"/>
        </w:tabs>
        <w:ind w:left="2160" w:hanging="360"/>
      </w:pPr>
      <w:rPr>
        <w:rFonts w:ascii="Arial" w:hAnsi="Arial" w:hint="default"/>
      </w:rPr>
    </w:lvl>
    <w:lvl w:ilvl="3" w:tplc="0CF448D8" w:tentative="1">
      <w:start w:val="1"/>
      <w:numFmt w:val="bullet"/>
      <w:lvlText w:val="•"/>
      <w:lvlJc w:val="left"/>
      <w:pPr>
        <w:tabs>
          <w:tab w:val="num" w:pos="2880"/>
        </w:tabs>
        <w:ind w:left="2880" w:hanging="360"/>
      </w:pPr>
      <w:rPr>
        <w:rFonts w:ascii="Arial" w:hAnsi="Arial" w:hint="default"/>
      </w:rPr>
    </w:lvl>
    <w:lvl w:ilvl="4" w:tplc="FC2CE08E" w:tentative="1">
      <w:start w:val="1"/>
      <w:numFmt w:val="bullet"/>
      <w:lvlText w:val="•"/>
      <w:lvlJc w:val="left"/>
      <w:pPr>
        <w:tabs>
          <w:tab w:val="num" w:pos="3600"/>
        </w:tabs>
        <w:ind w:left="3600" w:hanging="360"/>
      </w:pPr>
      <w:rPr>
        <w:rFonts w:ascii="Arial" w:hAnsi="Arial" w:hint="default"/>
      </w:rPr>
    </w:lvl>
    <w:lvl w:ilvl="5" w:tplc="34C26BB8" w:tentative="1">
      <w:start w:val="1"/>
      <w:numFmt w:val="bullet"/>
      <w:lvlText w:val="•"/>
      <w:lvlJc w:val="left"/>
      <w:pPr>
        <w:tabs>
          <w:tab w:val="num" w:pos="4320"/>
        </w:tabs>
        <w:ind w:left="4320" w:hanging="360"/>
      </w:pPr>
      <w:rPr>
        <w:rFonts w:ascii="Arial" w:hAnsi="Arial" w:hint="default"/>
      </w:rPr>
    </w:lvl>
    <w:lvl w:ilvl="6" w:tplc="CC6018A4" w:tentative="1">
      <w:start w:val="1"/>
      <w:numFmt w:val="bullet"/>
      <w:lvlText w:val="•"/>
      <w:lvlJc w:val="left"/>
      <w:pPr>
        <w:tabs>
          <w:tab w:val="num" w:pos="5040"/>
        </w:tabs>
        <w:ind w:left="5040" w:hanging="360"/>
      </w:pPr>
      <w:rPr>
        <w:rFonts w:ascii="Arial" w:hAnsi="Arial" w:hint="default"/>
      </w:rPr>
    </w:lvl>
    <w:lvl w:ilvl="7" w:tplc="B5D0A29A" w:tentative="1">
      <w:start w:val="1"/>
      <w:numFmt w:val="bullet"/>
      <w:lvlText w:val="•"/>
      <w:lvlJc w:val="left"/>
      <w:pPr>
        <w:tabs>
          <w:tab w:val="num" w:pos="5760"/>
        </w:tabs>
        <w:ind w:left="5760" w:hanging="360"/>
      </w:pPr>
      <w:rPr>
        <w:rFonts w:ascii="Arial" w:hAnsi="Arial" w:hint="default"/>
      </w:rPr>
    </w:lvl>
    <w:lvl w:ilvl="8" w:tplc="9A6A8194" w:tentative="1">
      <w:start w:val="1"/>
      <w:numFmt w:val="bullet"/>
      <w:lvlText w:val="•"/>
      <w:lvlJc w:val="left"/>
      <w:pPr>
        <w:tabs>
          <w:tab w:val="num" w:pos="6480"/>
        </w:tabs>
        <w:ind w:left="6480" w:hanging="360"/>
      </w:pPr>
      <w:rPr>
        <w:rFonts w:ascii="Arial" w:hAnsi="Arial" w:hint="default"/>
      </w:rPr>
    </w:lvl>
  </w:abstractNum>
  <w:abstractNum w:abstractNumId="27">
    <w:nsid w:val="5699002F"/>
    <w:multiLevelType w:val="hybridMultilevel"/>
    <w:tmpl w:val="84DA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9C785E"/>
    <w:multiLevelType w:val="hybridMultilevel"/>
    <w:tmpl w:val="F4284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D92859"/>
    <w:multiLevelType w:val="hybridMultilevel"/>
    <w:tmpl w:val="4142DDBC"/>
    <w:lvl w:ilvl="0" w:tplc="34F86DE0">
      <w:start w:val="1"/>
      <w:numFmt w:val="bullet"/>
      <w:lvlText w:val="•"/>
      <w:lvlJc w:val="left"/>
      <w:pPr>
        <w:tabs>
          <w:tab w:val="num" w:pos="720"/>
        </w:tabs>
        <w:ind w:left="720" w:hanging="360"/>
      </w:pPr>
      <w:rPr>
        <w:rFonts w:ascii="Arial" w:hAnsi="Arial" w:hint="default"/>
      </w:rPr>
    </w:lvl>
    <w:lvl w:ilvl="1" w:tplc="86BC3BE8" w:tentative="1">
      <w:start w:val="1"/>
      <w:numFmt w:val="bullet"/>
      <w:lvlText w:val="•"/>
      <w:lvlJc w:val="left"/>
      <w:pPr>
        <w:tabs>
          <w:tab w:val="num" w:pos="1440"/>
        </w:tabs>
        <w:ind w:left="1440" w:hanging="360"/>
      </w:pPr>
      <w:rPr>
        <w:rFonts w:ascii="Arial" w:hAnsi="Arial" w:hint="default"/>
      </w:rPr>
    </w:lvl>
    <w:lvl w:ilvl="2" w:tplc="BAB2E534" w:tentative="1">
      <w:start w:val="1"/>
      <w:numFmt w:val="bullet"/>
      <w:lvlText w:val="•"/>
      <w:lvlJc w:val="left"/>
      <w:pPr>
        <w:tabs>
          <w:tab w:val="num" w:pos="2160"/>
        </w:tabs>
        <w:ind w:left="2160" w:hanging="360"/>
      </w:pPr>
      <w:rPr>
        <w:rFonts w:ascii="Arial" w:hAnsi="Arial" w:hint="default"/>
      </w:rPr>
    </w:lvl>
    <w:lvl w:ilvl="3" w:tplc="95A8EB66" w:tentative="1">
      <w:start w:val="1"/>
      <w:numFmt w:val="bullet"/>
      <w:lvlText w:val="•"/>
      <w:lvlJc w:val="left"/>
      <w:pPr>
        <w:tabs>
          <w:tab w:val="num" w:pos="2880"/>
        </w:tabs>
        <w:ind w:left="2880" w:hanging="360"/>
      </w:pPr>
      <w:rPr>
        <w:rFonts w:ascii="Arial" w:hAnsi="Arial" w:hint="default"/>
      </w:rPr>
    </w:lvl>
    <w:lvl w:ilvl="4" w:tplc="6F629024" w:tentative="1">
      <w:start w:val="1"/>
      <w:numFmt w:val="bullet"/>
      <w:lvlText w:val="•"/>
      <w:lvlJc w:val="left"/>
      <w:pPr>
        <w:tabs>
          <w:tab w:val="num" w:pos="3600"/>
        </w:tabs>
        <w:ind w:left="3600" w:hanging="360"/>
      </w:pPr>
      <w:rPr>
        <w:rFonts w:ascii="Arial" w:hAnsi="Arial" w:hint="default"/>
      </w:rPr>
    </w:lvl>
    <w:lvl w:ilvl="5" w:tplc="244CD32C" w:tentative="1">
      <w:start w:val="1"/>
      <w:numFmt w:val="bullet"/>
      <w:lvlText w:val="•"/>
      <w:lvlJc w:val="left"/>
      <w:pPr>
        <w:tabs>
          <w:tab w:val="num" w:pos="4320"/>
        </w:tabs>
        <w:ind w:left="4320" w:hanging="360"/>
      </w:pPr>
      <w:rPr>
        <w:rFonts w:ascii="Arial" w:hAnsi="Arial" w:hint="default"/>
      </w:rPr>
    </w:lvl>
    <w:lvl w:ilvl="6" w:tplc="CCCA1D26" w:tentative="1">
      <w:start w:val="1"/>
      <w:numFmt w:val="bullet"/>
      <w:lvlText w:val="•"/>
      <w:lvlJc w:val="left"/>
      <w:pPr>
        <w:tabs>
          <w:tab w:val="num" w:pos="5040"/>
        </w:tabs>
        <w:ind w:left="5040" w:hanging="360"/>
      </w:pPr>
      <w:rPr>
        <w:rFonts w:ascii="Arial" w:hAnsi="Arial" w:hint="default"/>
      </w:rPr>
    </w:lvl>
    <w:lvl w:ilvl="7" w:tplc="940281D8" w:tentative="1">
      <w:start w:val="1"/>
      <w:numFmt w:val="bullet"/>
      <w:lvlText w:val="•"/>
      <w:lvlJc w:val="left"/>
      <w:pPr>
        <w:tabs>
          <w:tab w:val="num" w:pos="5760"/>
        </w:tabs>
        <w:ind w:left="5760" w:hanging="360"/>
      </w:pPr>
      <w:rPr>
        <w:rFonts w:ascii="Arial" w:hAnsi="Arial" w:hint="default"/>
      </w:rPr>
    </w:lvl>
    <w:lvl w:ilvl="8" w:tplc="BF4C6B9E" w:tentative="1">
      <w:start w:val="1"/>
      <w:numFmt w:val="bullet"/>
      <w:lvlText w:val="•"/>
      <w:lvlJc w:val="left"/>
      <w:pPr>
        <w:tabs>
          <w:tab w:val="num" w:pos="6480"/>
        </w:tabs>
        <w:ind w:left="6480" w:hanging="360"/>
      </w:pPr>
      <w:rPr>
        <w:rFonts w:ascii="Arial" w:hAnsi="Arial" w:hint="default"/>
      </w:rPr>
    </w:lvl>
  </w:abstractNum>
  <w:abstractNum w:abstractNumId="30">
    <w:nsid w:val="79521DB9"/>
    <w:multiLevelType w:val="hybridMultilevel"/>
    <w:tmpl w:val="1758F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0"/>
  </w:num>
  <w:num w:numId="4">
    <w:abstractNumId w:val="9"/>
  </w:num>
  <w:num w:numId="5">
    <w:abstractNumId w:val="2"/>
  </w:num>
  <w:num w:numId="6">
    <w:abstractNumId w:val="3"/>
  </w:num>
  <w:num w:numId="7">
    <w:abstractNumId w:val="5"/>
  </w:num>
  <w:num w:numId="8">
    <w:abstractNumId w:val="28"/>
  </w:num>
  <w:num w:numId="9">
    <w:abstractNumId w:val="10"/>
  </w:num>
  <w:num w:numId="10">
    <w:abstractNumId w:val="11"/>
  </w:num>
  <w:num w:numId="11">
    <w:abstractNumId w:val="12"/>
  </w:num>
  <w:num w:numId="12">
    <w:abstractNumId w:val="1"/>
  </w:num>
  <w:num w:numId="13">
    <w:abstractNumId w:val="13"/>
  </w:num>
  <w:num w:numId="14">
    <w:abstractNumId w:val="8"/>
  </w:num>
  <w:num w:numId="15">
    <w:abstractNumId w:val="4"/>
  </w:num>
  <w:num w:numId="16">
    <w:abstractNumId w:val="18"/>
  </w:num>
  <w:num w:numId="17">
    <w:abstractNumId w:val="27"/>
  </w:num>
  <w:num w:numId="18">
    <w:abstractNumId w:val="6"/>
  </w:num>
  <w:num w:numId="19">
    <w:abstractNumId w:val="20"/>
  </w:num>
  <w:num w:numId="20">
    <w:abstractNumId w:val="24"/>
  </w:num>
  <w:num w:numId="21">
    <w:abstractNumId w:val="30"/>
  </w:num>
  <w:num w:numId="22">
    <w:abstractNumId w:val="29"/>
  </w:num>
  <w:num w:numId="23">
    <w:abstractNumId w:val="17"/>
  </w:num>
  <w:num w:numId="24">
    <w:abstractNumId w:val="26"/>
  </w:num>
  <w:num w:numId="25">
    <w:abstractNumId w:val="19"/>
  </w:num>
  <w:num w:numId="26">
    <w:abstractNumId w:val="15"/>
  </w:num>
  <w:num w:numId="27">
    <w:abstractNumId w:val="7"/>
  </w:num>
  <w:num w:numId="28">
    <w:abstractNumId w:val="22"/>
  </w:num>
  <w:num w:numId="29">
    <w:abstractNumId w:val="21"/>
  </w:num>
  <w:num w:numId="30">
    <w:abstractNumId w:val="14"/>
  </w:num>
  <w:num w:numId="31">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rry, Henry B.">
    <w15:presenceInfo w15:providerId="AD" w15:userId="S-1-5-21-2122500139-1198148142-3152560411-355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D4F"/>
    <w:rsid w:val="00007323"/>
    <w:rsid w:val="000347DD"/>
    <w:rsid w:val="000403AC"/>
    <w:rsid w:val="00046F5C"/>
    <w:rsid w:val="0006266F"/>
    <w:rsid w:val="00064284"/>
    <w:rsid w:val="0006481A"/>
    <w:rsid w:val="00065840"/>
    <w:rsid w:val="000816E0"/>
    <w:rsid w:val="00090242"/>
    <w:rsid w:val="00095649"/>
    <w:rsid w:val="000A368D"/>
    <w:rsid w:val="000A3BA0"/>
    <w:rsid w:val="000B7260"/>
    <w:rsid w:val="000E7B95"/>
    <w:rsid w:val="001126EE"/>
    <w:rsid w:val="00112EC8"/>
    <w:rsid w:val="0011573E"/>
    <w:rsid w:val="00121CE8"/>
    <w:rsid w:val="00130D08"/>
    <w:rsid w:val="00136FA7"/>
    <w:rsid w:val="00143AC7"/>
    <w:rsid w:val="001453CD"/>
    <w:rsid w:val="0014650E"/>
    <w:rsid w:val="00146EA4"/>
    <w:rsid w:val="00147BDF"/>
    <w:rsid w:val="00151E75"/>
    <w:rsid w:val="0015571E"/>
    <w:rsid w:val="001C19DA"/>
    <w:rsid w:val="001D035E"/>
    <w:rsid w:val="001D4CEA"/>
    <w:rsid w:val="001E015F"/>
    <w:rsid w:val="00204FA4"/>
    <w:rsid w:val="00211A5E"/>
    <w:rsid w:val="0025316A"/>
    <w:rsid w:val="002549B0"/>
    <w:rsid w:val="00264B10"/>
    <w:rsid w:val="002701FE"/>
    <w:rsid w:val="002717F2"/>
    <w:rsid w:val="00283DDB"/>
    <w:rsid w:val="00285E28"/>
    <w:rsid w:val="00290A5F"/>
    <w:rsid w:val="002A483B"/>
    <w:rsid w:val="002C2F55"/>
    <w:rsid w:val="002E0C0E"/>
    <w:rsid w:val="002E2547"/>
    <w:rsid w:val="00330C37"/>
    <w:rsid w:val="00357036"/>
    <w:rsid w:val="00386BB5"/>
    <w:rsid w:val="003D4C1F"/>
    <w:rsid w:val="003E56EB"/>
    <w:rsid w:val="003F175C"/>
    <w:rsid w:val="003F4405"/>
    <w:rsid w:val="00403DB8"/>
    <w:rsid w:val="00427454"/>
    <w:rsid w:val="00436B4E"/>
    <w:rsid w:val="00442674"/>
    <w:rsid w:val="00446088"/>
    <w:rsid w:val="004A79D9"/>
    <w:rsid w:val="004B635D"/>
    <w:rsid w:val="004E19A7"/>
    <w:rsid w:val="004F4CE2"/>
    <w:rsid w:val="00502DAE"/>
    <w:rsid w:val="00503E8D"/>
    <w:rsid w:val="005117D0"/>
    <w:rsid w:val="00525BB0"/>
    <w:rsid w:val="00527959"/>
    <w:rsid w:val="0054303B"/>
    <w:rsid w:val="00546F30"/>
    <w:rsid w:val="00575DFF"/>
    <w:rsid w:val="00596987"/>
    <w:rsid w:val="005B6E38"/>
    <w:rsid w:val="005C3DEF"/>
    <w:rsid w:val="005E436D"/>
    <w:rsid w:val="00651A16"/>
    <w:rsid w:val="0065724A"/>
    <w:rsid w:val="00686A39"/>
    <w:rsid w:val="006913E4"/>
    <w:rsid w:val="006A52F1"/>
    <w:rsid w:val="006D3EF0"/>
    <w:rsid w:val="006F43AA"/>
    <w:rsid w:val="00723656"/>
    <w:rsid w:val="0074445E"/>
    <w:rsid w:val="00754FE7"/>
    <w:rsid w:val="00757311"/>
    <w:rsid w:val="0076362D"/>
    <w:rsid w:val="0077234E"/>
    <w:rsid w:val="00792318"/>
    <w:rsid w:val="007C6EE1"/>
    <w:rsid w:val="007E3CAA"/>
    <w:rsid w:val="007E620A"/>
    <w:rsid w:val="008226F5"/>
    <w:rsid w:val="00834D87"/>
    <w:rsid w:val="0083606D"/>
    <w:rsid w:val="008503B2"/>
    <w:rsid w:val="00853E92"/>
    <w:rsid w:val="00861204"/>
    <w:rsid w:val="00862AF9"/>
    <w:rsid w:val="00862B0C"/>
    <w:rsid w:val="008637F5"/>
    <w:rsid w:val="00876DDD"/>
    <w:rsid w:val="00886A72"/>
    <w:rsid w:val="00894D67"/>
    <w:rsid w:val="008A5891"/>
    <w:rsid w:val="008B4BD7"/>
    <w:rsid w:val="008D174E"/>
    <w:rsid w:val="008D1F87"/>
    <w:rsid w:val="008F5873"/>
    <w:rsid w:val="008F6026"/>
    <w:rsid w:val="008F72BE"/>
    <w:rsid w:val="00900C7C"/>
    <w:rsid w:val="00932902"/>
    <w:rsid w:val="0093398D"/>
    <w:rsid w:val="0094088B"/>
    <w:rsid w:val="00954485"/>
    <w:rsid w:val="00973AD6"/>
    <w:rsid w:val="00973B89"/>
    <w:rsid w:val="00994370"/>
    <w:rsid w:val="00994959"/>
    <w:rsid w:val="009D0F26"/>
    <w:rsid w:val="009E38CB"/>
    <w:rsid w:val="009F51CD"/>
    <w:rsid w:val="00A169DE"/>
    <w:rsid w:val="00A31714"/>
    <w:rsid w:val="00A37124"/>
    <w:rsid w:val="00A46DF7"/>
    <w:rsid w:val="00A532CA"/>
    <w:rsid w:val="00A56488"/>
    <w:rsid w:val="00A57D71"/>
    <w:rsid w:val="00A654C9"/>
    <w:rsid w:val="00AC0888"/>
    <w:rsid w:val="00AC0CC2"/>
    <w:rsid w:val="00AE1957"/>
    <w:rsid w:val="00AE5832"/>
    <w:rsid w:val="00AF104B"/>
    <w:rsid w:val="00B27338"/>
    <w:rsid w:val="00B46CB4"/>
    <w:rsid w:val="00B47639"/>
    <w:rsid w:val="00B8535E"/>
    <w:rsid w:val="00B96B11"/>
    <w:rsid w:val="00BB6DE5"/>
    <w:rsid w:val="00BD4721"/>
    <w:rsid w:val="00BD4E6E"/>
    <w:rsid w:val="00BF6089"/>
    <w:rsid w:val="00BF6CF8"/>
    <w:rsid w:val="00C13BF3"/>
    <w:rsid w:val="00C21E3F"/>
    <w:rsid w:val="00C70B37"/>
    <w:rsid w:val="00C73A9B"/>
    <w:rsid w:val="00C900D0"/>
    <w:rsid w:val="00C95C13"/>
    <w:rsid w:val="00CD3CC5"/>
    <w:rsid w:val="00D0514E"/>
    <w:rsid w:val="00D14E9D"/>
    <w:rsid w:val="00D24518"/>
    <w:rsid w:val="00D35AE0"/>
    <w:rsid w:val="00D50402"/>
    <w:rsid w:val="00D52561"/>
    <w:rsid w:val="00D65374"/>
    <w:rsid w:val="00D66B59"/>
    <w:rsid w:val="00D72185"/>
    <w:rsid w:val="00D7532C"/>
    <w:rsid w:val="00DA2170"/>
    <w:rsid w:val="00DA44B2"/>
    <w:rsid w:val="00DA4B79"/>
    <w:rsid w:val="00DA761E"/>
    <w:rsid w:val="00DC3FBF"/>
    <w:rsid w:val="00E13BDB"/>
    <w:rsid w:val="00E332A0"/>
    <w:rsid w:val="00E37D8E"/>
    <w:rsid w:val="00E47CA0"/>
    <w:rsid w:val="00E96A82"/>
    <w:rsid w:val="00EB0728"/>
    <w:rsid w:val="00EB6B2C"/>
    <w:rsid w:val="00ED701F"/>
    <w:rsid w:val="00F20C57"/>
    <w:rsid w:val="00F24EDD"/>
    <w:rsid w:val="00F752AF"/>
    <w:rsid w:val="00F76E28"/>
    <w:rsid w:val="00F92BBC"/>
    <w:rsid w:val="00F96AD0"/>
    <w:rsid w:val="00F96D4F"/>
    <w:rsid w:val="00FA35FF"/>
    <w:rsid w:val="00FB56F6"/>
    <w:rsid w:val="00FD1F39"/>
    <w:rsid w:val="00FD4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08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4F"/>
  </w:style>
  <w:style w:type="paragraph" w:styleId="Heading1">
    <w:name w:val="heading 1"/>
    <w:basedOn w:val="Normal"/>
    <w:link w:val="Heading1Char"/>
    <w:uiPriority w:val="9"/>
    <w:qFormat/>
    <w:rsid w:val="00862AF9"/>
    <w:pPr>
      <w:spacing w:before="100" w:beforeAutospacing="1" w:after="100" w:afterAutospacing="1" w:line="240" w:lineRule="auto"/>
      <w:outlineLvl w:val="0"/>
    </w:pPr>
    <w:rPr>
      <w:rFonts w:ascii="Times" w:eastAsiaTheme="minorEastAsia" w:hAnsi="Times"/>
      <w:b/>
      <w:bCs/>
      <w:kern w:val="36"/>
      <w:sz w:val="48"/>
      <w:szCs w:val="48"/>
      <w:lang w:val="en-IN"/>
    </w:rPr>
  </w:style>
  <w:style w:type="paragraph" w:styleId="Heading2">
    <w:name w:val="heading 2"/>
    <w:basedOn w:val="Normal"/>
    <w:next w:val="Normal"/>
    <w:link w:val="Heading2Char"/>
    <w:uiPriority w:val="9"/>
    <w:unhideWhenUsed/>
    <w:qFormat/>
    <w:rsid w:val="00862AF9"/>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6D4F"/>
    <w:rPr>
      <w:sz w:val="16"/>
      <w:szCs w:val="16"/>
    </w:rPr>
  </w:style>
  <w:style w:type="paragraph" w:styleId="CommentText">
    <w:name w:val="annotation text"/>
    <w:basedOn w:val="Normal"/>
    <w:link w:val="CommentTextChar"/>
    <w:uiPriority w:val="99"/>
    <w:unhideWhenUsed/>
    <w:rsid w:val="00F96D4F"/>
    <w:pPr>
      <w:spacing w:line="240" w:lineRule="auto"/>
    </w:pPr>
    <w:rPr>
      <w:sz w:val="20"/>
      <w:szCs w:val="20"/>
    </w:rPr>
  </w:style>
  <w:style w:type="character" w:customStyle="1" w:styleId="CommentTextChar">
    <w:name w:val="Comment Text Char"/>
    <w:basedOn w:val="DefaultParagraphFont"/>
    <w:link w:val="CommentText"/>
    <w:uiPriority w:val="99"/>
    <w:rsid w:val="00F96D4F"/>
    <w:rPr>
      <w:sz w:val="20"/>
      <w:szCs w:val="20"/>
    </w:rPr>
  </w:style>
  <w:style w:type="paragraph" w:styleId="BalloonText">
    <w:name w:val="Balloon Text"/>
    <w:basedOn w:val="Normal"/>
    <w:link w:val="BalloonTextChar"/>
    <w:uiPriority w:val="99"/>
    <w:semiHidden/>
    <w:unhideWhenUsed/>
    <w:rsid w:val="00F96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4F"/>
    <w:rPr>
      <w:rFonts w:ascii="Segoe UI" w:hAnsi="Segoe UI" w:cs="Segoe UI"/>
      <w:sz w:val="18"/>
      <w:szCs w:val="18"/>
    </w:rPr>
  </w:style>
  <w:style w:type="paragraph" w:customStyle="1" w:styleId="atable">
    <w:name w:val="a table"/>
    <w:basedOn w:val="Normal"/>
    <w:qFormat/>
    <w:rsid w:val="00F96D4F"/>
    <w:pPr>
      <w:spacing w:after="0" w:line="240" w:lineRule="auto"/>
    </w:pPr>
    <w:rPr>
      <w:rFonts w:eastAsiaTheme="minorEastAsia"/>
      <w:b/>
      <w:szCs w:val="24"/>
      <w:lang w:val="en-CA"/>
    </w:rPr>
  </w:style>
  <w:style w:type="paragraph" w:customStyle="1" w:styleId="111heading">
    <w:name w:val="1.1.1 heading"/>
    <w:basedOn w:val="Normal"/>
    <w:qFormat/>
    <w:rsid w:val="00F96D4F"/>
    <w:pPr>
      <w:spacing w:after="0" w:line="240" w:lineRule="auto"/>
    </w:pPr>
    <w:rPr>
      <w:rFonts w:eastAsiaTheme="minorEastAsia"/>
      <w:sz w:val="24"/>
      <w:szCs w:val="24"/>
      <w:u w:val="single"/>
      <w:lang w:val="en-CA"/>
    </w:rPr>
  </w:style>
  <w:style w:type="paragraph" w:styleId="FootnoteText">
    <w:name w:val="footnote text"/>
    <w:basedOn w:val="Normal"/>
    <w:link w:val="FootnoteTextChar"/>
    <w:uiPriority w:val="99"/>
    <w:unhideWhenUsed/>
    <w:rsid w:val="00F96D4F"/>
    <w:pPr>
      <w:spacing w:after="0" w:line="240" w:lineRule="auto"/>
    </w:pPr>
    <w:rPr>
      <w:sz w:val="24"/>
      <w:szCs w:val="24"/>
    </w:rPr>
  </w:style>
  <w:style w:type="character" w:customStyle="1" w:styleId="FootnoteTextChar">
    <w:name w:val="Footnote Text Char"/>
    <w:basedOn w:val="DefaultParagraphFont"/>
    <w:link w:val="FootnoteText"/>
    <w:uiPriority w:val="99"/>
    <w:rsid w:val="00F96D4F"/>
    <w:rPr>
      <w:sz w:val="24"/>
      <w:szCs w:val="24"/>
    </w:rPr>
  </w:style>
  <w:style w:type="character" w:styleId="FootnoteReference">
    <w:name w:val="footnote reference"/>
    <w:basedOn w:val="DefaultParagraphFont"/>
    <w:uiPriority w:val="99"/>
    <w:unhideWhenUsed/>
    <w:rsid w:val="00F96D4F"/>
    <w:rPr>
      <w:vertAlign w:val="superscript"/>
    </w:rPr>
  </w:style>
  <w:style w:type="paragraph" w:styleId="Caption">
    <w:name w:val="caption"/>
    <w:basedOn w:val="Normal"/>
    <w:next w:val="Normal"/>
    <w:uiPriority w:val="35"/>
    <w:unhideWhenUsed/>
    <w:qFormat/>
    <w:rsid w:val="00F96D4F"/>
    <w:pPr>
      <w:spacing w:after="200" w:line="240" w:lineRule="auto"/>
    </w:pPr>
    <w:rPr>
      <w:rFonts w:eastAsiaTheme="minorEastAsia"/>
      <w:b/>
      <w:bCs/>
      <w:sz w:val="24"/>
      <w:szCs w:val="18"/>
      <w:lang w:val="en-CA"/>
    </w:rPr>
  </w:style>
  <w:style w:type="paragraph" w:styleId="Subtitle">
    <w:name w:val="Subtitle"/>
    <w:basedOn w:val="Normal"/>
    <w:next w:val="Normal"/>
    <w:link w:val="SubtitleChar"/>
    <w:uiPriority w:val="11"/>
    <w:qFormat/>
    <w:rsid w:val="001D4CE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4CEA"/>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1D4CEA"/>
    <w:rPr>
      <w:b/>
      <w:bCs/>
    </w:rPr>
  </w:style>
  <w:style w:type="character" w:customStyle="1" w:styleId="CommentSubjectChar">
    <w:name w:val="Comment Subject Char"/>
    <w:basedOn w:val="CommentTextChar"/>
    <w:link w:val="CommentSubject"/>
    <w:uiPriority w:val="99"/>
    <w:semiHidden/>
    <w:rsid w:val="001D4CEA"/>
    <w:rPr>
      <w:b/>
      <w:bCs/>
      <w:sz w:val="20"/>
      <w:szCs w:val="20"/>
    </w:rPr>
  </w:style>
  <w:style w:type="character" w:customStyle="1" w:styleId="Heading1Char">
    <w:name w:val="Heading 1 Char"/>
    <w:basedOn w:val="DefaultParagraphFont"/>
    <w:link w:val="Heading1"/>
    <w:uiPriority w:val="9"/>
    <w:rsid w:val="00862AF9"/>
    <w:rPr>
      <w:rFonts w:ascii="Times" w:eastAsiaTheme="minorEastAsia" w:hAnsi="Times"/>
      <w:b/>
      <w:bCs/>
      <w:kern w:val="36"/>
      <w:sz w:val="48"/>
      <w:szCs w:val="48"/>
      <w:lang w:val="en-IN"/>
    </w:rPr>
  </w:style>
  <w:style w:type="character" w:customStyle="1" w:styleId="Heading2Char">
    <w:name w:val="Heading 2 Char"/>
    <w:basedOn w:val="DefaultParagraphFont"/>
    <w:link w:val="Heading2"/>
    <w:uiPriority w:val="9"/>
    <w:rsid w:val="00862AF9"/>
    <w:rPr>
      <w:rFonts w:asciiTheme="majorHAnsi" w:eastAsiaTheme="majorEastAsia" w:hAnsiTheme="majorHAnsi" w:cstheme="majorBidi"/>
      <w:b/>
      <w:bCs/>
      <w:color w:val="5B9BD5" w:themeColor="accent1"/>
      <w:sz w:val="26"/>
      <w:szCs w:val="26"/>
      <w:lang w:val="en-CA"/>
    </w:rPr>
  </w:style>
  <w:style w:type="table" w:styleId="TableGrid">
    <w:name w:val="Table Grid"/>
    <w:basedOn w:val="TableNormal"/>
    <w:uiPriority w:val="39"/>
    <w:rsid w:val="00862AF9"/>
    <w:pPr>
      <w:spacing w:after="0" w:line="240" w:lineRule="auto"/>
    </w:pPr>
    <w:rPr>
      <w:rFonts w:eastAsiaTheme="minorEastAsia"/>
      <w:sz w:val="24"/>
      <w:szCs w:val="24"/>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2AF9"/>
    <w:pPr>
      <w:spacing w:after="0" w:line="240" w:lineRule="auto"/>
      <w:ind w:left="720"/>
      <w:contextualSpacing/>
    </w:pPr>
    <w:rPr>
      <w:rFonts w:eastAsiaTheme="minorEastAsia"/>
      <w:sz w:val="24"/>
      <w:szCs w:val="24"/>
      <w:lang w:val="en-CA"/>
    </w:rPr>
  </w:style>
  <w:style w:type="paragraph" w:styleId="NoSpacing">
    <w:name w:val="No Spacing"/>
    <w:uiPriority w:val="99"/>
    <w:qFormat/>
    <w:rsid w:val="00862AF9"/>
    <w:pPr>
      <w:spacing w:after="0" w:line="240" w:lineRule="auto"/>
    </w:pPr>
    <w:rPr>
      <w:rFonts w:ascii="Times New Roman" w:eastAsia="Calibri" w:hAnsi="Times New Roman" w:cs="Times New Roman"/>
      <w:sz w:val="24"/>
    </w:rPr>
  </w:style>
  <w:style w:type="paragraph" w:customStyle="1" w:styleId="Default">
    <w:name w:val="Default"/>
    <w:rsid w:val="00862AF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62AF9"/>
    <w:rPr>
      <w:color w:val="0563C1" w:themeColor="hyperlink"/>
      <w:u w:val="single"/>
    </w:rPr>
  </w:style>
  <w:style w:type="paragraph" w:styleId="Footer">
    <w:name w:val="footer"/>
    <w:basedOn w:val="Normal"/>
    <w:link w:val="FooterChar"/>
    <w:uiPriority w:val="99"/>
    <w:unhideWhenUsed/>
    <w:rsid w:val="00862AF9"/>
    <w:pPr>
      <w:tabs>
        <w:tab w:val="center" w:pos="4320"/>
        <w:tab w:val="right" w:pos="8640"/>
      </w:tabs>
      <w:spacing w:after="0" w:line="240" w:lineRule="auto"/>
    </w:pPr>
    <w:rPr>
      <w:rFonts w:eastAsiaTheme="minorEastAsia"/>
      <w:sz w:val="24"/>
      <w:szCs w:val="24"/>
      <w:lang w:val="en-CA"/>
    </w:rPr>
  </w:style>
  <w:style w:type="character" w:customStyle="1" w:styleId="FooterChar">
    <w:name w:val="Footer Char"/>
    <w:basedOn w:val="DefaultParagraphFont"/>
    <w:link w:val="Footer"/>
    <w:uiPriority w:val="99"/>
    <w:rsid w:val="00862AF9"/>
    <w:rPr>
      <w:rFonts w:eastAsiaTheme="minorEastAsia"/>
      <w:sz w:val="24"/>
      <w:szCs w:val="24"/>
      <w:lang w:val="en-CA"/>
    </w:rPr>
  </w:style>
  <w:style w:type="character" w:styleId="PageNumber">
    <w:name w:val="page number"/>
    <w:basedOn w:val="DefaultParagraphFont"/>
    <w:uiPriority w:val="99"/>
    <w:semiHidden/>
    <w:unhideWhenUsed/>
    <w:rsid w:val="00862AF9"/>
  </w:style>
  <w:style w:type="paragraph" w:customStyle="1" w:styleId="1Heading">
    <w:name w:val="1. Heading"/>
    <w:basedOn w:val="Normal"/>
    <w:qFormat/>
    <w:rsid w:val="00862AF9"/>
    <w:pPr>
      <w:spacing w:after="0" w:line="240" w:lineRule="auto"/>
    </w:pPr>
    <w:rPr>
      <w:rFonts w:eastAsiaTheme="minorEastAsia"/>
      <w:b/>
      <w:sz w:val="24"/>
      <w:szCs w:val="24"/>
      <w:lang w:val="en-CA"/>
    </w:rPr>
  </w:style>
  <w:style w:type="paragraph" w:customStyle="1" w:styleId="11heading">
    <w:name w:val="1.1 heading"/>
    <w:basedOn w:val="Normal"/>
    <w:qFormat/>
    <w:rsid w:val="00862AF9"/>
    <w:pPr>
      <w:spacing w:after="0" w:line="240" w:lineRule="auto"/>
    </w:pPr>
    <w:rPr>
      <w:rFonts w:eastAsiaTheme="minorEastAsia"/>
      <w:i/>
      <w:sz w:val="24"/>
      <w:szCs w:val="24"/>
      <w:lang w:val="en-CA"/>
    </w:rPr>
  </w:style>
  <w:style w:type="paragraph" w:customStyle="1" w:styleId="abox">
    <w:name w:val="a box"/>
    <w:basedOn w:val="Normal"/>
    <w:qFormat/>
    <w:rsid w:val="00862AF9"/>
    <w:pPr>
      <w:spacing w:after="0" w:line="240" w:lineRule="auto"/>
    </w:pPr>
    <w:rPr>
      <w:rFonts w:eastAsiaTheme="minorEastAsia"/>
      <w:b/>
      <w:sz w:val="24"/>
      <w:szCs w:val="24"/>
      <w:lang w:val="en-CA"/>
    </w:rPr>
  </w:style>
  <w:style w:type="paragraph" w:customStyle="1" w:styleId="afigure">
    <w:name w:val="a figure"/>
    <w:basedOn w:val="Normal"/>
    <w:qFormat/>
    <w:rsid w:val="00862AF9"/>
    <w:pPr>
      <w:keepNext/>
      <w:keepLines/>
      <w:spacing w:after="0" w:line="240" w:lineRule="auto"/>
    </w:pPr>
    <w:rPr>
      <w:rFonts w:eastAsiaTheme="minorEastAsia"/>
      <w:b/>
      <w:sz w:val="24"/>
      <w:szCs w:val="24"/>
      <w:lang w:val="en-CA"/>
    </w:rPr>
  </w:style>
  <w:style w:type="paragraph" w:styleId="TOC1">
    <w:name w:val="toc 1"/>
    <w:basedOn w:val="Normal"/>
    <w:next w:val="Normal"/>
    <w:autoRedefine/>
    <w:uiPriority w:val="39"/>
    <w:unhideWhenUsed/>
    <w:rsid w:val="00862AF9"/>
    <w:pPr>
      <w:spacing w:after="0" w:line="240" w:lineRule="auto"/>
    </w:pPr>
    <w:rPr>
      <w:rFonts w:eastAsiaTheme="minorEastAsia"/>
      <w:sz w:val="24"/>
      <w:szCs w:val="24"/>
      <w:lang w:val="en-CA"/>
    </w:rPr>
  </w:style>
  <w:style w:type="paragraph" w:styleId="TOC2">
    <w:name w:val="toc 2"/>
    <w:basedOn w:val="Normal"/>
    <w:next w:val="Normal"/>
    <w:autoRedefine/>
    <w:uiPriority w:val="39"/>
    <w:unhideWhenUsed/>
    <w:rsid w:val="00862AF9"/>
    <w:pPr>
      <w:spacing w:after="0" w:line="240" w:lineRule="auto"/>
      <w:ind w:left="240"/>
    </w:pPr>
    <w:rPr>
      <w:rFonts w:eastAsiaTheme="minorEastAsia"/>
      <w:sz w:val="24"/>
      <w:szCs w:val="24"/>
      <w:lang w:val="en-CA"/>
    </w:rPr>
  </w:style>
  <w:style w:type="paragraph" w:styleId="TOC3">
    <w:name w:val="toc 3"/>
    <w:basedOn w:val="Normal"/>
    <w:next w:val="Normal"/>
    <w:autoRedefine/>
    <w:uiPriority w:val="39"/>
    <w:unhideWhenUsed/>
    <w:rsid w:val="00862AF9"/>
    <w:pPr>
      <w:spacing w:after="0" w:line="240" w:lineRule="auto"/>
      <w:ind w:left="480"/>
    </w:pPr>
    <w:rPr>
      <w:rFonts w:eastAsiaTheme="minorEastAsia"/>
      <w:sz w:val="24"/>
      <w:szCs w:val="24"/>
      <w:lang w:val="en-CA"/>
    </w:rPr>
  </w:style>
  <w:style w:type="paragraph" w:styleId="TOC4">
    <w:name w:val="toc 4"/>
    <w:basedOn w:val="Normal"/>
    <w:next w:val="Normal"/>
    <w:autoRedefine/>
    <w:uiPriority w:val="39"/>
    <w:unhideWhenUsed/>
    <w:rsid w:val="00862AF9"/>
    <w:pPr>
      <w:spacing w:after="0" w:line="240" w:lineRule="auto"/>
      <w:ind w:left="720"/>
    </w:pPr>
    <w:rPr>
      <w:rFonts w:eastAsiaTheme="minorEastAsia"/>
      <w:sz w:val="24"/>
      <w:szCs w:val="24"/>
      <w:lang w:val="en-CA"/>
    </w:rPr>
  </w:style>
  <w:style w:type="paragraph" w:styleId="TOC5">
    <w:name w:val="toc 5"/>
    <w:basedOn w:val="Normal"/>
    <w:next w:val="Normal"/>
    <w:autoRedefine/>
    <w:uiPriority w:val="39"/>
    <w:unhideWhenUsed/>
    <w:rsid w:val="00862AF9"/>
    <w:pPr>
      <w:spacing w:after="0" w:line="240" w:lineRule="auto"/>
      <w:ind w:left="960"/>
    </w:pPr>
    <w:rPr>
      <w:rFonts w:eastAsiaTheme="minorEastAsia"/>
      <w:sz w:val="24"/>
      <w:szCs w:val="24"/>
      <w:lang w:val="en-CA"/>
    </w:rPr>
  </w:style>
  <w:style w:type="paragraph" w:styleId="TOC6">
    <w:name w:val="toc 6"/>
    <w:basedOn w:val="Normal"/>
    <w:next w:val="Normal"/>
    <w:autoRedefine/>
    <w:uiPriority w:val="39"/>
    <w:unhideWhenUsed/>
    <w:rsid w:val="00862AF9"/>
    <w:pPr>
      <w:spacing w:after="0" w:line="240" w:lineRule="auto"/>
      <w:ind w:left="1200"/>
    </w:pPr>
    <w:rPr>
      <w:rFonts w:eastAsiaTheme="minorEastAsia"/>
      <w:sz w:val="24"/>
      <w:szCs w:val="24"/>
      <w:lang w:val="en-CA"/>
    </w:rPr>
  </w:style>
  <w:style w:type="paragraph" w:styleId="TOC7">
    <w:name w:val="toc 7"/>
    <w:basedOn w:val="Normal"/>
    <w:next w:val="Normal"/>
    <w:autoRedefine/>
    <w:uiPriority w:val="39"/>
    <w:unhideWhenUsed/>
    <w:rsid w:val="00862AF9"/>
    <w:pPr>
      <w:spacing w:after="0" w:line="240" w:lineRule="auto"/>
      <w:ind w:left="1440"/>
    </w:pPr>
    <w:rPr>
      <w:rFonts w:eastAsiaTheme="minorEastAsia"/>
      <w:sz w:val="24"/>
      <w:szCs w:val="24"/>
      <w:lang w:val="en-CA"/>
    </w:rPr>
  </w:style>
  <w:style w:type="paragraph" w:styleId="TOC8">
    <w:name w:val="toc 8"/>
    <w:basedOn w:val="Normal"/>
    <w:next w:val="Normal"/>
    <w:autoRedefine/>
    <w:uiPriority w:val="39"/>
    <w:unhideWhenUsed/>
    <w:rsid w:val="00862AF9"/>
    <w:pPr>
      <w:spacing w:after="0" w:line="240" w:lineRule="auto"/>
      <w:ind w:left="1680"/>
    </w:pPr>
    <w:rPr>
      <w:rFonts w:eastAsiaTheme="minorEastAsia"/>
      <w:sz w:val="24"/>
      <w:szCs w:val="24"/>
      <w:lang w:val="en-CA"/>
    </w:rPr>
  </w:style>
  <w:style w:type="paragraph" w:styleId="TOC9">
    <w:name w:val="toc 9"/>
    <w:basedOn w:val="Normal"/>
    <w:next w:val="Normal"/>
    <w:autoRedefine/>
    <w:uiPriority w:val="39"/>
    <w:unhideWhenUsed/>
    <w:rsid w:val="00862AF9"/>
    <w:pPr>
      <w:spacing w:after="0" w:line="240" w:lineRule="auto"/>
      <w:ind w:left="1920"/>
    </w:pPr>
    <w:rPr>
      <w:rFonts w:eastAsiaTheme="minorEastAsia"/>
      <w:sz w:val="24"/>
      <w:szCs w:val="24"/>
      <w:lang w:val="en-CA"/>
    </w:rPr>
  </w:style>
  <w:style w:type="paragraph" w:styleId="TableofFigures">
    <w:name w:val="table of figures"/>
    <w:basedOn w:val="Normal"/>
    <w:next w:val="Normal"/>
    <w:uiPriority w:val="99"/>
    <w:unhideWhenUsed/>
    <w:rsid w:val="00862AF9"/>
    <w:pPr>
      <w:spacing w:after="0" w:line="240" w:lineRule="auto"/>
      <w:ind w:left="480" w:hanging="480"/>
    </w:pPr>
    <w:rPr>
      <w:rFonts w:eastAsiaTheme="minorEastAsia"/>
      <w:sz w:val="24"/>
      <w:szCs w:val="24"/>
      <w:lang w:val="en-CA"/>
    </w:rPr>
  </w:style>
  <w:style w:type="paragraph" w:styleId="Header">
    <w:name w:val="header"/>
    <w:basedOn w:val="Normal"/>
    <w:link w:val="HeaderChar"/>
    <w:uiPriority w:val="99"/>
    <w:unhideWhenUsed/>
    <w:rsid w:val="00862AF9"/>
    <w:pPr>
      <w:tabs>
        <w:tab w:val="center" w:pos="4320"/>
        <w:tab w:val="right" w:pos="8640"/>
      </w:tabs>
      <w:spacing w:after="0" w:line="240" w:lineRule="auto"/>
    </w:pPr>
    <w:rPr>
      <w:rFonts w:eastAsiaTheme="minorEastAsia"/>
      <w:sz w:val="24"/>
      <w:szCs w:val="24"/>
      <w:lang w:val="en-CA"/>
    </w:rPr>
  </w:style>
  <w:style w:type="character" w:customStyle="1" w:styleId="HeaderChar">
    <w:name w:val="Header Char"/>
    <w:basedOn w:val="DefaultParagraphFont"/>
    <w:link w:val="Header"/>
    <w:uiPriority w:val="99"/>
    <w:rsid w:val="00862AF9"/>
    <w:rPr>
      <w:rFonts w:eastAsiaTheme="minorEastAsia"/>
      <w:sz w:val="24"/>
      <w:szCs w:val="24"/>
      <w:lang w:val="en-CA"/>
    </w:rPr>
  </w:style>
  <w:style w:type="paragraph" w:styleId="NormalWeb">
    <w:name w:val="Normal (Web)"/>
    <w:basedOn w:val="Normal"/>
    <w:uiPriority w:val="99"/>
    <w:unhideWhenUsed/>
    <w:rsid w:val="00862AF9"/>
    <w:pPr>
      <w:spacing w:before="100" w:beforeAutospacing="1" w:after="100" w:afterAutospacing="1" w:line="240" w:lineRule="auto"/>
    </w:pPr>
    <w:rPr>
      <w:rFonts w:ascii="Times" w:eastAsiaTheme="minorEastAsia" w:hAnsi="Times" w:cs="Times New Roman"/>
      <w:sz w:val="20"/>
      <w:szCs w:val="20"/>
      <w:lang w:val="en-IN"/>
    </w:rPr>
  </w:style>
  <w:style w:type="paragraph" w:styleId="Revision">
    <w:name w:val="Revision"/>
    <w:hidden/>
    <w:uiPriority w:val="99"/>
    <w:semiHidden/>
    <w:rsid w:val="00862AF9"/>
    <w:pPr>
      <w:spacing w:after="0" w:line="240" w:lineRule="auto"/>
    </w:pPr>
    <w:rPr>
      <w:rFonts w:eastAsiaTheme="minorEastAsia"/>
      <w:sz w:val="24"/>
      <w:szCs w:val="24"/>
      <w:lang w:val="en-CA"/>
    </w:rPr>
  </w:style>
  <w:style w:type="character" w:customStyle="1" w:styleId="apple-converted-space">
    <w:name w:val="apple-converted-space"/>
    <w:basedOn w:val="DefaultParagraphFont"/>
    <w:rsid w:val="00862AF9"/>
  </w:style>
  <w:style w:type="character" w:customStyle="1" w:styleId="authorname">
    <w:name w:val="authorname"/>
    <w:basedOn w:val="DefaultParagraphFont"/>
    <w:rsid w:val="00862AF9"/>
  </w:style>
  <w:style w:type="character" w:customStyle="1" w:styleId="u-sronly">
    <w:name w:val="u-sronly"/>
    <w:basedOn w:val="DefaultParagraphFont"/>
    <w:rsid w:val="00862AF9"/>
  </w:style>
  <w:style w:type="character" w:customStyle="1" w:styleId="journaltitle">
    <w:name w:val="journaltitle"/>
    <w:basedOn w:val="DefaultParagraphFont"/>
    <w:rsid w:val="00862AF9"/>
  </w:style>
  <w:style w:type="character" w:customStyle="1" w:styleId="articlecitationyear">
    <w:name w:val="articlecitation_year"/>
    <w:basedOn w:val="DefaultParagraphFont"/>
    <w:rsid w:val="00862AF9"/>
  </w:style>
  <w:style w:type="character" w:customStyle="1" w:styleId="articlecitationvolume">
    <w:name w:val="articlecitation_volume"/>
    <w:basedOn w:val="DefaultParagraphFont"/>
    <w:rsid w:val="00862AF9"/>
  </w:style>
  <w:style w:type="character" w:styleId="Strong">
    <w:name w:val="Strong"/>
    <w:basedOn w:val="DefaultParagraphFont"/>
    <w:uiPriority w:val="22"/>
    <w:qFormat/>
    <w:rsid w:val="00862AF9"/>
    <w:rPr>
      <w:b/>
      <w:bCs/>
    </w:rPr>
  </w:style>
  <w:style w:type="paragraph" w:customStyle="1" w:styleId="articledoi">
    <w:name w:val="articledoi"/>
    <w:basedOn w:val="Normal"/>
    <w:rsid w:val="00862AF9"/>
    <w:pPr>
      <w:spacing w:before="100" w:beforeAutospacing="1" w:after="100" w:afterAutospacing="1" w:line="240" w:lineRule="auto"/>
    </w:pPr>
    <w:rPr>
      <w:rFonts w:ascii="Times" w:eastAsiaTheme="minorEastAsia" w:hAnsi="Times"/>
      <w:sz w:val="20"/>
      <w:szCs w:val="20"/>
      <w:lang w:val="en-IN"/>
    </w:rPr>
  </w:style>
  <w:style w:type="paragraph" w:customStyle="1" w:styleId="copyright">
    <w:name w:val="copyright"/>
    <w:basedOn w:val="Normal"/>
    <w:rsid w:val="00862AF9"/>
    <w:pPr>
      <w:spacing w:before="100" w:beforeAutospacing="1" w:after="100" w:afterAutospacing="1" w:line="240" w:lineRule="auto"/>
    </w:pPr>
    <w:rPr>
      <w:rFonts w:ascii="Times" w:eastAsiaTheme="minorEastAsia" w:hAnsi="Times"/>
      <w:sz w:val="20"/>
      <w:szCs w:val="20"/>
      <w:lang w:val="en-IN"/>
    </w:rPr>
  </w:style>
  <w:style w:type="character" w:styleId="EndnoteReference">
    <w:name w:val="endnote reference"/>
    <w:basedOn w:val="DefaultParagraphFont"/>
    <w:uiPriority w:val="99"/>
    <w:semiHidden/>
    <w:unhideWhenUsed/>
    <w:rsid w:val="00862AF9"/>
    <w:rPr>
      <w:vertAlign w:val="superscript"/>
    </w:rPr>
  </w:style>
  <w:style w:type="character" w:customStyle="1" w:styleId="aqj">
    <w:name w:val="aqj"/>
    <w:basedOn w:val="DefaultParagraphFont"/>
    <w:rsid w:val="00862AF9"/>
  </w:style>
  <w:style w:type="character" w:customStyle="1" w:styleId="refauthors">
    <w:name w:val="refauthors"/>
    <w:basedOn w:val="DefaultParagraphFont"/>
    <w:rsid w:val="00862AF9"/>
  </w:style>
  <w:style w:type="character" w:customStyle="1" w:styleId="refissuetitle">
    <w:name w:val="refissuetitle"/>
    <w:basedOn w:val="DefaultParagraphFont"/>
    <w:rsid w:val="00862AF9"/>
  </w:style>
  <w:style w:type="character" w:customStyle="1" w:styleId="refpublishername">
    <w:name w:val="refpublishername"/>
    <w:basedOn w:val="DefaultParagraphFont"/>
    <w:rsid w:val="00862AF9"/>
  </w:style>
  <w:style w:type="character" w:customStyle="1" w:styleId="refpublisherloc">
    <w:name w:val="refpublisherloc"/>
    <w:basedOn w:val="DefaultParagraphFont"/>
    <w:rsid w:val="00862AF9"/>
  </w:style>
  <w:style w:type="character" w:customStyle="1" w:styleId="refdate">
    <w:name w:val="refdate"/>
    <w:basedOn w:val="DefaultParagraphFont"/>
    <w:rsid w:val="00862AF9"/>
  </w:style>
  <w:style w:type="character" w:customStyle="1" w:styleId="refcomment">
    <w:name w:val="refcomment"/>
    <w:basedOn w:val="DefaultParagraphFont"/>
    <w:rsid w:val="00862A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D4F"/>
  </w:style>
  <w:style w:type="paragraph" w:styleId="Heading1">
    <w:name w:val="heading 1"/>
    <w:basedOn w:val="Normal"/>
    <w:link w:val="Heading1Char"/>
    <w:uiPriority w:val="9"/>
    <w:qFormat/>
    <w:rsid w:val="00862AF9"/>
    <w:pPr>
      <w:spacing w:before="100" w:beforeAutospacing="1" w:after="100" w:afterAutospacing="1" w:line="240" w:lineRule="auto"/>
      <w:outlineLvl w:val="0"/>
    </w:pPr>
    <w:rPr>
      <w:rFonts w:ascii="Times" w:eastAsiaTheme="minorEastAsia" w:hAnsi="Times"/>
      <w:b/>
      <w:bCs/>
      <w:kern w:val="36"/>
      <w:sz w:val="48"/>
      <w:szCs w:val="48"/>
      <w:lang w:val="en-IN"/>
    </w:rPr>
  </w:style>
  <w:style w:type="paragraph" w:styleId="Heading2">
    <w:name w:val="heading 2"/>
    <w:basedOn w:val="Normal"/>
    <w:next w:val="Normal"/>
    <w:link w:val="Heading2Char"/>
    <w:uiPriority w:val="9"/>
    <w:unhideWhenUsed/>
    <w:qFormat/>
    <w:rsid w:val="00862AF9"/>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6D4F"/>
    <w:rPr>
      <w:sz w:val="16"/>
      <w:szCs w:val="16"/>
    </w:rPr>
  </w:style>
  <w:style w:type="paragraph" w:styleId="CommentText">
    <w:name w:val="annotation text"/>
    <w:basedOn w:val="Normal"/>
    <w:link w:val="CommentTextChar"/>
    <w:uiPriority w:val="99"/>
    <w:unhideWhenUsed/>
    <w:rsid w:val="00F96D4F"/>
    <w:pPr>
      <w:spacing w:line="240" w:lineRule="auto"/>
    </w:pPr>
    <w:rPr>
      <w:sz w:val="20"/>
      <w:szCs w:val="20"/>
    </w:rPr>
  </w:style>
  <w:style w:type="character" w:customStyle="1" w:styleId="CommentTextChar">
    <w:name w:val="Comment Text Char"/>
    <w:basedOn w:val="DefaultParagraphFont"/>
    <w:link w:val="CommentText"/>
    <w:uiPriority w:val="99"/>
    <w:rsid w:val="00F96D4F"/>
    <w:rPr>
      <w:sz w:val="20"/>
      <w:szCs w:val="20"/>
    </w:rPr>
  </w:style>
  <w:style w:type="paragraph" w:styleId="BalloonText">
    <w:name w:val="Balloon Text"/>
    <w:basedOn w:val="Normal"/>
    <w:link w:val="BalloonTextChar"/>
    <w:uiPriority w:val="99"/>
    <w:semiHidden/>
    <w:unhideWhenUsed/>
    <w:rsid w:val="00F96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4F"/>
    <w:rPr>
      <w:rFonts w:ascii="Segoe UI" w:hAnsi="Segoe UI" w:cs="Segoe UI"/>
      <w:sz w:val="18"/>
      <w:szCs w:val="18"/>
    </w:rPr>
  </w:style>
  <w:style w:type="paragraph" w:customStyle="1" w:styleId="atable">
    <w:name w:val="a table"/>
    <w:basedOn w:val="Normal"/>
    <w:qFormat/>
    <w:rsid w:val="00F96D4F"/>
    <w:pPr>
      <w:spacing w:after="0" w:line="240" w:lineRule="auto"/>
    </w:pPr>
    <w:rPr>
      <w:rFonts w:eastAsiaTheme="minorEastAsia"/>
      <w:b/>
      <w:szCs w:val="24"/>
      <w:lang w:val="en-CA"/>
    </w:rPr>
  </w:style>
  <w:style w:type="paragraph" w:customStyle="1" w:styleId="111heading">
    <w:name w:val="1.1.1 heading"/>
    <w:basedOn w:val="Normal"/>
    <w:qFormat/>
    <w:rsid w:val="00F96D4F"/>
    <w:pPr>
      <w:spacing w:after="0" w:line="240" w:lineRule="auto"/>
    </w:pPr>
    <w:rPr>
      <w:rFonts w:eastAsiaTheme="minorEastAsia"/>
      <w:sz w:val="24"/>
      <w:szCs w:val="24"/>
      <w:u w:val="single"/>
      <w:lang w:val="en-CA"/>
    </w:rPr>
  </w:style>
  <w:style w:type="paragraph" w:styleId="FootnoteText">
    <w:name w:val="footnote text"/>
    <w:basedOn w:val="Normal"/>
    <w:link w:val="FootnoteTextChar"/>
    <w:uiPriority w:val="99"/>
    <w:unhideWhenUsed/>
    <w:rsid w:val="00F96D4F"/>
    <w:pPr>
      <w:spacing w:after="0" w:line="240" w:lineRule="auto"/>
    </w:pPr>
    <w:rPr>
      <w:sz w:val="24"/>
      <w:szCs w:val="24"/>
    </w:rPr>
  </w:style>
  <w:style w:type="character" w:customStyle="1" w:styleId="FootnoteTextChar">
    <w:name w:val="Footnote Text Char"/>
    <w:basedOn w:val="DefaultParagraphFont"/>
    <w:link w:val="FootnoteText"/>
    <w:uiPriority w:val="99"/>
    <w:rsid w:val="00F96D4F"/>
    <w:rPr>
      <w:sz w:val="24"/>
      <w:szCs w:val="24"/>
    </w:rPr>
  </w:style>
  <w:style w:type="character" w:styleId="FootnoteReference">
    <w:name w:val="footnote reference"/>
    <w:basedOn w:val="DefaultParagraphFont"/>
    <w:uiPriority w:val="99"/>
    <w:unhideWhenUsed/>
    <w:rsid w:val="00F96D4F"/>
    <w:rPr>
      <w:vertAlign w:val="superscript"/>
    </w:rPr>
  </w:style>
  <w:style w:type="paragraph" w:styleId="Caption">
    <w:name w:val="caption"/>
    <w:basedOn w:val="Normal"/>
    <w:next w:val="Normal"/>
    <w:uiPriority w:val="35"/>
    <w:unhideWhenUsed/>
    <w:qFormat/>
    <w:rsid w:val="00F96D4F"/>
    <w:pPr>
      <w:spacing w:after="200" w:line="240" w:lineRule="auto"/>
    </w:pPr>
    <w:rPr>
      <w:rFonts w:eastAsiaTheme="minorEastAsia"/>
      <w:b/>
      <w:bCs/>
      <w:sz w:val="24"/>
      <w:szCs w:val="18"/>
      <w:lang w:val="en-CA"/>
    </w:rPr>
  </w:style>
  <w:style w:type="paragraph" w:styleId="Subtitle">
    <w:name w:val="Subtitle"/>
    <w:basedOn w:val="Normal"/>
    <w:next w:val="Normal"/>
    <w:link w:val="SubtitleChar"/>
    <w:uiPriority w:val="11"/>
    <w:qFormat/>
    <w:rsid w:val="001D4CE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4CEA"/>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1D4CEA"/>
    <w:rPr>
      <w:b/>
      <w:bCs/>
    </w:rPr>
  </w:style>
  <w:style w:type="character" w:customStyle="1" w:styleId="CommentSubjectChar">
    <w:name w:val="Comment Subject Char"/>
    <w:basedOn w:val="CommentTextChar"/>
    <w:link w:val="CommentSubject"/>
    <w:uiPriority w:val="99"/>
    <w:semiHidden/>
    <w:rsid w:val="001D4CEA"/>
    <w:rPr>
      <w:b/>
      <w:bCs/>
      <w:sz w:val="20"/>
      <w:szCs w:val="20"/>
    </w:rPr>
  </w:style>
  <w:style w:type="character" w:customStyle="1" w:styleId="Heading1Char">
    <w:name w:val="Heading 1 Char"/>
    <w:basedOn w:val="DefaultParagraphFont"/>
    <w:link w:val="Heading1"/>
    <w:uiPriority w:val="9"/>
    <w:rsid w:val="00862AF9"/>
    <w:rPr>
      <w:rFonts w:ascii="Times" w:eastAsiaTheme="minorEastAsia" w:hAnsi="Times"/>
      <w:b/>
      <w:bCs/>
      <w:kern w:val="36"/>
      <w:sz w:val="48"/>
      <w:szCs w:val="48"/>
      <w:lang w:val="en-IN"/>
    </w:rPr>
  </w:style>
  <w:style w:type="character" w:customStyle="1" w:styleId="Heading2Char">
    <w:name w:val="Heading 2 Char"/>
    <w:basedOn w:val="DefaultParagraphFont"/>
    <w:link w:val="Heading2"/>
    <w:uiPriority w:val="9"/>
    <w:rsid w:val="00862AF9"/>
    <w:rPr>
      <w:rFonts w:asciiTheme="majorHAnsi" w:eastAsiaTheme="majorEastAsia" w:hAnsiTheme="majorHAnsi" w:cstheme="majorBidi"/>
      <w:b/>
      <w:bCs/>
      <w:color w:val="5B9BD5" w:themeColor="accent1"/>
      <w:sz w:val="26"/>
      <w:szCs w:val="26"/>
      <w:lang w:val="en-CA"/>
    </w:rPr>
  </w:style>
  <w:style w:type="table" w:styleId="TableGrid">
    <w:name w:val="Table Grid"/>
    <w:basedOn w:val="TableNormal"/>
    <w:uiPriority w:val="39"/>
    <w:rsid w:val="00862AF9"/>
    <w:pPr>
      <w:spacing w:after="0" w:line="240" w:lineRule="auto"/>
    </w:pPr>
    <w:rPr>
      <w:rFonts w:eastAsiaTheme="minorEastAsia"/>
      <w:sz w:val="24"/>
      <w:szCs w:val="24"/>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2AF9"/>
    <w:pPr>
      <w:spacing w:after="0" w:line="240" w:lineRule="auto"/>
      <w:ind w:left="720"/>
      <w:contextualSpacing/>
    </w:pPr>
    <w:rPr>
      <w:rFonts w:eastAsiaTheme="minorEastAsia"/>
      <w:sz w:val="24"/>
      <w:szCs w:val="24"/>
      <w:lang w:val="en-CA"/>
    </w:rPr>
  </w:style>
  <w:style w:type="paragraph" w:styleId="NoSpacing">
    <w:name w:val="No Spacing"/>
    <w:uiPriority w:val="99"/>
    <w:qFormat/>
    <w:rsid w:val="00862AF9"/>
    <w:pPr>
      <w:spacing w:after="0" w:line="240" w:lineRule="auto"/>
    </w:pPr>
    <w:rPr>
      <w:rFonts w:ascii="Times New Roman" w:eastAsia="Calibri" w:hAnsi="Times New Roman" w:cs="Times New Roman"/>
      <w:sz w:val="24"/>
    </w:rPr>
  </w:style>
  <w:style w:type="paragraph" w:customStyle="1" w:styleId="Default">
    <w:name w:val="Default"/>
    <w:rsid w:val="00862AF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62AF9"/>
    <w:rPr>
      <w:color w:val="0563C1" w:themeColor="hyperlink"/>
      <w:u w:val="single"/>
    </w:rPr>
  </w:style>
  <w:style w:type="paragraph" w:styleId="Footer">
    <w:name w:val="footer"/>
    <w:basedOn w:val="Normal"/>
    <w:link w:val="FooterChar"/>
    <w:uiPriority w:val="99"/>
    <w:unhideWhenUsed/>
    <w:rsid w:val="00862AF9"/>
    <w:pPr>
      <w:tabs>
        <w:tab w:val="center" w:pos="4320"/>
        <w:tab w:val="right" w:pos="8640"/>
      </w:tabs>
      <w:spacing w:after="0" w:line="240" w:lineRule="auto"/>
    </w:pPr>
    <w:rPr>
      <w:rFonts w:eastAsiaTheme="minorEastAsia"/>
      <w:sz w:val="24"/>
      <w:szCs w:val="24"/>
      <w:lang w:val="en-CA"/>
    </w:rPr>
  </w:style>
  <w:style w:type="character" w:customStyle="1" w:styleId="FooterChar">
    <w:name w:val="Footer Char"/>
    <w:basedOn w:val="DefaultParagraphFont"/>
    <w:link w:val="Footer"/>
    <w:uiPriority w:val="99"/>
    <w:rsid w:val="00862AF9"/>
    <w:rPr>
      <w:rFonts w:eastAsiaTheme="minorEastAsia"/>
      <w:sz w:val="24"/>
      <w:szCs w:val="24"/>
      <w:lang w:val="en-CA"/>
    </w:rPr>
  </w:style>
  <w:style w:type="character" w:styleId="PageNumber">
    <w:name w:val="page number"/>
    <w:basedOn w:val="DefaultParagraphFont"/>
    <w:uiPriority w:val="99"/>
    <w:semiHidden/>
    <w:unhideWhenUsed/>
    <w:rsid w:val="00862AF9"/>
  </w:style>
  <w:style w:type="paragraph" w:customStyle="1" w:styleId="1Heading">
    <w:name w:val="1. Heading"/>
    <w:basedOn w:val="Normal"/>
    <w:qFormat/>
    <w:rsid w:val="00862AF9"/>
    <w:pPr>
      <w:spacing w:after="0" w:line="240" w:lineRule="auto"/>
    </w:pPr>
    <w:rPr>
      <w:rFonts w:eastAsiaTheme="minorEastAsia"/>
      <w:b/>
      <w:sz w:val="24"/>
      <w:szCs w:val="24"/>
      <w:lang w:val="en-CA"/>
    </w:rPr>
  </w:style>
  <w:style w:type="paragraph" w:customStyle="1" w:styleId="11heading">
    <w:name w:val="1.1 heading"/>
    <w:basedOn w:val="Normal"/>
    <w:qFormat/>
    <w:rsid w:val="00862AF9"/>
    <w:pPr>
      <w:spacing w:after="0" w:line="240" w:lineRule="auto"/>
    </w:pPr>
    <w:rPr>
      <w:rFonts w:eastAsiaTheme="minorEastAsia"/>
      <w:i/>
      <w:sz w:val="24"/>
      <w:szCs w:val="24"/>
      <w:lang w:val="en-CA"/>
    </w:rPr>
  </w:style>
  <w:style w:type="paragraph" w:customStyle="1" w:styleId="abox">
    <w:name w:val="a box"/>
    <w:basedOn w:val="Normal"/>
    <w:qFormat/>
    <w:rsid w:val="00862AF9"/>
    <w:pPr>
      <w:spacing w:after="0" w:line="240" w:lineRule="auto"/>
    </w:pPr>
    <w:rPr>
      <w:rFonts w:eastAsiaTheme="minorEastAsia"/>
      <w:b/>
      <w:sz w:val="24"/>
      <w:szCs w:val="24"/>
      <w:lang w:val="en-CA"/>
    </w:rPr>
  </w:style>
  <w:style w:type="paragraph" w:customStyle="1" w:styleId="afigure">
    <w:name w:val="a figure"/>
    <w:basedOn w:val="Normal"/>
    <w:qFormat/>
    <w:rsid w:val="00862AF9"/>
    <w:pPr>
      <w:keepNext/>
      <w:keepLines/>
      <w:spacing w:after="0" w:line="240" w:lineRule="auto"/>
    </w:pPr>
    <w:rPr>
      <w:rFonts w:eastAsiaTheme="minorEastAsia"/>
      <w:b/>
      <w:sz w:val="24"/>
      <w:szCs w:val="24"/>
      <w:lang w:val="en-CA"/>
    </w:rPr>
  </w:style>
  <w:style w:type="paragraph" w:styleId="TOC1">
    <w:name w:val="toc 1"/>
    <w:basedOn w:val="Normal"/>
    <w:next w:val="Normal"/>
    <w:autoRedefine/>
    <w:uiPriority w:val="39"/>
    <w:unhideWhenUsed/>
    <w:rsid w:val="00862AF9"/>
    <w:pPr>
      <w:spacing w:after="0" w:line="240" w:lineRule="auto"/>
    </w:pPr>
    <w:rPr>
      <w:rFonts w:eastAsiaTheme="minorEastAsia"/>
      <w:sz w:val="24"/>
      <w:szCs w:val="24"/>
      <w:lang w:val="en-CA"/>
    </w:rPr>
  </w:style>
  <w:style w:type="paragraph" w:styleId="TOC2">
    <w:name w:val="toc 2"/>
    <w:basedOn w:val="Normal"/>
    <w:next w:val="Normal"/>
    <w:autoRedefine/>
    <w:uiPriority w:val="39"/>
    <w:unhideWhenUsed/>
    <w:rsid w:val="00862AF9"/>
    <w:pPr>
      <w:spacing w:after="0" w:line="240" w:lineRule="auto"/>
      <w:ind w:left="240"/>
    </w:pPr>
    <w:rPr>
      <w:rFonts w:eastAsiaTheme="minorEastAsia"/>
      <w:sz w:val="24"/>
      <w:szCs w:val="24"/>
      <w:lang w:val="en-CA"/>
    </w:rPr>
  </w:style>
  <w:style w:type="paragraph" w:styleId="TOC3">
    <w:name w:val="toc 3"/>
    <w:basedOn w:val="Normal"/>
    <w:next w:val="Normal"/>
    <w:autoRedefine/>
    <w:uiPriority w:val="39"/>
    <w:unhideWhenUsed/>
    <w:rsid w:val="00862AF9"/>
    <w:pPr>
      <w:spacing w:after="0" w:line="240" w:lineRule="auto"/>
      <w:ind w:left="480"/>
    </w:pPr>
    <w:rPr>
      <w:rFonts w:eastAsiaTheme="minorEastAsia"/>
      <w:sz w:val="24"/>
      <w:szCs w:val="24"/>
      <w:lang w:val="en-CA"/>
    </w:rPr>
  </w:style>
  <w:style w:type="paragraph" w:styleId="TOC4">
    <w:name w:val="toc 4"/>
    <w:basedOn w:val="Normal"/>
    <w:next w:val="Normal"/>
    <w:autoRedefine/>
    <w:uiPriority w:val="39"/>
    <w:unhideWhenUsed/>
    <w:rsid w:val="00862AF9"/>
    <w:pPr>
      <w:spacing w:after="0" w:line="240" w:lineRule="auto"/>
      <w:ind w:left="720"/>
    </w:pPr>
    <w:rPr>
      <w:rFonts w:eastAsiaTheme="minorEastAsia"/>
      <w:sz w:val="24"/>
      <w:szCs w:val="24"/>
      <w:lang w:val="en-CA"/>
    </w:rPr>
  </w:style>
  <w:style w:type="paragraph" w:styleId="TOC5">
    <w:name w:val="toc 5"/>
    <w:basedOn w:val="Normal"/>
    <w:next w:val="Normal"/>
    <w:autoRedefine/>
    <w:uiPriority w:val="39"/>
    <w:unhideWhenUsed/>
    <w:rsid w:val="00862AF9"/>
    <w:pPr>
      <w:spacing w:after="0" w:line="240" w:lineRule="auto"/>
      <w:ind w:left="960"/>
    </w:pPr>
    <w:rPr>
      <w:rFonts w:eastAsiaTheme="minorEastAsia"/>
      <w:sz w:val="24"/>
      <w:szCs w:val="24"/>
      <w:lang w:val="en-CA"/>
    </w:rPr>
  </w:style>
  <w:style w:type="paragraph" w:styleId="TOC6">
    <w:name w:val="toc 6"/>
    <w:basedOn w:val="Normal"/>
    <w:next w:val="Normal"/>
    <w:autoRedefine/>
    <w:uiPriority w:val="39"/>
    <w:unhideWhenUsed/>
    <w:rsid w:val="00862AF9"/>
    <w:pPr>
      <w:spacing w:after="0" w:line="240" w:lineRule="auto"/>
      <w:ind w:left="1200"/>
    </w:pPr>
    <w:rPr>
      <w:rFonts w:eastAsiaTheme="minorEastAsia"/>
      <w:sz w:val="24"/>
      <w:szCs w:val="24"/>
      <w:lang w:val="en-CA"/>
    </w:rPr>
  </w:style>
  <w:style w:type="paragraph" w:styleId="TOC7">
    <w:name w:val="toc 7"/>
    <w:basedOn w:val="Normal"/>
    <w:next w:val="Normal"/>
    <w:autoRedefine/>
    <w:uiPriority w:val="39"/>
    <w:unhideWhenUsed/>
    <w:rsid w:val="00862AF9"/>
    <w:pPr>
      <w:spacing w:after="0" w:line="240" w:lineRule="auto"/>
      <w:ind w:left="1440"/>
    </w:pPr>
    <w:rPr>
      <w:rFonts w:eastAsiaTheme="minorEastAsia"/>
      <w:sz w:val="24"/>
      <w:szCs w:val="24"/>
      <w:lang w:val="en-CA"/>
    </w:rPr>
  </w:style>
  <w:style w:type="paragraph" w:styleId="TOC8">
    <w:name w:val="toc 8"/>
    <w:basedOn w:val="Normal"/>
    <w:next w:val="Normal"/>
    <w:autoRedefine/>
    <w:uiPriority w:val="39"/>
    <w:unhideWhenUsed/>
    <w:rsid w:val="00862AF9"/>
    <w:pPr>
      <w:spacing w:after="0" w:line="240" w:lineRule="auto"/>
      <w:ind w:left="1680"/>
    </w:pPr>
    <w:rPr>
      <w:rFonts w:eastAsiaTheme="minorEastAsia"/>
      <w:sz w:val="24"/>
      <w:szCs w:val="24"/>
      <w:lang w:val="en-CA"/>
    </w:rPr>
  </w:style>
  <w:style w:type="paragraph" w:styleId="TOC9">
    <w:name w:val="toc 9"/>
    <w:basedOn w:val="Normal"/>
    <w:next w:val="Normal"/>
    <w:autoRedefine/>
    <w:uiPriority w:val="39"/>
    <w:unhideWhenUsed/>
    <w:rsid w:val="00862AF9"/>
    <w:pPr>
      <w:spacing w:after="0" w:line="240" w:lineRule="auto"/>
      <w:ind w:left="1920"/>
    </w:pPr>
    <w:rPr>
      <w:rFonts w:eastAsiaTheme="minorEastAsia"/>
      <w:sz w:val="24"/>
      <w:szCs w:val="24"/>
      <w:lang w:val="en-CA"/>
    </w:rPr>
  </w:style>
  <w:style w:type="paragraph" w:styleId="TableofFigures">
    <w:name w:val="table of figures"/>
    <w:basedOn w:val="Normal"/>
    <w:next w:val="Normal"/>
    <w:uiPriority w:val="99"/>
    <w:unhideWhenUsed/>
    <w:rsid w:val="00862AF9"/>
    <w:pPr>
      <w:spacing w:after="0" w:line="240" w:lineRule="auto"/>
      <w:ind w:left="480" w:hanging="480"/>
    </w:pPr>
    <w:rPr>
      <w:rFonts w:eastAsiaTheme="minorEastAsia"/>
      <w:sz w:val="24"/>
      <w:szCs w:val="24"/>
      <w:lang w:val="en-CA"/>
    </w:rPr>
  </w:style>
  <w:style w:type="paragraph" w:styleId="Header">
    <w:name w:val="header"/>
    <w:basedOn w:val="Normal"/>
    <w:link w:val="HeaderChar"/>
    <w:uiPriority w:val="99"/>
    <w:unhideWhenUsed/>
    <w:rsid w:val="00862AF9"/>
    <w:pPr>
      <w:tabs>
        <w:tab w:val="center" w:pos="4320"/>
        <w:tab w:val="right" w:pos="8640"/>
      </w:tabs>
      <w:spacing w:after="0" w:line="240" w:lineRule="auto"/>
    </w:pPr>
    <w:rPr>
      <w:rFonts w:eastAsiaTheme="minorEastAsia"/>
      <w:sz w:val="24"/>
      <w:szCs w:val="24"/>
      <w:lang w:val="en-CA"/>
    </w:rPr>
  </w:style>
  <w:style w:type="character" w:customStyle="1" w:styleId="HeaderChar">
    <w:name w:val="Header Char"/>
    <w:basedOn w:val="DefaultParagraphFont"/>
    <w:link w:val="Header"/>
    <w:uiPriority w:val="99"/>
    <w:rsid w:val="00862AF9"/>
    <w:rPr>
      <w:rFonts w:eastAsiaTheme="minorEastAsia"/>
      <w:sz w:val="24"/>
      <w:szCs w:val="24"/>
      <w:lang w:val="en-CA"/>
    </w:rPr>
  </w:style>
  <w:style w:type="paragraph" w:styleId="NormalWeb">
    <w:name w:val="Normal (Web)"/>
    <w:basedOn w:val="Normal"/>
    <w:uiPriority w:val="99"/>
    <w:unhideWhenUsed/>
    <w:rsid w:val="00862AF9"/>
    <w:pPr>
      <w:spacing w:before="100" w:beforeAutospacing="1" w:after="100" w:afterAutospacing="1" w:line="240" w:lineRule="auto"/>
    </w:pPr>
    <w:rPr>
      <w:rFonts w:ascii="Times" w:eastAsiaTheme="minorEastAsia" w:hAnsi="Times" w:cs="Times New Roman"/>
      <w:sz w:val="20"/>
      <w:szCs w:val="20"/>
      <w:lang w:val="en-IN"/>
    </w:rPr>
  </w:style>
  <w:style w:type="paragraph" w:styleId="Revision">
    <w:name w:val="Revision"/>
    <w:hidden/>
    <w:uiPriority w:val="99"/>
    <w:semiHidden/>
    <w:rsid w:val="00862AF9"/>
    <w:pPr>
      <w:spacing w:after="0" w:line="240" w:lineRule="auto"/>
    </w:pPr>
    <w:rPr>
      <w:rFonts w:eastAsiaTheme="minorEastAsia"/>
      <w:sz w:val="24"/>
      <w:szCs w:val="24"/>
      <w:lang w:val="en-CA"/>
    </w:rPr>
  </w:style>
  <w:style w:type="character" w:customStyle="1" w:styleId="apple-converted-space">
    <w:name w:val="apple-converted-space"/>
    <w:basedOn w:val="DefaultParagraphFont"/>
    <w:rsid w:val="00862AF9"/>
  </w:style>
  <w:style w:type="character" w:customStyle="1" w:styleId="authorname">
    <w:name w:val="authorname"/>
    <w:basedOn w:val="DefaultParagraphFont"/>
    <w:rsid w:val="00862AF9"/>
  </w:style>
  <w:style w:type="character" w:customStyle="1" w:styleId="u-sronly">
    <w:name w:val="u-sronly"/>
    <w:basedOn w:val="DefaultParagraphFont"/>
    <w:rsid w:val="00862AF9"/>
  </w:style>
  <w:style w:type="character" w:customStyle="1" w:styleId="journaltitle">
    <w:name w:val="journaltitle"/>
    <w:basedOn w:val="DefaultParagraphFont"/>
    <w:rsid w:val="00862AF9"/>
  </w:style>
  <w:style w:type="character" w:customStyle="1" w:styleId="articlecitationyear">
    <w:name w:val="articlecitation_year"/>
    <w:basedOn w:val="DefaultParagraphFont"/>
    <w:rsid w:val="00862AF9"/>
  </w:style>
  <w:style w:type="character" w:customStyle="1" w:styleId="articlecitationvolume">
    <w:name w:val="articlecitation_volume"/>
    <w:basedOn w:val="DefaultParagraphFont"/>
    <w:rsid w:val="00862AF9"/>
  </w:style>
  <w:style w:type="character" w:styleId="Strong">
    <w:name w:val="Strong"/>
    <w:basedOn w:val="DefaultParagraphFont"/>
    <w:uiPriority w:val="22"/>
    <w:qFormat/>
    <w:rsid w:val="00862AF9"/>
    <w:rPr>
      <w:b/>
      <w:bCs/>
    </w:rPr>
  </w:style>
  <w:style w:type="paragraph" w:customStyle="1" w:styleId="articledoi">
    <w:name w:val="articledoi"/>
    <w:basedOn w:val="Normal"/>
    <w:rsid w:val="00862AF9"/>
    <w:pPr>
      <w:spacing w:before="100" w:beforeAutospacing="1" w:after="100" w:afterAutospacing="1" w:line="240" w:lineRule="auto"/>
    </w:pPr>
    <w:rPr>
      <w:rFonts w:ascii="Times" w:eastAsiaTheme="minorEastAsia" w:hAnsi="Times"/>
      <w:sz w:val="20"/>
      <w:szCs w:val="20"/>
      <w:lang w:val="en-IN"/>
    </w:rPr>
  </w:style>
  <w:style w:type="paragraph" w:customStyle="1" w:styleId="copyright">
    <w:name w:val="copyright"/>
    <w:basedOn w:val="Normal"/>
    <w:rsid w:val="00862AF9"/>
    <w:pPr>
      <w:spacing w:before="100" w:beforeAutospacing="1" w:after="100" w:afterAutospacing="1" w:line="240" w:lineRule="auto"/>
    </w:pPr>
    <w:rPr>
      <w:rFonts w:ascii="Times" w:eastAsiaTheme="minorEastAsia" w:hAnsi="Times"/>
      <w:sz w:val="20"/>
      <w:szCs w:val="20"/>
      <w:lang w:val="en-IN"/>
    </w:rPr>
  </w:style>
  <w:style w:type="character" w:styleId="EndnoteReference">
    <w:name w:val="endnote reference"/>
    <w:basedOn w:val="DefaultParagraphFont"/>
    <w:uiPriority w:val="99"/>
    <w:semiHidden/>
    <w:unhideWhenUsed/>
    <w:rsid w:val="00862AF9"/>
    <w:rPr>
      <w:vertAlign w:val="superscript"/>
    </w:rPr>
  </w:style>
  <w:style w:type="character" w:customStyle="1" w:styleId="aqj">
    <w:name w:val="aqj"/>
    <w:basedOn w:val="DefaultParagraphFont"/>
    <w:rsid w:val="00862AF9"/>
  </w:style>
  <w:style w:type="character" w:customStyle="1" w:styleId="refauthors">
    <w:name w:val="refauthors"/>
    <w:basedOn w:val="DefaultParagraphFont"/>
    <w:rsid w:val="00862AF9"/>
  </w:style>
  <w:style w:type="character" w:customStyle="1" w:styleId="refissuetitle">
    <w:name w:val="refissuetitle"/>
    <w:basedOn w:val="DefaultParagraphFont"/>
    <w:rsid w:val="00862AF9"/>
  </w:style>
  <w:style w:type="character" w:customStyle="1" w:styleId="refpublishername">
    <w:name w:val="refpublishername"/>
    <w:basedOn w:val="DefaultParagraphFont"/>
    <w:rsid w:val="00862AF9"/>
  </w:style>
  <w:style w:type="character" w:customStyle="1" w:styleId="refpublisherloc">
    <w:name w:val="refpublisherloc"/>
    <w:basedOn w:val="DefaultParagraphFont"/>
    <w:rsid w:val="00862AF9"/>
  </w:style>
  <w:style w:type="character" w:customStyle="1" w:styleId="refdate">
    <w:name w:val="refdate"/>
    <w:basedOn w:val="DefaultParagraphFont"/>
    <w:rsid w:val="00862AF9"/>
  </w:style>
  <w:style w:type="character" w:customStyle="1" w:styleId="refcomment">
    <w:name w:val="refcomment"/>
    <w:basedOn w:val="DefaultParagraphFont"/>
    <w:rsid w:val="0086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105612">
      <w:bodyDiv w:val="1"/>
      <w:marLeft w:val="0"/>
      <w:marRight w:val="0"/>
      <w:marTop w:val="0"/>
      <w:marBottom w:val="0"/>
      <w:divBdr>
        <w:top w:val="none" w:sz="0" w:space="0" w:color="auto"/>
        <w:left w:val="none" w:sz="0" w:space="0" w:color="auto"/>
        <w:bottom w:val="none" w:sz="0" w:space="0" w:color="auto"/>
        <w:right w:val="none" w:sz="0" w:space="0" w:color="auto"/>
      </w:divBdr>
    </w:div>
    <w:div w:id="1272207495">
      <w:bodyDiv w:val="1"/>
      <w:marLeft w:val="0"/>
      <w:marRight w:val="0"/>
      <w:marTop w:val="0"/>
      <w:marBottom w:val="0"/>
      <w:divBdr>
        <w:top w:val="none" w:sz="0" w:space="0" w:color="auto"/>
        <w:left w:val="none" w:sz="0" w:space="0" w:color="auto"/>
        <w:bottom w:val="none" w:sz="0" w:space="0" w:color="auto"/>
        <w:right w:val="none" w:sz="0" w:space="0" w:color="auto"/>
      </w:divBdr>
    </w:div>
    <w:div w:id="153885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people" Target="people.xml"/><Relationship Id="rId14"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18881</Words>
  <Characters>107623</Characters>
  <Application>Microsoft Macintosh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Henry B.</dc:creator>
  <cp:keywords/>
  <dc:description/>
  <cp:lastModifiedBy>Kerry Scott</cp:lastModifiedBy>
  <cp:revision>19</cp:revision>
  <cp:lastPrinted>2017-02-11T23:44:00Z</cp:lastPrinted>
  <dcterms:created xsi:type="dcterms:W3CDTF">2017-10-03T13:03:00Z</dcterms:created>
  <dcterms:modified xsi:type="dcterms:W3CDTF">2018-05-08T11:05:00Z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e5b26ce9-f5f8-3f50-b745-c3797d4cda9b</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