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228027" w14:textId="44E054FA" w:rsidR="00EA67D9" w:rsidRPr="00E32DCB" w:rsidRDefault="00B849AD">
      <w:pPr>
        <w:rPr>
          <w:b/>
          <w:bCs/>
          <w:sz w:val="32"/>
          <w:szCs w:val="32"/>
        </w:rPr>
      </w:pPr>
      <w:r>
        <w:rPr>
          <w:b/>
          <w:bCs/>
          <w:sz w:val="32"/>
          <w:szCs w:val="32"/>
        </w:rPr>
        <w:t>Additional file</w:t>
      </w:r>
      <w:r w:rsidR="009A49A6" w:rsidRPr="00E32DCB">
        <w:rPr>
          <w:b/>
          <w:bCs/>
          <w:sz w:val="32"/>
          <w:szCs w:val="32"/>
        </w:rPr>
        <w:t xml:space="preserve"> </w:t>
      </w:r>
      <w:r w:rsidR="00F56B35">
        <w:rPr>
          <w:b/>
          <w:bCs/>
          <w:sz w:val="32"/>
          <w:szCs w:val="32"/>
        </w:rPr>
        <w:t>3</w:t>
      </w:r>
      <w:r w:rsidR="009A49A6" w:rsidRPr="00E32DCB">
        <w:rPr>
          <w:b/>
          <w:bCs/>
          <w:sz w:val="32"/>
          <w:szCs w:val="32"/>
        </w:rPr>
        <w:t xml:space="preserve">. </w:t>
      </w:r>
      <w:r w:rsidR="00EE2239" w:rsidRPr="00E32DCB">
        <w:rPr>
          <w:b/>
          <w:bCs/>
          <w:sz w:val="32"/>
          <w:szCs w:val="32"/>
        </w:rPr>
        <w:t>Characteristics of included studies</w:t>
      </w:r>
    </w:p>
    <w:p w14:paraId="731B8D98" w14:textId="77777777" w:rsidR="009A49A6" w:rsidRDefault="009A49A6"/>
    <w:tbl>
      <w:tblPr>
        <w:tblStyle w:val="ListTable3-Accent3"/>
        <w:tblW w:w="25936" w:type="dxa"/>
        <w:tblLayout w:type="fixed"/>
        <w:tblLook w:val="04A0" w:firstRow="1" w:lastRow="0" w:firstColumn="1" w:lastColumn="0" w:noHBand="0" w:noVBand="1"/>
      </w:tblPr>
      <w:tblGrid>
        <w:gridCol w:w="2152"/>
        <w:gridCol w:w="1130"/>
        <w:gridCol w:w="1337"/>
        <w:gridCol w:w="1434"/>
        <w:gridCol w:w="1106"/>
        <w:gridCol w:w="913"/>
        <w:gridCol w:w="1102"/>
        <w:gridCol w:w="1086"/>
        <w:gridCol w:w="1375"/>
        <w:gridCol w:w="1757"/>
        <w:gridCol w:w="1499"/>
        <w:gridCol w:w="1500"/>
        <w:gridCol w:w="1500"/>
        <w:gridCol w:w="1609"/>
        <w:gridCol w:w="1609"/>
        <w:gridCol w:w="1609"/>
        <w:gridCol w:w="1609"/>
        <w:gridCol w:w="1609"/>
      </w:tblGrid>
      <w:tr w:rsidR="00E46C9F" w:rsidRPr="00FD5E3D" w14:paraId="5F56F010" w14:textId="77777777" w:rsidTr="008C7800">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52" w:type="dxa"/>
          </w:tcPr>
          <w:p w14:paraId="41539E46" w14:textId="77777777" w:rsidR="00E46C9F" w:rsidRPr="00FD5E3D" w:rsidRDefault="00E46C9F" w:rsidP="008C7800">
            <w:pPr>
              <w:rPr>
                <w:rFonts w:ascii="Calibri" w:hAnsi="Calibri" w:cs="Calibri"/>
                <w:color w:val="000000" w:themeColor="text1"/>
                <w:sz w:val="20"/>
                <w:szCs w:val="20"/>
              </w:rPr>
            </w:pPr>
            <w:r w:rsidRPr="00FD5E3D">
              <w:rPr>
                <w:rFonts w:ascii="Calibri" w:hAnsi="Calibri" w:cs="Calibri"/>
                <w:color w:val="000000" w:themeColor="text1"/>
                <w:sz w:val="20"/>
                <w:szCs w:val="20"/>
              </w:rPr>
              <w:t>Authors</w:t>
            </w:r>
          </w:p>
        </w:tc>
        <w:tc>
          <w:tcPr>
            <w:tcW w:w="1130" w:type="dxa"/>
          </w:tcPr>
          <w:p w14:paraId="3FEBADFC"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Year of publication</w:t>
            </w:r>
          </w:p>
        </w:tc>
        <w:tc>
          <w:tcPr>
            <w:tcW w:w="1337" w:type="dxa"/>
          </w:tcPr>
          <w:p w14:paraId="4F7E6C1F"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Country of study</w:t>
            </w:r>
          </w:p>
        </w:tc>
        <w:tc>
          <w:tcPr>
            <w:tcW w:w="1434" w:type="dxa"/>
          </w:tcPr>
          <w:p w14:paraId="4006B75B"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Study population category</w:t>
            </w:r>
          </w:p>
        </w:tc>
        <w:tc>
          <w:tcPr>
            <w:tcW w:w="1106" w:type="dxa"/>
          </w:tcPr>
          <w:p w14:paraId="5CB4EC95"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Number of year post graduation</w:t>
            </w:r>
          </w:p>
        </w:tc>
        <w:tc>
          <w:tcPr>
            <w:tcW w:w="913" w:type="dxa"/>
          </w:tcPr>
          <w:p w14:paraId="23E4F7C2"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Hospital included number</w:t>
            </w:r>
          </w:p>
        </w:tc>
        <w:tc>
          <w:tcPr>
            <w:tcW w:w="1102" w:type="dxa"/>
          </w:tcPr>
          <w:p w14:paraId="220188F9"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Participant sample size</w:t>
            </w:r>
          </w:p>
        </w:tc>
        <w:tc>
          <w:tcPr>
            <w:tcW w:w="1086" w:type="dxa"/>
          </w:tcPr>
          <w:p w14:paraId="2FF0747A"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Data collection approach</w:t>
            </w:r>
          </w:p>
        </w:tc>
        <w:tc>
          <w:tcPr>
            <w:tcW w:w="1375" w:type="dxa"/>
          </w:tcPr>
          <w:p w14:paraId="36B132C1"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Questionnaire type</w:t>
            </w:r>
          </w:p>
        </w:tc>
        <w:tc>
          <w:tcPr>
            <w:tcW w:w="1757" w:type="dxa"/>
          </w:tcPr>
          <w:p w14:paraId="46F4E610"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Full questionnaire available</w:t>
            </w:r>
          </w:p>
        </w:tc>
        <w:tc>
          <w:tcPr>
            <w:tcW w:w="1499" w:type="dxa"/>
          </w:tcPr>
          <w:p w14:paraId="3C2AC662"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Any specific tool used 1</w:t>
            </w:r>
          </w:p>
        </w:tc>
        <w:tc>
          <w:tcPr>
            <w:tcW w:w="1500" w:type="dxa"/>
          </w:tcPr>
          <w:p w14:paraId="50097DE2"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Any specific tool used 2</w:t>
            </w:r>
          </w:p>
        </w:tc>
        <w:tc>
          <w:tcPr>
            <w:tcW w:w="1500" w:type="dxa"/>
          </w:tcPr>
          <w:p w14:paraId="172F309A"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Any specific tool used 3</w:t>
            </w:r>
          </w:p>
        </w:tc>
        <w:tc>
          <w:tcPr>
            <w:tcW w:w="1609" w:type="dxa"/>
          </w:tcPr>
          <w:p w14:paraId="08685432"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 xml:space="preserve">Well-being </w:t>
            </w:r>
          </w:p>
        </w:tc>
        <w:tc>
          <w:tcPr>
            <w:tcW w:w="1609" w:type="dxa"/>
          </w:tcPr>
          <w:p w14:paraId="2572CA3F"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 xml:space="preserve">Educational environment </w:t>
            </w:r>
          </w:p>
        </w:tc>
        <w:tc>
          <w:tcPr>
            <w:tcW w:w="1609" w:type="dxa"/>
          </w:tcPr>
          <w:p w14:paraId="3FC5A2B0"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 xml:space="preserve">Work environment and conditions </w:t>
            </w:r>
          </w:p>
        </w:tc>
        <w:tc>
          <w:tcPr>
            <w:tcW w:w="1609" w:type="dxa"/>
          </w:tcPr>
          <w:p w14:paraId="1BFEFE93"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Validity</w:t>
            </w:r>
          </w:p>
        </w:tc>
        <w:tc>
          <w:tcPr>
            <w:tcW w:w="1609" w:type="dxa"/>
          </w:tcPr>
          <w:p w14:paraId="20790F91" w14:textId="77777777" w:rsidR="00E46C9F" w:rsidRPr="00FD5E3D" w:rsidRDefault="00E46C9F" w:rsidP="008C7800">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rPr>
            </w:pPr>
            <w:r w:rsidRPr="00FD5E3D">
              <w:rPr>
                <w:rFonts w:ascii="Calibri" w:hAnsi="Calibri" w:cs="Calibri"/>
                <w:color w:val="000000" w:themeColor="text1"/>
                <w:sz w:val="20"/>
                <w:szCs w:val="20"/>
              </w:rPr>
              <w:t>Reliability</w:t>
            </w:r>
          </w:p>
        </w:tc>
      </w:tr>
      <w:tr w:rsidR="00E46C9F" w:rsidRPr="00701766" w14:paraId="35034216"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25446D1B"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Hinze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71EOvAK5","properties":{"formattedCitation":"(1)","plainCitation":"(1)","noteIndex":0},"citationItems":[{"id":3195,"uris":["http://zotero.org/users/4975241/items/ACDFT49W"],"uri":["http://zotero.org/users/4975241/items/ACDFT49W"],"itemData":{"id":3195,"type":"article-journal","abstract":"Despite larger numbers of women in medicine and strong statements against gender discrimination in written policies and the medical literature, sexual harassment persists in medical training. This study examines the everyday lives of women and men resident physicians to understand the context within which harassment unfolds. The narratives explored here reveal how attention is deﬂected from the problem of sexual harassment through a focus on women’s ‘sensitivity’. Women resist by refusing to name sexual harassment as problematic, and by deﬁning sexual harassment as ‘small stuff’ in the context of a rigorous training program. Ultimately, both tactics of resistance fail. Closer examination of the relations shaping everyday actions is key, as is viewing the rigid hierarchy of authority and power in medical training through a gender lens. I conclude with a discussion of how reforms in medical education must tend to the gendered, everyday realities of women and men in training.","container-title":"Health: An Interdisciplinary Journal for the Social Study of Health, Illness and Medicine","DOI":"10.1177/1363459304038799","ISSN":"1363-4593, 1461-7196","issue":"1","journalAbbreviation":"Health (London)","language":"en","page":"101-127","source":"DOI.org (Crossref)","title":"‘Am I Being Over-Sensitive?’ Women’s Experience of Sexual Harassment During Medical Training","title-short":"‘Am I Being Over-Sensitive?","volume":"8","author":[{"family":"Hinze","given":"Susan W."}],"issued":{"date-parts":[["2004",1]]}}}],"schema":"https://github.com/citation-style-language/schema/raw/master/csl-citation.json"}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w:t>
            </w:r>
            <w:r>
              <w:rPr>
                <w:rFonts w:ascii="Calibri" w:hAnsi="Calibri" w:cs="Calibri"/>
                <w:color w:val="000000"/>
                <w:sz w:val="20"/>
                <w:szCs w:val="20"/>
              </w:rPr>
              <w:fldChar w:fldCharType="end"/>
            </w:r>
          </w:p>
        </w:tc>
        <w:tc>
          <w:tcPr>
            <w:tcW w:w="1130" w:type="dxa"/>
          </w:tcPr>
          <w:p w14:paraId="4D1A6FB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2004</w:t>
            </w:r>
          </w:p>
        </w:tc>
        <w:tc>
          <w:tcPr>
            <w:tcW w:w="1337" w:type="dxa"/>
          </w:tcPr>
          <w:p w14:paraId="0A3D71B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72403AF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25230C7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4CA313D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116</w:t>
            </w:r>
          </w:p>
        </w:tc>
        <w:tc>
          <w:tcPr>
            <w:tcW w:w="1102" w:type="dxa"/>
          </w:tcPr>
          <w:p w14:paraId="273DFA2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99</w:t>
            </w:r>
          </w:p>
        </w:tc>
        <w:tc>
          <w:tcPr>
            <w:tcW w:w="1086" w:type="dxa"/>
          </w:tcPr>
          <w:p w14:paraId="0FB3519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Telephone</w:t>
            </w:r>
          </w:p>
        </w:tc>
        <w:tc>
          <w:tcPr>
            <w:tcW w:w="1375" w:type="dxa"/>
          </w:tcPr>
          <w:p w14:paraId="6D4EAF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EB0B06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5B6D0C1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1763EC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05413E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48BEE5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74457A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3E2F55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Harassment</w:t>
            </w:r>
          </w:p>
        </w:tc>
        <w:tc>
          <w:tcPr>
            <w:tcW w:w="1609" w:type="dxa"/>
          </w:tcPr>
          <w:p w14:paraId="34EB337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3E21E2B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55A7020E"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590B1F9B"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Galam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WSw57LIH","properties":{"formattedCitation":"(2)","plainCitation":"(2)","noteIndex":0},"citationItems":[{"id":3196,"uris":["http://zotero.org/users/4975241/items/EQ5LM3BM"],"uri":["http://zotero.org/users/4975241/items/EQ5LM3BM"],"itemData":{"id":3196,"type":"article-journal","abstract":"Background\n              More than half of French medical GP trainees (GPTs) suffer from burnout.\n            \n            \n              Aim\n              To define and follow the evolution of risk factors, such as empathy and coping strategies, associated with burnout in this population.\n            \n            \n              Design &amp; setting\n              Prospective longitudinal study involving volunteers of 577 Parisian university GPTs in 2012.\n            \n            \n              Method\n              Self-reported anonymous online questionnaires were sent three times every 6 months to all participants. Stress was measured using the Intern-Life scale and burnout using the Maslach Inventory, and anxiety and depression measured using the Hospital Anxiety and Depression Scale (HADS). Sociodemographic, professional, and personal data, including coping strategies and measures of empathy were also collected.\n            \n            \n              Results\n              \n                In total 343 questionnaires were fully completed at baseline (T0): 304 were usable at baseline, 169 were usable at 6 months (T1) and 174 at 1 year (T2). Stress rates decreased sharply between T1 (scores 42.96) and T2 (17.08), while scores for burnout remained relatively stable: more than 13% of GPTs had high scores in all three dimensions of burnout. Depersonalisation increased from 61% (T1) to 66% (T2). One hundred and four paired samples were analysed between T0 and T1, and between T1 and T2. Emotion-centred coping was associated with emotional exhaustion (\n                P\n                &lt;0.05), while professional support reduced it. Experiences of aggression increased depersonalisation (\n                P\n                &lt;0.05). Social support, problem-centred coping, perspective-taking empathy, and professional support improved the sense of personal accomplishment (\n                P\n                &lt;0.05).\n              \n            \n            \n              Conclusion\n              Tools to help GPTs are available but are underused. More training in doctor–patient relationships and understanding of medical hidden curricula are necessary to decrease burnout among GPTs and improve their wellbeing and patient care.","container-title":"BJGP Open","DOI":"10.3399/bjgpopen17X100773","ISSN":"2398-3795","issue":"2","journalAbbreviation":"BJGP Open","language":"en","page":"bjgpopen17X100773","source":"DOI.org (Crossref)","title":"‘Intern life’: a longitudinal study of burnout, empathy, and coping strategies used by French GPs in training","title-short":"‘Intern life’","volume":"1","author":[{"family":"Galam","given":"Eric"},{"family":"Vauloup Soupault","given":"Camille"},{"family":"Bunge","given":"Lucie"},{"family":"Buffel du Vaure","given":"Céline"},{"family":"Boujut","given":"Emilie"},{"family":"Jaury","given":"Philippe"}],"issued":{"date-parts":[["2017",7,10]]}}}],"schema":"https://github.com/citation-style-language/schema/raw/master/csl-citation.json"}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w:t>
            </w:r>
            <w:r>
              <w:rPr>
                <w:rFonts w:ascii="Calibri" w:hAnsi="Calibri" w:cs="Calibri"/>
                <w:color w:val="000000"/>
                <w:sz w:val="20"/>
                <w:szCs w:val="20"/>
              </w:rPr>
              <w:fldChar w:fldCharType="end"/>
            </w:r>
          </w:p>
        </w:tc>
        <w:tc>
          <w:tcPr>
            <w:tcW w:w="1130" w:type="dxa"/>
          </w:tcPr>
          <w:p w14:paraId="1AC8607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2017</w:t>
            </w:r>
          </w:p>
        </w:tc>
        <w:tc>
          <w:tcPr>
            <w:tcW w:w="1337" w:type="dxa"/>
          </w:tcPr>
          <w:p w14:paraId="14288E7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France</w:t>
            </w:r>
          </w:p>
        </w:tc>
        <w:tc>
          <w:tcPr>
            <w:tcW w:w="1434" w:type="dxa"/>
          </w:tcPr>
          <w:p w14:paraId="72ED522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Trainee</w:t>
            </w:r>
          </w:p>
        </w:tc>
        <w:tc>
          <w:tcPr>
            <w:tcW w:w="1106" w:type="dxa"/>
          </w:tcPr>
          <w:p w14:paraId="1575787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569C107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3C30F39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343</w:t>
            </w:r>
          </w:p>
        </w:tc>
        <w:tc>
          <w:tcPr>
            <w:tcW w:w="1086" w:type="dxa"/>
          </w:tcPr>
          <w:p w14:paraId="3CFD7E1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63DBCFF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2C6F24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 other question not available</w:t>
            </w:r>
          </w:p>
        </w:tc>
        <w:tc>
          <w:tcPr>
            <w:tcW w:w="1499" w:type="dxa"/>
          </w:tcPr>
          <w:p w14:paraId="25487D2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MBI</w:t>
            </w:r>
          </w:p>
        </w:tc>
        <w:tc>
          <w:tcPr>
            <w:tcW w:w="1500" w:type="dxa"/>
          </w:tcPr>
          <w:p w14:paraId="68F7382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Jefferson Physician Empathy Scale </w:t>
            </w:r>
          </w:p>
        </w:tc>
        <w:tc>
          <w:tcPr>
            <w:tcW w:w="1500" w:type="dxa"/>
          </w:tcPr>
          <w:p w14:paraId="6F33582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Hospital Anxiety and Depression Scale</w:t>
            </w:r>
          </w:p>
        </w:tc>
        <w:tc>
          <w:tcPr>
            <w:tcW w:w="1609" w:type="dxa"/>
          </w:tcPr>
          <w:p w14:paraId="1FCAFF9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Burnout, stress, anxiety, depression, empathy, coping strategy</w:t>
            </w:r>
          </w:p>
        </w:tc>
        <w:tc>
          <w:tcPr>
            <w:tcW w:w="1609" w:type="dxa"/>
          </w:tcPr>
          <w:p w14:paraId="49BCB2F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72A05B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22A3DD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3992F3F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2E441DCF"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0306C86D"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Martinez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wkTiqUVt","properties":{"formattedCitation":"(3)","plainCitation":"(3)","noteIndex":0},"citationItems":[{"id":3197,"uris":["http://zotero.org/users/4975241/items/SA68QMEA"],"uri":["http://zotero.org/users/4975241/items/SA68QMEA"],"itemData":{"id":3197,"type":"article-journal","abstract":"Objective To develop and test the psychometric properties of two new survey scales aiming to measure the extent to which the clinical environment supports speaking up about (a) patient safety concerns and (b) unprofessional behaviour.\nMethod Residents from six large US academic medical centres completed an anonymous, electronic survey containing questions regarding safety culture and speaking up about safety and professionalism concerns.\nResults Confirmatory factor analysis supported two separate, one-factor speaking up climates (SUCs) among residents; one focused on patient safety concerns (SUC-Safe scale) and the other focused on unprofessional behaviour (SUC-Prof scale). Both scales had good internal consistency (Cronbach’s α&gt;0.70) and were unique from validated safety and teamwork climate measures (r&lt;0.85 for all correlations), a measure of discriminant validity. The SUC-Safe and SUC-Prof scales were associated with participants’ self-reported speaking up behaviour about safety and professionalism concerns (r=0.21, p&lt;0.001 and r=0.22, p&lt;0.001, respectively), a measure of concurrent validity, while teamwork and safety climate scales were not.\nConclusions We created and provided evidence for the reliability and validity of two measures (SUC-Safe and SUC-Prof scales) associated with self-reported speaking up behaviour among residents. These two scales may fill an existing gap in residency and safety culture assessments by measuring the openness of communication about safety and professionalism concerns, two important aspects of safety culture that are underrepresented in existing metrics.","container-title":"BMJ Quality &amp; Safety","DOI":"10.1136/bmjqs-2015-004253","ISSN":"2044-5415, 2044-5423","issue":"11","journalAbbreviation":"BMJ Qual Saf","language":"en","page":"671-680","source":"DOI.org (Crossref)","title":"‘Speaking up’ about patient safety concerns and unprofessional behaviour among residents: validation of two scales","title-short":"‘Speaking up’ about patient safety concerns and unprofessional behaviour among residents","volume":"24","author":[{"family":"Martinez","given":"William"},{"family":"Etchegaray","given":"Jason M"},{"family":"Thomas","given":"Eric J"},{"family":"Hickson","given":"Gerald B"},{"family":"Lehmann","given":"Lisa Soleymani"},{"family":"Schleyer","given":"Anneliese M"},{"family":"Best","given":"Jennifer A"},{"family":"Shelburne","given":"Julia T"},{"family":"May","given":"Natalie B"},{"family":"Bell","given":"Sigall K"}],"issued":{"date-parts":[["2015",11]]}}}],"schema":"https://github.com/citation-style-language/schema/raw/master/csl-citation.json"}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w:t>
            </w:r>
            <w:r>
              <w:rPr>
                <w:rFonts w:ascii="Calibri" w:hAnsi="Calibri" w:cs="Calibri"/>
                <w:color w:val="000000"/>
                <w:sz w:val="20"/>
                <w:szCs w:val="20"/>
              </w:rPr>
              <w:fldChar w:fldCharType="end"/>
            </w:r>
          </w:p>
        </w:tc>
        <w:tc>
          <w:tcPr>
            <w:tcW w:w="1130" w:type="dxa"/>
          </w:tcPr>
          <w:p w14:paraId="3643C24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2015</w:t>
            </w:r>
          </w:p>
        </w:tc>
        <w:tc>
          <w:tcPr>
            <w:tcW w:w="1337" w:type="dxa"/>
          </w:tcPr>
          <w:p w14:paraId="608219D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7A25D5A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18820FE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1-5</w:t>
            </w:r>
          </w:p>
        </w:tc>
        <w:tc>
          <w:tcPr>
            <w:tcW w:w="913" w:type="dxa"/>
          </w:tcPr>
          <w:p w14:paraId="50A8FF9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w:t>
            </w:r>
          </w:p>
        </w:tc>
        <w:tc>
          <w:tcPr>
            <w:tcW w:w="1102" w:type="dxa"/>
          </w:tcPr>
          <w:p w14:paraId="7E62023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837</w:t>
            </w:r>
          </w:p>
        </w:tc>
        <w:tc>
          <w:tcPr>
            <w:tcW w:w="1086" w:type="dxa"/>
          </w:tcPr>
          <w:p w14:paraId="10FB16C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0BA679D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C9CC58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7552D47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Safety Attitudes Questionnaire </w:t>
            </w:r>
          </w:p>
        </w:tc>
        <w:tc>
          <w:tcPr>
            <w:tcW w:w="1500" w:type="dxa"/>
          </w:tcPr>
          <w:p w14:paraId="05AE905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Speaking up climates</w:t>
            </w:r>
          </w:p>
        </w:tc>
        <w:tc>
          <w:tcPr>
            <w:tcW w:w="1500" w:type="dxa"/>
          </w:tcPr>
          <w:p w14:paraId="14E3ED5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713E72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196F1B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Teamwork, professionalism</w:t>
            </w:r>
          </w:p>
        </w:tc>
        <w:tc>
          <w:tcPr>
            <w:tcW w:w="1609" w:type="dxa"/>
          </w:tcPr>
          <w:p w14:paraId="36C40F0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Safety</w:t>
            </w:r>
          </w:p>
        </w:tc>
        <w:tc>
          <w:tcPr>
            <w:tcW w:w="1609" w:type="dxa"/>
          </w:tcPr>
          <w:p w14:paraId="1A81BB6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Face validity, concurrent validity, discriminate validity, construct validity (CFA)</w:t>
            </w:r>
          </w:p>
        </w:tc>
        <w:tc>
          <w:tcPr>
            <w:tcW w:w="1609" w:type="dxa"/>
          </w:tcPr>
          <w:p w14:paraId="7DFEAD1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111727AF"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063853D0" w14:textId="77777777" w:rsidR="00E46C9F" w:rsidRPr="00C1288D" w:rsidRDefault="00E46C9F" w:rsidP="008C7800">
            <w:pPr>
              <w:rPr>
                <w:rFonts w:ascii="Calibri" w:hAnsi="Calibri" w:cs="Calibri"/>
                <w:color w:val="000000"/>
                <w:sz w:val="20"/>
                <w:szCs w:val="20"/>
              </w:rPr>
            </w:pPr>
            <w:r w:rsidRPr="00701766">
              <w:rPr>
                <w:rFonts w:ascii="Calibri" w:hAnsi="Calibri" w:cs="Calibri"/>
                <w:color w:val="000000"/>
                <w:sz w:val="20"/>
                <w:szCs w:val="20"/>
              </w:rPr>
              <w:t xml:space="preserve">Kobayashi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RB8iiAlQ","properties":{"formattedCitation":"(4)","plainCitation":"(4)","noteIndex":0},"citationItems":[{"id":3198,"uris":["http://zotero.org/users/4975241/items/7ZSB8MQJ"],"uri":["http://zotero.org/users/4975241/items/7ZSB8MQJ"],"itemData":{"id":3198,"type":"article-journal","abstract":"Objectives: To identify perceived barriers to residents’ questioning or challenging their seniors, to determine how these barriers affect decisions, and to assess how these barriers differ across cultures.\nMethod: A written questionnaire was administered to residents in teaching hospitals in the US and Japan to assess factors affecting residents’ willingness to question or challenge their superiors. The responses were analyzed for statistical significance of differences between the two cultures and to determine the importance of issues affecting decisions.\nResults: Questionnaires were completed by 175 US and 65 Japanese residents, with an overall response rate of 71%. Trainees from both countries believe that questioning and challenging contribute to safety. The perceived importance of specific beliefs about the workplace differed across cultures in seven out of 22 questions. Residents’ decisions to make a challenge were related to the relationships and perceived response of the superiors. There was no statistical difference between the US and Japanese residents in terms of the threshold for challenging their seniors.\nConclusion: We have identified attributes of residents’ beliefs of communication, including several crosscultural differences in the importance of values and issues affecting one’s decision to question or challenge. In contrast, there was no difference in the threshold for challenging seniors by the Japanese and US residents studied. Changes in organizational and professional culture may be as important, if not more so, than national culture to encourage ‘‘speaking up’’. Residents should be encouraged to overcome barriers to challenging, and training programs should foster improved relationships and communication between trainers and trainees.","container-title":"Quality and Safety in Health Care","DOI":"10.1136/qshc.2005.017368","ISSN":"1475-3898, 1475-3901","issue":"4","journalAbbreviation":"Quality and Safety in Health Care","language":"en","page":"277-283","source":"DOI.org (Crossref)","title":"A cross-cultural survey of residents' perceived barriers in questioning/challenging authority","volume":"15","author":[{"family":"Kobayashi","given":"H"}],"issued":{"date-parts":[["2006",8,1]]}}}],"schema":"https://github.com/citation-style-language/schema/raw/master/csl-citation.json"}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w:t>
            </w:r>
            <w:r>
              <w:rPr>
                <w:rFonts w:ascii="Calibri" w:hAnsi="Calibri" w:cs="Calibri"/>
                <w:color w:val="000000"/>
                <w:sz w:val="20"/>
                <w:szCs w:val="20"/>
              </w:rPr>
              <w:fldChar w:fldCharType="end"/>
            </w:r>
          </w:p>
        </w:tc>
        <w:tc>
          <w:tcPr>
            <w:tcW w:w="1130" w:type="dxa"/>
          </w:tcPr>
          <w:p w14:paraId="39F3FC3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2006</w:t>
            </w:r>
          </w:p>
        </w:tc>
        <w:tc>
          <w:tcPr>
            <w:tcW w:w="1337" w:type="dxa"/>
          </w:tcPr>
          <w:p w14:paraId="601FF03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 and Japan</w:t>
            </w:r>
          </w:p>
        </w:tc>
        <w:tc>
          <w:tcPr>
            <w:tcW w:w="1434" w:type="dxa"/>
          </w:tcPr>
          <w:p w14:paraId="44507D0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5EDA1F3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70ED0D8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512CA78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240</w:t>
            </w:r>
          </w:p>
        </w:tc>
        <w:tc>
          <w:tcPr>
            <w:tcW w:w="1086" w:type="dxa"/>
          </w:tcPr>
          <w:p w14:paraId="39236B1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1ECF252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BD1D31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0B9BE57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Operating Team Resource Management Survey </w:t>
            </w:r>
          </w:p>
        </w:tc>
        <w:tc>
          <w:tcPr>
            <w:tcW w:w="1500" w:type="dxa"/>
          </w:tcPr>
          <w:p w14:paraId="76BF8E8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DCAB72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4E0B69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BCAC3B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Teamwork, professionalism, communication</w:t>
            </w:r>
          </w:p>
        </w:tc>
        <w:tc>
          <w:tcPr>
            <w:tcW w:w="1609" w:type="dxa"/>
          </w:tcPr>
          <w:p w14:paraId="3CC3D23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Safety</w:t>
            </w:r>
          </w:p>
        </w:tc>
        <w:tc>
          <w:tcPr>
            <w:tcW w:w="1609" w:type="dxa"/>
          </w:tcPr>
          <w:p w14:paraId="3F63AC4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6DD4A05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175A26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405A198D"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Baldwin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9uwk6Og2","properties":{"formattedCitation":"(5)","plainCitation":"(5)","noteIndex":0},"citationItems":[{"id":3292,"uris":["http://zotero.org/users/4975241/items/PEX6STQA"],"uri":["http://zotero.org/users/4975241/items/PEX6STQA"],"itemData":{"id":3292,"type":"article-journal","abstract":"PURPOSE: To secure data from residents regarding residency work hours and correlates.\nMETHOD: A national, random sample of postgraduate year 1 (PGY1) and year 2 (PGY2) residents in the 1998-1999 training year was identified using the American Medical Association's Graduate Medical Education database. Residents completed a five-page survey with 44 questions and 144 separate data elements relating to their residency experience.\nRESULTS: Completed surveys were received from 3,604 of 5,616 (64.2%) residents contacted. PGY1 residents reported working an average of 83 hours a week versus 76.2 hours for PGY2 residents (p &lt;.0001). Total work hours were significantly correlated with reported stress and hours of sleep per week. Residents averaging more than 80 work hours per week were more likely to be involved in a personal accident or injury, a serious conflict with other staff members, and making a significant medical error. Cluster analysis revealed four different types of residency experience: high intensity, moderate intensity, low intensity, and moonlighters, suggesting that residents may have some choice in selecting a residency experience suited to their particular personal and professional needs.\nCONCLUSION: Nearly half of PGY1 and one third of PGY2 residents reported working more than 80 hours per week. These extended hours are significantly correlated with a number of patient care and personal health variables. Given the variety of program and specialty requirements and demands, it seems unlikely that an arbitrary limit or a simple decrease in work hours will provide a satisfactory solution to many resident and patient care concerns.","container-title":"Academic Medicine: Journal of the Association of American Medical Colleges","DOI":"10.1097/00001888-200311000-00018","ISSN":"1040-2446","issue":"11","journalAbbreviation":"Acad Med","language":"eng","note":"PMID: 14604880","page":"1154-1163","source":"PubMed","title":"A national survey of residents' self-reported work hours: thinking beyond specialty","title-short":"A national survey of residents' self-reported work hours","volume":"78","author":[{"family":"Baldwin","given":"DeWitt C."},{"family":"Daugherty","given":"Steven R."},{"family":"Tsai","given":"Ray"},{"family":"Scotti","given":"Michael J."}],"issued":{"date-parts":[["2003",11]]}}}],"schema":"https://github.com/citation-style-language/schema/raw/master/csl-citation.json"}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w:t>
            </w:r>
            <w:r>
              <w:rPr>
                <w:rFonts w:ascii="Calibri" w:hAnsi="Calibri" w:cs="Calibri"/>
                <w:color w:val="000000"/>
                <w:sz w:val="20"/>
                <w:szCs w:val="20"/>
              </w:rPr>
              <w:fldChar w:fldCharType="end"/>
            </w:r>
          </w:p>
        </w:tc>
        <w:tc>
          <w:tcPr>
            <w:tcW w:w="1130" w:type="dxa"/>
          </w:tcPr>
          <w:p w14:paraId="5B92F9C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2003</w:t>
            </w:r>
          </w:p>
        </w:tc>
        <w:tc>
          <w:tcPr>
            <w:tcW w:w="1337" w:type="dxa"/>
          </w:tcPr>
          <w:p w14:paraId="30864DE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2B671FE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2E3FFFB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6840FF2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2089F49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3604</w:t>
            </w:r>
          </w:p>
        </w:tc>
        <w:tc>
          <w:tcPr>
            <w:tcW w:w="1086" w:type="dxa"/>
          </w:tcPr>
          <w:p w14:paraId="6779ABE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1C5D08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CDEC48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6926734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Modified AMA survey</w:t>
            </w:r>
          </w:p>
        </w:tc>
        <w:tc>
          <w:tcPr>
            <w:tcW w:w="1500" w:type="dxa"/>
          </w:tcPr>
          <w:p w14:paraId="0321CE9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2FEBE6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1DC8AC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sleep, job satisfaction</w:t>
            </w:r>
          </w:p>
        </w:tc>
        <w:tc>
          <w:tcPr>
            <w:tcW w:w="1609" w:type="dxa"/>
          </w:tcPr>
          <w:p w14:paraId="44C4FF0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professionalism</w:t>
            </w:r>
          </w:p>
        </w:tc>
        <w:tc>
          <w:tcPr>
            <w:tcW w:w="1609" w:type="dxa"/>
          </w:tcPr>
          <w:p w14:paraId="5479CB9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 harassment</w:t>
            </w:r>
          </w:p>
        </w:tc>
        <w:tc>
          <w:tcPr>
            <w:tcW w:w="1609" w:type="dxa"/>
          </w:tcPr>
          <w:p w14:paraId="5F839A2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56BE66A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3B4951E5"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78E46C62"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Mitchell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8hzp4nCF","properties":{"formattedCitation":"(6)","plainCitation":"(6)","noteIndex":0},"citationItems":[{"id":3200,"uris":["http://zotero.org/users/4975241/items/KRXWQPGP"],"uri":["http://zotero.org/users/4975241/items/KRXWQPGP"],"itemData":{"id":3200,"type":"article-journal","abstract":"Purpose Psychometric data are presented for the Cognitive Behavior Survey: Residency Level (rCBS), a survey that profiles cognitive, metacognitive, and experiential aspects of residents’ learning.","container-title":"Academic Medicine","DOI":"10.1097/ACM.0b013e3181a85609","ISSN":"1040-2446","issue":"7","journalAbbreviation":"Academic Medicine","language":"en","page":"918-926","source":"DOI.org (Crossref)","title":"A New Measure of the Cognitive, Metacognitive, and Experiential Aspects of Residents’ Learning:","title-short":"A New Measure of the Cognitive, Metacognitive, and Experiential Aspects of Residents’ Learning","volume":"84","author":[{"family":"Mitchell","given":"Rudolph"},{"family":"Regan-Smith","given":"Martha"},{"family":"Fisher","given":"Melissa A."},{"family":"Knox","given":"Isabella"},{"family":"Lambert","given":"David R."}],"issued":{"date-parts":[["2009",7]]}}}],"schema":"https://github.com/citation-style-language/schema/raw/master/csl-citation.json"}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w:t>
            </w:r>
            <w:r>
              <w:rPr>
                <w:rFonts w:ascii="Calibri" w:hAnsi="Calibri" w:cs="Calibri"/>
                <w:color w:val="000000"/>
                <w:sz w:val="20"/>
                <w:szCs w:val="20"/>
              </w:rPr>
              <w:fldChar w:fldCharType="end"/>
            </w:r>
          </w:p>
        </w:tc>
        <w:tc>
          <w:tcPr>
            <w:tcW w:w="1130" w:type="dxa"/>
          </w:tcPr>
          <w:p w14:paraId="6E1EEE6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2009</w:t>
            </w:r>
          </w:p>
        </w:tc>
        <w:tc>
          <w:tcPr>
            <w:tcW w:w="1337" w:type="dxa"/>
          </w:tcPr>
          <w:p w14:paraId="33ADAB2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288B019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77C9715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1-3</w:t>
            </w:r>
          </w:p>
        </w:tc>
        <w:tc>
          <w:tcPr>
            <w:tcW w:w="913" w:type="dxa"/>
          </w:tcPr>
          <w:p w14:paraId="060F301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w:t>
            </w:r>
          </w:p>
        </w:tc>
        <w:tc>
          <w:tcPr>
            <w:tcW w:w="1102" w:type="dxa"/>
          </w:tcPr>
          <w:p w14:paraId="0FB4AF7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424</w:t>
            </w:r>
          </w:p>
        </w:tc>
        <w:tc>
          <w:tcPr>
            <w:tcW w:w="1086" w:type="dxa"/>
          </w:tcPr>
          <w:p w14:paraId="21BBF1D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 and paper</w:t>
            </w:r>
          </w:p>
        </w:tc>
        <w:tc>
          <w:tcPr>
            <w:tcW w:w="1375" w:type="dxa"/>
          </w:tcPr>
          <w:p w14:paraId="4238E8B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C44B61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130B0CC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Cognitive Behaviour Survey - Residency </w:t>
            </w:r>
          </w:p>
        </w:tc>
        <w:tc>
          <w:tcPr>
            <w:tcW w:w="1500" w:type="dxa"/>
          </w:tcPr>
          <w:p w14:paraId="29F6793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F946ED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C6E369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B30B66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Learning environment</w:t>
            </w:r>
          </w:p>
        </w:tc>
        <w:tc>
          <w:tcPr>
            <w:tcW w:w="1609" w:type="dxa"/>
          </w:tcPr>
          <w:p w14:paraId="36D1E00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C8BAA1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Construct validity</w:t>
            </w:r>
          </w:p>
        </w:tc>
        <w:tc>
          <w:tcPr>
            <w:tcW w:w="1609" w:type="dxa"/>
          </w:tcPr>
          <w:p w14:paraId="0508BD0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6EAF0332"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06D7A48C"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Sen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25dQB20Q","properties":{"formattedCitation":"(7)","plainCitation":"(7)","noteIndex":0},"citationItems":[{"id":3201,"uris":["http://zotero.org/users/4975241/items/SV3AW6Y6"],"uri":["http://zotero.org/users/4975241/items/SV3AW6Y6"],"itemData":{"id":3201,"type":"article-journal","container-title":"Archives of General Psychiatry","DOI":"10.1001/archgenpsychiatry.2010.41","ISSN":"0003-990X","issue":"6","journalAbbreviation":"Arch Gen Psychiatry","language":"en","page":"557","source":"DOI.org (Crossref)","title":"A Prospective Cohort Study Investigating Factors Associated With Depression During Medical Internship","volume":"67","author":[{"family":"Sen","given":"Srijan"},{"family":"Kranzler","given":"Henry R."},{"family":"Krystal","given":"John H."},{"family":"Speller","given":"Heather"},{"family":"Chan","given":"Grace"},{"family":"Gelernter","given":"Joel"},{"family":"Guille","given":"Constance"}],"issued":{"date-parts":[["2010",6,1]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w:t>
            </w:r>
            <w:r>
              <w:rPr>
                <w:rFonts w:ascii="Calibri" w:hAnsi="Calibri" w:cs="Calibri"/>
                <w:color w:val="000000"/>
                <w:sz w:val="20"/>
                <w:szCs w:val="20"/>
              </w:rPr>
              <w:fldChar w:fldCharType="end"/>
            </w:r>
          </w:p>
        </w:tc>
        <w:tc>
          <w:tcPr>
            <w:tcW w:w="1130" w:type="dxa"/>
          </w:tcPr>
          <w:p w14:paraId="19D046F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2010</w:t>
            </w:r>
          </w:p>
        </w:tc>
        <w:tc>
          <w:tcPr>
            <w:tcW w:w="1337" w:type="dxa"/>
          </w:tcPr>
          <w:p w14:paraId="663FE6E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3C89C59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0C6F23D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1EBF39C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13</w:t>
            </w:r>
          </w:p>
        </w:tc>
        <w:tc>
          <w:tcPr>
            <w:tcW w:w="1102" w:type="dxa"/>
          </w:tcPr>
          <w:p w14:paraId="2918BAD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740</w:t>
            </w:r>
          </w:p>
        </w:tc>
        <w:tc>
          <w:tcPr>
            <w:tcW w:w="1086" w:type="dxa"/>
          </w:tcPr>
          <w:p w14:paraId="34C3EC3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5B4A09B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262B3F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5F9F4E2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PHQ-9</w:t>
            </w:r>
          </w:p>
        </w:tc>
        <w:tc>
          <w:tcPr>
            <w:tcW w:w="1500" w:type="dxa"/>
          </w:tcPr>
          <w:p w14:paraId="7D85B07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Perceived Stress Scale </w:t>
            </w:r>
          </w:p>
        </w:tc>
        <w:tc>
          <w:tcPr>
            <w:tcW w:w="1500" w:type="dxa"/>
          </w:tcPr>
          <w:p w14:paraId="0CD09D7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Sarason Social Support Questionnaire, Connor-Davidson Resilience Scale </w:t>
            </w:r>
          </w:p>
        </w:tc>
        <w:tc>
          <w:tcPr>
            <w:tcW w:w="1609" w:type="dxa"/>
          </w:tcPr>
          <w:p w14:paraId="3A35304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Depression, sleep, stress</w:t>
            </w:r>
          </w:p>
        </w:tc>
        <w:tc>
          <w:tcPr>
            <w:tcW w:w="1609" w:type="dxa"/>
          </w:tcPr>
          <w:p w14:paraId="258AC68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Support</w:t>
            </w:r>
          </w:p>
        </w:tc>
        <w:tc>
          <w:tcPr>
            <w:tcW w:w="1609" w:type="dxa"/>
          </w:tcPr>
          <w:p w14:paraId="57EFDB2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w:t>
            </w:r>
          </w:p>
        </w:tc>
        <w:tc>
          <w:tcPr>
            <w:tcW w:w="1609" w:type="dxa"/>
          </w:tcPr>
          <w:p w14:paraId="27B6348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140A6AC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3AF533F1"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4B1A8A2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Chu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BIwQknmT","properties":{"formattedCitation":"(8)","plainCitation":"(8)","noteIndex":0},"citationItems":[{"id":3202,"uris":["http://zotero.org/users/4975241/items/TQ4V93J2"],"uri":["http://zotero.org/users/4975241/items/TQ4V93J2"],"itemData":{"id":3202,"type":"article-journal","abstract":"Purpose To develop, teach, and supervise a structured process for handing off patient care and to evaluate its effect on interns’ knowledge, skills, and attitudes toward handoffs.","container-title":"Academic Medicine","DOI":"10.1097/ACM.0b013e3181970829","ISSN":"1040-2446","issue":"3","journalAbbreviation":"Academic Medicine","language":"en","page":"347-352","source":"DOI.org (Crossref)","title":"A Structured Handoff Program for Interns:","title-short":"A Structured Handoff Program for Interns","volume":"84","author":[{"family":"Chu","given":"Eugene S."},{"family":"Reid","given":"Mark"},{"family":"Schulz","given":"Tara"},{"family":"Burden","given":"Marisha"},{"family":"Mancini","given":"Diana"},{"family":"Ambardekar","given":"Amrut V."},{"family":"Keniston","given":"Angela"},{"family":"Albert","given":"Richard K."}],"issued":{"date-parts":[["2009",3]]}}}],"schema":"https://github.com/citation-style-language/schema/raw/master/csl-citation.json"}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w:t>
            </w:r>
            <w:r>
              <w:rPr>
                <w:rFonts w:ascii="Calibri" w:hAnsi="Calibri" w:cs="Calibri"/>
                <w:color w:val="000000"/>
                <w:sz w:val="20"/>
                <w:szCs w:val="20"/>
              </w:rPr>
              <w:fldChar w:fldCharType="end"/>
            </w:r>
          </w:p>
        </w:tc>
        <w:tc>
          <w:tcPr>
            <w:tcW w:w="1130" w:type="dxa"/>
          </w:tcPr>
          <w:p w14:paraId="5431DC4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2009</w:t>
            </w:r>
          </w:p>
        </w:tc>
        <w:tc>
          <w:tcPr>
            <w:tcW w:w="1337" w:type="dxa"/>
          </w:tcPr>
          <w:p w14:paraId="17DD0DF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166D01E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6EEF314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6942E86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46DBAA3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72</w:t>
            </w:r>
          </w:p>
        </w:tc>
        <w:tc>
          <w:tcPr>
            <w:tcW w:w="1086" w:type="dxa"/>
          </w:tcPr>
          <w:p w14:paraId="741EBDA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5A5F75A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B327A5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7A8C252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D7B642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1BDEB2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DF43AC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D7F897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Handoff, supervision</w:t>
            </w:r>
          </w:p>
        </w:tc>
        <w:tc>
          <w:tcPr>
            <w:tcW w:w="1609" w:type="dxa"/>
          </w:tcPr>
          <w:p w14:paraId="20C92AF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081268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55AF239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3C9CC1D9"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6BD68774"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Ross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LA57Up7v","properties":{"formattedCitation":"(9)","plainCitation":"(9)","noteIndex":0},"citationItems":[{"id":3203,"uris":["http://zotero.org/users/4975241/items/4A9PVS7D"],"uri":["http://zotero.org/users/4975241/items/4A9PVS7D"],"itemData":{"id":3203,"type":"article-journal","abstract":"Background: In 2005, the Health Professions Council of South Africa (HPCSA) extended the duration of the internship programme to ensure that all young medical graduates are adequately prepared to work at a district hospital during their year of community service. King Edward VIII hospital (KEH) is an HPCSA accredited training hospital, which has been training interns for many years. The aim of this study was to assess intern perceptions of their training at the hospital. Methods: This cross-sectional, descriptive study was conducted at KEH in November 2016. A questionnaire was used to collect data, which were analysed descriptively. Results: Only 53% of interns completed the questionnaire. Although teaching and supervision were provided in all domains, perceptions of the quality ranged from excellent to poor. The majority of interns worked the 64–80 hours per month commuted overtime as required by the HPCSA. However, less than 10% expressed positive views regarding the condition of the facilities and infrastructure. Discussion and conclusions: The findings of this study were generally positive with regard to teaching, supervision and hours worked, mostly in accordance with the requirements of the HPCSA. However, a response rate of 53% as well as the single location of the study may limit generalisability and a larger study involving interns across the country is recommended.","container-title":"South African Family Practice","DOI":"10.1080/20786190.2018.1504866","ISSN":"2078-6190, 2078-6204","issue":"6","journalAbbreviation":"South African Family Practice","language":"en","page":"187-191","source":"DOI.org (Crossref)","title":"An evaluation of the medical internship programme at King Edward VIII hospital, South Africa in 2016","volume":"60","author":[{"family":"Ross","given":"Andrew"},{"family":"Naidoo","given":"SS (Cyril)"},{"family":"Dlamini","given":"Siyabonga"}],"issued":{"date-parts":[["2018",11,2]]}}}],"schema":"https://github.com/citation-style-language/schema/raw/master/csl-citation.json"}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(9)</w:t>
            </w:r>
            <w:r>
              <w:rPr>
                <w:rFonts w:ascii="Calibri" w:hAnsi="Calibri" w:cs="Calibri"/>
                <w:color w:val="000000"/>
                <w:sz w:val="20"/>
                <w:szCs w:val="20"/>
              </w:rPr>
              <w:fldChar w:fldCharType="end"/>
            </w:r>
          </w:p>
        </w:tc>
        <w:tc>
          <w:tcPr>
            <w:tcW w:w="1130" w:type="dxa"/>
          </w:tcPr>
          <w:p w14:paraId="2017645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2018</w:t>
            </w:r>
          </w:p>
        </w:tc>
        <w:tc>
          <w:tcPr>
            <w:tcW w:w="1337" w:type="dxa"/>
          </w:tcPr>
          <w:p w14:paraId="3C71AA3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South Africa</w:t>
            </w:r>
          </w:p>
        </w:tc>
        <w:tc>
          <w:tcPr>
            <w:tcW w:w="1434" w:type="dxa"/>
          </w:tcPr>
          <w:p w14:paraId="6F9C9BF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6617EFE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3F5A578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07DD29F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41</w:t>
            </w:r>
          </w:p>
        </w:tc>
        <w:tc>
          <w:tcPr>
            <w:tcW w:w="1086" w:type="dxa"/>
          </w:tcPr>
          <w:p w14:paraId="4A9ED01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9A24F3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2C5955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20FE484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6287FD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ABC90E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F10B4A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EF0563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teaching</w:t>
            </w:r>
          </w:p>
        </w:tc>
        <w:tc>
          <w:tcPr>
            <w:tcW w:w="1609" w:type="dxa"/>
          </w:tcPr>
          <w:p w14:paraId="0528887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 infrastructure</w:t>
            </w:r>
          </w:p>
        </w:tc>
        <w:tc>
          <w:tcPr>
            <w:tcW w:w="1609" w:type="dxa"/>
          </w:tcPr>
          <w:p w14:paraId="7F08538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7D7996D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1E1DEB33"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64C57287"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Brant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5hAqxVCg","properties":{"formattedCitation":"(10)","plainCitation":"(10)","noteIndex":0},"citationItems":[{"id":3204,"uris":["http://zotero.org/users/4975241/items/URBKBLJG"],"uri":["http://zotero.org/users/4975241/items/URBKBLJG"],"itemData":{"id":3204,"type":"article-journal","abstract":"The ﬁrst year practising medicine, pre-registration, is considered to be a stressful time for junior doctors. The aims of this study were to explore how levels of psychological distress were affected by changes in the working environment and to examine these effects across subjective (i.e. self-report) and objective (i.e. stress hormone cortisol) indices of psychological distress. A cohort of 36 pre-registration house ofﬁcers (males ¼ 15) completed a battery of psychosocial measures and collected salivary samples for the measurement of diurnal cortisol at the beginning and end of a 3– 4-month clinical rotation with the assumption that the end of a rotation would be less stressful than the beginning. Results from the self-report measures remained constant over the twotime points suggesting no perceived change in emotional well-being on a subjective level. However, there is some evidence of neuro-endocrine changes across the two time points suggestive of hypothalamic – pituitary – adrenal axis dysregulation. In particular, there was a signiﬁcant difference between the cortisol awakening rise with the greatest rise seen at the beginning of a rotation. In addition, the daily cortisol decline (diurnal slope) was also signiﬁcantly less at this test time. These ﬁndings have implications for the discord apparent between self-report and physiological measures of psychological stress.","container-title":"Stress","DOI":"10.3109/10253890903093778","ISSN":"1025-3890, 1607-8888","issue":"2","journalAbbreviation":"Stress","language":"en","page":"155-162","source":"DOI.org (Crossref)","title":"An exploration into physiological and self-report measures of stress in pre-registration doctors at the beginning and end of a clinical rotation","volume":"13","author":[{"family":"Brant","given":"Heather"},{"family":"Wetherell","given":"Mark A."},{"family":"Lightman","given":"Stafford"},{"family":"Crown","given":"Anna"},{"family":"Vedhara","given":"Kavita"}],"issued":{"date-parts":[["2010",3]]}}}],"schema":"https://github.com/citation-style-language/schema/raw/master/csl-citation.json"}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(10)</w:t>
            </w:r>
            <w:r>
              <w:rPr>
                <w:rFonts w:ascii="Calibri" w:hAnsi="Calibri" w:cs="Calibri"/>
                <w:color w:val="000000"/>
                <w:sz w:val="20"/>
                <w:szCs w:val="20"/>
              </w:rPr>
              <w:fldChar w:fldCharType="end"/>
            </w:r>
          </w:p>
        </w:tc>
        <w:tc>
          <w:tcPr>
            <w:tcW w:w="1130" w:type="dxa"/>
          </w:tcPr>
          <w:p w14:paraId="05C796F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2010</w:t>
            </w:r>
          </w:p>
        </w:tc>
        <w:tc>
          <w:tcPr>
            <w:tcW w:w="1337" w:type="dxa"/>
          </w:tcPr>
          <w:p w14:paraId="54F62C4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030CCD3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1D29D71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692DE0A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2010603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36</w:t>
            </w:r>
          </w:p>
        </w:tc>
        <w:tc>
          <w:tcPr>
            <w:tcW w:w="1086" w:type="dxa"/>
          </w:tcPr>
          <w:p w14:paraId="2F47763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638E24B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F2293E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4C9123E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MBI</w:t>
            </w:r>
          </w:p>
        </w:tc>
        <w:tc>
          <w:tcPr>
            <w:tcW w:w="1500" w:type="dxa"/>
          </w:tcPr>
          <w:p w14:paraId="771BB2C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Hospital Anxiety and Depression Scale</w:t>
            </w:r>
          </w:p>
        </w:tc>
        <w:tc>
          <w:tcPr>
            <w:tcW w:w="1500" w:type="dxa"/>
          </w:tcPr>
          <w:p w14:paraId="7CA6764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914508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Burnout, anxiety, depression</w:t>
            </w:r>
          </w:p>
        </w:tc>
        <w:tc>
          <w:tcPr>
            <w:tcW w:w="1609" w:type="dxa"/>
          </w:tcPr>
          <w:p w14:paraId="3B62BAB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5A2C11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FD7A1A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6E61198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2AE96A83"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7CD4C72F"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Heard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oGCF55Vm","properties":{"formattedCitation":"(11)","plainCitation":"(11)","noteIndex":0},"citationItems":[{"id":3205,"uris":["http://zotero.org/users/4975241/items/6AFSSBBR"],"uri":["http://zotero.org/users/4975241/items/6AFSSBBR"],"itemData":{"id":3205,"type":"article-journal","abstract":"Purpose. This study sought to investigate whether an institution’s Graduate Medical Education Committee (GMEC) could develop a system of continuous quality improvement of its residency programs using an annual survey provided by the institution for all residents.","container-title":"Academic Medicine","DOI":"10.1097/00001888-200409000-00011","ISSN":"1040-2446","issue":"9","journalAbbreviation":"Academic Medicine","language":"en","page":"858-864","source":"DOI.org (Crossref)","title":"An Institutional System to Monitor and Improve the Quality of Residency Education:","title-short":"An Institutional System to Monitor and Improve the Quality of Residency Education","volume":"79","author":[{"family":"Heard","given":"Jeanne K."},{"family":"O’Sullivan","given":"Patricia"},{"family":"Smith","given":"Christopher E."},{"family":"Harper","given":"Richard A."},{"family":"Schexnayder","given":"Stephen M."}],"issued":{"date-parts":[["2004",9]]}}}],"schema":"https://github.com/citation-style-language/schema/raw/master/csl-citation.json"}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(11)</w:t>
            </w:r>
            <w:r>
              <w:rPr>
                <w:rFonts w:ascii="Calibri" w:hAnsi="Calibri" w:cs="Calibri"/>
                <w:color w:val="000000"/>
                <w:sz w:val="20"/>
                <w:szCs w:val="20"/>
              </w:rPr>
              <w:fldChar w:fldCharType="end"/>
            </w:r>
          </w:p>
        </w:tc>
        <w:tc>
          <w:tcPr>
            <w:tcW w:w="1130" w:type="dxa"/>
          </w:tcPr>
          <w:p w14:paraId="09EA571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2004</w:t>
            </w:r>
          </w:p>
        </w:tc>
        <w:tc>
          <w:tcPr>
            <w:tcW w:w="1337" w:type="dxa"/>
          </w:tcPr>
          <w:p w14:paraId="7E1C523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1F8A022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0C81A92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6542F0D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541F5B3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427</w:t>
            </w:r>
          </w:p>
        </w:tc>
        <w:tc>
          <w:tcPr>
            <w:tcW w:w="1086" w:type="dxa"/>
          </w:tcPr>
          <w:p w14:paraId="51FB8D1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3A60C76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DCFAE8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1366B27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5D9D8D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15FDCB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5A3059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A1A32D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feedback</w:t>
            </w:r>
          </w:p>
        </w:tc>
        <w:tc>
          <w:tcPr>
            <w:tcW w:w="1609" w:type="dxa"/>
          </w:tcPr>
          <w:p w14:paraId="3A1C684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w:t>
            </w:r>
          </w:p>
        </w:tc>
        <w:tc>
          <w:tcPr>
            <w:tcW w:w="1609" w:type="dxa"/>
          </w:tcPr>
          <w:p w14:paraId="6ED911E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Construct validity, content validity, discriminate validity</w:t>
            </w:r>
          </w:p>
        </w:tc>
        <w:tc>
          <w:tcPr>
            <w:tcW w:w="1609" w:type="dxa"/>
          </w:tcPr>
          <w:p w14:paraId="1891C2C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0DEBA066"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57A7FBDB"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Bolanowski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CJWcXGGU","properties":{"formattedCitation":"(12)","plainCitation":"(12)","noteIndex":0},"citationItems":[{"id":3290,"uris":["http://zotero.org/users/4975241/items/Z7D6CPAI"],"uri":["http://zotero.org/users/4975241/items/Z7D6CPAI"],"itemData":{"id":3290,"type":"article-journal","abstract":"OBJECTIVES: The interest is focused on today's interns who will soon become an essential part of the health care system. Obstacles they perceive at the beginning of the career may encourage them or, inversely, impede their professional development, enhance professional burnout or even lead to change of the profession. International literature, comprising publications on the situation in ten European countries, Canada and the USA, is reviewed. Numerous considerations have encouraged some attempts to measure \"anxiety about professional future\" (AAF).\nMATERIALS AND METHODS: Seven factors that induce anxiety about professional future among students and young doctors are listed and briefly discussed: 1) Difficulties in getting a job and growing anxiety for maintaining the job; 2) Low wages; 3) Negative impact of work on private and family life, in particular, a conflict between the professional role and mother's role; 4) Excessive level of organizational stress; 5) Lack of (individual) resources to cope with stress; 6) Institutional and financial limitations for professional development; and 7) Worldwide evolution of the professional role and the status of doctor. A questionnaire was developed by the author and answers were collected from a representative sample of Polish interns (about 1000) and a small sample of French interns. A scale for measuring the anxiety was built with use of factor analysis.\nRESULTS: The resulting scale called AAF has proved to have good statistical properties. The mean value of the anxiety indicator proved to be high in Poland. Interns who are familiar with the doctor's daily duties, who feel economically independent and who have good self-valuation of the practical skills are characterized by a lower level of anxiety. AAF values in a sample of French interns was dramatically lower than those characteristic of Polish interns.\nCONCLUSIONS: The values of AAF for the interns can be related to the intensity of stress-inducing factors in the professional environment. Very high AAF values can stem from an excessive professional stress that may have a negative impact on individual careers and the whole health care system in Poland. Appropriate changes in the curriculum of medical studies (accompanied by legal regulations) might reduce excessive anxiety about future in graduating doctors in Poland. Such changes could include: (a) a greater involvement of students in the examination and treatment of patients and in \"daily life\" in health care institutions; (b) making more practice (or performing medical procedures) obligatory; (c) creating better opportunities to earn living in the medical professions (by performing procedures or by assisting professionals); and (d) making efforts in the field of practical education more rewarding (e.g., introducing rating for practice and incorporating it into fellowship schemes).","container-title":"International Journal of Occupational Medicine and Environmental Health","ISSN":"1232-1087","issue":"4","journalAbbreviation":"Int J Occup Med Environ Health","language":"eng","note":"PMID: 16617853","page":"367-374","source":"PubMed","title":"Anxiety about professional future among young doctors","volume":"18","author":[{"family":"Bolanowski","given":"Wojciech"}],"issued":{"date-parts":[["2005"]]}}}],"schema":"https://github.com/citation-style-language/schema/raw/master/csl-citation.json"}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(12)</w:t>
            </w:r>
            <w:r>
              <w:rPr>
                <w:rFonts w:ascii="Calibri" w:hAnsi="Calibri" w:cs="Calibri"/>
                <w:color w:val="000000"/>
                <w:sz w:val="20"/>
                <w:szCs w:val="20"/>
              </w:rPr>
              <w:fldChar w:fldCharType="end"/>
            </w:r>
          </w:p>
        </w:tc>
        <w:tc>
          <w:tcPr>
            <w:tcW w:w="1130" w:type="dxa"/>
          </w:tcPr>
          <w:p w14:paraId="6275D95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2005</w:t>
            </w:r>
          </w:p>
        </w:tc>
        <w:tc>
          <w:tcPr>
            <w:tcW w:w="1337" w:type="dxa"/>
          </w:tcPr>
          <w:p w14:paraId="5E200E8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Poland and France</w:t>
            </w:r>
          </w:p>
        </w:tc>
        <w:tc>
          <w:tcPr>
            <w:tcW w:w="1434" w:type="dxa"/>
          </w:tcPr>
          <w:p w14:paraId="0EDA8A7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70FFCCC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205EDEC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729664D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986</w:t>
            </w:r>
          </w:p>
        </w:tc>
        <w:tc>
          <w:tcPr>
            <w:tcW w:w="1086" w:type="dxa"/>
          </w:tcPr>
          <w:p w14:paraId="0EA699E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286B86B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01CED9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30D4313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Anxiety about professional future</w:t>
            </w:r>
          </w:p>
        </w:tc>
        <w:tc>
          <w:tcPr>
            <w:tcW w:w="1500" w:type="dxa"/>
          </w:tcPr>
          <w:p w14:paraId="5770157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1F563C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E02B84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Anxiety</w:t>
            </w:r>
          </w:p>
        </w:tc>
        <w:tc>
          <w:tcPr>
            <w:tcW w:w="1609" w:type="dxa"/>
          </w:tcPr>
          <w:p w14:paraId="0964E2A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E57DD2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BCB519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Construct validity (CFA)</w:t>
            </w:r>
          </w:p>
        </w:tc>
        <w:tc>
          <w:tcPr>
            <w:tcW w:w="1609" w:type="dxa"/>
          </w:tcPr>
          <w:p w14:paraId="120611F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340107F5"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23752BF8"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Han</w:t>
            </w:r>
            <w:r>
              <w:rPr>
                <w:rFonts w:ascii="Calibri" w:hAnsi="Calibri" w:cs="Calibri"/>
                <w:color w:val="000000"/>
                <w:sz w:val="20"/>
                <w:szCs w:val="20"/>
              </w:rPr>
              <w:t xml:space="preserve"> &amp; Maxwell</w:t>
            </w:r>
            <w:r w:rsidRPr="00701766">
              <w:rPr>
                <w:rFonts w:ascii="Calibri" w:hAnsi="Calibri" w:cs="Calibri"/>
                <w:color w:val="000000"/>
                <w:sz w:val="20"/>
                <w:szCs w:val="20"/>
              </w:rPr>
              <w:t xml:space="preserve">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XfRYCYWr","properties":{"formattedCitation":"(13)","plainCitation":"(13)","noteIndex":0},"citationItems":[{"id":3207,"uris":["http://zotero.org/users/4975241/items/4B82RU5U"],"uri":["http://zotero.org/users/4975241/items/4B82RU5U"],"itemData":{"id":3207,"type":"article-journal","abstract":"Background Drugs are the major therapeutic intervention provided by most doctors throughout their careers. The General Medical Council expects all medical students to be competent to prescribe at the point of graduation. Aims The aim of this study was to assess the views of Foundation Year 1 (FY1) doctors who had recently graduated from the University of Edinburgh about their training and competence in relation to the use of drugs based on their early clinical experience.\nMethod A questionnaire was constructed based on Tomorrow's Doctors 2002 and distributed to FY1 doctors who graduated in August 2005.\nResults Responses were received from 100 (39.8%) of the doctors who graduated in 2005. Only 32% respondents considered themselves 'competent to prescribe' at the point of graduation. Less than 50% of respondents felt comfortable in providing information about possible treatments to allow patients to make informed decisions about their care. The majority of respondents complained about a lack of formal teaching and practice at basic clinical skills relating to drug therapy.\nConclusion Many graduates feel under-prepared to take on prescribing responsibilities after graduation. These findings emphasise the need to ensure that all medical curricula are able to provide sufficient learning opportunities and robust assessment in this important area of clinical practice.","container-title":"Scottish Medical Journal","DOI":"10.1258/RSMSMJ.51.4.27","ISSN":"0036-9330, 2045-6441","issue":"4","journalAbbreviation":"Scott Med J","language":"en","page":"27-32","source":"DOI.org (Crossref)","title":"Are Medical Students Adequately Trained to Prescribe at the Point of Graduation? Views of First Year Foundation Doctors","title-short":"Are Medical Students Adequately Trained to Prescribe at the Point of Graduation?","volume":"51","author":[{"family":"Han","given":"Wh"},{"family":"Maxwell","given":"Srj"}],"issued":{"date-parts":[["2006",11]]}}}],"schema":"https://github.com/citation-style-language/schema/raw/master/csl-citation.json"}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(13)</w:t>
            </w:r>
            <w:r>
              <w:rPr>
                <w:rFonts w:ascii="Calibri" w:hAnsi="Calibri" w:cs="Calibri"/>
                <w:color w:val="000000"/>
                <w:sz w:val="20"/>
                <w:szCs w:val="20"/>
              </w:rPr>
              <w:fldChar w:fldCharType="end"/>
            </w:r>
          </w:p>
        </w:tc>
        <w:tc>
          <w:tcPr>
            <w:tcW w:w="1130" w:type="dxa"/>
          </w:tcPr>
          <w:p w14:paraId="6124846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2006</w:t>
            </w:r>
          </w:p>
        </w:tc>
        <w:tc>
          <w:tcPr>
            <w:tcW w:w="1337" w:type="dxa"/>
          </w:tcPr>
          <w:p w14:paraId="50F9912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1141940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1BD89FB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607515A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6CBF15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100</w:t>
            </w:r>
          </w:p>
        </w:tc>
        <w:tc>
          <w:tcPr>
            <w:tcW w:w="1086" w:type="dxa"/>
          </w:tcPr>
          <w:p w14:paraId="58F6A2B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08CD605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9F48D0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45D2B5E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F987A5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79B24C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5DE4B0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BF0D42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w:t>
            </w:r>
          </w:p>
        </w:tc>
        <w:tc>
          <w:tcPr>
            <w:tcW w:w="1609" w:type="dxa"/>
          </w:tcPr>
          <w:p w14:paraId="1107FE8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ABCBF4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3603347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43968436"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269B2177"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Carr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QsuwRdc1","properties":{"formattedCitation":"(14)","plainCitation":"(14)","noteIndex":0},"citationItems":[{"id":3208,"uris":["http://zotero.org/users/4975241/items/SCIAEAKX"],"uri":["http://zotero.org/users/4975241/items/SCIAEAKX"],"itemData":{"id":3208,"type":"article-journal","abstract":"Background: In recent years, Australia has developed a National Junior Doctor Curriculum Framework that sets out the expected standards and describes areas of performance for junior doctors and through this has allowed a national approach to junior doctor assessment to develop. Given the significance of the judgments made, in terms of patient safety, development of junior doctors, and preventing progression of junior doctors moving to the next stage of training, it is essential to develop and validate assessment tools as rigorously as possible. This paper reports on a validation study of the Junior Doctor Assessment Tool as used for PGY1 doctors to evaluate the psychometric properties of the instrument and to explore the effect of length of experience as a PGY1 on assessment scores.\nMethods: This validation study of the Australian developed Junior Doctor Assessment Tool as it was used in three public and other associated hospitals in Western Australia for PGY1 across a two year period addressed two core aims, namely: (1) to evaluate the psychometric properties of the instrument; (2) to explore the effect of length of experience as a PGY1 on assessment scores.\nResults: The highest mean scores were for professional behaviours, teamwork and interpersonal skills and the lowest were for procedures. Most junior doctors were assessed three or more times and scores were not different in the first rotation compared to subsequent rotations. While statistically significant, there appeared to be little practical influence on scores obtained by the number of times they were assessed. Principal component analysis identified two principal components of junior doctor performance are being assessed rather than the commonly reported three. A Cronbach Alpha of .883 was calculated for the 10 item scale.\nConclusions: Now that the components of the tool have been analysed it will be more meaningful and potentially more influential to consider these factors on the potential educational impact of this assessment process for monitoring junior doctor development and progression.","container-title":"BMC Medical Education","DOI":"10.1186/1472-6920-13-129","ISSN":"1472-6920","issue":"1","journalAbbreviation":"BMC Med Educ","language":"en","page":"129","source":"DOI.org (Crossref)","title":"Assessment of Junior Doctor performance: a validation study","title-short":"Assessment of Junior Doctor performance","volume":"13","author":[{"family":"Carr","given":"Sandra E"},{"family":"Celenza","given":"Antonio"},{"family":"Lake","given":"Fiona"}],"issued":{"date-parts":[["2013",12]]}}}],"schema":"https://github.com/citation-style-language/schema/raw/master/csl-citation.json"}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(14)</w:t>
            </w:r>
            <w:r>
              <w:rPr>
                <w:rFonts w:ascii="Calibri" w:hAnsi="Calibri" w:cs="Calibri"/>
                <w:color w:val="000000"/>
                <w:sz w:val="20"/>
                <w:szCs w:val="20"/>
              </w:rPr>
              <w:fldChar w:fldCharType="end"/>
            </w:r>
          </w:p>
        </w:tc>
        <w:tc>
          <w:tcPr>
            <w:tcW w:w="1130" w:type="dxa"/>
          </w:tcPr>
          <w:p w14:paraId="285F957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2013</w:t>
            </w:r>
          </w:p>
        </w:tc>
        <w:tc>
          <w:tcPr>
            <w:tcW w:w="1337" w:type="dxa"/>
          </w:tcPr>
          <w:p w14:paraId="75F4E74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Australia</w:t>
            </w:r>
          </w:p>
        </w:tc>
        <w:tc>
          <w:tcPr>
            <w:tcW w:w="1434" w:type="dxa"/>
          </w:tcPr>
          <w:p w14:paraId="4F59060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Junior doctor</w:t>
            </w:r>
          </w:p>
        </w:tc>
        <w:tc>
          <w:tcPr>
            <w:tcW w:w="1106" w:type="dxa"/>
          </w:tcPr>
          <w:p w14:paraId="25490AC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7E2FD5D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C2AF5D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302</w:t>
            </w:r>
          </w:p>
        </w:tc>
        <w:tc>
          <w:tcPr>
            <w:tcW w:w="1086" w:type="dxa"/>
          </w:tcPr>
          <w:p w14:paraId="672517A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1508915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Supervisor rated</w:t>
            </w:r>
          </w:p>
        </w:tc>
        <w:tc>
          <w:tcPr>
            <w:tcW w:w="1757" w:type="dxa"/>
          </w:tcPr>
          <w:p w14:paraId="04BCC19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585BE23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Junior Doctor Assessment Tool </w:t>
            </w:r>
          </w:p>
        </w:tc>
        <w:tc>
          <w:tcPr>
            <w:tcW w:w="1500" w:type="dxa"/>
          </w:tcPr>
          <w:p w14:paraId="580378A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838A2D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FCBFBD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F88D92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Communication, teamwork, professionalism</w:t>
            </w:r>
          </w:p>
        </w:tc>
        <w:tc>
          <w:tcPr>
            <w:tcW w:w="1609" w:type="dxa"/>
          </w:tcPr>
          <w:p w14:paraId="200028B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126525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Face validity, construct validity</w:t>
            </w:r>
          </w:p>
        </w:tc>
        <w:tc>
          <w:tcPr>
            <w:tcW w:w="1609" w:type="dxa"/>
          </w:tcPr>
          <w:p w14:paraId="7630A77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38F2F0DA"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005AD3C7"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Gooneratne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ZEOeA7sc","properties":{"formattedCitation":"(15)","plainCitation":"(15)","noteIndex":0},"citationItems":[{"id":3294,"uris":["http://zotero.org/users/4975241/items/W6HHEWVY"],"uri":["http://zotero.org/users/4975241/items/W6HHEWVY"],"itemData":{"id":3294,"type":"article-journal","abstract":"BACKGROUND: An effective tool in analysing the learning environment, customised to the Sri Lankan setting, is vital for the assessment and delivery of quality healthcare training of preregistration house officers. Such a tool should be reliable and valid. We assessed psychometric properties such as internal reliability and construct validity of a modified version of the Postgraduate Hospital Educational Environment Measure (PHEEM).\nMATERIALS AND METHODS: A modified PHEEM questionnaire customised to the Sri Lankan context was developed in accordance to the Sri Lanka Medical Council guidelines. The questionnaire was distributed to all interns at the National Hospital of Sri Lanka, Colombo North Teaching Hospital and Wathupitiwala Base Hospital during a calendar year (n = 100, response rate = 86%). Internal reliability and construct validity of the inventory were assessed by using Cronbach's alpha and exploratory factor analysis respectively as statistical methods.\nRESULTS: PHEEM consists of 3 subscales: perceptions of autonomy, social support and teaching, which are factors perceived to be influencing the educational environment. This administration demonstrated high internal reliability as reflected by a Cronbach's alpha value of 0.84. Exploratory factor analysis identified 12 factors with eigenvalue &gt;1. However, the first factor had an eigenvalue of 6.7 (accounting for 19.7% of variance), while the rest had eigenvalues &lt; 2.5. These results suggest a single predictive factor and thus a one-dimensional scale as opposed to the three-dimensional scale which is used in the current questionnaire.\nCONCLUSIONS: The psychometric properties of this tool reflect a high degree of internal reliability in assessing the educational environment of intern doctors in Sri Lanka. It is possible that the clinical educational environment is collectively represented as a single dimension. This may be due to the complex interplay between individual items in the questionnaire. Therefore the psychometric properties do not justify the interpretation of the educational environment through specified subscales.","container-title":"Annals of the Academy of Medicine, Singapore","ISSN":"0304-4602","issue":"12","journalAbbreviation":"Ann Acad Med Singap","language":"eng","note":"PMID: 19159030","page":"993-997","source":"PubMed","title":"Assessment of psychometric properties of a modified PHEEM questionnaire","volume":"37","author":[{"family":"Gooneratne","given":"I. K."},{"family":"Munasinghe","given":"S. R."},{"family":"Siriwardena","given":"C."},{"family":"Olupeliyawa","given":"A. M."},{"family":"Karunathilake","given":"I."}],"issued":{"date-parts":[["2008",12]]}}}],"schema":"https://github.com/citation-style-language/schema/raw/master/csl-citation.json"}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(15)</w:t>
            </w:r>
            <w:r>
              <w:rPr>
                <w:rFonts w:ascii="Calibri" w:hAnsi="Calibri" w:cs="Calibri"/>
                <w:color w:val="000000"/>
                <w:sz w:val="20"/>
                <w:szCs w:val="20"/>
              </w:rPr>
              <w:fldChar w:fldCharType="end"/>
            </w:r>
            <w:r w:rsidRPr="00701766">
              <w:rPr>
                <w:rFonts w:ascii="Calibri" w:hAnsi="Calibri" w:cs="Calibri"/>
                <w:color w:val="000000"/>
                <w:sz w:val="20"/>
                <w:szCs w:val="20"/>
              </w:rPr>
              <w:t xml:space="preserve"> </w:t>
            </w:r>
          </w:p>
        </w:tc>
        <w:tc>
          <w:tcPr>
            <w:tcW w:w="1130" w:type="dxa"/>
          </w:tcPr>
          <w:p w14:paraId="377B29B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2008</w:t>
            </w:r>
          </w:p>
        </w:tc>
        <w:tc>
          <w:tcPr>
            <w:tcW w:w="1337" w:type="dxa"/>
          </w:tcPr>
          <w:p w14:paraId="0AFB788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Sri Lanka</w:t>
            </w:r>
          </w:p>
        </w:tc>
        <w:tc>
          <w:tcPr>
            <w:tcW w:w="1434" w:type="dxa"/>
          </w:tcPr>
          <w:p w14:paraId="6C4C3D6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43DD124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13140B7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w:t>
            </w:r>
          </w:p>
        </w:tc>
        <w:tc>
          <w:tcPr>
            <w:tcW w:w="1102" w:type="dxa"/>
          </w:tcPr>
          <w:p w14:paraId="0309630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86</w:t>
            </w:r>
          </w:p>
        </w:tc>
        <w:tc>
          <w:tcPr>
            <w:tcW w:w="1086" w:type="dxa"/>
          </w:tcPr>
          <w:p w14:paraId="1A28A1E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23D770F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B1562A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1E75D5D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PHEEM</w:t>
            </w:r>
          </w:p>
        </w:tc>
        <w:tc>
          <w:tcPr>
            <w:tcW w:w="1500" w:type="dxa"/>
          </w:tcPr>
          <w:p w14:paraId="29987B2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9B98B4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E20927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29F7BC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Educational environment, supervision, induction, communication, feedback, career development, teamwork, </w:t>
            </w:r>
            <w:r w:rsidRPr="00701766">
              <w:rPr>
                <w:rFonts w:ascii="Calibri" w:hAnsi="Calibri" w:cs="Calibri"/>
                <w:color w:val="000000"/>
                <w:sz w:val="20"/>
                <w:szCs w:val="20"/>
              </w:rPr>
              <w:lastRenderedPageBreak/>
              <w:t>teaching, support</w:t>
            </w:r>
          </w:p>
        </w:tc>
        <w:tc>
          <w:tcPr>
            <w:tcW w:w="1609" w:type="dxa"/>
          </w:tcPr>
          <w:p w14:paraId="3B5C630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lastRenderedPageBreak/>
              <w:t>Work hour, harassment, safety, bullying, food and accommodation</w:t>
            </w:r>
          </w:p>
        </w:tc>
        <w:tc>
          <w:tcPr>
            <w:tcW w:w="1609" w:type="dxa"/>
          </w:tcPr>
          <w:p w14:paraId="624ECB7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Construct validity (EFA)</w:t>
            </w:r>
          </w:p>
        </w:tc>
        <w:tc>
          <w:tcPr>
            <w:tcW w:w="1609" w:type="dxa"/>
          </w:tcPr>
          <w:p w14:paraId="03DFBA1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21E2AC17"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5B0EB5A2"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Loftus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x2H8GyiB","properties":{"formattedCitation":"(16)","plainCitation":"(16)","noteIndex":0},"citationItems":[{"id":3210,"uris":["http://zotero.org/users/4975241/items/58J96YPI"],"uri":["http://zotero.org/users/4975241/items/58J96YPI"],"itemData":{"id":3210,"type":"article-journal","abstract":"Objective: Several aspects of medical training may contribute to the ultimate goal of producing excellent physicians whose patients will have the best possible outcomes. However, the relative importance of education, evaluation and feedback, duty hours, practice structure, and program culture in achieving this goal is unclear. This study assessed associations among in-training exam performance, Accreditation Council for Graduate Medical Education (ACGME) Resident Survey responses, and American Board of Medical Specialties (ABMS) national board exam performance.\nMethods: Residency training programs at a university teaching hospital were classified as having 5-year first-time ABMS pass rates above (n=12) or below (n=3) the national average for their specialty. These groups were compared by ACGME Resident Survey data and in-training exam performance.\nResults: Surveys were collected from 484/543 eligible residents (89%), including 177 surveys from programs with belowaverage board pass rates and 307 surveys from programs with aboveaverage board pass rates. In-training exam performance was similar between groups. Aboveaverage programs had stronger agreement with statements that their culture reinforced patient safety (4.72 vs. 4.30, p=0.006) and that information was not lost during transitions of care (4.14 vs. 3.63, p=0.001). Although the occurrence of interprofessional teamwork was similar between groups, above-average programs had stronger agreement with the statement that interprofessional teamwork was effective (4.60 vs. 4.17, p=0.003).\nConclusion: Residency programs emphasizing patient safety and effective interprofessional teamwork had above-average firsttime national board pass rates.","container-title":"Academic Psychiatry","DOI":"10.1007/s40596-019-01106-x","ISSN":"1042-9670, 1545-7230","issue":"6","journalAbbreviation":"Acad Psychiatry","language":"en","page":"581-584","source":"DOI.org (Crossref)","title":"Associations Between National Board Exam Performance and Residency Program Emphasis on Patient Safety and Interprofessional Teamwork","volume":"43","author":[{"family":"Loftus","given":"Tyler J."},{"family":"Hall","given":"David J."},{"family":"Malaty","given":"John Z."},{"family":"Kuruppacherry","given":"Sony B."},{"family":"Sarosi","given":"George A."},{"family":"Shaw","given":"Christiana M."},{"family":"Tan","given":"Sanda A."},{"family":"Taylor","given":"Janice"},{"family":"Morris","given":"Diana S."},{"family":"Meyer","given":"Lynne E."},{"family":"Hobbs","given":"Jacqueline A."}],"issued":{"date-parts":[["2019",12]]}}}],"schema":"https://github.com/citation-style-language/schema/raw/master/csl-citation.json"}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(16)</w:t>
            </w:r>
            <w:r>
              <w:rPr>
                <w:rFonts w:ascii="Calibri" w:hAnsi="Calibri" w:cs="Calibri"/>
                <w:color w:val="000000"/>
                <w:sz w:val="20"/>
                <w:szCs w:val="20"/>
              </w:rPr>
              <w:fldChar w:fldCharType="end"/>
            </w:r>
          </w:p>
        </w:tc>
        <w:tc>
          <w:tcPr>
            <w:tcW w:w="1130" w:type="dxa"/>
          </w:tcPr>
          <w:p w14:paraId="5E5AEAE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2019</w:t>
            </w:r>
          </w:p>
        </w:tc>
        <w:tc>
          <w:tcPr>
            <w:tcW w:w="1337" w:type="dxa"/>
          </w:tcPr>
          <w:p w14:paraId="60F2A51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 and Japan</w:t>
            </w:r>
          </w:p>
        </w:tc>
        <w:tc>
          <w:tcPr>
            <w:tcW w:w="1434" w:type="dxa"/>
          </w:tcPr>
          <w:p w14:paraId="57B34E6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14D3750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0F3C419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15AD075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484</w:t>
            </w:r>
          </w:p>
        </w:tc>
        <w:tc>
          <w:tcPr>
            <w:tcW w:w="1086" w:type="dxa"/>
          </w:tcPr>
          <w:p w14:paraId="2A00358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6512657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DCB75E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5175DE9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ACGME Resident Survey </w:t>
            </w:r>
          </w:p>
        </w:tc>
        <w:tc>
          <w:tcPr>
            <w:tcW w:w="1500" w:type="dxa"/>
          </w:tcPr>
          <w:p w14:paraId="31E8A33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4C956F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B19CBC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7AB2B7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Teamwork, educational experience, handoff</w:t>
            </w:r>
          </w:p>
        </w:tc>
        <w:tc>
          <w:tcPr>
            <w:tcW w:w="1609" w:type="dxa"/>
          </w:tcPr>
          <w:p w14:paraId="6CAE770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 safety</w:t>
            </w:r>
          </w:p>
        </w:tc>
        <w:tc>
          <w:tcPr>
            <w:tcW w:w="1609" w:type="dxa"/>
          </w:tcPr>
          <w:p w14:paraId="7C190D5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682300C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54A76EC6"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0FF0AC4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Lin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UPDFieJz","properties":{"formattedCitation":"(17)","plainCitation":"(17)","noteIndex":0},"citationItems":[{"id":3211,"uris":["http://zotero.org/users/4975241/items/LP92RK8J"],"uri":["http://zotero.org/users/4975241/items/LP92RK8J"],"itemData":{"id":3211,"type":"article-journal","abstract":"Background: Burnout can result in a serious negative impact on a doctor's life, the quality of patient care, and the healthcare organization. This study aims to determine the prevalence of burnout and factors aﬀecting burnout among the house oﬃcers in Myanmar. Materials and methods: An exploratory cross-sectional quantitative survey study was conducted using a selfadministered, web-based survey. House oﬃcers working in any of the government hospitals in Myanmar were invited to participate in the study. The survey link was distributed online via Facebook. To measure burnout, we utilised a non-proprietary single-item measure, validated to serve as a reliable substitute for the Maslach Burnout Inventory Emotional Exhaustion (MBI:EE). To measure global life satisfaction, the validated Satisfaction with Life Scale (SWLS) was used. The questions for the scales regarding the psychosocial environment were extracted from the long version of the validated Copenhagen Psychosocial Questionnaire (COPSOQ II). The scales selected were “possibilities for the development”, “meaning of work”, “commitment to workplace”, “recognition”, “social support from colleagues” and “social support from supervisors”. Multiple logistic regression method was applied to determine the factors associated with burnout.\nResults: Regarding the prevalence of burnout, out of 159 participants, 42.8% (n = 68) of the participants had no symptoms of burnout. 57.2% (n = 91) had one or more symptoms of burnout. Multivariate analysis showed that the only signiﬁcant factor associated with burnout was “recognition” (OR 0.96, 95% CI: 0.94–0.97, P &lt; 0.001).\nConclusion: From this study, we have determined the relatively high burnout prevalence and that recognition is the only preventive factor; increase in recognition will decrease the odds of burnout. Hence, urgent interventions are recommended to prevent undesirable eﬀects on both health professionals and patients. Recognition for work done should always be in the heart of the health authorities and medical community in Myanmar.","container-title":"Annals of Medicine and Surgery","DOI":"10.1016/j.amsu.2018.07.008","ISSN":"20490801","journalAbbreviation":"Annals of Medicine and Surgery","language":"en","page":"7-12","source":"DOI.org (Crossref)","title":"Burnout among house officers in Myanmar: A cross-sectional study","title-short":"Burnout among house officers in Myanmar","volume":"33","author":[{"family":"Lin","given":"Kyaw San"},{"family":"Zaw","given":"Thant"},{"family":"Oo","given":"Win Min"},{"family":"Soe","given":"Pa Pa"}],"issued":{"date-parts":[["2018",9]]}}}],"schema":"https://github.com/citation-style-language/schema/raw/master/csl-citation.json"}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(17)</w:t>
            </w:r>
            <w:r>
              <w:rPr>
                <w:rFonts w:ascii="Calibri" w:hAnsi="Calibri" w:cs="Calibri"/>
                <w:color w:val="000000"/>
                <w:sz w:val="20"/>
                <w:szCs w:val="20"/>
              </w:rPr>
              <w:fldChar w:fldCharType="end"/>
            </w:r>
          </w:p>
        </w:tc>
        <w:tc>
          <w:tcPr>
            <w:tcW w:w="1130" w:type="dxa"/>
          </w:tcPr>
          <w:p w14:paraId="1F0CC81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2018</w:t>
            </w:r>
          </w:p>
        </w:tc>
        <w:tc>
          <w:tcPr>
            <w:tcW w:w="1337" w:type="dxa"/>
          </w:tcPr>
          <w:p w14:paraId="48645CE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Myanmar</w:t>
            </w:r>
          </w:p>
        </w:tc>
        <w:tc>
          <w:tcPr>
            <w:tcW w:w="1434" w:type="dxa"/>
          </w:tcPr>
          <w:p w14:paraId="4D4D58F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House officer</w:t>
            </w:r>
          </w:p>
        </w:tc>
        <w:tc>
          <w:tcPr>
            <w:tcW w:w="1106" w:type="dxa"/>
          </w:tcPr>
          <w:p w14:paraId="2B5A10E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3946873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21</w:t>
            </w:r>
          </w:p>
        </w:tc>
        <w:tc>
          <w:tcPr>
            <w:tcW w:w="1102" w:type="dxa"/>
          </w:tcPr>
          <w:p w14:paraId="61BD3B8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159</w:t>
            </w:r>
          </w:p>
        </w:tc>
        <w:tc>
          <w:tcPr>
            <w:tcW w:w="1086" w:type="dxa"/>
          </w:tcPr>
          <w:p w14:paraId="33A1133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456A094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FF2D7C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724C2E0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MBI</w:t>
            </w:r>
          </w:p>
        </w:tc>
        <w:tc>
          <w:tcPr>
            <w:tcW w:w="1500" w:type="dxa"/>
          </w:tcPr>
          <w:p w14:paraId="6F8F9D3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Satisfaction with Life Scale </w:t>
            </w:r>
          </w:p>
        </w:tc>
        <w:tc>
          <w:tcPr>
            <w:tcW w:w="1500" w:type="dxa"/>
          </w:tcPr>
          <w:p w14:paraId="738FF20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Copenhagen Psychosocial Questionnaire </w:t>
            </w:r>
          </w:p>
        </w:tc>
        <w:tc>
          <w:tcPr>
            <w:tcW w:w="1609" w:type="dxa"/>
          </w:tcPr>
          <w:p w14:paraId="744480F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Burnout, life satisfaction</w:t>
            </w:r>
          </w:p>
        </w:tc>
        <w:tc>
          <w:tcPr>
            <w:tcW w:w="1609" w:type="dxa"/>
          </w:tcPr>
          <w:p w14:paraId="03141A7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Support</w:t>
            </w:r>
          </w:p>
        </w:tc>
        <w:tc>
          <w:tcPr>
            <w:tcW w:w="1609" w:type="dxa"/>
          </w:tcPr>
          <w:p w14:paraId="3546EFA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D65105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2930EAA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1DE92E94"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365174CD"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Hannan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jpLc95sj","properties":{"formattedCitation":"(18)","plainCitation":"(18)","noteIndex":0},"citationItems":[{"id":3212,"uris":["http://zotero.org/users/4975241/items/Q32TFBCG"],"uri":["http://zotero.org/users/4975241/items/Q32TFBCG"],"itemData":{"id":3212,"type":"article-journal","abstract":"Background The transition from medical school to internship can be daunting for newly qualified doctors. High rates of stress and burnout have been reported, with negative impacts on patient care and physician wellbeing.","container-title":"Irish Journal of Medical Science (1971 -)","DOI":"10.1007/s11845-017-1688-7","ISSN":"0021-1265, 1863-4362","issue":"2","journalAbbreviation":"Ir J Med Sci","language":"en","page":"301-307","source":"DOI.org (Crossref)","title":"Burnout and stress amongst interns in Irish hospitals: contributing factors and potential solutions","title-short":"Burnout and stress amongst interns in Irish hospitals","volume":"187","author":[{"family":"Hannan","given":"E."},{"family":"Breslin","given":"N."},{"family":"Doherty","given":"E."},{"family":"McGreal","given":"M."},{"family":"Moneley","given":"D."},{"family":"Offiah","given":"G."}],"issued":{"date-parts":[["2018",5]]}}}],"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(18)</w:t>
            </w:r>
            <w:r>
              <w:rPr>
                <w:rFonts w:ascii="Calibri" w:hAnsi="Calibri" w:cs="Calibri"/>
                <w:color w:val="000000"/>
                <w:sz w:val="20"/>
                <w:szCs w:val="20"/>
              </w:rPr>
              <w:fldChar w:fldCharType="end"/>
            </w:r>
          </w:p>
        </w:tc>
        <w:tc>
          <w:tcPr>
            <w:tcW w:w="1130" w:type="dxa"/>
          </w:tcPr>
          <w:p w14:paraId="6DFAB24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2017</w:t>
            </w:r>
          </w:p>
        </w:tc>
        <w:tc>
          <w:tcPr>
            <w:tcW w:w="1337" w:type="dxa"/>
          </w:tcPr>
          <w:p w14:paraId="4595B3B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Ireland</w:t>
            </w:r>
          </w:p>
        </w:tc>
        <w:tc>
          <w:tcPr>
            <w:tcW w:w="1434" w:type="dxa"/>
          </w:tcPr>
          <w:p w14:paraId="1B1C6B9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2C58603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556FE81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w:t>
            </w:r>
          </w:p>
        </w:tc>
        <w:tc>
          <w:tcPr>
            <w:tcW w:w="1102" w:type="dxa"/>
          </w:tcPr>
          <w:p w14:paraId="4127601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101</w:t>
            </w:r>
          </w:p>
        </w:tc>
        <w:tc>
          <w:tcPr>
            <w:tcW w:w="1086" w:type="dxa"/>
          </w:tcPr>
          <w:p w14:paraId="1E9F4DB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6075581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0C273A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0EDBB81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MBI</w:t>
            </w:r>
          </w:p>
        </w:tc>
        <w:tc>
          <w:tcPr>
            <w:tcW w:w="1500" w:type="dxa"/>
          </w:tcPr>
          <w:p w14:paraId="1E313B5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General Health Questionnaire (GHQ-12)</w:t>
            </w:r>
          </w:p>
        </w:tc>
        <w:tc>
          <w:tcPr>
            <w:tcW w:w="1500" w:type="dxa"/>
          </w:tcPr>
          <w:p w14:paraId="61BD75C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C5C4DF3" w14:textId="7EF0E75C"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Burnout, </w:t>
            </w:r>
            <w:r w:rsidR="008D7CF8">
              <w:rPr>
                <w:rFonts w:ascii="Calibri" w:hAnsi="Calibri" w:cs="Calibri"/>
                <w:color w:val="000000"/>
                <w:sz w:val="20"/>
                <w:szCs w:val="20"/>
              </w:rPr>
              <w:t>psychological dis</w:t>
            </w:r>
            <w:r w:rsidR="008D7CF8" w:rsidRPr="00701766">
              <w:rPr>
                <w:rFonts w:ascii="Calibri" w:hAnsi="Calibri" w:cs="Calibri"/>
                <w:color w:val="000000"/>
                <w:sz w:val="20"/>
                <w:szCs w:val="20"/>
              </w:rPr>
              <w:t>tress</w:t>
            </w:r>
          </w:p>
        </w:tc>
        <w:tc>
          <w:tcPr>
            <w:tcW w:w="1609" w:type="dxa"/>
          </w:tcPr>
          <w:p w14:paraId="3C274A6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Support, preparedness, teamwork</w:t>
            </w:r>
          </w:p>
        </w:tc>
        <w:tc>
          <w:tcPr>
            <w:tcW w:w="1609" w:type="dxa"/>
          </w:tcPr>
          <w:p w14:paraId="4A5D42A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w:t>
            </w:r>
          </w:p>
        </w:tc>
        <w:tc>
          <w:tcPr>
            <w:tcW w:w="1609" w:type="dxa"/>
          </w:tcPr>
          <w:p w14:paraId="76D3E61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Face validity, construct validity</w:t>
            </w:r>
          </w:p>
        </w:tc>
        <w:tc>
          <w:tcPr>
            <w:tcW w:w="1609" w:type="dxa"/>
          </w:tcPr>
          <w:p w14:paraId="3A2E511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67DB8B93"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15ACB417"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Calcides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CU5A5COk","properties":{"formattedCitation":"(19)","plainCitation":"(19)","noteIndex":0},"citationItems":[{"id":3213,"uris":["http://zotero.org/users/4975241/items/9G2CQTE4"],"uri":["http://zotero.org/users/4975241/items/9G2CQTE4"],"itemData":{"id":3213,"type":"article-journal","abstract":"BACKGROUND: We intend to estimate the Burnout Syndrome prevalence and its associated factors among medical internship students at a public university in northeastern Brasil, besides investigating the Balint Group (BG) contribution in its prevention.\nMETHODS: We conducted a cross-sectional study in February/2018 with Medical Internship Students at the University researched. We applied a structured questionnaire developed by the authors about socio-demographic data, educational process with BG participation, and current psycho-emotional experiences, in addition to the Maslach Burnout Inventory – Student Survey (MBI-SS), for Burnout Syndrome screening. We performed descriptive data analysis, logistic regression, and cluster analysis.\nRESULTS: A total of 184 students (98%) participated in the study, with a mean age of 25.9±3.9 years, of which 54.9% were men. The prevalence of Burnout Syndrome was 10.3% based on the three-dimensional criterion and 35.9% on two-dimensional criterion (Exhaustion and Cynicism); it was higher in those who thought about quitting the program (OR=2.14), were dissatisfied with the teaching strategies (OR=2.67) and their performance (OR=2.64) and made use of licit drugs (OR=2.37). The variables associated with Burnout Syndrome allowed individuals to be discriminated, classifying them into three subgroups. Burnout Syndrome prevalence decreased, and vulnerability factors were attenuated when there was a higher frequency of students participating in BG.\nCONCLUSIONS: The prevalence of two-dimensional Burnout Syndrome was high, with factors associated with the educational process. Participation in BG was associated with a lower Burnout rate prevalence. Longitudinal studies should be conducted.","container-title":"Revista da Associação Médica Brasileira","DOI":"10.1590/1806-9282.65.11.1362","ISSN":"1806-9282, 0104-4230","issue":"11","journalAbbreviation":"Rev. Assoc. Med. Bras.","language":"en","page":"1362-1367","source":"DOI.org (Crossref)","title":"Burnout Syndrome in medical internship students and its prevention with Balint Group","volume":"65","author":[{"family":"Calcides","given":"Dâmaris Alejandra Paula"},{"family":"Didou","given":"Rayssa da Nóbrega"},{"family":"Melo","given":"Enaldo Vieira","dropping-particle":"de"},{"family":"Oliva-Costa","given":"Edméa Fontes","dropping-particle":"de"}],"issued":{"date-parts":[["2019",11]]}}}],"schema":"https://github.com/citation-style-language/schema/raw/master/csl-citation.json"}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(19)</w:t>
            </w:r>
            <w:r>
              <w:rPr>
                <w:rFonts w:ascii="Calibri" w:hAnsi="Calibri" w:cs="Calibri"/>
                <w:color w:val="000000"/>
                <w:sz w:val="20"/>
                <w:szCs w:val="20"/>
              </w:rPr>
              <w:fldChar w:fldCharType="end"/>
            </w:r>
          </w:p>
        </w:tc>
        <w:tc>
          <w:tcPr>
            <w:tcW w:w="1130" w:type="dxa"/>
          </w:tcPr>
          <w:p w14:paraId="1D85A56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2019</w:t>
            </w:r>
          </w:p>
        </w:tc>
        <w:tc>
          <w:tcPr>
            <w:tcW w:w="1337" w:type="dxa"/>
          </w:tcPr>
          <w:p w14:paraId="2B27527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Brazil</w:t>
            </w:r>
          </w:p>
        </w:tc>
        <w:tc>
          <w:tcPr>
            <w:tcW w:w="1434" w:type="dxa"/>
          </w:tcPr>
          <w:p w14:paraId="1E933DE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11B99F6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1924206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19FB28C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184</w:t>
            </w:r>
          </w:p>
        </w:tc>
        <w:tc>
          <w:tcPr>
            <w:tcW w:w="1086" w:type="dxa"/>
          </w:tcPr>
          <w:p w14:paraId="5357C6E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6975CA9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6E980F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270608A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MBI</w:t>
            </w:r>
          </w:p>
        </w:tc>
        <w:tc>
          <w:tcPr>
            <w:tcW w:w="1500" w:type="dxa"/>
          </w:tcPr>
          <w:p w14:paraId="2D85F47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70022E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B475E5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Burnout</w:t>
            </w:r>
          </w:p>
        </w:tc>
        <w:tc>
          <w:tcPr>
            <w:tcW w:w="1609" w:type="dxa"/>
          </w:tcPr>
          <w:p w14:paraId="6BFC184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13D789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E476C3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450EE7B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7FE3D9F7"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6C868687"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Li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f79UT58N","properties":{"formattedCitation":"(20)","plainCitation":"(20)","noteIndex":0},"citationItems":[{"id":3214,"uris":["http://zotero.org/users/4975241/items/79LNUEJP"],"uri":["http://zotero.org/users/4975241/items/79LNUEJP"],"itemData":{"id":3214,"type":"article-journal","abstract":"Background We examined the impact of changes in the psychosocial work environment on depressive symptoms in a sample of junior physicians, a high risk group for stress and mental disorders.\nMethods This is a three-wave prospective study in 417 junior physicians during their residency in German hospitals. The psychosocial work environment was measured by the Effort–Reward Imbalance (ERI) Questionnaire at Waves 1 and 2, and the depressive symptoms were assessed with the State-Trait Depression Scales at all three waves. Multivariate linear regression was applied for prospective associations between ERI across Waves 1 and 2, and baseline-adjusted depressive symptoms at Wave 3.\nResults Compared with the ERI scores at Wave 1, at Wave 2, and mean scores between the two waves, the baseline-adjusted ERI change scores between the two waves showed slightly better statistical power, predicting depressive symptoms at Wave 3 (b ¼ 0.78, 95% CI ¼ 0.38–1.18 for increased ERI per SD, b ¼ 0.64, 95% CI ¼ 0.22–1.06 for increased effort per SD, b ¼ À0.65, 95% CI ¼ À1.06 to À0.24 for increased reward per SD, and b ¼ 0.68, 95% CI ¼ 0.27–1.09 for increased overcommitment per SD).\nConclusions Negative changes in the psychosocial work environment, speciﬁcally increased ERI, are associated with depressive symptoms in German junior physicians. Reducing the non-reciprocity of working life, particularly improving reward at work, may have beneﬁcial effects on prevention of mental health problems in the hospital workplace. Am. J. Ind. Med. 56:1414–1422, 2013. ß 2013 Wiley Periodicals, Inc.","container-title":"American Journal of Industrial Medicine","DOI":"10.1002/ajim.22246","ISSN":"02713586","issue":"12","journalAbbreviation":"Am. J. Ind. Med.","language":"en","page":"1414-1422","source":"DOI.org (Crossref)","title":"Changes in psychosocial work environment and depressive symptoms: A prospective study in junior physicians: Changes in ERI and Depressive Symptoms","title-short":"Changes in psychosocial work environment and depressive symptoms","volume":"56","author":[{"family":"Li","given":"Jian"},{"family":"Weigl","given":"Matthias"},{"family":"Glaser","given":"Jürgen"},{"family":"Petru","given":"Raluca"},{"family":"Siegrist","given":"Johannes"},{"family":"Angerer","given":"Peter"}],"issued":{"date-parts":[["2013",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(20)</w:t>
            </w:r>
            <w:r>
              <w:rPr>
                <w:rFonts w:ascii="Calibri" w:hAnsi="Calibri" w:cs="Calibri"/>
                <w:color w:val="000000"/>
                <w:sz w:val="20"/>
                <w:szCs w:val="20"/>
              </w:rPr>
              <w:fldChar w:fldCharType="end"/>
            </w:r>
          </w:p>
        </w:tc>
        <w:tc>
          <w:tcPr>
            <w:tcW w:w="1130" w:type="dxa"/>
          </w:tcPr>
          <w:p w14:paraId="7FE3DA1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2013</w:t>
            </w:r>
          </w:p>
        </w:tc>
        <w:tc>
          <w:tcPr>
            <w:tcW w:w="1337" w:type="dxa"/>
          </w:tcPr>
          <w:p w14:paraId="633341C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Germany</w:t>
            </w:r>
          </w:p>
        </w:tc>
        <w:tc>
          <w:tcPr>
            <w:tcW w:w="1434" w:type="dxa"/>
          </w:tcPr>
          <w:p w14:paraId="406E845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6AD902A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2246DDB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13B384E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417</w:t>
            </w:r>
          </w:p>
        </w:tc>
        <w:tc>
          <w:tcPr>
            <w:tcW w:w="1086" w:type="dxa"/>
          </w:tcPr>
          <w:p w14:paraId="68FD5A5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5A7FBB0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138072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0D77B27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State-Trait Depression Scale</w:t>
            </w:r>
          </w:p>
        </w:tc>
        <w:tc>
          <w:tcPr>
            <w:tcW w:w="1500" w:type="dxa"/>
          </w:tcPr>
          <w:p w14:paraId="44077CB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Effort–Reward Imbalance (ERI) </w:t>
            </w:r>
          </w:p>
        </w:tc>
        <w:tc>
          <w:tcPr>
            <w:tcW w:w="1500" w:type="dxa"/>
          </w:tcPr>
          <w:p w14:paraId="6E4761D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382A47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Depression, stress</w:t>
            </w:r>
          </w:p>
        </w:tc>
        <w:tc>
          <w:tcPr>
            <w:tcW w:w="1609" w:type="dxa"/>
          </w:tcPr>
          <w:p w14:paraId="05EC5E3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7E66C6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DD93C6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51F0045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08256504"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632DE0CC"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Vinothkumar et al.</w:t>
            </w:r>
            <w:r>
              <w:rPr>
                <w:rFonts w:ascii="Calibri" w:hAnsi="Calibri" w:cs="Calibri"/>
                <w:color w:val="000000"/>
                <w:sz w:val="20"/>
                <w:szCs w:val="20"/>
              </w:rPr>
              <w:t xml:space="preserve">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1U8fqePk","properties":{"formattedCitation":"(21)","plainCitation":"(21)","noteIndex":0},"citationItems":[{"id":2979,"uris":["http://zotero.org/users/4975241/items/5EFNJ874"],"uri":["http://zotero.org/users/4975241/items/5EFNJ874"],"itemData":{"id":2979,"type":"article-journal","abstract":"Background: Past research studies on the exploration of attributes to the stress of doctors/medical interns were reported more often than the types of coping strategies, healthy practices to strengthen their internal resources to deal effectively with the stressful situations. Objectives: The present study was conducted to ﬁnd such internal resource – “mindfulness” as a mediator of coping, perceived stress, and job satisfaction among medical interns. Methods: A cross-sectional descriptive study comprised 120 medical interns forms from various medical colleges in Mangalore were recruited and completed the assessment on mindfulness, cognitive-emotive regulation, coping strategies, perceived stress, and job satisfaction from doctoral interns were collected. Results: Initial correlation analysis results indicate that adaptive coping strategies signiﬁcantly associate with greater mindfulness and less perceived stress. In turn, mindfulness is negatively correlated with nonadaptive coping strategies and perceived. Job satisfaction showed no signiﬁcant relationship with any of the other variables. Mediational models indicate that the relationship between adaptive coping strategies and perceived stress was signiﬁcantly mediated by mindfulness. Furthermore, partial mediation between nonadaptive strategies and perceived stress through mindfulness indicates that respondents reported a high level of nonadaptive strategy experience and a lower level of mindfulness can be counterproductive as they encourage the ineffective way to deal with the stresses. Conclusion: The implication of the results were discussed with suggesting a possible intervention to improve the adaptive strategies and mindfulness among the medical interns.","container-title":"Industrial Psychiatry Journal","DOI":"10.4103/ipj.ipj_98_14","ISSN":"0972-6748","issue":"2","journalAbbreviation":"Ind Psychiatry J","language":"en","page":"195","source":"DOI.org (Crossref)","title":"Coping, perceived stress, and job satisfaction among medical interns: The mediating effect of mindfulness","title-short":"Coping, perceived stress, and job satisfaction among medical interns","volume":"25","author":[{"family":"Vinothkumar","given":"M"},{"family":"Arathi","given":"A"},{"family":"Joseph","given":"Merin"},{"family":"Nayana","given":"Prasad"},{"family":"Jishma","given":"EJoshy"},{"family":"Sahana","given":"U"}],"issued":{"date-parts":[["2016"]]}}}],"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(21)</w:t>
            </w:r>
            <w:r>
              <w:rPr>
                <w:rFonts w:ascii="Calibri" w:hAnsi="Calibri" w:cs="Calibri"/>
                <w:color w:val="000000"/>
                <w:sz w:val="20"/>
                <w:szCs w:val="20"/>
              </w:rPr>
              <w:fldChar w:fldCharType="end"/>
            </w:r>
            <w:r w:rsidRPr="00701766">
              <w:rPr>
                <w:rFonts w:ascii="Calibri" w:hAnsi="Calibri" w:cs="Calibri"/>
                <w:color w:val="000000"/>
                <w:sz w:val="20"/>
                <w:szCs w:val="20"/>
              </w:rPr>
              <w:t xml:space="preserve">  </w:t>
            </w:r>
          </w:p>
        </w:tc>
        <w:tc>
          <w:tcPr>
            <w:tcW w:w="1130" w:type="dxa"/>
          </w:tcPr>
          <w:p w14:paraId="7215ECE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2016</w:t>
            </w:r>
          </w:p>
        </w:tc>
        <w:tc>
          <w:tcPr>
            <w:tcW w:w="1337" w:type="dxa"/>
          </w:tcPr>
          <w:p w14:paraId="4E2EC20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India</w:t>
            </w:r>
          </w:p>
        </w:tc>
        <w:tc>
          <w:tcPr>
            <w:tcW w:w="1434" w:type="dxa"/>
          </w:tcPr>
          <w:p w14:paraId="72D715B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4068A84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0A0D936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45DB97F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120</w:t>
            </w:r>
          </w:p>
        </w:tc>
        <w:tc>
          <w:tcPr>
            <w:tcW w:w="1086" w:type="dxa"/>
          </w:tcPr>
          <w:p w14:paraId="1461297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6E8041B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966365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713F833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Perceived stress scale</w:t>
            </w:r>
          </w:p>
        </w:tc>
        <w:tc>
          <w:tcPr>
            <w:tcW w:w="1500" w:type="dxa"/>
          </w:tcPr>
          <w:p w14:paraId="2C9AC0F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Occupational stress indicator-2</w:t>
            </w:r>
          </w:p>
        </w:tc>
        <w:tc>
          <w:tcPr>
            <w:tcW w:w="1500" w:type="dxa"/>
          </w:tcPr>
          <w:p w14:paraId="47EA46E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Job satisfaction scale</w:t>
            </w:r>
          </w:p>
        </w:tc>
        <w:tc>
          <w:tcPr>
            <w:tcW w:w="1609" w:type="dxa"/>
          </w:tcPr>
          <w:p w14:paraId="01AF177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job satisfaction</w:t>
            </w:r>
          </w:p>
        </w:tc>
        <w:tc>
          <w:tcPr>
            <w:tcW w:w="1609" w:type="dxa"/>
          </w:tcPr>
          <w:p w14:paraId="3522DF6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5E169B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3A115D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Not clear what type of validity</w:t>
            </w:r>
          </w:p>
        </w:tc>
        <w:tc>
          <w:tcPr>
            <w:tcW w:w="1609" w:type="dxa"/>
          </w:tcPr>
          <w:p w14:paraId="55CF2E0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33EE45B1"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DA0ECD9"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Talih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OZGc1yxm","properties":{"formattedCitation":"(22)","plainCitation":"(22)","noteIndex":0},"citationItems":[{"id":2980,"uris":["http://zotero.org/users/4975241/items/88F3T9RF"],"uri":["http://zotero.org/users/4975241/items/88F3T9RF"],"itemData":{"id":2980,"type":"article-journal","abstract":"Objectives This study aims to assess the prevalence of depressive symptoms, severity of burnout, and suicidal ideation among residents in a range of specialties and to identify factors that are associated with these symptoms.\nMethods A cross-sectional study was carried out at the American University of Beirut Medical Center between August and October 2013. In total, 118 out of 311 eligible residents responded. The survey included general sociodemographic questions and standardized validated tools to measure depressive symptomatology (PHQ-9), burnout (burnout measure), anxiety (GAD-7), alcohol use (AUDIT), and drug abuse (DAST-10).\nResults Overall, 22 % of the residents qualified for major depressive symptomatology. Stressful personal life events and burnout were significantly associated with depression. Drug abuse, but neither alcohol abuse nor anxiety, was associated with depression. Twenty-seven percent of the residents met criteria for burnout. Additionally, 13 % of residents had suicidal ideation, which was significantly associated with the severity of depression and not using mental health services.\nConclusions These findings increase awareness regarding the vulnerability of residents internationally. Addressing the mental health of residents is a pressing issue, and training programs need to actively address the psychological well-being of residents.","container-title":"Academic Psychiatry","DOI":"10.1007/s40596-015-0400-3","ISSN":"1042-9670, 1545-7230","issue":"1","journalAbbreviation":"Acad Psychiatry","language":"en","page":"38-45","source":"DOI.org (Crossref)","title":"Correlates of Depression and Burnout Among Residents in a Lebanese Academic Medical Center: a Cross-Sectional Study","title-short":"Correlates of Depression and Burnout Among Residents in a Lebanese Academic Medical Center","volume":"40","author":[{"family":"Talih","given":"Farid"},{"family":"Warakian","given":"Razmig"},{"family":"Ajaltouni","given":"Jean"},{"family":"Shehab","given":"Al Amira Safa"},{"family":"Tamim","given":"Hani"}],"issued":{"date-parts":[["2016",2]]}}}],"schema":"https://github.com/citation-style-language/schema/raw/master/csl-citation.json"}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(22)</w:t>
            </w:r>
            <w:r>
              <w:rPr>
                <w:rFonts w:ascii="Calibri" w:hAnsi="Calibri" w:cs="Calibri"/>
                <w:color w:val="000000"/>
                <w:sz w:val="20"/>
                <w:szCs w:val="20"/>
              </w:rPr>
              <w:fldChar w:fldCharType="end"/>
            </w:r>
          </w:p>
        </w:tc>
        <w:tc>
          <w:tcPr>
            <w:tcW w:w="1130" w:type="dxa"/>
          </w:tcPr>
          <w:p w14:paraId="41AB029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2015</w:t>
            </w:r>
          </w:p>
        </w:tc>
        <w:tc>
          <w:tcPr>
            <w:tcW w:w="1337" w:type="dxa"/>
          </w:tcPr>
          <w:p w14:paraId="589053A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Lebanon</w:t>
            </w:r>
          </w:p>
        </w:tc>
        <w:tc>
          <w:tcPr>
            <w:tcW w:w="1434" w:type="dxa"/>
          </w:tcPr>
          <w:p w14:paraId="33E6B30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346E8FD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10923BA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5508114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118</w:t>
            </w:r>
          </w:p>
        </w:tc>
        <w:tc>
          <w:tcPr>
            <w:tcW w:w="1086" w:type="dxa"/>
          </w:tcPr>
          <w:p w14:paraId="318B717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4D8C9D3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677857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5249160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PHQ-9</w:t>
            </w:r>
          </w:p>
        </w:tc>
        <w:tc>
          <w:tcPr>
            <w:tcW w:w="1500" w:type="dxa"/>
          </w:tcPr>
          <w:p w14:paraId="58DFE46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Burnout measure (BM)</w:t>
            </w:r>
          </w:p>
        </w:tc>
        <w:tc>
          <w:tcPr>
            <w:tcW w:w="1500" w:type="dxa"/>
          </w:tcPr>
          <w:p w14:paraId="204A7B5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Generalized anxiety disorder-7 (GAD-7)</w:t>
            </w:r>
          </w:p>
        </w:tc>
        <w:tc>
          <w:tcPr>
            <w:tcW w:w="1609" w:type="dxa"/>
          </w:tcPr>
          <w:p w14:paraId="646B9C3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Burnout, stress, depression </w:t>
            </w:r>
          </w:p>
        </w:tc>
        <w:tc>
          <w:tcPr>
            <w:tcW w:w="1609" w:type="dxa"/>
          </w:tcPr>
          <w:p w14:paraId="0F54C65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24ADC9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CFC670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0A09C59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751835CF"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56F4593D"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Carr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Ib8w85Bs","properties":{"formattedCitation":"(23)","plainCitation":"(23)","noteIndex":0},"citationItems":[{"id":2981,"uris":["http://zotero.org/users/4975241/items/48ZDU2B2"],"uri":["http://zotero.org/users/4975241/items/48ZDU2B2"],"itemData":{"id":2981,"type":"article-journal","abstract":"Introduction: Preparing graduates for the role of the junior doctor is the aim of all medical schools. There has been limited published description of junior doctor performance in the workplace within Australia.\nMethods: This cohort study describes junior doctors’ performance in the first postgraduate year, the influence of gender, rotation type and amount of experience and explores the feedback process used for junior doctors across a two year period.\nResults: Participants obtained lower scores for performing procedures, managing emergencies and adverse event identification and highest scores for interpersonal skills, teamwork, written communication and professional behavior. There were no observed effects of the amount of experience but, were effects of the discipline in which the rotation occurred. Five juniors doctors, two female and three male, were classified as having overall borderline performance, 2.5% of the respondents. These findings were supported by content analysis of the written feedback. While feedback was documented in 94% of occasions, this was not given to the junior doctor 25% of the time.\nConclusions: The findings in this study support the claim that the tools and processes being used to monitor and assess junior doctor performance could be better. The Australian medical board appears to be looking for an assessment process that will both discriminate the poorly performing doctor and provide educational guidance for the training organization. These two intents of the assessment may be in opposition to each other.","container-title":"Medical Teacher","DOI":"10.3109/0142159X.2014.918255","ISSN":"0142-159X, 1466-187X","issue":"11","journalAbbreviation":"Medical Teacher","language":"en","page":"983-990","source":"DOI.org (Crossref)","title":"Descriptive analysis of junior doctor assessment in the first postgraduate year","volume":"36","author":[{"family":"Carr","given":"Sandra E."},{"family":"Celenza","given":"Tony"},{"family":"Lake","given":"Fiona R."}],"issued":{"date-parts":[["2014",11]]}}}],"schema":"https://github.com/citation-style-language/schema/raw/master/csl-citation.json"}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(23)</w:t>
            </w:r>
            <w:r>
              <w:rPr>
                <w:rFonts w:ascii="Calibri" w:hAnsi="Calibri" w:cs="Calibri"/>
                <w:color w:val="000000"/>
                <w:sz w:val="20"/>
                <w:szCs w:val="20"/>
              </w:rPr>
              <w:fldChar w:fldCharType="end"/>
            </w:r>
          </w:p>
        </w:tc>
        <w:tc>
          <w:tcPr>
            <w:tcW w:w="1130" w:type="dxa"/>
          </w:tcPr>
          <w:p w14:paraId="77104D0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2014</w:t>
            </w:r>
          </w:p>
        </w:tc>
        <w:tc>
          <w:tcPr>
            <w:tcW w:w="1337" w:type="dxa"/>
          </w:tcPr>
          <w:p w14:paraId="4767030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Australia</w:t>
            </w:r>
          </w:p>
        </w:tc>
        <w:tc>
          <w:tcPr>
            <w:tcW w:w="1434" w:type="dxa"/>
          </w:tcPr>
          <w:p w14:paraId="55EBA0C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Junior doctor (PGY1)</w:t>
            </w:r>
          </w:p>
        </w:tc>
        <w:tc>
          <w:tcPr>
            <w:tcW w:w="1106" w:type="dxa"/>
          </w:tcPr>
          <w:p w14:paraId="4B838A1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105697F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651083E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237</w:t>
            </w:r>
          </w:p>
        </w:tc>
        <w:tc>
          <w:tcPr>
            <w:tcW w:w="1086" w:type="dxa"/>
          </w:tcPr>
          <w:p w14:paraId="45A0C5A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43CA785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Supervisor rated</w:t>
            </w:r>
          </w:p>
        </w:tc>
        <w:tc>
          <w:tcPr>
            <w:tcW w:w="1757" w:type="dxa"/>
          </w:tcPr>
          <w:p w14:paraId="4978A7E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34CE4F7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Junior Doctor Assessment Tool </w:t>
            </w:r>
          </w:p>
        </w:tc>
        <w:tc>
          <w:tcPr>
            <w:tcW w:w="1500" w:type="dxa"/>
          </w:tcPr>
          <w:p w14:paraId="69CC50F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E4A01E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838827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AF0FC6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Communication, professionalism, teamwork</w:t>
            </w:r>
          </w:p>
        </w:tc>
        <w:tc>
          <w:tcPr>
            <w:tcW w:w="1609" w:type="dxa"/>
          </w:tcPr>
          <w:p w14:paraId="5A0EA1C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E60296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4A21286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4325DE4A"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3CD53518"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Roff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ivWjqDba","properties":{"formattedCitation":"(24)","plainCitation":"(24)","noteIndex":0},"citationItems":[{"id":2982,"uris":["http://zotero.org/users/4975241/items/2HBTZZRW"],"uri":["http://zotero.org/users/4975241/items/2HBTZZRW"],"itemData":{"id":2982,"type":"article-journal","abstract":"This paper describes the development and validation of a 40-item inventory, the Postgraduate Hospital Educational Environment Measure (PHEEM), by researchers in Scotland and the West Midlands using a combination of grounded theory and Delphi process. The instrument has since returned an alpha reliability &gt;0.91 in two administrations in England and may be a useful instrument in the quality assurance process for postgraduate medical education and training.","container-title":"Medical Teacher","DOI":"10.1080/01421590500150874","ISSN":"0142-159X, 1466-187X","issue":"4","journalAbbreviation":"Medical Teacher","language":"en","page":"326-331","source":"DOI.org (Crossref)","title":"Development and validation of an instrument to measure the postgraduate clinical learning and teaching educational environment for hospital-based junior doctors in the UK","volume":"27","author":[{"family":"Roff","given":"S."},{"family":"McAleer","given":"S."},{"family":"Skinner","given":"A."}],"issued":{"date-parts":[["2005",6]]}}}],"schema":"https://github.com/citation-style-language/schema/raw/master/csl-citation.json"}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(24)</w:t>
            </w:r>
            <w:r>
              <w:rPr>
                <w:rFonts w:ascii="Calibri" w:hAnsi="Calibri" w:cs="Calibri"/>
                <w:color w:val="000000"/>
                <w:sz w:val="20"/>
                <w:szCs w:val="20"/>
              </w:rPr>
              <w:fldChar w:fldCharType="end"/>
            </w:r>
          </w:p>
        </w:tc>
        <w:tc>
          <w:tcPr>
            <w:tcW w:w="1130" w:type="dxa"/>
          </w:tcPr>
          <w:p w14:paraId="5A62ACF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2005</w:t>
            </w:r>
          </w:p>
        </w:tc>
        <w:tc>
          <w:tcPr>
            <w:tcW w:w="1337" w:type="dxa"/>
          </w:tcPr>
          <w:p w14:paraId="1692520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0660B4C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4703E38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7B3D66F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88</w:t>
            </w:r>
          </w:p>
        </w:tc>
        <w:tc>
          <w:tcPr>
            <w:tcW w:w="1102" w:type="dxa"/>
          </w:tcPr>
          <w:p w14:paraId="7DA4349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109</w:t>
            </w:r>
          </w:p>
        </w:tc>
        <w:tc>
          <w:tcPr>
            <w:tcW w:w="1086" w:type="dxa"/>
          </w:tcPr>
          <w:p w14:paraId="1F83B3C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1A9457B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7F60EC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45A2A9F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PHEEM</w:t>
            </w:r>
          </w:p>
        </w:tc>
        <w:tc>
          <w:tcPr>
            <w:tcW w:w="1500" w:type="dxa"/>
          </w:tcPr>
          <w:p w14:paraId="0C5F13E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68ADD4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857E9A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FAA6A2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Educational environment, supervision, induction, communication, feedback, career development, teamwork, teaching, support</w:t>
            </w:r>
          </w:p>
        </w:tc>
        <w:tc>
          <w:tcPr>
            <w:tcW w:w="1609" w:type="dxa"/>
          </w:tcPr>
          <w:p w14:paraId="37B6470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 harassment, safety, bullying, food and accommodation</w:t>
            </w:r>
          </w:p>
        </w:tc>
        <w:tc>
          <w:tcPr>
            <w:tcW w:w="1609" w:type="dxa"/>
          </w:tcPr>
          <w:p w14:paraId="66CEFB7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Face validity</w:t>
            </w:r>
          </w:p>
        </w:tc>
        <w:tc>
          <w:tcPr>
            <w:tcW w:w="1609" w:type="dxa"/>
          </w:tcPr>
          <w:p w14:paraId="2D91884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26023587"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1ECD9633"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Robson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ADjzL3cw","properties":{"formattedCitation":"(25)","plainCitation":"(25)","noteIndex":0},"citationItems":[{"id":2983,"uris":["http://zotero.org/users/4975241/items/J8H7IFZF"],"uri":["http://zotero.org/users/4975241/items/J8H7IFZF"],"itemData":{"id":2983,"type":"article-journal","abstract":"Background Making healthcare safer is an international priority. Patient safety modules are now taught in medical schools, and methods to assess related student knowledge and attitudes have been developed. However, little is known about the attitudes and knowledge which foundation doctors are developing to patient safety and incident reporting in the healthcare workplace, since a speciﬁc assessment tool appears to be lacking. Aims To develop, content validate and pilot test an online questionnaire survey to elicit foundation doctors’ knowledge and experience of patient safety and incident reporting, and assess related attitudes and behaviours.\nMethods Questionnaire content validity was facilitated through: a steering group; literature review; feedback from foundation year doctors and consultant staff; a modiﬁed Delphi group; and completion of a content validity index by experts. In 2010 a cross-sectional online survey of 110 foundation year 1 and 2 doctors was then undertaken in three Scottish NHS board areas, utilising the developed 25 item questionnaire.\nResults The questionnaire was validated, and piloted among 69 foundation year doctors who responded to the questionnaire. The pilot has provided valuable insights into trainee attitudes and experience. For example, 32 (48%) believed that most safety incidents were due to things that they could not do anything about; and 31 (43%) admitted to being involved in medication errors which were not formally reported.\nConclusions The pilot study was successful in taking the ﬁrst steps to developing a validated survey questionnaire for a key staff group, foundation year doctors, in a priority area. However, the ﬁndings raise concerns about trainee experience of and attitudes to reporting, and the frequency with which incidents go unreported.","container-title":"Postgraduate Medical Journal","DOI":"10.1136/pgmj.2011.117366","ISSN":"0032-5473","issue":"1033","journalAbbreviation":"Postgraduate Medical Journal","language":"en","page":"750-756","source":"DOI.org (Crossref)","title":"Do we know what foundation year doctors think about patient safety incident reporting? Development of a web based tool to assess attitude and knowledge","title-short":"Do we know what foundation year doctors think about patient safety incident reporting?","volume":"87","author":[{"family":"Robson","given":"J."},{"family":"Wet","given":"C.","non-dropping-particle":"de"},{"family":"McKay","given":"J."},{"family":"Bowie","given":"P."}],"issued":{"date-parts":[["2011",11,1]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(25)</w:t>
            </w:r>
            <w:r>
              <w:rPr>
                <w:rFonts w:ascii="Calibri" w:hAnsi="Calibri" w:cs="Calibri"/>
                <w:color w:val="000000"/>
                <w:sz w:val="20"/>
                <w:szCs w:val="20"/>
              </w:rPr>
              <w:fldChar w:fldCharType="end"/>
            </w:r>
          </w:p>
        </w:tc>
        <w:tc>
          <w:tcPr>
            <w:tcW w:w="1130" w:type="dxa"/>
          </w:tcPr>
          <w:p w14:paraId="5007E9C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2011</w:t>
            </w:r>
          </w:p>
        </w:tc>
        <w:tc>
          <w:tcPr>
            <w:tcW w:w="1337" w:type="dxa"/>
          </w:tcPr>
          <w:p w14:paraId="5AA093E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5D5683C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5B0AE72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4C5285E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w:t>
            </w:r>
          </w:p>
        </w:tc>
        <w:tc>
          <w:tcPr>
            <w:tcW w:w="1102" w:type="dxa"/>
          </w:tcPr>
          <w:p w14:paraId="14E8CF3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69</w:t>
            </w:r>
          </w:p>
        </w:tc>
        <w:tc>
          <w:tcPr>
            <w:tcW w:w="1086" w:type="dxa"/>
          </w:tcPr>
          <w:p w14:paraId="4262E71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67495E2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4AF2DA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4F7848A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488CDD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F4EA04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666B8F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DD22C3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2F780C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Safety</w:t>
            </w:r>
          </w:p>
        </w:tc>
        <w:tc>
          <w:tcPr>
            <w:tcW w:w="1609" w:type="dxa"/>
          </w:tcPr>
          <w:p w14:paraId="3C13B4E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Content validity, construct validity</w:t>
            </w:r>
          </w:p>
        </w:tc>
        <w:tc>
          <w:tcPr>
            <w:tcW w:w="1609" w:type="dxa"/>
          </w:tcPr>
          <w:p w14:paraId="5B1093C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4EB1A4B4"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3DCC35AA"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Goldacre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NeoO2dH3","properties":{"formattedCitation":"(26)","plainCitation":"(26)","noteIndex":0},"citationItems":[{"id":2984,"uris":["http://zotero.org/users/4975241/items/DCEHAHMU"],"uri":["http://zotero.org/users/4975241/items/DCEHAHMU"],"itemData":{"id":2984,"type":"article-journal","abstract":"Objective The ﬁrst year of postgraduate work for newly qualiﬁed doctors in the UK, the pre-registration year, is spent working intensively in training posts under supervision. Our aim was to report the views of preregistration doctors on these posts. Design Questionnaire survey. Subjects All medical graduates of 1999 and a 25% sample of graduates of 2000 from all UK medical schools. Main outcome measures Doctors’ views on the preregistration house ofﬁcer (PRHO) year, recorded as ratings in answers to questions and statements about the year. Results In reply to the question ÔHow much have you enjoyed the PRHO year overall?Õ, rated on a scale from 0)10 (0 ¼ no enjoyment; 10 ¼ enjoyed it greatly), 44% of respondents (1341 ⁄ 3068) gave scores of 8–10; in all, 83Æ2% of respondents gave scores in the upper half of the scale (‡6). However, there were criticisms of speciﬁc aspects of working conditions. Only a third agreed that their training during the year had been of a high standard. Posts in medicine were rated more highly than those in surgery for quality of training. Differences in views held by women and men junior doctors were few. However, where differences existed, women were slightly more positive about their work than men. Conclusion Most graduates enjoyed the pre-registration year but there is still considerable scope for improvement in working conditions and training. Men and women gave similar responses, which suggests that later divergence in their career pathways is not attributable to different views formed about work in their preregistration year.","container-title":"Medical Education","DOI":"10.1046/j.1365-2923.2003.01611.x","ISSN":"0308-0110, 1365-2923","issue":"9","journalAbbreviation":"Med Educ","language":"en","page":"802-808","source":"DOI.org (Crossref)","title":"Doctors' views of their first year of medical work and postgraduate training in the UK: questionnaire surveys","title-short":"Doctors' views of their first year of medical work and postgraduate training in the UK","volume":"37","author":[{"family":"Goldacre","given":"Michael J"},{"family":"Davidson","given":"Jean M"},{"family":"Lambert","given":"Trevor W"}],"issued":{"date-parts":[["2003",9]]}}}],"schema":"https://github.com/citation-style-language/schema/raw/master/csl-citation.json"}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(26)</w:t>
            </w:r>
            <w:r>
              <w:rPr>
                <w:rFonts w:ascii="Calibri" w:hAnsi="Calibri" w:cs="Calibri"/>
                <w:color w:val="000000"/>
                <w:sz w:val="20"/>
                <w:szCs w:val="20"/>
              </w:rPr>
              <w:fldChar w:fldCharType="end"/>
            </w:r>
          </w:p>
        </w:tc>
        <w:tc>
          <w:tcPr>
            <w:tcW w:w="1130" w:type="dxa"/>
          </w:tcPr>
          <w:p w14:paraId="5E33886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2003</w:t>
            </w:r>
          </w:p>
        </w:tc>
        <w:tc>
          <w:tcPr>
            <w:tcW w:w="1337" w:type="dxa"/>
          </w:tcPr>
          <w:p w14:paraId="7A03F85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055AC1D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05CA99B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4876CD3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10AB1CA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3074</w:t>
            </w:r>
          </w:p>
        </w:tc>
        <w:tc>
          <w:tcPr>
            <w:tcW w:w="1086" w:type="dxa"/>
          </w:tcPr>
          <w:p w14:paraId="0F78226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0ECD293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FB3856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55120A3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01E268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FB83D3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A1147B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Job satisfaction</w:t>
            </w:r>
          </w:p>
        </w:tc>
        <w:tc>
          <w:tcPr>
            <w:tcW w:w="1609" w:type="dxa"/>
          </w:tcPr>
          <w:p w14:paraId="73F8FE0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Support, handoff, induction, supervision, teaching, feedback</w:t>
            </w:r>
          </w:p>
        </w:tc>
        <w:tc>
          <w:tcPr>
            <w:tcW w:w="1609" w:type="dxa"/>
          </w:tcPr>
          <w:p w14:paraId="323789B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 food and accommodation</w:t>
            </w:r>
          </w:p>
        </w:tc>
        <w:tc>
          <w:tcPr>
            <w:tcW w:w="1609" w:type="dxa"/>
          </w:tcPr>
          <w:p w14:paraId="17AA626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7E8EFDF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D24E1B9"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10085B3F"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Bleakley</w:t>
            </w:r>
            <w:r>
              <w:rPr>
                <w:rFonts w:ascii="Calibri" w:hAnsi="Calibri" w:cs="Calibri"/>
                <w:color w:val="000000"/>
                <w:sz w:val="20"/>
                <w:szCs w:val="20"/>
              </w:rPr>
              <w:t xml:space="preserve"> &amp; Brennan</w:t>
            </w:r>
            <w:r w:rsidRPr="00701766">
              <w:rPr>
                <w:rFonts w:ascii="Calibri" w:hAnsi="Calibri" w:cs="Calibri"/>
                <w:color w:val="000000"/>
                <w:sz w:val="20"/>
                <w:szCs w:val="20"/>
              </w:rPr>
              <w:t xml:space="preserve">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eTUGDD3G","properties":{"formattedCitation":"(27)","plainCitation":"(27)","noteIndex":0},"citationItems":[{"id":2985,"uris":["http://zotero.org/users/4975241/items/RHISIDLV"],"uri":["http://zotero.org/users/4975241/items/RHISIDLV"],"itemData":{"id":2985,"type":"article-journal","abstract":"Background: Undergraduate medicine curricula can be designed to enable smoother transition to work as a junior doctor. Evaluations should improve curriculum design. Aim: To compare a graduate cohort from one medical school with a cohort from other medical schools in the same Foundation Year 1 (FY1) programme in terms of retrospective perceptions of readiness for practice.\nMethod: A Likert-scale questionnaire measured self-perception of readiness to practice, including general capabilities and specific clinical skills.\nResults: Response rate was 74% (n ¼ 146). The Peninsula Medical School cohort reported readiness for practice at a significantly higher level than the comparison cohort in 14 out of 58 items (24%), particularly for ‘coping with uncertainty’. In only one item (2%) does the comparison cohort report at a significantly higher level.\nConclusions: Significant differences between cohorts may be explained by undergraduate curriculum design, where the opportunity for early, structured work-based, experiential learning as students, with patient contact at the core of the experience, may promote smoother transition to work as a junior doctor. Evaluation informs continuous quality improvement of the curriculum.","container-title":"Medical Teacher","DOI":"10.3109/0142159X.2010.540267","ISSN":"0142-159X, 1466-187X","issue":"6","journalAbbreviation":"Medical Teacher","language":"en","page":"459-467","source":"DOI.org (Crossref)","title":"Does undergraduate curriculum design make a difference to readiness to practice as a junior doctor?","volume":"33","author":[{"family":"Bleakley","given":"Alan"},{"family":"Brennan","given":"Nicola"}],"issued":{"date-parts":[["2011",6]]}}}],"schema":"https://github.com/citation-style-language/schema/raw/master/csl-citation.json"}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(27)</w:t>
            </w:r>
            <w:r>
              <w:rPr>
                <w:rFonts w:ascii="Calibri" w:hAnsi="Calibri" w:cs="Calibri"/>
                <w:color w:val="000000"/>
                <w:sz w:val="20"/>
                <w:szCs w:val="20"/>
              </w:rPr>
              <w:fldChar w:fldCharType="end"/>
            </w:r>
          </w:p>
        </w:tc>
        <w:tc>
          <w:tcPr>
            <w:tcW w:w="1130" w:type="dxa"/>
          </w:tcPr>
          <w:p w14:paraId="2BA128C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2011</w:t>
            </w:r>
          </w:p>
        </w:tc>
        <w:tc>
          <w:tcPr>
            <w:tcW w:w="1337" w:type="dxa"/>
          </w:tcPr>
          <w:p w14:paraId="60A6FAB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00EC375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0112B7D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4623099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4933FFC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146</w:t>
            </w:r>
          </w:p>
        </w:tc>
        <w:tc>
          <w:tcPr>
            <w:tcW w:w="1086" w:type="dxa"/>
          </w:tcPr>
          <w:p w14:paraId="6AE8EBB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 and paper</w:t>
            </w:r>
          </w:p>
        </w:tc>
        <w:tc>
          <w:tcPr>
            <w:tcW w:w="1375" w:type="dxa"/>
          </w:tcPr>
          <w:p w14:paraId="04A84EB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7E1480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28961F0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Modified Manchester questionnaire</w:t>
            </w:r>
          </w:p>
        </w:tc>
        <w:tc>
          <w:tcPr>
            <w:tcW w:w="1500" w:type="dxa"/>
          </w:tcPr>
          <w:p w14:paraId="2231E0A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E8469F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8E1256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063EA8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w:t>
            </w:r>
          </w:p>
        </w:tc>
        <w:tc>
          <w:tcPr>
            <w:tcW w:w="1609" w:type="dxa"/>
          </w:tcPr>
          <w:p w14:paraId="342A2E2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138EBC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0FB9FCD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C04647E"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3AF46374"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Linklater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21Vy5kh6","properties":{"formattedCitation":"(28)","plainCitation":"(28)","noteIndex":0},"citationItems":[{"id":2989,"uris":["http://zotero.org/users/4975241/items/S85PJI5B"],"uri":["http://zotero.org/users/4975241/items/S85PJI5B"],"itemData":{"id":2989,"type":"article-journal","abstract":"The aim of this study was to identify the educational needs of year one North of Scotland foundation doctors caring for dying patients. A postal questionnaire approach was used. The results from the questionnaire (79/132 respondents) confirmed that year one foundation doctors are frequently exposed to patient death, with 61% finding their most memorable patient death to be emotionally distressing. A quarter (26%) of respondents had recent experience of significant personal bereavement. Communicating with patients and relatives at the end of life, concerns about overtreatment and lack of senior support were highlighted as particularly difficult issues. Educational needs of the foundation doctors were identified, emphasising the importance of emotional, analytical and personal competencies.","container-title":"The Journal of the Royal College of Physicians of Edinburgh","DOI":"10.4997/JRCPE.2010.104","ISSN":"14782715","issue":"1","journalAbbreviation":"JRCPE","language":"en","page":"13-18","source":"DOI.org (Crossref)","title":"Educational needs of foundation doctors caring for dying patients","volume":"40","author":[{"family":"Linklater","given":"Gt"}],"issued":{"date-parts":[["2010",3,15]]}}}],"schema":"https://github.com/citation-style-language/schema/raw/master/csl-citation.json"}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(28)</w:t>
            </w:r>
            <w:r>
              <w:rPr>
                <w:rFonts w:ascii="Calibri" w:hAnsi="Calibri" w:cs="Calibri"/>
                <w:color w:val="000000"/>
                <w:sz w:val="20"/>
                <w:szCs w:val="20"/>
              </w:rPr>
              <w:fldChar w:fldCharType="end"/>
            </w:r>
          </w:p>
        </w:tc>
        <w:tc>
          <w:tcPr>
            <w:tcW w:w="1130" w:type="dxa"/>
          </w:tcPr>
          <w:p w14:paraId="4C982CA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2010</w:t>
            </w:r>
          </w:p>
        </w:tc>
        <w:tc>
          <w:tcPr>
            <w:tcW w:w="1337" w:type="dxa"/>
          </w:tcPr>
          <w:p w14:paraId="04F723B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1822242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70D1017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1D323F9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2BBF875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74</w:t>
            </w:r>
          </w:p>
        </w:tc>
        <w:tc>
          <w:tcPr>
            <w:tcW w:w="1086" w:type="dxa"/>
          </w:tcPr>
          <w:p w14:paraId="6DB6C5A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17C97D5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7DA858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0541E08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B4FED1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446845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04FA4F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A77994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Support, preparedness</w:t>
            </w:r>
          </w:p>
        </w:tc>
        <w:tc>
          <w:tcPr>
            <w:tcW w:w="1609" w:type="dxa"/>
          </w:tcPr>
          <w:p w14:paraId="593F151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418583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14FDE9F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24586C15"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7F901A79"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Mohammadi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HD2j2hYC","properties":{"formattedCitation":"(29)","plainCitation":"(29)","noteIndex":0},"citationItems":[{"id":3296,"uris":["http://zotero.org/users/4975241/items/W65SZPID"],"uri":["http://zotero.org/users/4975241/items/W65SZPID"],"itemData":{"id":3296,"type":"article-journal","abstract":"BACKGROUND: Simulation is one of the strategies which are suggested and used to reduce stress and anxiety in clinical student education. This study aimed to determine the effect of simulation-based training method on psychological health promotion in operating room students in their educational internships.\nMATERIALS AND METHODS: This study was a clinical trial. Research population was operating room students at Semnan University of Medical Sciences. A demographic questionnaire and the Spielberger's Situational Anxiety Inventory were used as data collection tools. Students were divided into two intervention and control groups randomly. Situational anxiety was measured before the intervention and on the 1st and the last days of the internship. The data from the two groups were compared by using the Mann-Whitney and Friedman statistics at the significant level of 0.05.\nRESULTS: There was a significant difference between students' situational anxiety scores in the experimental and control groups on the 1st day of internship after education by simulation (P = 0.481). There was a significant difference between the students' anxiety scores in the two groups on the last day of the internship (P = 0.008).\nCONCLUSION: Simulation of the operating room environment before the internship cannot reduce the operating room students' situational anxiety on the 1st day of internship, but it can reduce their situational anxiety during the internship and significantly reduce it at the end of internship compared to those who are not in the simulated environment.","container-title":"Journal of Education and Health Promotion","DOI":"10.4103/jehp.jehp_106_19","ISSN":"2277-9531","journalAbbreviation":"J Educ Health Promot","language":"eng","note":"PMID: 31867357\nPMCID: PMC6796314","page":"172","source":"PubMed","title":"Effect of simulation-based training method on the psychological health promotion in operating room students during the educational internship","volume":"8","author":[{"family":"Mohammadi","given":"Gholamreza"},{"family":"Tourdeh","given":"Maedeh"},{"family":"Ebrahimian","given":"Abbasali"}],"issued":{"date-parts":[["2019"]]}}}],"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(29)</w:t>
            </w:r>
            <w:r>
              <w:rPr>
                <w:rFonts w:ascii="Calibri" w:hAnsi="Calibri" w:cs="Calibri"/>
                <w:color w:val="000000"/>
                <w:sz w:val="20"/>
                <w:szCs w:val="20"/>
              </w:rPr>
              <w:fldChar w:fldCharType="end"/>
            </w:r>
          </w:p>
        </w:tc>
        <w:tc>
          <w:tcPr>
            <w:tcW w:w="1130" w:type="dxa"/>
          </w:tcPr>
          <w:p w14:paraId="565498F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2019</w:t>
            </w:r>
          </w:p>
        </w:tc>
        <w:tc>
          <w:tcPr>
            <w:tcW w:w="1337" w:type="dxa"/>
          </w:tcPr>
          <w:p w14:paraId="067CB25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Iran</w:t>
            </w:r>
          </w:p>
        </w:tc>
        <w:tc>
          <w:tcPr>
            <w:tcW w:w="1434" w:type="dxa"/>
          </w:tcPr>
          <w:p w14:paraId="78D37EE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64B99F4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401FEB1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2389AC3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17</w:t>
            </w:r>
          </w:p>
        </w:tc>
        <w:tc>
          <w:tcPr>
            <w:tcW w:w="1086" w:type="dxa"/>
          </w:tcPr>
          <w:p w14:paraId="73A086E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7065473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86981B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02A20BA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Spielberger's Situational Anxiety Inventory</w:t>
            </w:r>
          </w:p>
        </w:tc>
        <w:tc>
          <w:tcPr>
            <w:tcW w:w="1500" w:type="dxa"/>
          </w:tcPr>
          <w:p w14:paraId="1DA57B6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07BFCA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F997D0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Anxiety</w:t>
            </w:r>
          </w:p>
        </w:tc>
        <w:tc>
          <w:tcPr>
            <w:tcW w:w="1609" w:type="dxa"/>
          </w:tcPr>
          <w:p w14:paraId="1E5E128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9FA1D4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B425B9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2BC0F3D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68FB3D46"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6F3732B3"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Kalmbach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QQeX4UGo","properties":{"formattedCitation":"(30)","plainCitation":"(30)","noteIndex":0},"citationItems":[{"id":3008,"uris":["http://zotero.org/users/4975241/items/AYZ6A4GV"],"uri":["http://zotero.org/users/4975241/items/AYZ6A4GV"],"itemData":{"id":3008,"type":"article-journal","abstract":"BACKGROUND: Although short sleep, shift work, and physical inactivity are endemic to residency, a lack of objective, real-time information has limited our understanding of how these problems impact physician mental health.\nOBJECTIVE: To understand how the residency experience affects sleep, physical activity, and mood, and to understand the directional relationships among these variables. DESIGN: A prospective longitudinal study. SUBJECTS: Thirty-three first-year residents (interns) provided data from 2 months pre-internship through the first 6 months of internship. MAIN MEASURES: Objective real-time assessment of daily sleep and physical activity was assessed through accelerometry-based wearable devices. Mood scaled from 1 to 10 was recorded daily using SMS technology. Average compliance rates prior to internship for mood, sleep, and physical activity were 77.4, 80.2, and 93.7%, and were 78.8, 53.0, and 79.9% during internship. KEY RESULTS: After beginning residency, interns lost an average of 2 h and 48 min of sleep per week (t = − 3.04, p &lt; .01). Mood and physical activity decreased by 7.5% (t = − 3.67, p &lt; .01) and 11.5% (t = − 3.15, p &lt; .01), respectively. A bidirectional relationship emerged between sleep and mood during internship wherein short sleep augured worse mood the next day (b = .12, p &lt; .001), which, in turn, presaged shorter sleep the next night (b = .06, p = .03). Importantly, the effect of short sleep on mood was twice as large as mood’s effect on sleep. Lastly, substantial shifts in sleep timing during internship (sleeping </w:instrText>
            </w:r>
            <w:r>
              <w:rPr>
                <w:rFonts w:ascii="Calibri" w:hAnsi="Calibri" w:cs="Calibri" w:hint="eastAsia"/>
                <w:color w:val="000000"/>
                <w:sz w:val="20"/>
                <w:szCs w:val="20"/>
              </w:rPr>
              <w:instrText>≥</w:instrText>
            </w:r>
            <w:r>
              <w:rPr>
                <w:rFonts w:ascii="Calibri" w:hAnsi="Calibri" w:cs="Calibri"/>
                <w:color w:val="000000"/>
                <w:sz w:val="20"/>
                <w:szCs w:val="20"/>
              </w:rPr>
              <w:instrText xml:space="preserve"> 3 h earlier or later than pre-internship patterns) led to shorter sleep (earlier: b = − .36, p &lt; .01; later: b = − 1.75, p &lt; .001) and poorer mood (earlier: b = − .41, p &lt; .001; later: b = − .41, p &lt; .001).\nCONCLUSIONS: Shift work, short sleep, and physical inactivity confer a challenging environment for physician mental health. Efforts to increase sleep opportunity through designing shift schedules to allow for adequate opportunity to resynchronize the circadian system and improving exercise compatibility of the work environment may improve mood in this depression-vulnerable population.","container-title":"Journal of General Internal Medicine","DOI":"10.1007/s11606-018-4373-2","ISSN":"0884-8734, 1525-1497","issue":"6","journalAbbreviation":"J GEN INTERN MED","language":"en","page":"914-920","source":"DOI.org (Crossref)","title":"Effects of Sleep, Physical Activity, and Shift Work on Daily Mood: a Prospective Mobile Monitoring Study of Medical Interns","title-short":"Effects of Sleep, Physical Activity, and Shift Work on Daily Mood","volume":"33","author":[{"family":"Kalmbach","given":"David A."},{"family":"Fang","given":"Yu"},{"family":"Arnedt","given":"J. Todd"},{"family":"Cochran","given":"Amy L."},{"family":"Deldin","given":"Patricia J."},{"family":"Kaplin","given":"Adam I."},{"family":"Sen","given":"Srijan"}],"issued":{"date-parts":[["2018",6]]}}}],"schema":"https://github.com/citation-style-language/schema/raw/master/csl-citation.json"}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(30)</w:t>
            </w:r>
            <w:r>
              <w:rPr>
                <w:rFonts w:ascii="Calibri" w:hAnsi="Calibri" w:cs="Calibri"/>
                <w:color w:val="000000"/>
                <w:sz w:val="20"/>
                <w:szCs w:val="20"/>
              </w:rPr>
              <w:fldChar w:fldCharType="end"/>
            </w:r>
          </w:p>
        </w:tc>
        <w:tc>
          <w:tcPr>
            <w:tcW w:w="1130" w:type="dxa"/>
          </w:tcPr>
          <w:p w14:paraId="33A0EB6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2018</w:t>
            </w:r>
          </w:p>
        </w:tc>
        <w:tc>
          <w:tcPr>
            <w:tcW w:w="1337" w:type="dxa"/>
          </w:tcPr>
          <w:p w14:paraId="3F7370F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4AC15D1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771D1F6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3349DF4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34065C6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33</w:t>
            </w:r>
          </w:p>
        </w:tc>
        <w:tc>
          <w:tcPr>
            <w:tcW w:w="1086" w:type="dxa"/>
          </w:tcPr>
          <w:p w14:paraId="731410E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 and telephone</w:t>
            </w:r>
          </w:p>
        </w:tc>
        <w:tc>
          <w:tcPr>
            <w:tcW w:w="1375" w:type="dxa"/>
          </w:tcPr>
          <w:p w14:paraId="63D8F87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5C1780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3A275DB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34425C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8692DE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6122FF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Sleep, mood</w:t>
            </w:r>
          </w:p>
        </w:tc>
        <w:tc>
          <w:tcPr>
            <w:tcW w:w="1609" w:type="dxa"/>
          </w:tcPr>
          <w:p w14:paraId="72C6C9A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F3405D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9D08C5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70A4451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06F92AD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096A9002"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Mayer</w:t>
            </w:r>
            <w:r>
              <w:rPr>
                <w:rFonts w:ascii="Calibri" w:hAnsi="Calibri" w:cs="Calibri"/>
                <w:color w:val="000000"/>
                <w:sz w:val="20"/>
                <w:szCs w:val="20"/>
              </w:rPr>
              <w:t xml:space="preserve">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9WDWTqFs","properties":{"formattedCitation":"(31)","plainCitation":"(31)","noteIndex":0},"citationItems":[{"id":3285,"uris":["http://zotero.org/users/4975241/items/UXPTY6E6"],"uri":["http://zotero.org/users/4975241/items/UXPTY6E6"],"itemData":{"id":3285,"type":"thesis","abstract":"Abstract: OBJECTIVE: Depression is common, and stress plays a causal role in depression onset, perhaps via Hypothalamic-Pituitary-Adrenal (HPA) axis activation. Decades of work documented HPA hyperactivity in depression. Yet, the nature of this relationship is unclear, partly because the HPA axis is a complex system and cortisol measurement over time has been challenging. A recent development of cortisol assessment in hair has now made it possible to quantify cortisol secretions over prolonged periods of time. In this study, we incorporated hair cortisol measurement into an existing prospective and longitudinal study of medical internship, stress, and depression. This gave us a rare opportunity to investigate links between chronic stress, hair cortisol, and depressive symptoms and allowed us to test the impact of psychological factors. Specifically, we examined 1) hair cortisol changes in response to medical internship, 2) associations between hair cortisol levels and depressive symptoms, 3) psychological factors that impact respective associations, and 4) prospective indicators of depression vulnerability. METHODS: Seventy-four medical residents (age 25-33) were recruited. We assessed hair cortisol, depressive symptoms, and psychological variables (perceived stress, mastery/control, social support, loneliness, resilience, compassion, childhood trauma) prior to internship start as well as repeatedly throughout medical internship. RESULTS: Hair cortisol levels changed over time: they increased sharply with the onset of internship stress, decreased as internship continued, and rose again towards the end of internship, prior the start of the second residency year. The initial increase in hair cortisol responses to internship stress was not directly related to depressive symptoms in response to or in the midst of internship. Preliminary findings showed that elevated hair cortisol levels were related to increased depressive symptoms during periods of anticipation, and that both were related to less adaptive psychosocial correlates prior to internship stress. CONCLUSION: The prospective and longitudinal study examined links between chronic stress, HPA axis activity, depressive symptoms, and psychological factors. Our finding supports the validity of hair cortisol as a field-friendly biomarker for chronic stress exposure. Hair cortisol responses to chronic stress may perhaps reflect context-specific psychological processes related to anticipation, novelty/familiarity, and social evaluative threat. Hair cortisol and depressive symptom responses to stress were not directly related, but links between hair cortisol, depressive symptoms, and psychological factors were present prior to stress exposure, perhaps reflecting shared underlying vulnerabilities that were most apparent in the context of stressor anticipation, when stress was moderate and uniquely characterized by high levels of uncertainty. During internship stress, hair cortisol may reflect the impact of stress exposure, perhaps related to contextual features, which may not be mechanistically linked to depression risk; however, in the absence of ongoing stress, it may indicate the impact of underlying vulnerabilities, which may be more directly linked to depressive symptoms. In sum, our results are consistent with a paradigm shift in the literature towards more complex models of how stress context, stress systems, and disorders are linked, suggesting interwoven interactions between neuroendocrine, genetic, environmental, and psychological factors that constitute vulnerability for the development of depression in the context of stress.  [less]","publisher":"University of Michigan","title":"Examining the Relationships Between Chronic Stress, HPA Axis Activity, and Depression in a Prospective and Longitudinal Study of Medical Internship","URL":"https://deepblue.lib.umich.edu/handle/2027.42/137074","author":[{"family":"Mayer","given":"Stefanie"}],"issued":{"date-parts":[["2017"]]}}}],"schema":"https://github.com/citation-style-language/schema/raw/master/csl-citation.json"}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(31)</w:t>
            </w:r>
            <w:r>
              <w:rPr>
                <w:rFonts w:ascii="Calibri" w:hAnsi="Calibri" w:cs="Calibri"/>
                <w:color w:val="000000"/>
                <w:sz w:val="20"/>
                <w:szCs w:val="20"/>
              </w:rPr>
              <w:fldChar w:fldCharType="end"/>
            </w:r>
          </w:p>
        </w:tc>
        <w:tc>
          <w:tcPr>
            <w:tcW w:w="1130" w:type="dxa"/>
          </w:tcPr>
          <w:p w14:paraId="58234D9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2017</w:t>
            </w:r>
          </w:p>
        </w:tc>
        <w:tc>
          <w:tcPr>
            <w:tcW w:w="1337" w:type="dxa"/>
          </w:tcPr>
          <w:p w14:paraId="5D64111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62F06F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3CF3758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62F0433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36503F6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74</w:t>
            </w:r>
          </w:p>
        </w:tc>
        <w:tc>
          <w:tcPr>
            <w:tcW w:w="1086" w:type="dxa"/>
          </w:tcPr>
          <w:p w14:paraId="3F9DD7E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2571295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14CAA3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752A696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PHQ-9</w:t>
            </w:r>
          </w:p>
        </w:tc>
        <w:tc>
          <w:tcPr>
            <w:tcW w:w="1500" w:type="dxa"/>
          </w:tcPr>
          <w:p w14:paraId="771B60F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Perceived stress scale</w:t>
            </w:r>
          </w:p>
        </w:tc>
        <w:tc>
          <w:tcPr>
            <w:tcW w:w="1500" w:type="dxa"/>
          </w:tcPr>
          <w:p w14:paraId="7063344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8DA48B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Depression, stress</w:t>
            </w:r>
          </w:p>
        </w:tc>
        <w:tc>
          <w:tcPr>
            <w:tcW w:w="1609" w:type="dxa"/>
          </w:tcPr>
          <w:p w14:paraId="592446C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FBB55B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w:t>
            </w:r>
          </w:p>
        </w:tc>
        <w:tc>
          <w:tcPr>
            <w:tcW w:w="1609" w:type="dxa"/>
          </w:tcPr>
          <w:p w14:paraId="30D54EF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0244082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 test-retest</w:t>
            </w:r>
          </w:p>
        </w:tc>
      </w:tr>
      <w:tr w:rsidR="00E46C9F" w:rsidRPr="00701766" w14:paraId="465BCCCF"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FEC5053"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Farley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4TeljZPo","properties":{"formattedCitation":"(32)","plainCitation":"(32)","noteIndex":0},"citationItems":[{"id":3019,"uris":["http://zotero.org/users/4975241/items/S54NYNES"],"uri":["http://zotero.org/users/4975241/items/S54NYNES"],"itemData":{"id":3019,"type":"article-journal","container-title":"Medical Education","DOI":"10.1111/medu.12666","ISSN":"03080110","issue":"4","journalAbbreviation":"Med Educ","language":"en","page":"436-443","source":"DOI.org (Crossref)","title":"Exploring the impact of workplace cyberbullying on trainee doctors","volume":"49","author":[{"family":"Farley","given":"Samuel"},{"family":"Coyne","given":"Iain"},{"family":"Sprigg","given":"Christine"},{"family":"Axtell","given":"Carolyn"},{"family":"Subramanian","given":"Ganesh"}],"issued":{"date-parts":[["2015",4]]}}}],"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(32)</w:t>
            </w:r>
            <w:r>
              <w:rPr>
                <w:rFonts w:ascii="Calibri" w:hAnsi="Calibri" w:cs="Calibri"/>
                <w:color w:val="000000"/>
                <w:sz w:val="20"/>
                <w:szCs w:val="20"/>
              </w:rPr>
              <w:fldChar w:fldCharType="end"/>
            </w:r>
          </w:p>
        </w:tc>
        <w:tc>
          <w:tcPr>
            <w:tcW w:w="1130" w:type="dxa"/>
          </w:tcPr>
          <w:p w14:paraId="47D233B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2015</w:t>
            </w:r>
          </w:p>
        </w:tc>
        <w:tc>
          <w:tcPr>
            <w:tcW w:w="1337" w:type="dxa"/>
          </w:tcPr>
          <w:p w14:paraId="6615FD0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7499EBE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4FFB293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71694DB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8</w:t>
            </w:r>
          </w:p>
        </w:tc>
        <w:tc>
          <w:tcPr>
            <w:tcW w:w="1102" w:type="dxa"/>
          </w:tcPr>
          <w:p w14:paraId="6FD84A4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158</w:t>
            </w:r>
          </w:p>
        </w:tc>
        <w:tc>
          <w:tcPr>
            <w:tcW w:w="1086" w:type="dxa"/>
          </w:tcPr>
          <w:p w14:paraId="57A6D1D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35CC568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B1F7E4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023D88A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Cyber Negative Acts Questionnaire</w:t>
            </w:r>
          </w:p>
        </w:tc>
        <w:tc>
          <w:tcPr>
            <w:tcW w:w="1500" w:type="dxa"/>
          </w:tcPr>
          <w:p w14:paraId="0DB0FE9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Positive and Negative Affect Schedule (PANAS) scales</w:t>
            </w:r>
          </w:p>
        </w:tc>
        <w:tc>
          <w:tcPr>
            <w:tcW w:w="1500" w:type="dxa"/>
          </w:tcPr>
          <w:p w14:paraId="5A237AA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E24AE4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Wellbeing</w:t>
            </w:r>
          </w:p>
        </w:tc>
        <w:tc>
          <w:tcPr>
            <w:tcW w:w="1609" w:type="dxa"/>
          </w:tcPr>
          <w:p w14:paraId="003DFB2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4D91DE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Bullying</w:t>
            </w:r>
          </w:p>
        </w:tc>
        <w:tc>
          <w:tcPr>
            <w:tcW w:w="1609" w:type="dxa"/>
          </w:tcPr>
          <w:p w14:paraId="785DD24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425808F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4C0C844A"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4ACCF113"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lastRenderedPageBreak/>
              <w:t xml:space="preserve">Mataya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n58HT8k8","properties":{"formattedCitation":"(33)","plainCitation":"(33)","noteIndex":0},"citationItems":[{"id":3025,"uris":["http://zotero.org/users/4975241/items/UE9Z8BCJ"],"uri":["http://zotero.org/users/4975241/items/UE9Z8BCJ"],"itemData":{"id":3025,"type":"article-journal","abstract":"Introduction: The University of Malawi's College of Medicine produces almost all of the medical interns working at Malawi's two largest public hospitals: Queen Elizabeth Central Hospital in Blantyre, and Kamuzu Central Hospital in Lilongwe. To earn full medical council registration, new graduates must complete an 18-month internship at either site. This study attempted to determine general levels of job satisfaction and commitment among Malawian medical interns, and to rank categorical factors according to impact on intern job satisfaction and commitment. These factors were also examined in terms of influence on bringing about an intern strike in late 2010, early 2011. Methods: Sixty-one of 70 interns working during the study period completed a job satisfaction survey. Questionnaire items addressed ten \"factors\": (1) hours and pay, (2) work content, (3) working conditions, (4) relationships with senior staff, (5) workplace relationships with peers, (6) educational environment, (7) internal factors, (8) quality of life, (9) autonomy and self-worth, and (10) future career prospects. Analysis for this cross-sectional study included quantification and comparisons of overall and category-specific satisfaction levels, using ANOVA and Student's t-test. Results: Sixty-nine percent then 57% of interns identified themselves as satisfied at the beginning and end of the questionnaire, respectively; 97% of the interns indicated job commitment at both instances of asking. Factors influencing job satisfaction most strongly were those that participants were least satisfied with. Conclusion: Future research and interventions aimed at improving intern job satisfaction in Malawi should focus on assessing and improving remuneration, working hours, and physical working conditions.","container-title":"Pan African Medical Journal","DOI":"10.11604/pamj.2015.21.174.6511","ISSN":"1937-8688","journalAbbreviation":"Pan Afr Med J","language":"en","source":"DOI.org (Crossref)","title":"Factors affecting job satisfaction and commitment among medical interns in Malawi: a cross-sectional study","title-short":"Factors affecting job satisfaction and commitment among medical interns in Malawi","URL":"http://www.panafrican-med-journal.com/content/article/21/174/full/","volume":"21","author":[{"family":"Mataya","given":"Andrew Alinafe"},{"family":"Macuvele","given":"Marcia Eugenia"},{"family":"Gwitima","given":"Takudzwanashe"},{"family":"Muula","given":"Adamson Sinjani"}],"accessed":{"date-parts":[["2020",9,9]]},"issued":{"date-parts":[["2015"]]}}}],"schema":"https://github.com/citation-style-language/schema/raw/master/csl-citation.json"}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(33)</w:t>
            </w:r>
            <w:r>
              <w:rPr>
                <w:rFonts w:ascii="Calibri" w:hAnsi="Calibri" w:cs="Calibri"/>
                <w:color w:val="000000"/>
                <w:sz w:val="20"/>
                <w:szCs w:val="20"/>
              </w:rPr>
              <w:fldChar w:fldCharType="end"/>
            </w:r>
          </w:p>
        </w:tc>
        <w:tc>
          <w:tcPr>
            <w:tcW w:w="1130" w:type="dxa"/>
          </w:tcPr>
          <w:p w14:paraId="3349318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2015</w:t>
            </w:r>
          </w:p>
        </w:tc>
        <w:tc>
          <w:tcPr>
            <w:tcW w:w="1337" w:type="dxa"/>
          </w:tcPr>
          <w:p w14:paraId="19FD064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Malawi</w:t>
            </w:r>
          </w:p>
        </w:tc>
        <w:tc>
          <w:tcPr>
            <w:tcW w:w="1434" w:type="dxa"/>
          </w:tcPr>
          <w:p w14:paraId="1AE647D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0F5E63C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1-1.5</w:t>
            </w:r>
          </w:p>
        </w:tc>
        <w:tc>
          <w:tcPr>
            <w:tcW w:w="913" w:type="dxa"/>
          </w:tcPr>
          <w:p w14:paraId="3326F2B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w:t>
            </w:r>
          </w:p>
        </w:tc>
        <w:tc>
          <w:tcPr>
            <w:tcW w:w="1102" w:type="dxa"/>
          </w:tcPr>
          <w:p w14:paraId="7839D7A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61</w:t>
            </w:r>
          </w:p>
        </w:tc>
        <w:tc>
          <w:tcPr>
            <w:tcW w:w="1086" w:type="dxa"/>
          </w:tcPr>
          <w:p w14:paraId="5E14047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0FBB2A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3027D3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6189EC0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3300AC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51B40E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1959D0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Job satisfaction, quality of life</w:t>
            </w:r>
          </w:p>
        </w:tc>
        <w:tc>
          <w:tcPr>
            <w:tcW w:w="1609" w:type="dxa"/>
          </w:tcPr>
          <w:p w14:paraId="43B5445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Learning environment, supervision, career development</w:t>
            </w:r>
          </w:p>
        </w:tc>
        <w:tc>
          <w:tcPr>
            <w:tcW w:w="1609" w:type="dxa"/>
          </w:tcPr>
          <w:p w14:paraId="1C0ADB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 pay and remuneration</w:t>
            </w:r>
          </w:p>
        </w:tc>
        <w:tc>
          <w:tcPr>
            <w:tcW w:w="1609" w:type="dxa"/>
          </w:tcPr>
          <w:p w14:paraId="6794866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47F6399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7AD0082E"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73BDF54"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Friesen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fuCxKvEZ","properties":{"formattedCitation":"(34)","plainCitation":"(34)","noteIndex":0},"citationItems":[{"id":3036,"uris":["http://zotero.org/users/4975241/items/C2RUA6LM"],"uri":["http://zotero.org/users/4975241/items/C2RUA6LM"],"itemData":{"id":3036,"type":"article-journal","abstract":"BACKGROUND: Prior data suggest that fatigue adversely affects patient safety and resident well-being. ACGME duty hour limitations were intended, in part, to reduce resident fatigue, but the factors that affect intern fatigue are unknown.\nOBJECTIVE: To identify factors associated with intern fatigue following implementation of duty hour limitations. DESIGN: Cross-sectional confidential survey of validated questions related to fatigue, sleep, and stress, as well as author-developed teamwork questions. SUBJECTS: Interns in cognitive specialties at the University of California, San Francisco.\nMEASUREMENTS: Univariate statistics characterized the distribution of responses. Pearson correlations elucidated bivariate relationships between fatigue and other variables. Multivariate linear regression models identified factors independently associated with fatigue, sleep, and stress.\nRESULTS: Of 111 eligible interns, 66 responded (59%). In a regression analysis including gender, hours worked in the previous week, sleep quality, perceived stress, and teamwork, only poorer quality of sleep and greater perceived stress were significantly associated with fatigue (p&lt;0.001 and p=0.02, respectively). To identify factors that may affect sleep, specifically duty hours and stress, a secondary model was constructed. Only greater perceived stress was significantly associated with diminished sleep quality (p=0.04), and only poorer teamwork was significantly associated with perceived stress (p&lt;0.001). Working &gt;80 h was not significantly associated with perceived stress, quality of sleep, or fatigue.\nCONCLUSIONS: Simply decreasing the number of duty hours may be insufficient to reduce intern fatigue. Residency programs may need to incorporate programmatic changes to reduce stress, improve sleep quality, and foster teamwork in order to decrease intern fatigue and its deleterious consequences.","container-title":"Journal of General Internal Medicine","DOI":"10.1007/s11606-008-0798-3","ISSN":"0884-8734, 1525-1497","issue":"12","journalAbbreviation":"J GEN INTERN MED","language":"en","page":"1981-1986","source":"DOI.org (Crossref)","title":"Factors Associated with Intern Fatigue","volume":"23","author":[{"family":"Friesen","given":"Lindsay D."},{"family":"Vidyarthi","given":"Arpana R."},{"family":"Baron","given":"Robert B."},{"family":"Katz","given":"Patricia P."}],"issued":{"date-parts":[["2008",12]]}}}],"schema":"https://github.com/citation-style-language/schema/raw/master/csl-citation.json"}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(34)</w:t>
            </w:r>
            <w:r>
              <w:rPr>
                <w:rFonts w:ascii="Calibri" w:hAnsi="Calibri" w:cs="Calibri"/>
                <w:color w:val="000000"/>
                <w:sz w:val="20"/>
                <w:szCs w:val="20"/>
              </w:rPr>
              <w:fldChar w:fldCharType="end"/>
            </w:r>
          </w:p>
        </w:tc>
        <w:tc>
          <w:tcPr>
            <w:tcW w:w="1130" w:type="dxa"/>
          </w:tcPr>
          <w:p w14:paraId="6EF3683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2008</w:t>
            </w:r>
          </w:p>
        </w:tc>
        <w:tc>
          <w:tcPr>
            <w:tcW w:w="1337" w:type="dxa"/>
          </w:tcPr>
          <w:p w14:paraId="0AF0EF0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580DACB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1FA6C60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5C0828E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4015F36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66</w:t>
            </w:r>
          </w:p>
        </w:tc>
        <w:tc>
          <w:tcPr>
            <w:tcW w:w="1086" w:type="dxa"/>
          </w:tcPr>
          <w:p w14:paraId="25273C7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6D48563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B2118F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0FC65A4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Cohen Perceived Stress Scale</w:t>
            </w:r>
          </w:p>
        </w:tc>
        <w:tc>
          <w:tcPr>
            <w:tcW w:w="1500" w:type="dxa"/>
          </w:tcPr>
          <w:p w14:paraId="4781F3E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Chalder Fatigue Scale</w:t>
            </w:r>
          </w:p>
        </w:tc>
        <w:tc>
          <w:tcPr>
            <w:tcW w:w="1500" w:type="dxa"/>
          </w:tcPr>
          <w:p w14:paraId="5F77329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Medical Outcomes Study (MOS) Sleep Scale</w:t>
            </w:r>
          </w:p>
        </w:tc>
        <w:tc>
          <w:tcPr>
            <w:tcW w:w="1609" w:type="dxa"/>
          </w:tcPr>
          <w:p w14:paraId="7ADCE23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fatigue, sleep</w:t>
            </w:r>
          </w:p>
        </w:tc>
        <w:tc>
          <w:tcPr>
            <w:tcW w:w="1609" w:type="dxa"/>
          </w:tcPr>
          <w:p w14:paraId="06DF082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Teamwork</w:t>
            </w:r>
          </w:p>
        </w:tc>
        <w:tc>
          <w:tcPr>
            <w:tcW w:w="1609" w:type="dxa"/>
          </w:tcPr>
          <w:p w14:paraId="3548DEF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w:t>
            </w:r>
          </w:p>
        </w:tc>
        <w:tc>
          <w:tcPr>
            <w:tcW w:w="1609" w:type="dxa"/>
          </w:tcPr>
          <w:p w14:paraId="479D996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04137DD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3607AF8E"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19D6D3CF"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Auret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dN4hl7gV","properties":{"formattedCitation":"(35)","plainCitation":"(35)","noteIndex":0},"citationItems":[{"id":3042,"uris":["http://zotero.org/users/4975241/items/K6642LEG"],"uri":["http://zotero.org/users/4975241/items/K6642LEG"],"itemData":{"id":3042,"type":"article-journal","abstract":"Introduction: Increased numbers of rural hospital rotations for interns (first postgraduate year) are being created in Western Australia (WA). This study utilised the Postgraduate Hospital Educational Environment Measure (PHEEM), an internationally validated multidimensional questionnaire, to assess and compare the educational environment of five new or established rural sites and an urban teaching hospital.\nMethods: The PHEEM was modified slightly: to make language appropriate for the WA context and to collect information about intern location. It was administered at the completion of each 10-week term over the first postgraduate year in 2009.\nResults: A total of 147 completed PHEEM questionnaires were returned from 74 interns, evaluating a maximum of 210 individual 10-week terms (105 each from urban and combined rural). Average completion time was 6.4 minutes. The median score for teaching was 45.0 (interquartile range 39.0, 50.0) in rural locations and 43.0 (37.5, 46.0) in urban locations (p=0.046). The median scores for autonomy were 39.0 (35.0, 45.0) and 39.0 (36.0, 41.5) (p=0.672) and for support median scores 33.0 (28.0, 35.0) and 31.0 (28.0, 33.0) (p=0.019) in rural and urban locations respectively.\nConclusion: This study has utilised an Australian-appropriate version of the PHEEM and has provided the first confirmation that, in terms of educational environment, rural intern rotations compare favourably with those in urban settings in WA.","language":"en","page":"12","source":"Zotero","title":"Formal assessment of the educational environment experienced by interns placed in rural hospitals in Western Australia","author":[{"family":"Auret","given":"KA"},{"family":"Skinner","given":"L"},{"family":"Sinclair","given":"C"},{"family":"Evans","given":"S"}]}}],"schema":"https://github.com/citation-style-language/schema/raw/master/csl-citation.json"}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(35)</w:t>
            </w:r>
            <w:r>
              <w:rPr>
                <w:rFonts w:ascii="Calibri" w:hAnsi="Calibri" w:cs="Calibri"/>
                <w:color w:val="000000"/>
                <w:sz w:val="20"/>
                <w:szCs w:val="20"/>
              </w:rPr>
              <w:fldChar w:fldCharType="end"/>
            </w:r>
          </w:p>
        </w:tc>
        <w:tc>
          <w:tcPr>
            <w:tcW w:w="1130" w:type="dxa"/>
          </w:tcPr>
          <w:p w14:paraId="618872D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2013</w:t>
            </w:r>
          </w:p>
        </w:tc>
        <w:tc>
          <w:tcPr>
            <w:tcW w:w="1337" w:type="dxa"/>
          </w:tcPr>
          <w:p w14:paraId="4AAB206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Australia</w:t>
            </w:r>
          </w:p>
        </w:tc>
        <w:tc>
          <w:tcPr>
            <w:tcW w:w="1434" w:type="dxa"/>
          </w:tcPr>
          <w:p w14:paraId="220748B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0C7D75E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4420646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5</w:t>
            </w:r>
          </w:p>
        </w:tc>
        <w:tc>
          <w:tcPr>
            <w:tcW w:w="1102" w:type="dxa"/>
          </w:tcPr>
          <w:p w14:paraId="29B87C3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74</w:t>
            </w:r>
          </w:p>
        </w:tc>
        <w:tc>
          <w:tcPr>
            <w:tcW w:w="1086" w:type="dxa"/>
          </w:tcPr>
          <w:p w14:paraId="258217A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0AD355E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893B47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057F3DD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PHEEM</w:t>
            </w:r>
          </w:p>
        </w:tc>
        <w:tc>
          <w:tcPr>
            <w:tcW w:w="1500" w:type="dxa"/>
          </w:tcPr>
          <w:p w14:paraId="7D74C15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32AFF9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39B8EB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1BF7E1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Educational environment, supervision, induction, communication, feedback, career development, teamwork, teaching, support</w:t>
            </w:r>
          </w:p>
        </w:tc>
        <w:tc>
          <w:tcPr>
            <w:tcW w:w="1609" w:type="dxa"/>
          </w:tcPr>
          <w:p w14:paraId="4A55274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 harassment, safety, bullying, food and accommodation</w:t>
            </w:r>
          </w:p>
        </w:tc>
        <w:tc>
          <w:tcPr>
            <w:tcW w:w="1609" w:type="dxa"/>
          </w:tcPr>
          <w:p w14:paraId="3FCF957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19A6FB6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046F2071"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5FE6AE34"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Miles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TYaEUUa4","properties":{"formattedCitation":"(36)","plainCitation":"(36)","noteIndex":0},"citationItems":[{"id":3049,"uris":["http://zotero.org/users/4975241/items/95WGW5UH"],"uri":["http://zotero.org/users/4975241/items/95WGW5UH"],"itemData":{"id":3049,"type":"article-journal","abstract":"Background: It is well established that trainee doctors struggle with the transition from medical school to starting work and feel unprepared for many aspects of their new role. There is evidence that suitable induction experiences improve competence and confidence, but available data indicate that trainee doctors on the UK Foundation Programme are commonly not experiencing useful inductions. The aim of the reported research was to explore trainee doctors’ experiences with induction during their first year of the Foundation Programme to identify the most useful characteristics.\nMethods: A questionnaire was designed to explore trainee doctors’ experiences with induction at two points during their first Foundation year, during the first and third of three rotations, to enable all induction experiences on offer during the year to be surveyed. Data were collected using an anonymous questionnaire distributed during a teaching session, with an online version available for those trainees not present. Questions gathered information about characteristics of the inductions, usefulness of components of the inductions and what gaps exist.\nResults: 192 Foundation trainee doctors completed the questionnaire during Rotation 1 and 165 during Rotation 3. The findings indicated that induction experiences at the beginning of the year, including the local Preparation for Professional Practice week, were more useful than those received for later rotations. Longer inductions were more useful than shorter. Departmental inductions were generally only moderately helpful and they missed many important characteristics. Gaps in their inductions identified by many trainees matched those aspects judged to be most useful by those trainees who had experienced these characteristics.\nConclusions: Many Foundation trainee doctors are experiencing inadequate inductions, notably at the department level. Trainees are starting rotations in new departments without rudimentary knowledge about their role and responsibilities in that department, where to find equipment and documentation, who to contact and how to contact them, local preferences, policies and procedures. Unsurprisingly, trainees who do receive such information in their inductions regard it as highly useful. Action is urgently needed to improve departmental inductions so that all trainees have the information they require to work confidently and competently in each new department they rotate into.","container-title":"BMC Medical Education","DOI":"10.1186/s12909-015-0395-1","ISSN":"1472-6920","issue":"1","journalAbbreviation":"BMC Med Educ","language":"en","page":"118","source":"DOI.org (Crossref)","title":"Foundation doctors’ induction experiences","volume":"15","author":[{"family":"Miles","given":"Susan"},{"family":"Kellett","given":"Joanne"},{"family":"Leinster","given":"Sam J."}],"issued":{"date-parts":[["2015",12]]}}}],"schema":"https://github.com/citation-style-language/schema/raw/master/csl-citation.json"}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(36)</w:t>
            </w:r>
            <w:r>
              <w:rPr>
                <w:rFonts w:ascii="Calibri" w:hAnsi="Calibri" w:cs="Calibri"/>
                <w:color w:val="000000"/>
                <w:sz w:val="20"/>
                <w:szCs w:val="20"/>
              </w:rPr>
              <w:fldChar w:fldCharType="end"/>
            </w:r>
          </w:p>
        </w:tc>
        <w:tc>
          <w:tcPr>
            <w:tcW w:w="1130" w:type="dxa"/>
          </w:tcPr>
          <w:p w14:paraId="2FB5F60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2015</w:t>
            </w:r>
          </w:p>
        </w:tc>
        <w:tc>
          <w:tcPr>
            <w:tcW w:w="1337" w:type="dxa"/>
          </w:tcPr>
          <w:p w14:paraId="72AB5A8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32BCE8E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143FA32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6862388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13</w:t>
            </w:r>
          </w:p>
        </w:tc>
        <w:tc>
          <w:tcPr>
            <w:tcW w:w="1102" w:type="dxa"/>
          </w:tcPr>
          <w:p w14:paraId="1B2053F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192</w:t>
            </w:r>
          </w:p>
        </w:tc>
        <w:tc>
          <w:tcPr>
            <w:tcW w:w="1086" w:type="dxa"/>
          </w:tcPr>
          <w:p w14:paraId="4241DCE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73C58B1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C771D5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00ADA73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0F3BDC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1C4068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83B7E3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D64D37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Induction</w:t>
            </w:r>
          </w:p>
        </w:tc>
        <w:tc>
          <w:tcPr>
            <w:tcW w:w="1609" w:type="dxa"/>
          </w:tcPr>
          <w:p w14:paraId="6010BEB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D71477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7DCEDFD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5998AE8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363C4BF8"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O'Donnell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FaNTaSTA","properties":{"formattedCitation":"(37)","plainCitation":"(37)","noteIndex":0},"citationItems":[{"id":3058,"uris":["http://zotero.org/users/4975241/items/L6GYL63N"],"uri":["http://zotero.org/users/4975241/items/L6GYL63N"],"itemData":{"id":3058,"type":"article-journal","abstract":"Objectives: The main objectives of this study were to assess personality traits and levels of anxiety in Foundation Year 2 (F2) doctors during the foundation doctor training programme in the Northern Ireland Deanery (NIMDTA).\nMethods: A prospective survey-based study was conducted for all F2 doctors attending the mandatory generic skills programme at NIMDTA. Anxiety was measured using the State-Trait Anxiety Inventory (STAI) while personality was assessed using the IPIP-NEO questionnaire. These previously validated questionnaires were completed at the start and again at the end of the F2 year.\nResults: 147 (M=65, F=82) and 106 (M=55, F=51) F2 doctors completed questionnaires at both time points. STAI scores suggested a moderate level of anxiety amongst both male and female doctors at baseline and at the end of the academic year. There was no difference between gender for either parameter (Baseline-State: 34.0 vs. 36.0, p=0.48 and Trait: 39.0 vs. 40.5, p=0.33) (End-State: 41.0 vs. 36.0, p=0.14 and Trait: 42.0 vs. 40.5, p=0.78). IPIP-NEO scores for F2 doctors were consistently higher in the Accommodation (93.9 &amp; 92.3) and Consolidation (88.8 &amp; 87.6) personality factors and lower in the Neuroticism factor (66.3 &amp; 65.9) at both assessment time-points. Female F2 doctors scored significantly higher in the accommodation factor at the end of the academic year when compared to their male counterparts (88.0 vs. 94.0, p&lt;0.001). There was no difference between the genders for the other personality factors at the end of the year (p&gt;0.09).\nConclusions: This first cohort of F2 doctors were exposed to many emerging changes in their training which did not appear to have any detrimental effect on their anxiety levels or personality profiles and suggests that junior doctors may not be affected by external influences or changing educational environments.","container-title":"The Ulster Medical Journal","language":"en","page":"7","source":"Zotero","title":"Foundation Programme Impact on Junior Doctor Personality and Anxiety in Northern Ireland","author":[{"family":"O’Donnell","given":"Mark"},{"family":"Noad","given":"Rebecca"},{"family":"Boohan","given":"Mairead"},{"family":"Carragher","given":"Angela"}]}}],"schema":"https://github.com/citation-style-language/schema/raw/master/csl-citation.json"} </w:instrText>
            </w:r>
            <w:r>
              <w:rPr>
                <w:rFonts w:ascii="Calibri" w:hAnsi="Calibri" w:cs="Calibri"/>
                <w:color w:val="000000"/>
                <w:sz w:val="20"/>
                <w:szCs w:val="20"/>
              </w:rPr>
              <w:fldChar w:fldCharType="separate"/>
            </w:r>
            <w:r>
              <w:rPr>
                <w:rFonts w:ascii="Calibri" w:hAnsi="Calibri" w:cs="Calibri"/>
                <w:color w:val="000000"/>
                <w:sz w:val="20"/>
              </w:rPr>
              <w:t>(37)</w:t>
            </w:r>
            <w:r>
              <w:rPr>
                <w:rFonts w:ascii="Calibri" w:hAnsi="Calibri" w:cs="Calibri"/>
                <w:color w:val="000000"/>
                <w:sz w:val="20"/>
                <w:szCs w:val="20"/>
              </w:rPr>
              <w:fldChar w:fldCharType="end"/>
            </w:r>
          </w:p>
        </w:tc>
        <w:tc>
          <w:tcPr>
            <w:tcW w:w="1130" w:type="dxa"/>
          </w:tcPr>
          <w:p w14:paraId="423B366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2012</w:t>
            </w:r>
          </w:p>
        </w:tc>
        <w:tc>
          <w:tcPr>
            <w:tcW w:w="1337" w:type="dxa"/>
          </w:tcPr>
          <w:p w14:paraId="74A3921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422879C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25D4F08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w:t>
            </w:r>
          </w:p>
        </w:tc>
        <w:tc>
          <w:tcPr>
            <w:tcW w:w="913" w:type="dxa"/>
          </w:tcPr>
          <w:p w14:paraId="751D5DE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2A99EA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147</w:t>
            </w:r>
          </w:p>
        </w:tc>
        <w:tc>
          <w:tcPr>
            <w:tcW w:w="1086" w:type="dxa"/>
          </w:tcPr>
          <w:p w14:paraId="4039084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66FF2C7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659A33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17D6D0C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State-Trait Anxiety Inventory </w:t>
            </w:r>
          </w:p>
        </w:tc>
        <w:tc>
          <w:tcPr>
            <w:tcW w:w="1500" w:type="dxa"/>
          </w:tcPr>
          <w:p w14:paraId="2714B97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11CBDA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6A4E0A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Anxiety</w:t>
            </w:r>
          </w:p>
        </w:tc>
        <w:tc>
          <w:tcPr>
            <w:tcW w:w="1609" w:type="dxa"/>
          </w:tcPr>
          <w:p w14:paraId="1E4B1B7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26A8CC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CA7D6F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1DEE49F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Test-retest</w:t>
            </w:r>
          </w:p>
        </w:tc>
      </w:tr>
      <w:tr w:rsidR="00E46C9F" w:rsidRPr="00701766" w14:paraId="1B891E44"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516D0993"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Rogers 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E0E7YsWE","properties":{"formattedCitation":"(38)","plainCitation":"(38)","noteIndex":0},"citationItems":[{"id":3302,"uris":["http://zotero.org/users/4975241/items/RPVAHTL7"],"uri":["http://zotero.org/users/4975241/items/RPVAHTL7"],"itemData":{"id":3302,"type":"article-journal","abstract":"OBJECTIVE: To determine how residents' relationships with their sources of social support (ie, family, friends, and colleagues) affect levels of burnout and loneliness.\nDESIGN: Cross-sectional survey.\nSETTING: Faculty of Medicine at the University of British Columbia in Vancouver.\nPARTICIPANTS: A total of 198 physician-trainees in the university's postgraduate medical education program.\nMAIN OUTCOME MEASURES: Residents' personal and work-related burnout scores (measured using items from the Copenhagen Burnout Inventory); loneliness (measured using a 3-item loneliness scale); and social support (assessed with the Lubben Social Network Scale, version 6).\nRESULTS: Of the 234 respondents who completed the Internet-based survey (a 22% response rate), 198 provided complete information on all study variables and thus constituted the analytic sample. Seemingly unrelated regression analyses indicated that loneliness was significantly (P &lt; .01) and positively associated with both personal and work-related burnout scores. Greater friend-based and colleague-based social support were both indirectly associated with lower personal and work-related burnout scores through their negative associations with loneliness.\nCONCLUSION: Social relationships might help residents mitigate the deleterious effects of burnout. By promoting interventions that stabilize and nurture social relationships, hospitals and universities can potentially help promote resident resilience and well-being and, in turn, improve patient care.","container-title":"Canadian Family Physician Medecin De Famille Canadien","ISSN":"1715-5258","issue":"11","journalAbbreviation":"Can Fam Physician","language":"eng","note":"PMID: 28661887","page":"e677-e683","source":"PubMed","title":"Getting by with a little help from friends and colleagues: Testing how residents' social support networks affect loneliness and burnout","title-short":"Getting by with a little help from friends and colleagues","volume":"62","author":[{"family":"Rogers","given":"Eamonn"},{"family":"Polonijo","given":"Andrea N."},{"family":"Carpiano","given":"Richard M."}],"issued":{"date-parts":[["2016",11]]}}}],"schema":"https://github.com/citation-style-language/schema/raw/master/csl-citation.json"}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(38)</w:t>
            </w:r>
            <w:r>
              <w:rPr>
                <w:rFonts w:ascii="Calibri" w:hAnsi="Calibri" w:cs="Calibri"/>
                <w:color w:val="000000"/>
                <w:sz w:val="20"/>
                <w:szCs w:val="20"/>
              </w:rPr>
              <w:fldChar w:fldCharType="end"/>
            </w:r>
          </w:p>
        </w:tc>
        <w:tc>
          <w:tcPr>
            <w:tcW w:w="1130" w:type="dxa"/>
          </w:tcPr>
          <w:p w14:paraId="5F1528A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2016</w:t>
            </w:r>
          </w:p>
        </w:tc>
        <w:tc>
          <w:tcPr>
            <w:tcW w:w="1337" w:type="dxa"/>
          </w:tcPr>
          <w:p w14:paraId="49C4E60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Canada</w:t>
            </w:r>
          </w:p>
        </w:tc>
        <w:tc>
          <w:tcPr>
            <w:tcW w:w="1434" w:type="dxa"/>
          </w:tcPr>
          <w:p w14:paraId="21BA960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0E1B714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1-5</w:t>
            </w:r>
          </w:p>
        </w:tc>
        <w:tc>
          <w:tcPr>
            <w:tcW w:w="913" w:type="dxa"/>
          </w:tcPr>
          <w:p w14:paraId="4DD6651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34F2416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198</w:t>
            </w:r>
          </w:p>
        </w:tc>
        <w:tc>
          <w:tcPr>
            <w:tcW w:w="1086" w:type="dxa"/>
          </w:tcPr>
          <w:p w14:paraId="4CC4293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1C6F100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BC6DAF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46CA602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Copenhagen Burnout Inventory</w:t>
            </w:r>
          </w:p>
        </w:tc>
        <w:tc>
          <w:tcPr>
            <w:tcW w:w="1500" w:type="dxa"/>
          </w:tcPr>
          <w:p w14:paraId="5CD7F49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Lubben Social Network Scale</w:t>
            </w:r>
          </w:p>
        </w:tc>
        <w:tc>
          <w:tcPr>
            <w:tcW w:w="1500" w:type="dxa"/>
          </w:tcPr>
          <w:p w14:paraId="63CFFE3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D58028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Burnout, loneliness</w:t>
            </w:r>
          </w:p>
        </w:tc>
        <w:tc>
          <w:tcPr>
            <w:tcW w:w="1609" w:type="dxa"/>
          </w:tcPr>
          <w:p w14:paraId="7466F07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Support</w:t>
            </w:r>
          </w:p>
        </w:tc>
        <w:tc>
          <w:tcPr>
            <w:tcW w:w="1609" w:type="dxa"/>
          </w:tcPr>
          <w:p w14:paraId="2C2471E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D3389D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Concurrent validity</w:t>
            </w:r>
          </w:p>
        </w:tc>
        <w:tc>
          <w:tcPr>
            <w:tcW w:w="1609" w:type="dxa"/>
          </w:tcPr>
          <w:p w14:paraId="0D3A959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2D390B44"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765AE5D3"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Bruce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iJzXsiGT","properties":{"formattedCitation":"(39)","plainCitation":"(39)","noteIndex":0},"citationItems":[{"id":3077,"uris":["http://zotero.org/users/4975241/items/FUFCMUQZ"],"uri":["http://zotero.org/users/4975241/items/FUFCMUQZ"],"itemData":{"id":3077,"type":"article-journal","container-title":"Internal Medicine Journal","DOI":"10.1046/j.1445-5994.2003.00421.x","ISSN":"14440903","issue":"8","language":"en","page":"392-395","source":"DOI.org (Crossref)","title":"Health and stress in Australian interns: Health and stress in interns","title-short":"Health and stress in Australian interns","volume":"33","author":[{"family":"Bruce","given":"C."},{"family":"Thomas","given":"P. S."},{"family":"Yates","given":"D. H."}],"issued":{"date-parts":[["2003",8]]}}}],"schema":"https://github.com/citation-style-language/schema/raw/master/csl-citation.json"}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(39)</w:t>
            </w:r>
            <w:r>
              <w:rPr>
                <w:rFonts w:ascii="Calibri" w:hAnsi="Calibri" w:cs="Calibri"/>
                <w:color w:val="000000"/>
                <w:sz w:val="20"/>
                <w:szCs w:val="20"/>
              </w:rPr>
              <w:fldChar w:fldCharType="end"/>
            </w:r>
          </w:p>
        </w:tc>
        <w:tc>
          <w:tcPr>
            <w:tcW w:w="1130" w:type="dxa"/>
          </w:tcPr>
          <w:p w14:paraId="182FC8A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2003</w:t>
            </w:r>
          </w:p>
        </w:tc>
        <w:tc>
          <w:tcPr>
            <w:tcW w:w="1337" w:type="dxa"/>
          </w:tcPr>
          <w:p w14:paraId="7C31E2B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Australia</w:t>
            </w:r>
          </w:p>
        </w:tc>
        <w:tc>
          <w:tcPr>
            <w:tcW w:w="1434" w:type="dxa"/>
          </w:tcPr>
          <w:p w14:paraId="20D3993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70A8B97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13DF6A0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w:t>
            </w:r>
          </w:p>
        </w:tc>
        <w:tc>
          <w:tcPr>
            <w:tcW w:w="1102" w:type="dxa"/>
          </w:tcPr>
          <w:p w14:paraId="7CF2CB0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302</w:t>
            </w:r>
          </w:p>
        </w:tc>
        <w:tc>
          <w:tcPr>
            <w:tcW w:w="1086" w:type="dxa"/>
          </w:tcPr>
          <w:p w14:paraId="0963D8D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5683399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344AB7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7C72159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GHQ</w:t>
            </w:r>
          </w:p>
        </w:tc>
        <w:tc>
          <w:tcPr>
            <w:tcW w:w="1500" w:type="dxa"/>
          </w:tcPr>
          <w:p w14:paraId="3FB3589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E5B5B4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1C956E8" w14:textId="0393DA38" w:rsidR="00E46C9F" w:rsidRPr="00701766" w:rsidRDefault="008D7CF8"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Psychological dis</w:t>
            </w:r>
            <w:r w:rsidR="00E46C9F" w:rsidRPr="00701766">
              <w:rPr>
                <w:rFonts w:ascii="Calibri" w:hAnsi="Calibri" w:cs="Calibri"/>
                <w:color w:val="000000"/>
                <w:sz w:val="20"/>
                <w:szCs w:val="20"/>
              </w:rPr>
              <w:t>tress, wellbeing</w:t>
            </w:r>
          </w:p>
        </w:tc>
        <w:tc>
          <w:tcPr>
            <w:tcW w:w="1609" w:type="dxa"/>
          </w:tcPr>
          <w:p w14:paraId="5417F14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58EFE8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9C7C94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1080834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3B5E20CE"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00720CB1"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McKavanagh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3URsVkpA","properties":{"formattedCitation":"(40)","plainCitation":"(40)","noteIndex":0},"citationItems":[{"id":3085,"uris":["http://zotero.org/users/4975241/items/6Q8S7REE"],"uri":["http://zotero.org/users/4975241/items/6Q8S7REE"],"itemData":{"id":3085,"type":"article-journal","abstract":"Aim To determine how foundation year 2 (F2) doctors view the input of hospital consultants into their workplace based assessments (WPBAs). Study design F2 doctors in Northern Ireland participated in an electronic survey to evaluate their experiences of foundation programme WPBAs. The opportunity to participate was available to all F2 doctors. The survey was performed using questions displayed electronically and the responses were collated using Turning Point technology. Two weeks later a focus group was convened to assess the issues raised by the electronic survey. Results Consultant input into foundation doctor’s WPBAs was an infrequent occurrence. The F2 doctors expressed a clear view that they valued consultant input, when this occurred. The WPBAs gave the foundation doctors an opportunity to have a one to one learning opportunity with their supervising consultants. However, many of the WPBAs were completed by other doctors in training, in the grades immediately above the foundation doctors. It was suggested that friendship could inﬂuence these assessments.","container-title":"Postgraduate Medical Journal","DOI":"10.1136/postgradmedj-2011-130121","ISSN":"0032-5473, 1469-0756","issue":"1037","journalAbbreviation":"Postgrad Med J","language":"en","page":"119-124","source":"DOI.org (Crossref)","title":"Hospital consultants and workplace based assessments: how foundation doctors view these educational interactions?","title-short":"Hospital consultants and workplace based assessments","volume":"88","author":[{"family":"McKavanagh","given":"P"},{"family":"Smyth","given":"A"},{"family":"Carragher","given":"A"}],"issued":{"date-parts":[["2012",3]]}}}],"schema":"https://github.com/citation-style-language/schema/raw/master/csl-citation.json"}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(40)</w:t>
            </w:r>
            <w:r>
              <w:rPr>
                <w:rFonts w:ascii="Calibri" w:hAnsi="Calibri" w:cs="Calibri"/>
                <w:color w:val="000000"/>
                <w:sz w:val="20"/>
                <w:szCs w:val="20"/>
              </w:rPr>
              <w:fldChar w:fldCharType="end"/>
            </w:r>
          </w:p>
        </w:tc>
        <w:tc>
          <w:tcPr>
            <w:tcW w:w="1130" w:type="dxa"/>
          </w:tcPr>
          <w:p w14:paraId="325DA5B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2012</w:t>
            </w:r>
          </w:p>
        </w:tc>
        <w:tc>
          <w:tcPr>
            <w:tcW w:w="1337" w:type="dxa"/>
          </w:tcPr>
          <w:p w14:paraId="4DAC096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5BF2375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764197C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4D68E70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4C744F9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215</w:t>
            </w:r>
          </w:p>
        </w:tc>
        <w:tc>
          <w:tcPr>
            <w:tcW w:w="1086" w:type="dxa"/>
          </w:tcPr>
          <w:p w14:paraId="251D147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67A7DCB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DCA77F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4B69671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5A4E32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1AC1EE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32B1AF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7B5C69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feedback</w:t>
            </w:r>
          </w:p>
        </w:tc>
        <w:tc>
          <w:tcPr>
            <w:tcW w:w="1609" w:type="dxa"/>
          </w:tcPr>
          <w:p w14:paraId="0390D22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5D9C76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6EC29F1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4D7F6BE3"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251D4499"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Shapiro et al.</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59LxmGH9","properties":{"formattedCitation":"(41)","plainCitation":"(41)","noteIndex":0},"citationItems":[{"id":3091,"uris":["http://zotero.org/users/4975241/items/5NITUNCS"],"uri":["http://zotero.org/users/4975241/items/5NITUNCS"],"itemData":{"id":3091,"type":"article-journal","abstract":"Background\n              . Burnout and depression among physician trainees is increasing at an alarming rate. Promoting well-being is of utmost importance for graduate medical education. The primary objective was to determine if spiritual care staff/chaplaincy can assist in building emotional well-being and resiliency within medical residency education.\n              Methods\n              . For the academic year of July 2017 through June 2018, all graduate medical trainees in our institution were given the option of attending either an individual or group spiritual care session as part of a universal “\n              Call to Wellness\n              ” curriculum. A Post-Wellness Survey was administered to measure perceptions about the program.\n              Results\n              . 49% (\n              N\n               = 258) of residents chose to participate in a spiritual care session. Prior to the session, 51% (\n              N\n               = 132) rated their overall well-being as neutral and 25% (\n              N\n               = 64) rated their overall well-being as slightly positive, positive, or very positive. After their spiritual care session, significant improvement was seen. 25% (\n              N\n               = 64) rated their overall well-being as neutral, and 51% (\n              N\n               = 132) rated their overall well-being as slightly positive, positive, or very positive (\n              \n                \n                  p\n                  &lt;\n                  0.001\n                \n              \n              ).\n              Conclusion\n              . Spiritual care staff/chaplaincy can have a positive influence on emotional well-being for physicians during residency training.","container-title":"Advances in Medicine","DOI":"10.1155/2019/8749351","ISSN":"2356-6752, 2314-758X","journalAbbreviation":"Advances in Medicine","language":"en","page":"1-4","source":"DOI.org (Crossref)","title":"Hospital Spiritual Care Can Complement Graduate Medical Trainee Well-Being","volume":"2019","author":[{"family":"Shapiro","given":"Robert E."},{"family":"Vallejo","given":"Manuel C."},{"family":"Sofka","given":"Sarah H."},{"family":"Elmo","given":"Rebecca M."},{"family":"Anderson","given":"Allison H."},{"family":"Ferrari","given":"Norman D."}],"issued":{"date-parts":[["2019",12,10]]}}}],"schema":"https://github.com/citation-style-language/schema/raw/master/csl-citation.json"}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(41)</w:t>
            </w:r>
            <w:r>
              <w:rPr>
                <w:rFonts w:ascii="Calibri" w:hAnsi="Calibri" w:cs="Calibri"/>
                <w:color w:val="000000"/>
                <w:sz w:val="20"/>
                <w:szCs w:val="20"/>
              </w:rPr>
              <w:fldChar w:fldCharType="end"/>
            </w:r>
            <w:r w:rsidRPr="00701766">
              <w:rPr>
                <w:rFonts w:ascii="Calibri" w:hAnsi="Calibri" w:cs="Calibri"/>
                <w:color w:val="000000"/>
                <w:sz w:val="20"/>
                <w:szCs w:val="20"/>
              </w:rPr>
              <w:t xml:space="preserve">  </w:t>
            </w:r>
          </w:p>
        </w:tc>
        <w:tc>
          <w:tcPr>
            <w:tcW w:w="1130" w:type="dxa"/>
          </w:tcPr>
          <w:p w14:paraId="6EDD592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2019</w:t>
            </w:r>
          </w:p>
        </w:tc>
        <w:tc>
          <w:tcPr>
            <w:tcW w:w="1337" w:type="dxa"/>
          </w:tcPr>
          <w:p w14:paraId="3CB30B0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3BBA28B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Trainee</w:t>
            </w:r>
          </w:p>
        </w:tc>
        <w:tc>
          <w:tcPr>
            <w:tcW w:w="1106" w:type="dxa"/>
          </w:tcPr>
          <w:p w14:paraId="6FB8B7E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1C74782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3B31680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258</w:t>
            </w:r>
          </w:p>
        </w:tc>
        <w:tc>
          <w:tcPr>
            <w:tcW w:w="1086" w:type="dxa"/>
          </w:tcPr>
          <w:p w14:paraId="7170867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04E29C3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48F5A2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0A83175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PHQ-9</w:t>
            </w:r>
          </w:p>
        </w:tc>
        <w:tc>
          <w:tcPr>
            <w:tcW w:w="1500" w:type="dxa"/>
          </w:tcPr>
          <w:p w14:paraId="62221CE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1BC60C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2DA74D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Wellbeing</w:t>
            </w:r>
          </w:p>
        </w:tc>
        <w:tc>
          <w:tcPr>
            <w:tcW w:w="1609" w:type="dxa"/>
          </w:tcPr>
          <w:p w14:paraId="51C1F45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8C76DF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5D29E0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6C066C8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7F0A4B84"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2C5AB75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Arora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I1woKGkA","properties":{"formattedCitation":"(42)","plainCitation":"(42)","noteIndex":0},"citationItems":[{"id":3092,"uris":["http://zotero.org/users/4975241/items/J5SK6IQI"],"uri":["http://zotero.org/users/4975241/items/J5SK6IQI"],"itemData":{"id":3092,"type":"article-journal","container-title":"Journal of Hospital Medicine","DOI":"10.1002/jhm.2002","ISSN":"15535592","issue":"3","journalAbbreviation":"J. Hosp. Med.","language":"en","page":"132-136","source":"DOI.org (Crossref)","title":"Implementing Peer Evaluation of Handoffs: Associations With Experience and Workload: Implementing Peer Evaluation of Handoffs","title-short":"Implementing Peer Evaluation of Handoffs","volume":"8","author":[{"family":"Arora","given":"Vineet M."},{"family":"Greenstein","given":"Elizabeth A."},{"family":"Woodruff","given":"James N."},{"family":"Staisiunas","given":"Paul G."},{"family":"Farnan","given":"Jeanne M."}],"issued":{"date-parts":[["2013",3]]}}}],"schema":"https://github.com/citation-style-language/schema/raw/master/csl-citation.json"}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(42)</w:t>
            </w:r>
            <w:r>
              <w:rPr>
                <w:rFonts w:ascii="Calibri" w:hAnsi="Calibri" w:cs="Calibri"/>
                <w:color w:val="000000"/>
                <w:sz w:val="20"/>
                <w:szCs w:val="20"/>
              </w:rPr>
              <w:fldChar w:fldCharType="end"/>
            </w:r>
          </w:p>
        </w:tc>
        <w:tc>
          <w:tcPr>
            <w:tcW w:w="1130" w:type="dxa"/>
          </w:tcPr>
          <w:p w14:paraId="2F37355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2013</w:t>
            </w:r>
          </w:p>
        </w:tc>
        <w:tc>
          <w:tcPr>
            <w:tcW w:w="1337" w:type="dxa"/>
          </w:tcPr>
          <w:p w14:paraId="7406ADD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3F48CDE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670FEFD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697195B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w:t>
            </w:r>
          </w:p>
        </w:tc>
        <w:tc>
          <w:tcPr>
            <w:tcW w:w="1102" w:type="dxa"/>
          </w:tcPr>
          <w:p w14:paraId="4588D88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31</w:t>
            </w:r>
          </w:p>
        </w:tc>
        <w:tc>
          <w:tcPr>
            <w:tcW w:w="1086" w:type="dxa"/>
          </w:tcPr>
          <w:p w14:paraId="2DE6BCF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07EBD2A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Peer rated</w:t>
            </w:r>
          </w:p>
        </w:tc>
        <w:tc>
          <w:tcPr>
            <w:tcW w:w="1757" w:type="dxa"/>
          </w:tcPr>
          <w:p w14:paraId="7CFD2DB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17D0295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the Handoff Clinical Evaluation Exercise</w:t>
            </w:r>
          </w:p>
        </w:tc>
        <w:tc>
          <w:tcPr>
            <w:tcW w:w="1500" w:type="dxa"/>
          </w:tcPr>
          <w:p w14:paraId="27CEB05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F4EF8B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3A8E79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1C9548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Professionalism, communication, feedback, handoff</w:t>
            </w:r>
          </w:p>
        </w:tc>
        <w:tc>
          <w:tcPr>
            <w:tcW w:w="1609" w:type="dxa"/>
          </w:tcPr>
          <w:p w14:paraId="73BCECF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w:t>
            </w:r>
          </w:p>
        </w:tc>
        <w:tc>
          <w:tcPr>
            <w:tcW w:w="1609" w:type="dxa"/>
          </w:tcPr>
          <w:p w14:paraId="31DB16A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3D0189A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Interrater reliability, internal consistency (cronbach's alpha)</w:t>
            </w:r>
          </w:p>
        </w:tc>
      </w:tr>
      <w:tr w:rsidR="00E46C9F" w:rsidRPr="00701766" w14:paraId="4A043044"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48FFF938"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Arora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Kh9hErnf","properties":{"formattedCitation":"(43)","plainCitation":"(43)","noteIndex":0},"citationItems":[{"id":3093,"uris":["http://zotero.org/users/4975241/items/3F62ZTJ8"],"uri":["http://zotero.org/users/4975241/items/3F62ZTJ8"],"itemData":{"id":3093,"type":"article-journal","container-title":"Journal of Graduate Medical Education","DOI":"10.4300/JGME-D-10-00049.1","ISSN":"1949-8349, 1949-8357","issue":"4","journalAbbreviation":"Journal of Graduate Medical Education","language":"en","page":"536-540","source":"DOI.org (Crossref)","title":"Incoming Interns' Perspectives on the Institute of Medicine Recommendations for Residents' Duty Hours","volume":"2","author":[{"family":"Arora","given":"Vineet M."},{"family":"Farnan","given":"Jeanne M."},{"family":"Lypson","given":"Monica L."},{"family":"Anderson","given":"R. Andy"},{"family":"Prochaska","given":"Meryl H."},{"family":"Humphrey","given":"Holly J."}],"issued":{"date-parts":[["2010",12]]}}}],"schema":"https://github.com/citation-style-language/schema/raw/master/csl-citation.json"}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(43)</w:t>
            </w:r>
            <w:r>
              <w:rPr>
                <w:rFonts w:ascii="Calibri" w:hAnsi="Calibri" w:cs="Calibri"/>
                <w:color w:val="000000"/>
                <w:sz w:val="20"/>
                <w:szCs w:val="20"/>
              </w:rPr>
              <w:fldChar w:fldCharType="end"/>
            </w:r>
          </w:p>
        </w:tc>
        <w:tc>
          <w:tcPr>
            <w:tcW w:w="1130" w:type="dxa"/>
          </w:tcPr>
          <w:p w14:paraId="1F08B35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2010</w:t>
            </w:r>
          </w:p>
        </w:tc>
        <w:tc>
          <w:tcPr>
            <w:tcW w:w="1337" w:type="dxa"/>
          </w:tcPr>
          <w:p w14:paraId="2BD4A37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1790C38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27AB13E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69282FC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w:t>
            </w:r>
          </w:p>
        </w:tc>
        <w:tc>
          <w:tcPr>
            <w:tcW w:w="1102" w:type="dxa"/>
          </w:tcPr>
          <w:p w14:paraId="45BEE15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299</w:t>
            </w:r>
          </w:p>
        </w:tc>
        <w:tc>
          <w:tcPr>
            <w:tcW w:w="1086" w:type="dxa"/>
          </w:tcPr>
          <w:p w14:paraId="46D7382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991BB1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6C3E89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54BE539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499182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03F68C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BA37C6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Fatigue</w:t>
            </w:r>
          </w:p>
        </w:tc>
        <w:tc>
          <w:tcPr>
            <w:tcW w:w="1609" w:type="dxa"/>
          </w:tcPr>
          <w:p w14:paraId="09E73FC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w:t>
            </w:r>
          </w:p>
        </w:tc>
        <w:tc>
          <w:tcPr>
            <w:tcW w:w="1609" w:type="dxa"/>
          </w:tcPr>
          <w:p w14:paraId="0787558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w:t>
            </w:r>
          </w:p>
        </w:tc>
        <w:tc>
          <w:tcPr>
            <w:tcW w:w="1609" w:type="dxa"/>
          </w:tcPr>
          <w:p w14:paraId="6DE9869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32DC570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6E3ECB5"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DBC706E"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Gruppen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gdBhpDL8","properties":{"formattedCitation":"(44)","plainCitation":"(44)","noteIndex":0},"citationItems":[{"id":3094,"uris":["http://zotero.org/users/4975241/items/CG75NVMG"],"uri":["http://zotero.org/users/4975241/items/CG75NVMG"],"itemData":{"id":3094,"type":"article-journal","abstract":"Background—This large, multi-institutional study examines the relative contribution of residency specialty and institution to resident satisfaction with their learning environment and workload.\nMethod—Survey responses from 798 residents were linked to institution (N = 20) and specialty (N = 10) and to characteristics of individual residency programs (N = 126) derived from the FREIDA online database. Hierarchical linear modeling was used to estimate relative contributions of these factors to resident satisfaction with workload and learning environment.\nResults—Institution had greater influence than specialty on resident ratings of satisfaction with their workload and learning environment. Institution and specialty accounted for more variance in satisfaction with workload than with the learning environment. There is evidence that characteristics of a given residency program in a given institution has additional impact, beyond these main effects. However, characteristics of institutions or programs, such as program selectivity, off-duty periods, number of faculty, etc., did not explain statistically significant amounts of variance in resident satisfaction ratings.\nConclusions—This study is the first to quantify the degree to which institution and specialty contribute to differences in resident perceptions of their learning environment and workload. Although organizational and institutional cultures are presumed to influence the learning environment, estimating the size of these influences requires a multi-institutional and multispecialty dataset, such as this one. These results suggest that there is empirical justification for institutional interventions to improve the learning environment.","container-title":"Academic Medicine","DOI":"10.1097/ACM.0000000000000898","ISSN":"1040-2446","journalAbbreviation":"Academic Medicine","language":"en","page":"S77-S82","source":"DOI.org (Crossref)","title":"Institution and Specialty Contribute to Resident Satisfaction With Their Learning Environment and Workload:","title-short":"Institution and Specialty Contribute to Resident Satisfaction With Their Learning Environment and Workload","volume":"90","author":[{"family":"Gruppen","given":"Larry D."},{"family":"Stansfield","given":"R. Brent"},{"family":"Zhao","given":"Zhuo"},{"family":"Sen","given":"Srijan"}],"issued":{"date-parts":[["2015",11]]}}}],"schema":"https://github.com/citation-style-language/schema/raw/master/csl-citation.json"}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(44)</w:t>
            </w:r>
            <w:r>
              <w:rPr>
                <w:rFonts w:ascii="Calibri" w:hAnsi="Calibri" w:cs="Calibri"/>
                <w:color w:val="000000"/>
                <w:sz w:val="20"/>
                <w:szCs w:val="20"/>
              </w:rPr>
              <w:fldChar w:fldCharType="end"/>
            </w:r>
          </w:p>
        </w:tc>
        <w:tc>
          <w:tcPr>
            <w:tcW w:w="1130" w:type="dxa"/>
          </w:tcPr>
          <w:p w14:paraId="6131E9A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2015</w:t>
            </w:r>
          </w:p>
        </w:tc>
        <w:tc>
          <w:tcPr>
            <w:tcW w:w="1337" w:type="dxa"/>
          </w:tcPr>
          <w:p w14:paraId="52DC8BC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71EAECF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5C90B45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3664335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w:t>
            </w:r>
          </w:p>
        </w:tc>
        <w:tc>
          <w:tcPr>
            <w:tcW w:w="1102" w:type="dxa"/>
          </w:tcPr>
          <w:p w14:paraId="3D119AF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798</w:t>
            </w:r>
          </w:p>
        </w:tc>
        <w:tc>
          <w:tcPr>
            <w:tcW w:w="1086" w:type="dxa"/>
          </w:tcPr>
          <w:p w14:paraId="6772EF3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3F4EEF2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238DE5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6AB78F0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Modified Resident Questionnaire</w:t>
            </w:r>
          </w:p>
        </w:tc>
        <w:tc>
          <w:tcPr>
            <w:tcW w:w="1500" w:type="dxa"/>
          </w:tcPr>
          <w:p w14:paraId="1EF6889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2E3A1A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1BEAEB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B40500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Learning environment</w:t>
            </w:r>
          </w:p>
        </w:tc>
        <w:tc>
          <w:tcPr>
            <w:tcW w:w="1609" w:type="dxa"/>
          </w:tcPr>
          <w:p w14:paraId="5D4A2DC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w:t>
            </w:r>
          </w:p>
        </w:tc>
        <w:tc>
          <w:tcPr>
            <w:tcW w:w="1609" w:type="dxa"/>
          </w:tcPr>
          <w:p w14:paraId="01CBD97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04630C8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5CC8650B"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50FCDAE6"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Rovik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G5VGATG7","properties":{"formattedCitation":"(45)","plainCitation":"(45)","noteIndex":0},"citationItems":[{"id":3095,"uris":["http://zotero.org/users/4975241/items/L7VTUCSC"],"uri":["http://zotero.org/users/4975241/items/L7VTUCSC"],"itemData":{"id":3095,"type":"article-journal","abstract":"Although physicians are known to experience more stress than other workers, knowledge is lacking on the course of stress from a longitudinal perspective. This study explored the course of and contributors to, different dimensions of early career job-stress among physicians by means of a nationwide mail survey, with a particular emphasis on stress relating to the work-home interference. All physicians graduating from all four Norwegian universities in 1993 / 94 (N=631), responded during their final year of medical school (N=522), during their internship (N=402), in their 4th postgraduate year (N=422), and in their 10th postgraduate year (N=390). The mean observation period was 9.2 yr (SD=0.5). The main outcomes were job stress dimensions derived from an established job stress questionnaire (Cooper / Tyssen), with emphasis placed on dimensions of the work-home interference. Stress relating to the work-home interference increased during the observation period for both genders (repeated measures: β=0.06, p&lt;0.05), whereas stress relating to emotional pressure, time pressure, and fear of complaints and criticism, decreased. Stress relating to the work-home interference increased during their early career, mainly due to a lack of adaptive reduction in work hours and an increased number of children. Neuroticism, conscientiousness, and lack of support from one’s partner and colleagues, appeared to be predictive of this stress.","container-title":"Industrial Health","DOI":"10.2486/indhealth.45.662","ISSN":"0019-8366, 1880-8026","issue":"5","journalAbbreviation":"Ind Health","language":"en","page":"662-671","source":"DOI.org (Crossref)","title":"Job Stress in Young Physicians with an Emphasis on the Work-Home Interface: A Nine-Year, Nationwide and Longitudinal Study of its Course and Predictors","title-short":"Job Stress in Young Physicians with an Emphasis on the Work-Home Interface","volume":"45","author":[{"family":"Røvik","given":"Jan Ole"},{"family":"Tyssen","given":"Reidar"},{"family":"Hem","given":"Erlend"},{"family":"Gude","given":"Tore"},{"family":"Ekeberg","given":"Øivind"},{"family":"Moum","given":"Torbjørn"},{"family":"Vaglum","given":"Per"}],"issued":{"date-parts":[["2007"]]}}}],"schema":"https://github.com/citation-style-language/schema/raw/master/csl-citation.json"} </w:instrText>
            </w:r>
            <w:r>
              <w:rPr>
                <w:rFonts w:ascii="Calibri" w:hAnsi="Calibri" w:cs="Calibri"/>
                <w:color w:val="000000"/>
                <w:sz w:val="20"/>
                <w:szCs w:val="20"/>
              </w:rPr>
              <w:fldChar w:fldCharType="separate"/>
            </w:r>
            <w:r>
              <w:rPr>
                <w:rFonts w:ascii="Calibri" w:hAnsi="Calibri" w:cs="Calibri"/>
                <w:color w:val="000000"/>
                <w:sz w:val="20"/>
              </w:rPr>
              <w:t>(45)</w:t>
            </w:r>
            <w:r>
              <w:rPr>
                <w:rFonts w:ascii="Calibri" w:hAnsi="Calibri" w:cs="Calibri"/>
                <w:color w:val="000000"/>
                <w:sz w:val="20"/>
                <w:szCs w:val="20"/>
              </w:rPr>
              <w:fldChar w:fldCharType="end"/>
            </w:r>
          </w:p>
        </w:tc>
        <w:tc>
          <w:tcPr>
            <w:tcW w:w="1130" w:type="dxa"/>
          </w:tcPr>
          <w:p w14:paraId="0F667D7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2007</w:t>
            </w:r>
          </w:p>
        </w:tc>
        <w:tc>
          <w:tcPr>
            <w:tcW w:w="1337" w:type="dxa"/>
          </w:tcPr>
          <w:p w14:paraId="69E8759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Norway</w:t>
            </w:r>
          </w:p>
        </w:tc>
        <w:tc>
          <w:tcPr>
            <w:tcW w:w="1434" w:type="dxa"/>
          </w:tcPr>
          <w:p w14:paraId="15F39AD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3D86F48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7D60C10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3D91FE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402</w:t>
            </w:r>
          </w:p>
        </w:tc>
        <w:tc>
          <w:tcPr>
            <w:tcW w:w="1086" w:type="dxa"/>
          </w:tcPr>
          <w:p w14:paraId="3BA9A0F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7591A2A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F191EC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31BFABB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Cooper Job Stress</w:t>
            </w:r>
          </w:p>
        </w:tc>
        <w:tc>
          <w:tcPr>
            <w:tcW w:w="1500" w:type="dxa"/>
          </w:tcPr>
          <w:p w14:paraId="212B4E1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55FB48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39E6A2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w:t>
            </w:r>
          </w:p>
        </w:tc>
        <w:tc>
          <w:tcPr>
            <w:tcW w:w="1609" w:type="dxa"/>
          </w:tcPr>
          <w:p w14:paraId="3F5B275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701384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w:t>
            </w:r>
          </w:p>
        </w:tc>
        <w:tc>
          <w:tcPr>
            <w:tcW w:w="1609" w:type="dxa"/>
          </w:tcPr>
          <w:p w14:paraId="74D7F4E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Construct validity, face validity</w:t>
            </w:r>
          </w:p>
        </w:tc>
        <w:tc>
          <w:tcPr>
            <w:tcW w:w="1609" w:type="dxa"/>
          </w:tcPr>
          <w:p w14:paraId="1BDBDD6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6987E27A"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0ED9478B"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Chandramouleeswaranet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N6jwIY3f","properties":{"formattedCitation":"(46)","plainCitation":"(46)","noteIndex":0},"citationItems":[{"id":3096,"uris":["http://zotero.org/users/4975241/items/E59B9RTP"],"uri":["http://zotero.org/users/4975241/items/E59B9RTP"],"itemData":{"id":3096,"type":"article-journal","abstract":"Background: It has previously been demonstrated that there is a significant drop in all domains of quality of life among interns during internship. Aims: A modified version of the health consultant’s job stress and satisfaction questionnaire (HCJSSQ) was used to assess and quantify aspects of internship that were perceived as stressful and satisfying. Methods used to cope with work place stress were explored. Settings and Design: A prospective cohort study was undertaken among 93 medical interns doing a rotating internship at the Christian Medical College and Hospital, a tertiary-care hospital in southern India. Materials and Methods: After completion of 6 months of internship, the modified version of the HCJSSQ was administered to all participants. Statistical Analysis: The data were entered into Statistical Package for the Social Sciences (SPSS) Version 9 by double data entry technique. Percentages of interns reporting high levels of stress, satisfaction were calculated. Results: While 63.4% of interns reported high levels of satisfaction, 45.2% of the interns experienced high levels of stress, 17.6% coped with work stress by using alcohol and nicotine, and 37% coped through unhealthy eating habits. Conclusion: More people found internship satisfying than stressful. However, a high proportion found it stressful, and many reported unhealthy coping mechanisms.","container-title":"Indian Journal of Psychological Medicine","DOI":"10.4103/0253-7176.135387","ISSN":"0253-7176, 0975-1564","issue":"3","journalAbbreviation":"Indian Journal of Psychological Medicine","language":"en","page":"308-311","source":"DOI.org (Crossref)","title":"Job Stress, Satisfaction, and Coping Strategies Among Medical Interns in a South Indian Tertiary Hospital","volume":"36","author":[{"family":"Chandramouleeswaran","given":"Susmita"},{"family":"Edwin","given":"Natasha C"},{"family":"Braganza","given":"Deepa"}],"issued":{"date-parts":[["2014",7]]}}}],"schema":"https://github.com/citation-style-language/schema/raw/master/csl-citation.json"}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(46)</w:t>
            </w:r>
            <w:r>
              <w:rPr>
                <w:rFonts w:ascii="Calibri" w:hAnsi="Calibri" w:cs="Calibri"/>
                <w:color w:val="000000"/>
                <w:sz w:val="20"/>
                <w:szCs w:val="20"/>
              </w:rPr>
              <w:fldChar w:fldCharType="end"/>
            </w:r>
          </w:p>
        </w:tc>
        <w:tc>
          <w:tcPr>
            <w:tcW w:w="1130" w:type="dxa"/>
          </w:tcPr>
          <w:p w14:paraId="409A4C3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2014</w:t>
            </w:r>
          </w:p>
        </w:tc>
        <w:tc>
          <w:tcPr>
            <w:tcW w:w="1337" w:type="dxa"/>
          </w:tcPr>
          <w:p w14:paraId="7A6B37C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India</w:t>
            </w:r>
          </w:p>
        </w:tc>
        <w:tc>
          <w:tcPr>
            <w:tcW w:w="1434" w:type="dxa"/>
          </w:tcPr>
          <w:p w14:paraId="7E474D3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106A304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54CB63B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19BD65B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93</w:t>
            </w:r>
          </w:p>
        </w:tc>
        <w:tc>
          <w:tcPr>
            <w:tcW w:w="1086" w:type="dxa"/>
          </w:tcPr>
          <w:p w14:paraId="11F39EC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A1E2F5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30A5B7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3F64D08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Health Consultant’s Job Stress and Satisfaction questionnaire </w:t>
            </w:r>
          </w:p>
        </w:tc>
        <w:tc>
          <w:tcPr>
            <w:tcW w:w="1500" w:type="dxa"/>
          </w:tcPr>
          <w:p w14:paraId="19A0D07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96B4F8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4D610F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satisfaction</w:t>
            </w:r>
          </w:p>
        </w:tc>
        <w:tc>
          <w:tcPr>
            <w:tcW w:w="1609" w:type="dxa"/>
          </w:tcPr>
          <w:p w14:paraId="1356567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23FA83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F24F41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17B3D89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308C9933"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1D085E2E"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Henning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tNgHPwdT","properties":{"formattedCitation":"(47)","plainCitation":"(47)","noteIndex":0},"citationItems":[{"id":3097,"uris":["http://zotero.org/users/4975241/items/3F28C6I7"],"uri":["http://zotero.org/users/4975241/items/3F28C6I7"],"itemData":{"id":3097,"type":"article-journal","container-title":"Perspectives on Medical Education","DOI":"10.1007/s40037-013-0075-y","ISSN":"2212-2761, 2212-277X","issue":"2","journalAbbreviation":"Perspect Med Educ","language":"en","page":"136-143","source":"DOI.org (Crossref)","title":"Junior doctors in their first year: mental health, quality of life, burnout and heart rate variability","title-short":"Junior doctors in their first year","volume":"3","author":[{"family":"Henning","given":"Marcus A."},{"family":"Sollers","given":"John"},{"family":"Strom","given":"Joanna M."},{"family":"Hill","given":"Andrew G."},{"family":"Lyndon","given":"Mataroria P."},{"family":"Cumin","given":"David"},{"family":"Hawken","given":"Susan J."}],"issued":{"date-parts":[["2014",4]]}}}],"schema":"https://github.com/citation-style-language/schema/raw/master/csl-citation.json"}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(47)</w:t>
            </w:r>
            <w:r>
              <w:rPr>
                <w:rFonts w:ascii="Calibri" w:hAnsi="Calibri" w:cs="Calibri"/>
                <w:color w:val="000000"/>
                <w:sz w:val="20"/>
                <w:szCs w:val="20"/>
              </w:rPr>
              <w:fldChar w:fldCharType="end"/>
            </w:r>
          </w:p>
        </w:tc>
        <w:tc>
          <w:tcPr>
            <w:tcW w:w="1130" w:type="dxa"/>
          </w:tcPr>
          <w:p w14:paraId="6511C7D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2013</w:t>
            </w:r>
          </w:p>
        </w:tc>
        <w:tc>
          <w:tcPr>
            <w:tcW w:w="1337" w:type="dxa"/>
          </w:tcPr>
          <w:p w14:paraId="762CD86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New Zealand</w:t>
            </w:r>
          </w:p>
        </w:tc>
        <w:tc>
          <w:tcPr>
            <w:tcW w:w="1434" w:type="dxa"/>
          </w:tcPr>
          <w:p w14:paraId="3177AC7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Junior doctor in their first year</w:t>
            </w:r>
          </w:p>
        </w:tc>
        <w:tc>
          <w:tcPr>
            <w:tcW w:w="1106" w:type="dxa"/>
          </w:tcPr>
          <w:p w14:paraId="571FDCD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7C682A3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4328D22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17</w:t>
            </w:r>
          </w:p>
        </w:tc>
        <w:tc>
          <w:tcPr>
            <w:tcW w:w="1086" w:type="dxa"/>
          </w:tcPr>
          <w:p w14:paraId="10130F5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4640490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B3E9C3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1BFC8BF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Depression, Anxiety and Stress Scales</w:t>
            </w:r>
          </w:p>
        </w:tc>
        <w:tc>
          <w:tcPr>
            <w:tcW w:w="1500" w:type="dxa"/>
          </w:tcPr>
          <w:p w14:paraId="4291E78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Eurohis quality of life</w:t>
            </w:r>
          </w:p>
        </w:tc>
        <w:tc>
          <w:tcPr>
            <w:tcW w:w="1500" w:type="dxa"/>
          </w:tcPr>
          <w:p w14:paraId="726C28B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Copenhagen Burnout Inventory (CBI)</w:t>
            </w:r>
          </w:p>
        </w:tc>
        <w:tc>
          <w:tcPr>
            <w:tcW w:w="1609" w:type="dxa"/>
          </w:tcPr>
          <w:p w14:paraId="3A62EC4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Depression, stress, burnout, quality of life</w:t>
            </w:r>
          </w:p>
        </w:tc>
        <w:tc>
          <w:tcPr>
            <w:tcW w:w="1609" w:type="dxa"/>
          </w:tcPr>
          <w:p w14:paraId="000FBDC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6F1696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6650E3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0DDE9F2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0015AF99"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CDE00F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Byszewski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QuSsFf0Q","properties":{"formattedCitation":"(48)","plainCitation":"(48)","noteIndex":0},"citationItems":[{"id":3098,"uris":["http://zotero.org/users/4975241/items/8R4N7GGG"],"uri":["http://zotero.org/users/4975241/items/8R4N7GGG"],"itemData":{"id":3098,"type":"article-journal","container-title":"The Clinical Teacher","DOI":"10.1111/tct.12550","ISSN":"17434971","issue":"3","journalAbbreviation":"Clin Teach","language":"en","page":"195-199","source":"DOI.org (Crossref)","title":"Learning environment: assessing resident experience","title-short":"Learning environment","volume":"14","author":[{"family":"Byszewski","given":"Anna"},{"family":"Lochnan","given":"Heather"},{"family":"Johnston","given":"Donna"},{"family":"Seabrook","given":"Christine"},{"family":"Wood","given":"Timothy"}],"issued":{"date-parts":[["2017",6]]}}}],"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(48)</w:t>
            </w:r>
            <w:r>
              <w:rPr>
                <w:rFonts w:ascii="Calibri" w:hAnsi="Calibri" w:cs="Calibri"/>
                <w:color w:val="000000"/>
                <w:sz w:val="20"/>
                <w:szCs w:val="20"/>
              </w:rPr>
              <w:fldChar w:fldCharType="end"/>
            </w:r>
          </w:p>
        </w:tc>
        <w:tc>
          <w:tcPr>
            <w:tcW w:w="1130" w:type="dxa"/>
          </w:tcPr>
          <w:p w14:paraId="0BD6AEA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2017</w:t>
            </w:r>
          </w:p>
        </w:tc>
        <w:tc>
          <w:tcPr>
            <w:tcW w:w="1337" w:type="dxa"/>
          </w:tcPr>
          <w:p w14:paraId="45F6669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Canada</w:t>
            </w:r>
          </w:p>
        </w:tc>
        <w:tc>
          <w:tcPr>
            <w:tcW w:w="1434" w:type="dxa"/>
          </w:tcPr>
          <w:p w14:paraId="18C9FA8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179DFBA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22CCA00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w:t>
            </w:r>
          </w:p>
        </w:tc>
        <w:tc>
          <w:tcPr>
            <w:tcW w:w="1102" w:type="dxa"/>
          </w:tcPr>
          <w:p w14:paraId="1F24A66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187</w:t>
            </w:r>
          </w:p>
        </w:tc>
        <w:tc>
          <w:tcPr>
            <w:tcW w:w="1086" w:type="dxa"/>
          </w:tcPr>
          <w:p w14:paraId="5C119B0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2A75704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6611C9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0693EEE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Learning environment professionalism survey</w:t>
            </w:r>
          </w:p>
        </w:tc>
        <w:tc>
          <w:tcPr>
            <w:tcW w:w="1500" w:type="dxa"/>
          </w:tcPr>
          <w:p w14:paraId="744015F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997719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1EE2F3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996E82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Learning environment</w:t>
            </w:r>
          </w:p>
        </w:tc>
        <w:tc>
          <w:tcPr>
            <w:tcW w:w="1609" w:type="dxa"/>
          </w:tcPr>
          <w:p w14:paraId="3D55652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016777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48F1D21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 test-retest</w:t>
            </w:r>
          </w:p>
        </w:tc>
      </w:tr>
      <w:tr w:rsidR="00E46C9F" w:rsidRPr="00701766" w14:paraId="283A0E9B"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5AFE41FE"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Keim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r8mOgu7K","properties":{"formattedCitation":"(49)","plainCitation":"(49)","noteIndex":0},"citationItems":[{"id":3099,"uris":["http://zotero.org/users/4975241/items/URT46U33"],"uri":["http://zotero.org/users/4975241/items/URT46U33"],"itemData":{"id":3099,"type":"article-journal","abstract":"Requirements to include professionalism in residency curricula have generated a substantial body of literature concerning the environments that fail to nurture professionalism. Local and national surveys provide evidence that a high prevalence of depersonalization and emotional exhaustion exists among residents and that clinical practice is impaired as a result of these factors. A group of 34 residents from ten residency programmes participated in the psychometric testing of a resident wellness assessment instrument that can be rapidly administered, scored, and interpreted. The Brief Resident Wellness Profile is composed of a Mood faces graphical rating item and a six-question subscale. The six-item subscale had good reliability (alpha ¼ 0.83; r ¼ 0.84), convergent validity (r ¼ 0.63), discriminant validity (r ¼ À0.37), and concurrent validity ( p ¼ 0.007). The Mood faces item had good convergent validity (r ¼ 0.66), discriminant validity (r ¼ À0.71), and concurrent validity ( p ¼ 0.008). The Brief Resident Wellness Profile appears to be a reliable and valid instrument that measures residents’ sense of professional accomplishment and mood and can be rapidly administered, scored, and interpreted.","container-title":"Medical Teacher","DOI":"10.1080/01421590600625320","ISSN":"0142-159X, 1466-187X","issue":"4","journalAbbreviation":"Medical Teacher","language":"en","page":"370-374","source":"DOI.org (Crossref)","title":"Measuring wellness among resident physicians","volume":"28","author":[{"family":"Keim","given":"Samuel M."},{"family":"Mays","given":"Mary Z."},{"family":"Williams","given":"Jean M."},{"family":"Serido","given":"Joyce"},{"family":"Harris","given":"Robin B."}],"issued":{"date-parts":[["2006",1]]}}}],"schema":"https://github.com/citation-style-language/schema/raw/master/csl-citation.json"}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(49)</w:t>
            </w:r>
            <w:r>
              <w:rPr>
                <w:rFonts w:ascii="Calibri" w:hAnsi="Calibri" w:cs="Calibri"/>
                <w:color w:val="000000"/>
                <w:sz w:val="20"/>
                <w:szCs w:val="20"/>
              </w:rPr>
              <w:fldChar w:fldCharType="end"/>
            </w:r>
          </w:p>
        </w:tc>
        <w:tc>
          <w:tcPr>
            <w:tcW w:w="1130" w:type="dxa"/>
          </w:tcPr>
          <w:p w14:paraId="67369D1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2006</w:t>
            </w:r>
          </w:p>
        </w:tc>
        <w:tc>
          <w:tcPr>
            <w:tcW w:w="1337" w:type="dxa"/>
          </w:tcPr>
          <w:p w14:paraId="35347CF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39AA661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591A9AA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1-3</w:t>
            </w:r>
          </w:p>
        </w:tc>
        <w:tc>
          <w:tcPr>
            <w:tcW w:w="913" w:type="dxa"/>
          </w:tcPr>
          <w:p w14:paraId="6CACCC6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3C2A079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34</w:t>
            </w:r>
          </w:p>
        </w:tc>
        <w:tc>
          <w:tcPr>
            <w:tcW w:w="1086" w:type="dxa"/>
          </w:tcPr>
          <w:p w14:paraId="3372486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424F9C3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329925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6CDF3C8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Brief resident wellness profile</w:t>
            </w:r>
          </w:p>
        </w:tc>
        <w:tc>
          <w:tcPr>
            <w:tcW w:w="1500" w:type="dxa"/>
          </w:tcPr>
          <w:p w14:paraId="4B22516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profile</w:t>
            </w:r>
          </w:p>
        </w:tc>
        <w:tc>
          <w:tcPr>
            <w:tcW w:w="1500" w:type="dxa"/>
          </w:tcPr>
          <w:p w14:paraId="7E9AA4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Positive states of mind</w:t>
            </w:r>
          </w:p>
        </w:tc>
        <w:tc>
          <w:tcPr>
            <w:tcW w:w="1609" w:type="dxa"/>
          </w:tcPr>
          <w:p w14:paraId="0DA6B86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Wellness, satisfaction, stress</w:t>
            </w:r>
          </w:p>
        </w:tc>
        <w:tc>
          <w:tcPr>
            <w:tcW w:w="1609" w:type="dxa"/>
          </w:tcPr>
          <w:p w14:paraId="4FFCBD2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DF15F6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w:t>
            </w:r>
          </w:p>
        </w:tc>
        <w:tc>
          <w:tcPr>
            <w:tcW w:w="1609" w:type="dxa"/>
          </w:tcPr>
          <w:p w14:paraId="1FE6C5C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Convergent validity, discriminant validity, concurrent </w:t>
            </w:r>
            <w:r w:rsidRPr="00701766">
              <w:rPr>
                <w:rFonts w:ascii="Calibri" w:hAnsi="Calibri" w:cs="Calibri"/>
                <w:color w:val="000000"/>
                <w:sz w:val="20"/>
                <w:szCs w:val="20"/>
              </w:rPr>
              <w:lastRenderedPageBreak/>
              <w:t>validity, face validity</w:t>
            </w:r>
          </w:p>
        </w:tc>
        <w:tc>
          <w:tcPr>
            <w:tcW w:w="1609" w:type="dxa"/>
          </w:tcPr>
          <w:p w14:paraId="733DE2F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lastRenderedPageBreak/>
              <w:t>Internal consistency (cronbach's alpha)</w:t>
            </w:r>
          </w:p>
        </w:tc>
      </w:tr>
      <w:tr w:rsidR="00E46C9F" w:rsidRPr="00701766" w14:paraId="74914CC1"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564F0C2D"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Hoppe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NHagxMCY","properties":{"formattedCitation":"(50)","plainCitation":"(50)","noteIndex":0},"citationItems":[{"id":3100,"uris":["http://zotero.org/users/4975241/items/3N9R8MRB"],"uri":["http://zotero.org/users/4975241/items/3N9R8MRB"],"itemData":{"id":3100,"type":"article-journal","abstract":"Background:An alumni study of graduates from the medical school in Uppsala, was performed to give input into an ongoing reform process. Aims: This study aimed to investigate how medical interns view their undergraduate medical education and the extent to which they felt that the curriculum prepared them for their current positions.\nMethods: A web-based questionnaire was sent out via mail in 2005 to all past graduates who had qualified in Uppsala in 2003.\nResults: Replies were obtained from 69 of 102 students (68%). The most apparent suggested change of the education was increased integration of preclinical and clinical teaching. Correlations were found between student satisfaction with the medical school and perceived teacher attitude, encouragement to reflect, and the graduates’ perception of having sufficient practical abilities. Significant gender differences were found regarding perceived clinical ability and concerning feedback and encouragement from the teachers.\nConclusions: Our results suggest more direct feedback from the teachers and more integration between basic sciences and clinical education. Female and male students may have different needs. A key question is therefore to encourage teachers to learn about gender since female and male students should equally experience respectful encounters with teachers and doctors acting as role models.","container-title":"Medical Teacher","DOI":"10.1080/01421590802216266","ISSN":"0142-159X, 1466-187X","issue":"5","journalAbbreviation":"Medical Teacher","language":"en","page":"426-432","source":"DOI.org (Crossref)","title":"Medical interns’ view of their undergraduate medical education in Uppsala: An alumnus study with clear attitude differences between women and men","title-short":"Medical interns’ view of their undergraduate medical education in Uppsala","volume":"31","author":[{"family":"Hoppe","given":"Astrid"},{"family":"Persson","given":"Elisabeth"},{"family":"Birgegård","given":"Gunnar"}],"issued":{"date-parts":[["2009",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(50)</w:t>
            </w:r>
            <w:r>
              <w:rPr>
                <w:rFonts w:ascii="Calibri" w:hAnsi="Calibri" w:cs="Calibri"/>
                <w:color w:val="000000"/>
                <w:sz w:val="20"/>
                <w:szCs w:val="20"/>
              </w:rPr>
              <w:fldChar w:fldCharType="end"/>
            </w:r>
          </w:p>
        </w:tc>
        <w:tc>
          <w:tcPr>
            <w:tcW w:w="1130" w:type="dxa"/>
          </w:tcPr>
          <w:p w14:paraId="3192F93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2009</w:t>
            </w:r>
          </w:p>
        </w:tc>
        <w:tc>
          <w:tcPr>
            <w:tcW w:w="1337" w:type="dxa"/>
          </w:tcPr>
          <w:p w14:paraId="6E6F3E7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Sweden</w:t>
            </w:r>
          </w:p>
        </w:tc>
        <w:tc>
          <w:tcPr>
            <w:tcW w:w="1434" w:type="dxa"/>
          </w:tcPr>
          <w:p w14:paraId="3CBB6D3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7D5A7E1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13A5579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491EC85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69</w:t>
            </w:r>
          </w:p>
        </w:tc>
        <w:tc>
          <w:tcPr>
            <w:tcW w:w="1086" w:type="dxa"/>
          </w:tcPr>
          <w:p w14:paraId="3CF7EB0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0E001AF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35179B7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65B442B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F6FD3B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01B36D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F143BA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642976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 feedback, supervision, communication, training</w:t>
            </w:r>
          </w:p>
        </w:tc>
        <w:tc>
          <w:tcPr>
            <w:tcW w:w="1609" w:type="dxa"/>
          </w:tcPr>
          <w:p w14:paraId="03B6CA0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671E55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2A78BA5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1E23B9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053A8E5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Han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kydWK7r6","properties":{"formattedCitation":"(51)","plainCitation":"(51)","noteIndex":0},"citationItems":[{"id":3101,"uris":["http://zotero.org/users/4975241/items/U4MIAPLY"],"uri":["http://zotero.org/users/4975241/items/U4MIAPLY"],"itemData":{"id":3101,"type":"article-journal","abstract":"INTRODUCTION Effective mentoring helps interns in the early stages of their medical career to reach personal and professional goals. This study investigated the mentoring experience of Korean interns during medical internship and evaluated mentoring effects to facilitate the development of future mentoring programmes.\nMETHODS Participants were interns being trained at Chonnam National University Hospital, South Korea, in 2011. Interns were asked to complete a questionnaire about their mentoring experiences and job satisfaction.\nRESULTS A total of 61 medical interns participated in the study, giving a response rate of 70.1%. Among these interns, 26 (42.6%) had mentoring experiences, with an average of 2.3 ± 1.9 mentors per mentee. Mentees usually discussed career planning and concerns regarding their personal and social lives with their mentors. Perceived quality of the mentor was signiﬁcantly more important for male mentees than for female mentees. Female interns without a mentor made signiﬁcantly less effort to seek a mentor than their male counterparts. Having and not having a mentor resulted in signiﬁcant differences in the interns’ job satisfaction.\nCONCLUSION Fewer than half of the medical interns had mentoring experiences. Results suggest that the mentoring relationship may be less satisfying and more challenging for female interns. Effective mentoring may not only help interns plan their medical career, but also increase job satisfaction. Mentoring programmes during medical internship should be expanded and supported, as it is the initial step in a medical career.","container-title":"Singapore Medical Journal","DOI":"10.11622/smedj.2014157","ISSN":"00375675","issue":"11","journalAbbreviation":"smedj","language":"en","page":"593-597","source":"DOI.org (Crossref)","title":"Mentoring experience and its effects on medical interns","volume":"55","author":[{"family":"Han","given":"Er"},{"family":"Chung","given":"Ek"},{"family":"Oh","given":"Sa"},{"family":"Woo","given":"Yj"},{"family":"Hitchcock","given":"Ma"}],"issued":{"date-parts":[["2014",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(51)</w:t>
            </w:r>
            <w:r>
              <w:rPr>
                <w:rFonts w:ascii="Calibri" w:hAnsi="Calibri" w:cs="Calibri"/>
                <w:color w:val="000000"/>
                <w:sz w:val="20"/>
                <w:szCs w:val="20"/>
              </w:rPr>
              <w:fldChar w:fldCharType="end"/>
            </w:r>
          </w:p>
        </w:tc>
        <w:tc>
          <w:tcPr>
            <w:tcW w:w="1130" w:type="dxa"/>
          </w:tcPr>
          <w:p w14:paraId="327252D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2014</w:t>
            </w:r>
          </w:p>
        </w:tc>
        <w:tc>
          <w:tcPr>
            <w:tcW w:w="1337" w:type="dxa"/>
          </w:tcPr>
          <w:p w14:paraId="66E0589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South Korea</w:t>
            </w:r>
          </w:p>
        </w:tc>
        <w:tc>
          <w:tcPr>
            <w:tcW w:w="1434" w:type="dxa"/>
          </w:tcPr>
          <w:p w14:paraId="47B3A74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5225CD8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0F4B63E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5A43776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61</w:t>
            </w:r>
          </w:p>
        </w:tc>
        <w:tc>
          <w:tcPr>
            <w:tcW w:w="1086" w:type="dxa"/>
          </w:tcPr>
          <w:p w14:paraId="6949250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361F541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AEAC80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4C09B40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Mentorship effectiveness scale</w:t>
            </w:r>
          </w:p>
        </w:tc>
        <w:tc>
          <w:tcPr>
            <w:tcW w:w="1500" w:type="dxa"/>
          </w:tcPr>
          <w:p w14:paraId="2B4C3C9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Minnesota Satisfaction Questionnaire</w:t>
            </w:r>
          </w:p>
        </w:tc>
        <w:tc>
          <w:tcPr>
            <w:tcW w:w="1500" w:type="dxa"/>
          </w:tcPr>
          <w:p w14:paraId="26BD7B1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E2731F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Job satisfaction</w:t>
            </w:r>
          </w:p>
        </w:tc>
        <w:tc>
          <w:tcPr>
            <w:tcW w:w="1609" w:type="dxa"/>
          </w:tcPr>
          <w:p w14:paraId="50B39A3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w:t>
            </w:r>
          </w:p>
        </w:tc>
        <w:tc>
          <w:tcPr>
            <w:tcW w:w="1609" w:type="dxa"/>
          </w:tcPr>
          <w:p w14:paraId="152FAAD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0B8B2F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28B5CF6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585D1A10"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3F151142"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Bu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x5HncJze","properties":{"formattedCitation":"(52)","plainCitation":"(52)","noteIndex":0},"citationItems":[{"id":3245,"uris":["http://zotero.org/users/4975241/items/2ZBRY8H6"],"uri":["http://zotero.org/users/4975241/items/2ZBRY8H6"],"itemData":{"id":3245,"type":"article-journal","abstract":"Background: Mindfulness has been shown to reduce stress and burnout in medical students and healthcare professionals. This is a quality improvement study which assessed the feasibility of conducting a full-scale evaluation of a mindfulness intervention among UK foundation doctors to reduce stress and burnout.\nMethods: This is an uncontrolled before and after study taking place in a single university teaching hospital. The RE-AIM framework which comprises of five dimensions including Reach, Adoption, Effectiveness, Implementation, and Maintenance was used to guide this assessment. The intervention was a 6-week ‘Mindfulness in the Workplace’ course. The primary measure was change in self-reported levels of stress immediately before and after the course. Additional measures explored the subjective experiences of participating doctors through the use of questionnaires handed out before and after the course.\nResults: All 20 places on the course were filled from the population of 108 foundation doctors at the trust with an equal number of foundation year 1 (n = 10) and foundation year 2 (n = 10) doctors. Sixteen participants (80%) attended one or more sessions. The median baseline stress score of the participants was 6.5 (range = 2 to 9). The median post-course stress score was 5.0 (range = 2 to 8). The Mann-Witney test indicated that the stress levels of participants were significantly lower at the end of the course compared to baseline, U = 74.50, p = .04. Additional measures suggested that the intervention may be associated with some other potential promising benefits for doctors including greater wellbeing, improved working life, and more satisfactory relationships with patients. Implementation of this intervention requires further work at the institutional level because only 35% of participants completed the full intervention, the main barrier being work commitments.\nConclusion: This is the first programme of research to evaluate the feasibility of trialling and implementing a modified ‘Mindfulness in the Workplace’ intervention for foundation junior doctors in the UK. Based on the findings from this study, we conclude that this intervention is promising but further modifications are required such as the use of validated outcome measures and improving delivery aspects before this intervention programme is trialled among foundation doctors in the UK.","container-title":"Pilot and Feasibility Studies","DOI":"10.1186/s40814-019-0449-y","ISSN":"2055-5784","issue":"1","journalAbbreviation":"Pilot Feasibility Stud","language":"en","page":"61","source":"DOI.org (Crossref)","title":"Mindfulness intervention for foundation year doctors: a feasibility study","title-short":"Mindfulness intervention for foundation year doctors","volume":"5","author":[{"family":"Bu","given":"Christopher Nyi Nyi"},{"family":"Cotzias","given":"Elizabeth"},{"family":"Panagioti","given":"Maria"}],"issued":{"date-parts":[["2019",12]]}}}],"schema":"https://github.com/citation-style-language/schema/raw/master/csl-citation.json"}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(52)</w:t>
            </w:r>
            <w:r>
              <w:rPr>
                <w:rFonts w:ascii="Calibri" w:hAnsi="Calibri" w:cs="Calibri"/>
                <w:color w:val="000000"/>
                <w:sz w:val="20"/>
                <w:szCs w:val="20"/>
              </w:rPr>
              <w:fldChar w:fldCharType="end"/>
            </w:r>
          </w:p>
        </w:tc>
        <w:tc>
          <w:tcPr>
            <w:tcW w:w="1130" w:type="dxa"/>
          </w:tcPr>
          <w:p w14:paraId="2643DF0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2019</w:t>
            </w:r>
          </w:p>
        </w:tc>
        <w:tc>
          <w:tcPr>
            <w:tcW w:w="1337" w:type="dxa"/>
          </w:tcPr>
          <w:p w14:paraId="14D0D9E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2B44472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7569E9D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7B3D056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6F04CC5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w:t>
            </w:r>
          </w:p>
        </w:tc>
        <w:tc>
          <w:tcPr>
            <w:tcW w:w="1086" w:type="dxa"/>
          </w:tcPr>
          <w:p w14:paraId="261FAE3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286B965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273C5C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6E7716E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9B714F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FACB25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F4235D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well-being</w:t>
            </w:r>
          </w:p>
        </w:tc>
        <w:tc>
          <w:tcPr>
            <w:tcW w:w="1609" w:type="dxa"/>
          </w:tcPr>
          <w:p w14:paraId="7A18D74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6073B3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E76D1C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2F5B306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4A08BB5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06BDC39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Cave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IRCzcRbZ","properties":{"formattedCitation":"(53)","plainCitation":"(53)","noteIndex":0},"citationItems":[{"id":3246,"uris":["http://zotero.org/users/4975241/items/M8DGG3DL"],"uri":["http://zotero.org/users/4975241/items/M8DGG3DL"],"itemData":{"id":3246,"type":"article-journal","abstract":"Background: A survey of newly qualified doctors in the UK in 2000/2001 found that 42% of them felt unprepared for their first year of employment in clinical posts. We report on how UK qualifiers' preparedness has changed since then, and on the impact of course changes upon preparedness.\nMethods: Postal questionnaires were sent to all doctors who qualified from UK medical schools, in their first year of clinical work, in 2003 (n = 4257) and 2005 (n = 4784); and findings were compared with those in 2000/2001 (n = 5330). The response rates were 67% in 2000/2001, 65% in 2003, and 43% in 2005. The outcome measure was the percentage of doctors agreeing with the statement \"My experience at medical school has prepared me well for the jobs I have undertaken so far\".\nResults: In the 2000/2001 survey 36.3% strongly agreed or agreed with the statement, as did 50.3% in the 2003 survey and 58.5% in 2005 (chi-squared test for linear trend: χ2 = 259.5; df = 1; p &lt; 0.001). Substantial variation in preparedness between doctors from different medical schools, reported in the first survey, was still present in 2003 and 2005. Between 1998 and 2006 all UK medical schools updated their courses. Within each cohort a significantly higher percentage of the respondents from schools with updated courses felt well prepared.\nConclusion: UK medical schools are now training doctors who feel better prepared for work than in the past. Some of the improvement may be attributable to curricular change.","container-title":"BMC Medical Education","DOI":"10.1186/1472-6920-7-38","ISSN":"1472-6920","issue":"1","journalAbbreviation":"BMC Med Educ","language":"en","page":"38","source":"DOI.org (Crossref)","title":"Newly qualified doctors' views about whether their medical school had trained them well: questionnaire surveys","title-short":"Newly qualified doctors' views about whether their medical school had trained them well","volume":"7","author":[{"family":"Cave","given":"Judith"},{"family":"Goldacre","given":"Michael"},{"family":"Lambert","given":"Trevor"},{"family":"Woolf","given":"Kath"},{"family":"Jones","given":"Alison"},{"family":"Dacre","given":"Jane"}],"issued":{"date-parts":[["2007",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(53)</w:t>
            </w:r>
            <w:r>
              <w:rPr>
                <w:rFonts w:ascii="Calibri" w:hAnsi="Calibri" w:cs="Calibri"/>
                <w:color w:val="000000"/>
                <w:sz w:val="20"/>
                <w:szCs w:val="20"/>
              </w:rPr>
              <w:fldChar w:fldCharType="end"/>
            </w:r>
          </w:p>
        </w:tc>
        <w:tc>
          <w:tcPr>
            <w:tcW w:w="1130" w:type="dxa"/>
          </w:tcPr>
          <w:p w14:paraId="3904266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2007</w:t>
            </w:r>
          </w:p>
        </w:tc>
        <w:tc>
          <w:tcPr>
            <w:tcW w:w="1337" w:type="dxa"/>
          </w:tcPr>
          <w:p w14:paraId="6F432FD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7F900C5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Junior doctor in their first year</w:t>
            </w:r>
          </w:p>
        </w:tc>
        <w:tc>
          <w:tcPr>
            <w:tcW w:w="1106" w:type="dxa"/>
          </w:tcPr>
          <w:p w14:paraId="54359A4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276D673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2B1CC03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4874 in 2005, 5330 in 2000</w:t>
            </w:r>
          </w:p>
        </w:tc>
        <w:tc>
          <w:tcPr>
            <w:tcW w:w="1086" w:type="dxa"/>
          </w:tcPr>
          <w:p w14:paraId="090773D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7DF317B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1E13B1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68A5C8E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B1A6D5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FE1676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548376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E83312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w:t>
            </w:r>
          </w:p>
        </w:tc>
        <w:tc>
          <w:tcPr>
            <w:tcW w:w="1609" w:type="dxa"/>
          </w:tcPr>
          <w:p w14:paraId="4A0290B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F76C8F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6B08C20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7410A835"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4C080459"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Kazmi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hCNS8xD1","properties":{"formattedCitation":"(54)","plainCitation":"(54)","noteIndex":0},"citationItems":[{"id":3304,"uris":["http://zotero.org/users/4975241/items/C2ET4CLN"],"uri":["http://zotero.org/users/4975241/items/C2ET4CLN"],"itemData":{"id":3304,"type":"article-journal","abstract":"BACKGROUND: Doctors especially house officers are under a great deal of stress related to a variety of occupational stressors. Occupational stressors contribute to organizational inefficiency, high staff turnover, absenteeism due to sickness, decreased quality, and quantity of practice, increased costs of health care, and decreased job satisfaction. One of the organizational outcomes that affected by occupational stress is job performance. The purpose of the present study was to investigate the effect of job stress on job performance.\nMETHODS: The universe of the study is District Abbottabad and the complete population of house officers was targeted which were present at that time were 55. The data obtained through questionnaire was analyzed using the statistical methods including descriptive statistics, Spearman's correlation and multiple regression.\nRESULTS: The analysis showed strong support for the hypothesis that there is an inverse relationship between job stress and job performance indicating that there is high job stress in the house officers, resulting in low job performance.\nCONCLUSION: Correct stress management should start from improved health and good intrapersonal relationships. The prevention and management of workplace stress requires organizational level interventions, because it is the organization that creates the stress. Success in managing and preventing stress will depend on the culture in the organization. A culture of openness and understanding, rather than of criticism, is essential. Those house officers who had high level of job stress had low job performance. All the factors affected male house officers more than the female house officers.","container-title":"Journal of Ayub Medical College, Abbottabad: JAMC","ISSN":"1025-9589","issue":"3","journalAbbreviation":"J Ayub Med Coll Abbottabad","language":"eng","note":"PMID: 19610539","page":"135-139","source":"PubMed","title":"Occupational stress and its effect on job performance. A case study of medical house officers of district Abbottabad","volume":"20","author":[{"family":"Kazmi","given":"Rubina"},{"family":"Amjad","given":"Shehla"},{"family":"Khan","given":"Delawar"}],"issued":{"date-parts":[["2008",9]]}}}],"schema":"https://github.com/citation-style-language/schema/raw/master/csl-citation.json"}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(54)</w:t>
            </w:r>
            <w:r>
              <w:rPr>
                <w:rFonts w:ascii="Calibri" w:hAnsi="Calibri" w:cs="Calibri"/>
                <w:color w:val="000000"/>
                <w:sz w:val="20"/>
                <w:szCs w:val="20"/>
              </w:rPr>
              <w:fldChar w:fldCharType="end"/>
            </w:r>
          </w:p>
        </w:tc>
        <w:tc>
          <w:tcPr>
            <w:tcW w:w="1130" w:type="dxa"/>
          </w:tcPr>
          <w:p w14:paraId="6A9B9AF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2008</w:t>
            </w:r>
          </w:p>
        </w:tc>
        <w:tc>
          <w:tcPr>
            <w:tcW w:w="1337" w:type="dxa"/>
          </w:tcPr>
          <w:p w14:paraId="6E946D9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Pakistan</w:t>
            </w:r>
          </w:p>
        </w:tc>
        <w:tc>
          <w:tcPr>
            <w:tcW w:w="1434" w:type="dxa"/>
          </w:tcPr>
          <w:p w14:paraId="4F3C0ED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House officer</w:t>
            </w:r>
          </w:p>
        </w:tc>
        <w:tc>
          <w:tcPr>
            <w:tcW w:w="1106" w:type="dxa"/>
          </w:tcPr>
          <w:p w14:paraId="4E1347A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54B14FF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3155F00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55</w:t>
            </w:r>
          </w:p>
        </w:tc>
        <w:tc>
          <w:tcPr>
            <w:tcW w:w="1086" w:type="dxa"/>
          </w:tcPr>
          <w:p w14:paraId="48E61DF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3F17D23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FE840C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Not available</w:t>
            </w:r>
          </w:p>
        </w:tc>
        <w:tc>
          <w:tcPr>
            <w:tcW w:w="1499" w:type="dxa"/>
          </w:tcPr>
          <w:p w14:paraId="5C09DFF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1E2FAF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BC30B4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494A76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w:t>
            </w:r>
          </w:p>
        </w:tc>
        <w:tc>
          <w:tcPr>
            <w:tcW w:w="1609" w:type="dxa"/>
          </w:tcPr>
          <w:p w14:paraId="55E791C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Communication, supervision</w:t>
            </w:r>
          </w:p>
        </w:tc>
        <w:tc>
          <w:tcPr>
            <w:tcW w:w="1609" w:type="dxa"/>
          </w:tcPr>
          <w:p w14:paraId="2FCF89C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w:t>
            </w:r>
          </w:p>
        </w:tc>
        <w:tc>
          <w:tcPr>
            <w:tcW w:w="1609" w:type="dxa"/>
          </w:tcPr>
          <w:p w14:paraId="47E684D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71841B1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019A43B7"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3E11EB85"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Hassan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0exyrhur","properties":{"formattedCitation":"(55)","plainCitation":"(55)","noteIndex":0},"citationItems":[{"id":3248,"uris":["http://zotero.org/users/4975241/items/JHC8B6L7"],"uri":["http://zotero.org/users/4975241/items/JHC8B6L7"],"itemData":{"id":3248,"type":"article-journal","abstract":"Background: House officers training has always been regarded as a highly stressful environment to doctors. The objectives of our study were to assess perceived stress and sources of stress among house officers. Materials and Methods: A cross</w:instrText>
            </w:r>
            <w:r>
              <w:rPr>
                <w:rFonts w:ascii="Cambria Math" w:hAnsi="Cambria Math" w:cs="Cambria Math"/>
                <w:color w:val="000000"/>
                <w:sz w:val="20"/>
                <w:szCs w:val="20"/>
              </w:rPr>
              <w:instrText>‑</w:instrText>
            </w:r>
            <w:r>
              <w:rPr>
                <w:rFonts w:ascii="Calibri" w:hAnsi="Calibri" w:cs="Calibri"/>
                <w:color w:val="000000"/>
                <w:sz w:val="20"/>
                <w:szCs w:val="20"/>
              </w:rPr>
              <w:instrText>sectional questionnaire</w:instrText>
            </w:r>
            <w:r>
              <w:rPr>
                <w:rFonts w:ascii="Cambria Math" w:hAnsi="Cambria Math" w:cs="Cambria Math"/>
                <w:color w:val="000000"/>
                <w:sz w:val="20"/>
                <w:szCs w:val="20"/>
              </w:rPr>
              <w:instrText>‑</w:instrText>
            </w:r>
            <w:r>
              <w:rPr>
                <w:rFonts w:ascii="Calibri" w:hAnsi="Calibri" w:cs="Calibri"/>
                <w:color w:val="000000"/>
                <w:sz w:val="20"/>
                <w:szCs w:val="20"/>
              </w:rPr>
              <w:instrText>based survey was carried out among house officers working in Civil Hospital, Karachi, Pakistan, and Jinnah Postgraduate Medical Centre, Karachi, Pakistan, during November and December, 2013. Perceived stress was assessed using perceived stress scale. A 15</w:instrText>
            </w:r>
            <w:r>
              <w:rPr>
                <w:rFonts w:ascii="Cambria Math" w:hAnsi="Cambria Math" w:cs="Cambria Math"/>
                <w:color w:val="000000"/>
                <w:sz w:val="20"/>
                <w:szCs w:val="20"/>
              </w:rPr>
              <w:instrText>‑</w:instrText>
            </w:r>
            <w:r>
              <w:rPr>
                <w:rFonts w:ascii="Calibri" w:hAnsi="Calibri" w:cs="Calibri"/>
                <w:color w:val="000000"/>
                <w:sz w:val="20"/>
                <w:szCs w:val="20"/>
              </w:rPr>
              <w:instrText>item questionnaire was used to assess sources of stress and was graded by Likert scale (1 = very low, 5 = very high). To calculate the difference of mean for stressors by gender of house officers, t</w:instrText>
            </w:r>
            <w:r>
              <w:rPr>
                <w:rFonts w:ascii="Cambria Math" w:hAnsi="Cambria Math" w:cs="Cambria Math"/>
                <w:color w:val="000000"/>
                <w:sz w:val="20"/>
                <w:szCs w:val="20"/>
              </w:rPr>
              <w:instrText>‑</w:instrText>
            </w:r>
            <w:r>
              <w:rPr>
                <w:rFonts w:ascii="Calibri" w:hAnsi="Calibri" w:cs="Calibri"/>
                <w:color w:val="000000"/>
                <w:sz w:val="20"/>
                <w:szCs w:val="20"/>
              </w:rPr>
              <w:instrText>test with 95% confidence interval was used. Results: The overall response rate was 81.5% (269 out of 330). One hundred twenty</w:instrText>
            </w:r>
            <w:r>
              <w:rPr>
                <w:rFonts w:ascii="Cambria Math" w:hAnsi="Cambria Math" w:cs="Cambria Math"/>
                <w:color w:val="000000"/>
                <w:sz w:val="20"/>
                <w:szCs w:val="20"/>
              </w:rPr>
              <w:instrText>‑</w:instrText>
            </w:r>
            <w:r>
              <w:rPr>
                <w:rFonts w:ascii="Calibri" w:hAnsi="Calibri" w:cs="Calibri"/>
                <w:color w:val="000000"/>
                <w:sz w:val="20"/>
                <w:szCs w:val="20"/>
              </w:rPr>
              <w:instrText xml:space="preserve">nine (47.9%) were found to be under stress of whom 32 (24.8%) were males and 97 (75.2%) were females. Top five stressors reported by house officers were night calls, workload, time pressure, working alone, and coping with diagnostic uncertainty. Significant differences for stressors by gender were found for night calls (P &lt; 0.05), unrealistically high expectation by others (P &lt; 0.05), financial issues (P &lt; 0.05), and lack of senior support (P &lt; 0.05). Conclusion: Majority of house officers working in Civil Hospital, Karachi, and Jinnah Postgraduate Medical Centre, Karachi, were under high level of stress. Therefore, immediate steps should be taken for control of stress and its management.","container-title":"Indian Journal of Occupational and Environmental Medicine","DOI":"10.4103/0019-5278.146914","ISSN":"0019-5278","issue":"3","journalAbbreviation":"Indian J Occup Environ Med","language":"en","page":"145","source":"DOI.org (Crossref)","title":"Perceived stress and stressors among house officers","volume":"18","author":[{"family":"Hassan","given":"Maroof"},{"family":"Hussain","given":"Talal"},{"family":"Ahmed","given":"SyedMustajab"},{"family":"Fraz","given":"TayyabRaza"},{"family":"Rehmat","given":"Zoha"}],"issued":{"date-parts":[["2014"]]}}}],"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(55)</w:t>
            </w:r>
            <w:r>
              <w:rPr>
                <w:rFonts w:ascii="Calibri" w:hAnsi="Calibri" w:cs="Calibri"/>
                <w:color w:val="000000"/>
                <w:sz w:val="20"/>
                <w:szCs w:val="20"/>
              </w:rPr>
              <w:fldChar w:fldCharType="end"/>
            </w:r>
          </w:p>
        </w:tc>
        <w:tc>
          <w:tcPr>
            <w:tcW w:w="1130" w:type="dxa"/>
          </w:tcPr>
          <w:p w14:paraId="5085274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2014</w:t>
            </w:r>
          </w:p>
        </w:tc>
        <w:tc>
          <w:tcPr>
            <w:tcW w:w="1337" w:type="dxa"/>
          </w:tcPr>
          <w:p w14:paraId="1F41BAF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Pakistan</w:t>
            </w:r>
          </w:p>
        </w:tc>
        <w:tc>
          <w:tcPr>
            <w:tcW w:w="1434" w:type="dxa"/>
          </w:tcPr>
          <w:p w14:paraId="37ADA71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House officer</w:t>
            </w:r>
          </w:p>
        </w:tc>
        <w:tc>
          <w:tcPr>
            <w:tcW w:w="1106" w:type="dxa"/>
          </w:tcPr>
          <w:p w14:paraId="1BEEDFC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360C0D1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075F1AD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269</w:t>
            </w:r>
          </w:p>
        </w:tc>
        <w:tc>
          <w:tcPr>
            <w:tcW w:w="1086" w:type="dxa"/>
          </w:tcPr>
          <w:p w14:paraId="6695DB7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1E11158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073F02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4AD1CC2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Perceived stress scale</w:t>
            </w:r>
          </w:p>
        </w:tc>
        <w:tc>
          <w:tcPr>
            <w:tcW w:w="1500" w:type="dxa"/>
          </w:tcPr>
          <w:p w14:paraId="6D92044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5BA16C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F083F7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w:t>
            </w:r>
          </w:p>
        </w:tc>
        <w:tc>
          <w:tcPr>
            <w:tcW w:w="1609" w:type="dxa"/>
          </w:tcPr>
          <w:p w14:paraId="1A76643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AEE374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FCAFD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196CE50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066041AB"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624699F"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Cedfeldt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V86AA3TE","properties":{"formattedCitation":"(56)","plainCitation":"(56)","noteIndex":0},"citationItems":[{"id":3249,"uris":["http://zotero.org/users/4975241/items/URWWV9M4"],"uri":["http://zotero.org/users/4975241/items/URWWV9M4"],"itemData":{"id":3249,"type":"article-journal","container-title":"Medical Education","DOI":"10.1111/j.1365-2923.2010.03773.x","ISSN":"03080110","issue":"10","language":"en","page":"977-984","source":"DOI.org (Crossref)","title":"Personal time off and residents’ career satisfaction, attitudes and emotions: Time off and well-being in residents","title-short":"Personal time off and residents’ career satisfaction, attitudes and emotions","volume":"44","author":[{"family":"Cedfeldt","given":"Andrea S"},{"family":"Bower","given":"Elizabeth A"},{"family":"English","given":"Clea"},{"family":"Grady-Weliky","given":"Tana A"},{"family":"Girard","given":"Donald E"},{"family":"Choi","given":"Dongseok"}],"issued":{"date-parts":[["2010",9,30]]}}}],"schema":"https://github.com/citation-style-language/schema/raw/master/csl-citation.json"}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(56)</w:t>
            </w:r>
            <w:r>
              <w:rPr>
                <w:rFonts w:ascii="Calibri" w:hAnsi="Calibri" w:cs="Calibri"/>
                <w:color w:val="000000"/>
                <w:sz w:val="20"/>
                <w:szCs w:val="20"/>
              </w:rPr>
              <w:fldChar w:fldCharType="end"/>
            </w:r>
          </w:p>
        </w:tc>
        <w:tc>
          <w:tcPr>
            <w:tcW w:w="1130" w:type="dxa"/>
          </w:tcPr>
          <w:p w14:paraId="0DF4BDB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2010</w:t>
            </w:r>
          </w:p>
        </w:tc>
        <w:tc>
          <w:tcPr>
            <w:tcW w:w="1337" w:type="dxa"/>
          </w:tcPr>
          <w:p w14:paraId="011E3F3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006B6E7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3478BE4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1-4+</w:t>
            </w:r>
          </w:p>
        </w:tc>
        <w:tc>
          <w:tcPr>
            <w:tcW w:w="913" w:type="dxa"/>
          </w:tcPr>
          <w:p w14:paraId="17279F1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660F62F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445</w:t>
            </w:r>
          </w:p>
        </w:tc>
        <w:tc>
          <w:tcPr>
            <w:tcW w:w="1086" w:type="dxa"/>
          </w:tcPr>
          <w:p w14:paraId="7754723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7DAFD6E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DD3DA5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236C430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B53397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2D00AE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23F321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job satisfaction, wellbeing, sleep</w:t>
            </w:r>
          </w:p>
        </w:tc>
        <w:tc>
          <w:tcPr>
            <w:tcW w:w="1609" w:type="dxa"/>
          </w:tcPr>
          <w:p w14:paraId="5D722F1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0866EA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0501E4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5CA6CF0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508F4D9"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35C3EA9B"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Kleim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eSA1lusZ","properties":{"formattedCitation":"(57)","plainCitation":"(57)","noteIndex":0},"citationItems":[{"id":3325,"uris":["http://zotero.org/users/4975241/items/AYDX997D"],"uri":["http://zotero.org/users/4975241/items/AYDX997D"],"itemData":{"id":3325,"type":"article-journal","abstract":"Cognitive theories of emotion posit that affective responses may be shaped by how individuals interpret emotion-eliciting situations. This study tested whether individual differences in interpretation bias (i.e., interpreting ambiguous scenarios in a more negative or positive manner) independently predict trait resilience and depression in medical interns. Interpretation bias and trait resilience scores were assessed in 47 interns prior to their first internship. Depressive symptoms were assessed twice during internship. Nearly half of the sample (42%) scored above the cut-off for mild depressive symptoms during internship, a significant rise compared to the initial assessment. Those with a more positive interpretation bias had higher trait resilience (β = 0.44, p = 0.004) and a 6-fold decreased depressive symptom risk during internship (OR = 6.41, p = 0.027). The predictive power of a positive interpretation bias for decreased depression symptoms held over and above initial depressive symptoms, demographics and trait reappraisal. Assessing positive interpretation bias may have practical utility for predicting future well-being in at risk-populations.","container-title":"Frontiers in Psychology","DOI":"10.3389/fpsyg.2014.00640","ISSN":"1664-1078","journalAbbreviation":"Front Psychol","language":"eng","note":"PMID: 25009521\nPMCID: PMC4067546","page":"640","source":"PubMed","title":"Positive interpretation bias predicts well-being in medical interns","volume":"5","author":[{"family":"Kleim","given":"Birgit"},{"family":"Thörn","given":"Hanna A."},{"family":"Ehlert","given":"Ulrike"}],"issued":{"date-parts":[["2014"]]}}}],"schema":"https://github.com/citation-style-language/schema/raw/master/csl-citation.json"}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(57)</w:t>
            </w:r>
            <w:r>
              <w:rPr>
                <w:rFonts w:ascii="Calibri" w:hAnsi="Calibri" w:cs="Calibri"/>
                <w:color w:val="000000"/>
                <w:sz w:val="20"/>
                <w:szCs w:val="20"/>
              </w:rPr>
              <w:fldChar w:fldCharType="end"/>
            </w:r>
          </w:p>
        </w:tc>
        <w:tc>
          <w:tcPr>
            <w:tcW w:w="1130" w:type="dxa"/>
          </w:tcPr>
          <w:p w14:paraId="380BF99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2014</w:t>
            </w:r>
          </w:p>
        </w:tc>
        <w:tc>
          <w:tcPr>
            <w:tcW w:w="1337" w:type="dxa"/>
          </w:tcPr>
          <w:p w14:paraId="3E7352C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Switzerland</w:t>
            </w:r>
          </w:p>
        </w:tc>
        <w:tc>
          <w:tcPr>
            <w:tcW w:w="1434" w:type="dxa"/>
          </w:tcPr>
          <w:p w14:paraId="693A665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0075FD1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497B262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1472CAD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47</w:t>
            </w:r>
          </w:p>
        </w:tc>
        <w:tc>
          <w:tcPr>
            <w:tcW w:w="1086" w:type="dxa"/>
          </w:tcPr>
          <w:p w14:paraId="12DC229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2227290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35E0A9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59CA531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PHQ-9</w:t>
            </w:r>
          </w:p>
        </w:tc>
        <w:tc>
          <w:tcPr>
            <w:tcW w:w="1500" w:type="dxa"/>
          </w:tcPr>
          <w:p w14:paraId="41E3B28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Connor-Davidson-Resilience Scale </w:t>
            </w:r>
          </w:p>
        </w:tc>
        <w:tc>
          <w:tcPr>
            <w:tcW w:w="1500" w:type="dxa"/>
          </w:tcPr>
          <w:p w14:paraId="57452FA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441D32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Depression, stress</w:t>
            </w:r>
          </w:p>
        </w:tc>
        <w:tc>
          <w:tcPr>
            <w:tcW w:w="1609" w:type="dxa"/>
          </w:tcPr>
          <w:p w14:paraId="3C4DCBC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F8F072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D13358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64F9FA6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23CC574C"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23A60D17"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Abuhusain</w:t>
            </w:r>
            <w:r>
              <w:rPr>
                <w:rFonts w:ascii="Calibri" w:hAnsi="Calibri" w:cs="Calibri"/>
                <w:color w:val="000000"/>
                <w:sz w:val="20"/>
                <w:szCs w:val="20"/>
              </w:rPr>
              <w:t xml:space="preserve"> </w:t>
            </w:r>
            <w:r w:rsidRPr="00701766">
              <w:rPr>
                <w:rFonts w:ascii="Calibri" w:hAnsi="Calibri" w:cs="Calibri"/>
                <w:color w:val="000000"/>
                <w:sz w:val="20"/>
                <w:szCs w:val="20"/>
              </w:rPr>
              <w:t xml:space="preserve">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YacjfuZM","properties":{"formattedCitation":"(58)","plainCitation":"(58)","noteIndex":0},"citationItems":[{"id":3286,"uris":["http://zotero.org/users/4975241/items/A74PP2E2"],"uri":["http://zotero.org/users/4975241/items/A74PP2E2"],"itemData":{"id":3286,"type":"article-journal","abstract":"Preparedness of medical school graduates for the intern year is one of the emphasised objectives of undergraduate medical training. We have evaluated the perceived preparedness of graduates undertaking the intern year in the Republic of Ireland. A 9-page questionnaire was mailed to all 497 interns in Ireland following commencement of the intern year in July 2005. Data obtained included demographics, perceived preparedness and assessment of perceived clinical skills (four sub-domains: core competencies, communication, emergencies, and educational environment). Information on intern induction was also collected. 99 questionnaires were returned (19.9%). Most of the cohort were Irish and worked in large medical school teaching hospitals. The majority of interns felt 'unprepared' for the intern year. Interns perceived themselves 'poor' in all areas of clinical skills assessed. Intern induction was attended by the majority and most stated it was too short. Medical schools are actively seeking innovative methods, through early patient contact and sub-internships, to better prepare undergraduates for the intern year. The deficiencies identified in this study are significant and emphasise the need for continued reform in the undergraduate curriculum.","container-title":"Irish Medical Journal","ISSN":"0332-3102","issue":"3","journalAbbreviation":"Ir Med J","language":"eng","note":"PMID: 19489196","page":"82-84","source":"PubMed","title":"Prepared for internship?","volume":"102","author":[{"family":"Abuhusain","given":"H."},{"family":"Chotirmall","given":"S. H."},{"family":"Hamid","given":"N."},{"family":"O'Neill","given":"S. J."}],"issued":{"date-parts":[["2009",3]]}}}],"schema":"https://github.com/citation-style-language/schema/raw/master/csl-citation.json"}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(58)</w:t>
            </w:r>
            <w:r>
              <w:rPr>
                <w:rFonts w:ascii="Calibri" w:hAnsi="Calibri" w:cs="Calibri"/>
                <w:color w:val="000000"/>
                <w:sz w:val="20"/>
                <w:szCs w:val="20"/>
              </w:rPr>
              <w:fldChar w:fldCharType="end"/>
            </w:r>
          </w:p>
        </w:tc>
        <w:tc>
          <w:tcPr>
            <w:tcW w:w="1130" w:type="dxa"/>
          </w:tcPr>
          <w:p w14:paraId="3450E02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2009</w:t>
            </w:r>
          </w:p>
        </w:tc>
        <w:tc>
          <w:tcPr>
            <w:tcW w:w="1337" w:type="dxa"/>
          </w:tcPr>
          <w:p w14:paraId="1DB520B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Ireland</w:t>
            </w:r>
          </w:p>
        </w:tc>
        <w:tc>
          <w:tcPr>
            <w:tcW w:w="1434" w:type="dxa"/>
          </w:tcPr>
          <w:p w14:paraId="48B5352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6AC4A16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1471123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50D5609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99</w:t>
            </w:r>
          </w:p>
        </w:tc>
        <w:tc>
          <w:tcPr>
            <w:tcW w:w="1086" w:type="dxa"/>
          </w:tcPr>
          <w:p w14:paraId="24E73DB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5636C26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DCC18F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Not available</w:t>
            </w:r>
          </w:p>
        </w:tc>
        <w:tc>
          <w:tcPr>
            <w:tcW w:w="1499" w:type="dxa"/>
          </w:tcPr>
          <w:p w14:paraId="69E5D29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0CD643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28A7F0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63707D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83522C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 induction, learning environment</w:t>
            </w:r>
          </w:p>
        </w:tc>
        <w:tc>
          <w:tcPr>
            <w:tcW w:w="1609" w:type="dxa"/>
          </w:tcPr>
          <w:p w14:paraId="19839A9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8CF319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6FAEE67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18467087"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713DC005"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Kelly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9QCzJCD7","properties":{"formattedCitation":"(59)","plainCitation":"(59)","noteIndex":0},"citationItems":[{"id":3251,"uris":["http://zotero.org/users/4975241/items/KSMS9AFJ"],"uri":["http://zotero.org/users/4975241/items/KSMS9AFJ"],"itemData":{"id":3251,"type":"article-journal","abstract":"Objective. To gain better understanding of the work-preparedness of new interns and identify areas where further training and education should be provided. Design. Surveys of new interns assessing self-reported conﬁdence and preparedness for tasks commonly undertaken without direct supervision. The ﬁrst survey was undertaken before the cohort had started work, the second once they had completed their second intern rotation. Setting. A large metropolitan Victorian health service. Participants. All interns starting in 2009 at Southern Health. Of the total 66 interns, 52 (84%) completed the ﬁrst survey and 37 (56%) completed the second. Main outcome measure(s). Self-reported conﬁdence and preparedness for common intern tasks.\nResults. The surveys identiﬁed tasks that interns undertake frequently, their preparedness for these and their conﬁdence in completing them. Although most felt reasonably well prepared by their university training for many tasks they commonly undertake as interns, this was not the case for all tasks. In particular, they did not feel well prepared for the following: preoperative patient review, handover, ﬂuid and medication management, patient admissions, assessment of unstable patients, communication with patients and families, and pain management.\nConclusions. There are particular domains of work-readiness for interns that could be improved. For best results, the training of interns in these common tasks should be undertaken jointly by hospitals and universities to ensure smooth transition from medical student to intern.","container-title":"Australian Health Review","DOI":"10.1071/AH10885","ISSN":"0156-5788","issue":"2","journalAbbreviation":"Aust. Health Review","language":"en","page":"146","source":"DOI.org (Crossref)","title":"Preparedness for internship: a survey of new interns in a large Victorian Health Service","title-short":"Preparedness for internship","volume":"35","author":[{"family":"Kelly","given":"Cate"},{"family":"Noonan","given":"Craig L. F."},{"family":"Monagle","given":"John P."}],"issued":{"date-parts":[["2011"]]}}}],"schema":"https://github.com/citation-style-language/schema/raw/master/csl-citation.json"}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(59)</w:t>
            </w:r>
            <w:r>
              <w:rPr>
                <w:rFonts w:ascii="Calibri" w:hAnsi="Calibri" w:cs="Calibri"/>
                <w:color w:val="000000"/>
                <w:sz w:val="20"/>
                <w:szCs w:val="20"/>
              </w:rPr>
              <w:fldChar w:fldCharType="end"/>
            </w:r>
          </w:p>
        </w:tc>
        <w:tc>
          <w:tcPr>
            <w:tcW w:w="1130" w:type="dxa"/>
          </w:tcPr>
          <w:p w14:paraId="68FC6F9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2011</w:t>
            </w:r>
          </w:p>
        </w:tc>
        <w:tc>
          <w:tcPr>
            <w:tcW w:w="1337" w:type="dxa"/>
          </w:tcPr>
          <w:p w14:paraId="37528DD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Australia</w:t>
            </w:r>
          </w:p>
        </w:tc>
        <w:tc>
          <w:tcPr>
            <w:tcW w:w="1434" w:type="dxa"/>
          </w:tcPr>
          <w:p w14:paraId="75172BB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14F6074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3D82980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560FC8F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52</w:t>
            </w:r>
          </w:p>
        </w:tc>
        <w:tc>
          <w:tcPr>
            <w:tcW w:w="1086" w:type="dxa"/>
          </w:tcPr>
          <w:p w14:paraId="369EA0C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7E8B9AD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CC0C13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19C125F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1DB079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ABE296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C474B8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62A591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w:t>
            </w:r>
          </w:p>
        </w:tc>
        <w:tc>
          <w:tcPr>
            <w:tcW w:w="1609" w:type="dxa"/>
          </w:tcPr>
          <w:p w14:paraId="51A853F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1A9322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12F691D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03F584F"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6157A915"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Goldacre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1y0d0enG","properties":{"formattedCitation":"(60)","plainCitation":"(60)","noteIndex":0},"citationItems":[{"id":3252,"uris":["http://zotero.org/users/4975241/items/HN5APLEI"],"uri":["http://zotero.org/users/4975241/items/HN5APLEI"],"itemData":{"id":3252,"type":"article-journal","container-title":"BMJ","DOI":"10.1136/bmj.326.7397.1011","ISSN":"09598138, 14685833","issue":"7397","language":"en","page":"1011-1012","source":"DOI.org (Crossref)","title":"Preregistration house officers' views on whether their experience at medical school prepared them well for their jobs: national questionnaire survey","title-short":"Preregistration house officers' views on whether their experience at medical school prepared them well for their jobs","volume":"326","author":[{"family":"Goldacre","given":"M. J"}],"issued":{"date-parts":[["2003",5,10]]}}}],"schema":"https://github.com/citation-style-language/schema/raw/master/csl-citation.json"}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(60)</w:t>
            </w:r>
            <w:r>
              <w:rPr>
                <w:rFonts w:ascii="Calibri" w:hAnsi="Calibri" w:cs="Calibri"/>
                <w:color w:val="000000"/>
                <w:sz w:val="20"/>
                <w:szCs w:val="20"/>
              </w:rPr>
              <w:fldChar w:fldCharType="end"/>
            </w:r>
          </w:p>
        </w:tc>
        <w:tc>
          <w:tcPr>
            <w:tcW w:w="1130" w:type="dxa"/>
          </w:tcPr>
          <w:p w14:paraId="7AFE73C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2003</w:t>
            </w:r>
          </w:p>
        </w:tc>
        <w:tc>
          <w:tcPr>
            <w:tcW w:w="1337" w:type="dxa"/>
          </w:tcPr>
          <w:p w14:paraId="0EAB86E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656268F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0B609B0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14290FB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64D096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3446</w:t>
            </w:r>
          </w:p>
        </w:tc>
        <w:tc>
          <w:tcPr>
            <w:tcW w:w="1086" w:type="dxa"/>
          </w:tcPr>
          <w:p w14:paraId="546F263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719C56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2B5D2F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546AEE1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53D20E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524265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6E0C5E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81616E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w:t>
            </w:r>
          </w:p>
        </w:tc>
        <w:tc>
          <w:tcPr>
            <w:tcW w:w="1609" w:type="dxa"/>
          </w:tcPr>
          <w:p w14:paraId="427859E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E1ECF0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1EF9625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72E68E2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792BB652"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Charalambous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iJGkoBke","properties":{"formattedCitation":"(61)","plainCitation":"(61)","noteIndex":0},"citationItems":[{"id":3288,"uris":["http://zotero.org/users/4975241/items/DZ64JLYJ"],"uri":["http://zotero.org/users/4975241/items/DZ64JLYJ"],"itemData":{"id":3288,"type":"article-journal","abstract":"This paper reports the attitudes of medical school graduates participating in the preregistration training programme in Cyprus. There were 2 independent samples, one in the year 2000 of 34 trainees and one in 2002 of 45 trainees. The trainees responded to 45 statements of attitude on a 5-point Likert scale covering 3 areas: workload, educational environment and lifestyle issues. The sample means for each statement were reported in both years and differences between the 2 years were analysed. In general, the trainees had an overall neutral to negative attitude towards the programme in both years and there was little change over the 2 years.","container-title":"Eastern Mediterranean Health Journal = La Revue De Sante De La Mediterranee Orientale = Al-Majallah Al-Sihhiyah Li-Sharq Al-Mutawassit","ISSN":"1020-3397","issue":"1","journalAbbreviation":"East. Mediterr. Health J.","language":"eng","note":"PMID: 17546915","page":"129-137","source":"PubMed","title":"Preregistration programme for medical practice: a survey of Cypriot trainees (2000 and 2002)","title-short":"Preregistration programme for medical practice","volume":"13","author":[{"family":"Charalambous","given":"A."},{"family":"Pantelas","given":"G."},{"family":"Pouloukas","given":"S."}],"issued":{"date-parts":[["2007",2]]}}}],"schema":"https://github.com/citation-style-language/schema/raw/master/csl-citation.json"}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(61)</w:t>
            </w:r>
            <w:r>
              <w:rPr>
                <w:rFonts w:ascii="Calibri" w:hAnsi="Calibri" w:cs="Calibri"/>
                <w:color w:val="000000"/>
                <w:sz w:val="20"/>
                <w:szCs w:val="20"/>
              </w:rPr>
              <w:fldChar w:fldCharType="end"/>
            </w:r>
            <w:r w:rsidRPr="00701766">
              <w:rPr>
                <w:rFonts w:ascii="Calibri" w:hAnsi="Calibri" w:cs="Calibri"/>
                <w:color w:val="000000"/>
                <w:sz w:val="20"/>
                <w:szCs w:val="20"/>
              </w:rPr>
              <w:t xml:space="preserve"> </w:t>
            </w:r>
          </w:p>
        </w:tc>
        <w:tc>
          <w:tcPr>
            <w:tcW w:w="1130" w:type="dxa"/>
          </w:tcPr>
          <w:p w14:paraId="1CFE700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2007</w:t>
            </w:r>
          </w:p>
        </w:tc>
        <w:tc>
          <w:tcPr>
            <w:tcW w:w="1337" w:type="dxa"/>
          </w:tcPr>
          <w:p w14:paraId="681BDF4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Cyprus</w:t>
            </w:r>
          </w:p>
        </w:tc>
        <w:tc>
          <w:tcPr>
            <w:tcW w:w="1434" w:type="dxa"/>
          </w:tcPr>
          <w:p w14:paraId="1050BB5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trainee</w:t>
            </w:r>
          </w:p>
        </w:tc>
        <w:tc>
          <w:tcPr>
            <w:tcW w:w="1106" w:type="dxa"/>
          </w:tcPr>
          <w:p w14:paraId="04300D0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42710BF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5E468E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79</w:t>
            </w:r>
          </w:p>
        </w:tc>
        <w:tc>
          <w:tcPr>
            <w:tcW w:w="1086" w:type="dxa"/>
          </w:tcPr>
          <w:p w14:paraId="2698666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3F9CDE5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009E16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16182E2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 60-item instrument developed by Bellini</w:t>
            </w:r>
          </w:p>
        </w:tc>
        <w:tc>
          <w:tcPr>
            <w:tcW w:w="1500" w:type="dxa"/>
          </w:tcPr>
          <w:p w14:paraId="38AFD8A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D1651A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C48428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B2CDF0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Feedback, learning environment, supervision</w:t>
            </w:r>
          </w:p>
        </w:tc>
        <w:tc>
          <w:tcPr>
            <w:tcW w:w="1609" w:type="dxa"/>
          </w:tcPr>
          <w:p w14:paraId="7373F86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 infrastructure, harassment, pay and renumeration, food and accommodation</w:t>
            </w:r>
          </w:p>
        </w:tc>
        <w:tc>
          <w:tcPr>
            <w:tcW w:w="1609" w:type="dxa"/>
          </w:tcPr>
          <w:p w14:paraId="430DC62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0278E49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C9331AE"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1E886CD"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Lau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noNs9otx","properties":{"formattedCitation":"(62)","plainCitation":"(62)","noteIndex":0},"citationItems":[{"id":3253,"uris":["http://zotero.org/users/4975241/items/ZNSZA5XV"],"uri":["http://zotero.org/users/4975241/items/ZNSZA5XV"],"itemData":{"id":3253,"type":"article-journal","abstract":"Background/Aims: To determine the prevalence of psychological distress in Australian junior medical ofﬁcers (JMO) and investigate the determinants associated with psychological distress over a 3-year (2014–2016) period.\nMethods: JMO were surveyed using the 2014–2016 JMO Census (n = 220, 399 and 466 each year; response rate approximately 15%). Levels of psychological distress were assessed using the Kessler Psychological Di</w:instrText>
            </w:r>
            <w:r>
              <w:rPr>
                <w:rFonts w:ascii="Calibri" w:hAnsi="Calibri" w:cs="Calibri" w:hint="eastAsia"/>
                <w:color w:val="000000"/>
                <w:sz w:val="20"/>
                <w:szCs w:val="20"/>
              </w:rPr>
              <w:instrText xml:space="preserve">stress Scale (K10). A K10 </w:instrText>
            </w:r>
            <w:r>
              <w:rPr>
                <w:rFonts w:ascii="Calibri" w:hAnsi="Calibri" w:cs="Calibri" w:hint="eastAsia"/>
                <w:color w:val="000000"/>
                <w:sz w:val="20"/>
                <w:szCs w:val="20"/>
              </w:rPr>
              <w:instrText>≥</w:instrText>
            </w:r>
            <w:r>
              <w:rPr>
                <w:rFonts w:ascii="Calibri" w:hAnsi="Calibri" w:cs="Calibri" w:hint="eastAsia"/>
                <w:color w:val="000000"/>
                <w:sz w:val="20"/>
                <w:szCs w:val="20"/>
              </w:rPr>
              <w:instrText xml:space="preserve"> 25 was chosen to indicate high psychological distress, and this determinant was compared to various demographic and work-related factors.\nResults: Australian JMO experience a high level of psychological distress (mean: 18.1, m</w:instrText>
            </w:r>
            <w:r>
              <w:rPr>
                <w:rFonts w:ascii="Calibri" w:hAnsi="Calibri" w:cs="Calibri"/>
                <w:color w:val="000000"/>
                <w:sz w:val="20"/>
                <w:szCs w:val="20"/>
              </w:rPr>
              <w:instrText xml:space="preserve">edian 16.0). There were no differences in demographical variables, such as age, gender, marital status, dependants and between postgraduate years 1 and 2. Increasing hours worked per week was associated with a higher K10, with every hour worked increasing odds by 3%. Attitudinal items, including feeling unwilling to study medicine again, feeling poorly trained and experiences of bullying, were related to high psychological distress. Coping strategies like exercise and spending time with friends correlated positively with lower distress, while time off work, frequent alcohol use, smoking and drug use were associated with increased distress levels. Of those with a high K10, 54.5% indicated that they did not use any form of professional support; 17.83% expressed that given their time again, they would not choose to study medicine.\nConclusion: A focused approach to JMO support and education regarding signiﬁcant risk factors identiﬁed is likely to assist health policies that aim to improve the mental well-being of Australian JMO.","container-title":"Internal Medicine Journal","DOI":"10.1111/imj.13545","ISSN":"14440903","issue":"10","journalAbbreviation":"Intern Med J","language":"en","page":"1190-1196","source":"DOI.org (Crossref)","title":"Prevalence and associations of psychological distress in Australian junior medical officers: Psychological distress in JMO","title-short":"Prevalence and associations of psychological distress in Australian junior medical officers","volume":"47","author":[{"family":"Lau","given":"Michelle W."},{"family":"Li","given":"Wenlong E."},{"family":"Llewellyn","given":"Anthony"},{"family":"Cyna","given":"Allan M."}],"issued":{"date-parts":[["2017",10]]}}}],"schema":"https://github.com/citation-style-language/schema/raw/master/csl-citation.json"}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(62)</w:t>
            </w:r>
            <w:r>
              <w:rPr>
                <w:rFonts w:ascii="Calibri" w:hAnsi="Calibri" w:cs="Calibri"/>
                <w:color w:val="000000"/>
                <w:sz w:val="20"/>
                <w:szCs w:val="20"/>
              </w:rPr>
              <w:fldChar w:fldCharType="end"/>
            </w:r>
          </w:p>
        </w:tc>
        <w:tc>
          <w:tcPr>
            <w:tcW w:w="1130" w:type="dxa"/>
          </w:tcPr>
          <w:p w14:paraId="2088310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2017</w:t>
            </w:r>
          </w:p>
        </w:tc>
        <w:tc>
          <w:tcPr>
            <w:tcW w:w="1337" w:type="dxa"/>
          </w:tcPr>
          <w:p w14:paraId="23CDA91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Australia</w:t>
            </w:r>
          </w:p>
        </w:tc>
        <w:tc>
          <w:tcPr>
            <w:tcW w:w="1434" w:type="dxa"/>
          </w:tcPr>
          <w:p w14:paraId="23DDB9F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Junor medical officer</w:t>
            </w:r>
          </w:p>
        </w:tc>
        <w:tc>
          <w:tcPr>
            <w:tcW w:w="1106" w:type="dxa"/>
          </w:tcPr>
          <w:p w14:paraId="0C3513C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6B4560B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5F9CEE2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1085</w:t>
            </w:r>
          </w:p>
        </w:tc>
        <w:tc>
          <w:tcPr>
            <w:tcW w:w="1086" w:type="dxa"/>
          </w:tcPr>
          <w:p w14:paraId="226930B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387E176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8546BC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 and selected questions available</w:t>
            </w:r>
          </w:p>
        </w:tc>
        <w:tc>
          <w:tcPr>
            <w:tcW w:w="1499" w:type="dxa"/>
          </w:tcPr>
          <w:p w14:paraId="39B6EB2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Kessler Psychological Distress Scale</w:t>
            </w:r>
          </w:p>
        </w:tc>
        <w:tc>
          <w:tcPr>
            <w:tcW w:w="1500" w:type="dxa"/>
          </w:tcPr>
          <w:p w14:paraId="39685D2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3C9C80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F0AA25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Anxiety and depression</w:t>
            </w:r>
          </w:p>
        </w:tc>
        <w:tc>
          <w:tcPr>
            <w:tcW w:w="1609" w:type="dxa"/>
          </w:tcPr>
          <w:p w14:paraId="76036EB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CBB9E1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w:t>
            </w:r>
          </w:p>
        </w:tc>
        <w:tc>
          <w:tcPr>
            <w:tcW w:w="1609" w:type="dxa"/>
          </w:tcPr>
          <w:p w14:paraId="44AD1EB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407F3EA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43DDFFF2"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65E5D612"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Lin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I6SFZMdw","properties":{"formattedCitation":"(63)","plainCitation":"(63)","noteIndex":0},"citationItems":[{"id":3319,"uris":["http://zotero.org/users/4975241/items/7B43V6QJ"],"uri":["http://zotero.org/users/4975241/items/7B43V6QJ"],"itemData":{"id":3319,"type":"article-journal","abstract":"BACKGROUND: Phantom vibration syndrome is a type of hallucination reported among mobile phone users in the general population. Another similar perception, phantom ringing syndrome, has not been previously described in the medical literature.\nMETHODS: A prospective longitudinal study of 74 medical interns (46 males, 28 females; mean age, 24.8±1.2 years) was conducted using repeated investigations of the prevalence and associated factors of phantom vibration and ringing. The accompanying symptoms of anxiety and depression were evaluated with the Beck Anxiety and Depression Inventories before the internship began, and again at the third, sixth, and twelfth internship months, and two weeks after the internship ended.\nRESULTS: The baseline prevalence of phantom vibration was 78.1%, which increased to 95.9% and 93.2% in the third and sixth internship months. The prevalence returned to 80.8% at the twelfth month and decreased to 50.0% 2 weeks after the internship ended. The baseline prevalence of phantom ringing was 27.4%, which increased to 84.9%, 87.7%, and 86.3% in the third, sixth, and twelfth internship months, respectively. This returned to 54.2% two weeks after the internship ended. The anxiety and depression scores also increased during the internship, and returned to baseline two weeks after the internship. There was no significant correlation between phantom vibration/ringing and symptoms of anxiety or depression. The incidence of both phantom vibration and ringing syndromes significantly increased during the internship, and subsequent recovery.\nCONCLUSION: This study suggests that phantom vibration and ringing might be entities that are independent of anxiety or depression during evaluation of stress-associated experiences during medical internships.","container-title":"PloS One","DOI":"10.1371/journal.pone.0065152","ISSN":"1932-6203","issue":"6","journalAbbreviation":"PLoS ONE","language":"eng","note":"PMID: 23762302\nPMCID: PMC3677878","page":"e65152","source":"PubMed","title":"Prevalent hallucinations during medical internships: phantom vibration and ringing syndromes","title-short":"Prevalent hallucinations during medical internships","volume":"8","author":[{"family":"Lin","given":"Yu-Hsuan"},{"family":"Lin","given":"Sheng-Hsuan"},{"family":"Li","given":"Peng"},{"family":"Huang","given":"Wei-Lieh"},{"family":"Chen","given":"Ching-Yen"}],"issued":{"date-parts":[["2013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(63)</w:t>
            </w:r>
            <w:r>
              <w:rPr>
                <w:rFonts w:ascii="Calibri" w:hAnsi="Calibri" w:cs="Calibri"/>
                <w:color w:val="000000"/>
                <w:sz w:val="20"/>
                <w:szCs w:val="20"/>
              </w:rPr>
              <w:fldChar w:fldCharType="end"/>
            </w:r>
          </w:p>
        </w:tc>
        <w:tc>
          <w:tcPr>
            <w:tcW w:w="1130" w:type="dxa"/>
          </w:tcPr>
          <w:p w14:paraId="3D52661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2013</w:t>
            </w:r>
          </w:p>
        </w:tc>
        <w:tc>
          <w:tcPr>
            <w:tcW w:w="1337" w:type="dxa"/>
          </w:tcPr>
          <w:p w14:paraId="1D23CD1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Taiwan/China</w:t>
            </w:r>
          </w:p>
        </w:tc>
        <w:tc>
          <w:tcPr>
            <w:tcW w:w="1434" w:type="dxa"/>
          </w:tcPr>
          <w:p w14:paraId="017E9B9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7123628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7587556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63E4CBC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74</w:t>
            </w:r>
          </w:p>
        </w:tc>
        <w:tc>
          <w:tcPr>
            <w:tcW w:w="1086" w:type="dxa"/>
          </w:tcPr>
          <w:p w14:paraId="5B6B60E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17120D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C057DF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69BD7C5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Beck depression and anxiety inventories</w:t>
            </w:r>
          </w:p>
        </w:tc>
        <w:tc>
          <w:tcPr>
            <w:tcW w:w="1500" w:type="dxa"/>
          </w:tcPr>
          <w:p w14:paraId="2557DDC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6E3589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ACB192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Anxiety, depression</w:t>
            </w:r>
          </w:p>
        </w:tc>
        <w:tc>
          <w:tcPr>
            <w:tcW w:w="1609" w:type="dxa"/>
          </w:tcPr>
          <w:p w14:paraId="6C9208F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96F1DB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6D2ABB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0B11C5C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4B5107F1"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36B0C2C7"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Rodger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Umjq3n0A","properties":{"formattedCitation":"(64)","plainCitation":"(64)","noteIndex":0},"citationItems":[{"id":3306,"uris":["http://zotero.org/users/4975241/items/BZH7HNGT"],"uri":["http://zotero.org/users/4975241/items/BZH7HNGT"],"itemData":{"id":3306,"type":"article-journal","abstract":"There has been little work examining the longer term occupational and psychological outcomes of problem-based learn-ing (PBL). The authors aimed to investigate the relationship between psychological distress, occupational factors and experience of PBL in the first cohort of UK pre-registration house officers to be trained exclusively using problem-based methods. Questionnaires were sent to al pre-registration house officers working in the three teaching hospitals in the Manchester area. Measures included demographic items, hours of actual work and the GHQ-12 as a measure of psychological distress, as well as validated Likert scales of job satisfaction, perceived work demands, support from superior,and experience and attitudes towards PBL. The response rate was 87% (66/76). Almost one-third of respondents (20/66) worked more than 72 hours a week. The occupational and psychological measures were significantly interrelated. The multiple regression analysis revealed that work demands and job satisfaction together accounted for over 45% of the variance in psychological distress. The other demographic, occupational and PBL-related factors did not make an independent contribution to distress. Scores were similar for respondents with high and low levels of exposure to PBL, and similar to scores obtained from a previous cohort of house officers graduating from a traditional course. These findings should be interpreted cautiously because of the small size of the current study and the setting. It is possible that as staff and students grow accustomed to new styles of teaching, and work intensity for junior doctors reduces, the effect of PBL will become more evident. Further research is needed examining the occupational and psychological outcomes of medical students taught by problem-based methods indifferent settings.","container-title":"Medical Teacher","ISSN":"0142-159X","issue":"3","journalAbbreviation":"Med Teach","language":"eng","note":"PMID: 12109458","page":"334-336","source":"PubMed","title":"Problem-based learning, work demands and psychological distress in pre-registration house officers: a preliminary study","title-short":"Problem-based learning, work demands and psychological distress in pre-registration house officers","volume":"24","author":[{"family":"Rodger","given":"Mike"},{"family":"Lavender","given":"Tom"},{"family":"Kapur","given":"Navneet"}],"issued":{"date-parts":[["2002",5]]}}}],"schema":"https://github.com/citation-style-language/schema/raw/master/csl-citation.json"}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(64)</w:t>
            </w:r>
            <w:r>
              <w:rPr>
                <w:rFonts w:ascii="Calibri" w:hAnsi="Calibri" w:cs="Calibri"/>
                <w:color w:val="000000"/>
                <w:sz w:val="20"/>
                <w:szCs w:val="20"/>
              </w:rPr>
              <w:fldChar w:fldCharType="end"/>
            </w:r>
          </w:p>
        </w:tc>
        <w:tc>
          <w:tcPr>
            <w:tcW w:w="1130" w:type="dxa"/>
          </w:tcPr>
          <w:p w14:paraId="362D1A4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2002</w:t>
            </w:r>
          </w:p>
        </w:tc>
        <w:tc>
          <w:tcPr>
            <w:tcW w:w="1337" w:type="dxa"/>
          </w:tcPr>
          <w:p w14:paraId="7B568C7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42573CD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27C60A4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7386120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w:t>
            </w:r>
          </w:p>
        </w:tc>
        <w:tc>
          <w:tcPr>
            <w:tcW w:w="1102" w:type="dxa"/>
          </w:tcPr>
          <w:p w14:paraId="796E592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66</w:t>
            </w:r>
          </w:p>
        </w:tc>
        <w:tc>
          <w:tcPr>
            <w:tcW w:w="1086" w:type="dxa"/>
          </w:tcPr>
          <w:p w14:paraId="195F197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705FC9A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5C8286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 and selected questions available</w:t>
            </w:r>
          </w:p>
        </w:tc>
        <w:tc>
          <w:tcPr>
            <w:tcW w:w="1499" w:type="dxa"/>
          </w:tcPr>
          <w:p w14:paraId="0AC36A6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GHQ-12</w:t>
            </w:r>
          </w:p>
        </w:tc>
        <w:tc>
          <w:tcPr>
            <w:tcW w:w="1500" w:type="dxa"/>
          </w:tcPr>
          <w:p w14:paraId="05D61A4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1BC0C3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62D4058" w14:textId="448310FA" w:rsidR="00E46C9F" w:rsidRPr="00701766" w:rsidRDefault="008D7CF8"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Psychological dis</w:t>
            </w:r>
            <w:r w:rsidRPr="00701766">
              <w:rPr>
                <w:rFonts w:ascii="Calibri" w:hAnsi="Calibri" w:cs="Calibri"/>
                <w:color w:val="000000"/>
                <w:sz w:val="20"/>
                <w:szCs w:val="20"/>
              </w:rPr>
              <w:t>tress</w:t>
            </w:r>
            <w:r w:rsidR="00E46C9F" w:rsidRPr="00701766">
              <w:rPr>
                <w:rFonts w:ascii="Calibri" w:hAnsi="Calibri" w:cs="Calibri"/>
                <w:color w:val="000000"/>
                <w:sz w:val="20"/>
                <w:szCs w:val="20"/>
              </w:rPr>
              <w:t>, job satisfaction</w:t>
            </w:r>
          </w:p>
        </w:tc>
        <w:tc>
          <w:tcPr>
            <w:tcW w:w="1609" w:type="dxa"/>
          </w:tcPr>
          <w:p w14:paraId="310A49D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Support, supervision</w:t>
            </w:r>
          </w:p>
        </w:tc>
        <w:tc>
          <w:tcPr>
            <w:tcW w:w="1609" w:type="dxa"/>
          </w:tcPr>
          <w:p w14:paraId="72BE72D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w:t>
            </w:r>
          </w:p>
        </w:tc>
        <w:tc>
          <w:tcPr>
            <w:tcW w:w="1609" w:type="dxa"/>
          </w:tcPr>
          <w:p w14:paraId="0F49CBB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1D18611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7FA787E7"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7EAA93EB"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Al Sultan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7Lnnlo6v","properties":{"formattedCitation":"(65)","plainCitation":"(65)","noteIndex":0},"citationItems":[{"id":3256,"uris":["http://zotero.org/users/4975241/items/FT3LM8AS"],"uri":["http://zotero.org/users/4975241/items/FT3LM8AS"],"itemData":{"id":3256,"type":"article-journal","abstract":"One hundred and one interns who completed internship during the year 2000 were surveyed by questionnaire to study thefactors, manifestations and management strategies of stresses affecting them. Factors considered included personal and family, work and working conditions, training and interpersonal matters.","container-title":"Qatar Medical Journal","DOI":"10.5339/qmj.2002.1.19","ISSN":"2227-0426","issue":"1","journalAbbreviation":"Qatar Medical Journal","language":"en","page":"19","source":"DOI.org (Crossref)","title":"Professional Stress During Medical Internship","volume":"2002","author":[{"family":"Al Sultan","given":"A. I."},{"family":"Parashar","given":"S. K."},{"family":"Wahass","given":"S. H."},{"family":"Al Soweilem","given":"L. S."}],"issued":{"date-parts":[["2002",6]]}}}],"schema":"https://github.com/citation-style-language/schema/raw/master/csl-citation.json"}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(65)</w:t>
            </w:r>
            <w:r>
              <w:rPr>
                <w:rFonts w:ascii="Calibri" w:hAnsi="Calibri" w:cs="Calibri"/>
                <w:color w:val="000000"/>
                <w:sz w:val="20"/>
                <w:szCs w:val="20"/>
              </w:rPr>
              <w:fldChar w:fldCharType="end"/>
            </w:r>
          </w:p>
        </w:tc>
        <w:tc>
          <w:tcPr>
            <w:tcW w:w="1130" w:type="dxa"/>
          </w:tcPr>
          <w:p w14:paraId="70F9A9B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2002</w:t>
            </w:r>
          </w:p>
        </w:tc>
        <w:tc>
          <w:tcPr>
            <w:tcW w:w="1337" w:type="dxa"/>
          </w:tcPr>
          <w:p w14:paraId="34F18BC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Saudi Arbia</w:t>
            </w:r>
          </w:p>
        </w:tc>
        <w:tc>
          <w:tcPr>
            <w:tcW w:w="1434" w:type="dxa"/>
          </w:tcPr>
          <w:p w14:paraId="318D371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1186BA8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78AFAD9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6A2F85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101</w:t>
            </w:r>
          </w:p>
        </w:tc>
        <w:tc>
          <w:tcPr>
            <w:tcW w:w="1086" w:type="dxa"/>
          </w:tcPr>
          <w:p w14:paraId="351EA2F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735F74E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301506E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31B6BA4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Modified questionnaire by Buckey and Harasym</w:t>
            </w:r>
          </w:p>
        </w:tc>
        <w:tc>
          <w:tcPr>
            <w:tcW w:w="1500" w:type="dxa"/>
          </w:tcPr>
          <w:p w14:paraId="4A1571B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3B8423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ED1DFF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w:t>
            </w:r>
          </w:p>
        </w:tc>
        <w:tc>
          <w:tcPr>
            <w:tcW w:w="1609" w:type="dxa"/>
          </w:tcPr>
          <w:p w14:paraId="1489333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feedback, communication</w:t>
            </w:r>
          </w:p>
        </w:tc>
        <w:tc>
          <w:tcPr>
            <w:tcW w:w="1609" w:type="dxa"/>
          </w:tcPr>
          <w:p w14:paraId="6E7D7DF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 food and accommodation, harassment</w:t>
            </w:r>
          </w:p>
        </w:tc>
        <w:tc>
          <w:tcPr>
            <w:tcW w:w="1609" w:type="dxa"/>
          </w:tcPr>
          <w:p w14:paraId="5F56828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14D9B95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39CEB6B9"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5915B88E"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Appelbaum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BDlOo8s6","properties":{"formattedCitation":"(66)","plainCitation":"(66)","noteIndex":0},"citationItems":[{"id":3257,"uris":["http://zotero.org/users/4975241/items/K3G9XVK8"],"uri":["http://zotero.org/users/4975241/items/K3G9XVK8"],"itemData":{"id":3257,"type":"article-journal","abstract":"Background Assessments of the clinical learning environment could allow early interventions to improve graduate medical education. To date, measurement tools for this have not been identified.\nObjective We established the concurrent validity of 2 instruments that assess cultural facets of the clinical learning environment by correlating them with external program evaluation data.\nMethods In 2017 we surveyed residents across 19 training programs on their perceptions of organizational support by using the Short Survey of Perceived Organizational Support (SPOS), and psychological safety by using the Psychological Safety Scale (PSS). Data were aggregated to the program level and correlated with results from the Accreditation Council for Graduate Medical Education (ACGME) Resident Survey.\nResults Of 511 residents, 322 (63%) completed the survey, and 496 of 516 residents (96%) completed the ACGME Resident Survey. Perceived organizational support correlated positively with overall program evaluation score (r ¼ 0.75, P , .001); faculty (r ¼ 0.72, P , .001); evaluation (r ¼ 0.73, P , .001); educational content (r ¼ 0.52, P ¼ .022); and resources domains (r ¼ 0.55, P ¼ .014). Psychological safety had a positive correlation with overall program evaluation (r ¼ 0.57, P ¼ .011); faculty (r ¼ 0.50, P ¼ .028); and evaluation (r ¼ 0.62, P , .005).\nConclusions The SPOS and PSS correlated with key ACGME Resident Survey domains. Programs showing greater support of residents were likely to show more positive ratings on program evaluation metrics. Teaching institutions may benefit from actively monitoring and improving aspects of their learning environment through internal assessments.","container-title":"Journal of Graduate Medical Education","DOI":"10.4300/JGME-D-18-00286.1","ISSN":"1949-8349, 1949-8357","issue":"6","journalAbbreviation":"Journal of Graduate Medical Education","language":"en","page":"651-656","source":"DOI.org (Crossref)","title":"Psychological Safety and Support: Assessing Resident Perceptions of the Clinical Learning Environment","title-short":"Psychological Safety and Support","volume":"10","author":[{"family":"Appelbaum","given":"Nital P."},{"family":"Santen","given":"Sally A."},{"family":"Aboff","given":"Brian M."},{"family":"Vega","given":"Ryan"},{"family":"Munoz","given":"Jose L."},{"family":"Hemphill","given":"Robin R."}],"issued":{"date-parts":[["2018",12]]}}}],"schema":"https://github.com/citation-style-language/schema/raw/master/csl-citation.json"}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(66)</w:t>
            </w:r>
            <w:r>
              <w:rPr>
                <w:rFonts w:ascii="Calibri" w:hAnsi="Calibri" w:cs="Calibri"/>
                <w:color w:val="000000"/>
                <w:sz w:val="20"/>
                <w:szCs w:val="20"/>
              </w:rPr>
              <w:fldChar w:fldCharType="end"/>
            </w:r>
          </w:p>
        </w:tc>
        <w:tc>
          <w:tcPr>
            <w:tcW w:w="1130" w:type="dxa"/>
          </w:tcPr>
          <w:p w14:paraId="3156015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2018</w:t>
            </w:r>
          </w:p>
        </w:tc>
        <w:tc>
          <w:tcPr>
            <w:tcW w:w="1337" w:type="dxa"/>
          </w:tcPr>
          <w:p w14:paraId="4B7F4E9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6DF5B4D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0628783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5998F8F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5C935EB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322 and 496</w:t>
            </w:r>
          </w:p>
        </w:tc>
        <w:tc>
          <w:tcPr>
            <w:tcW w:w="1086" w:type="dxa"/>
          </w:tcPr>
          <w:p w14:paraId="1CA6580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348C809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D2E6F4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4970071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Short Survey of Perceived Organizational Support</w:t>
            </w:r>
          </w:p>
        </w:tc>
        <w:tc>
          <w:tcPr>
            <w:tcW w:w="1500" w:type="dxa"/>
          </w:tcPr>
          <w:p w14:paraId="69CD6A8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Psychological Safety Scale</w:t>
            </w:r>
          </w:p>
        </w:tc>
        <w:tc>
          <w:tcPr>
            <w:tcW w:w="1500" w:type="dxa"/>
          </w:tcPr>
          <w:p w14:paraId="087BAC9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B98A22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9926E3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Support, learning environment</w:t>
            </w:r>
          </w:p>
        </w:tc>
        <w:tc>
          <w:tcPr>
            <w:tcW w:w="1609" w:type="dxa"/>
          </w:tcPr>
          <w:p w14:paraId="019B13F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Safety</w:t>
            </w:r>
          </w:p>
        </w:tc>
        <w:tc>
          <w:tcPr>
            <w:tcW w:w="1609" w:type="dxa"/>
          </w:tcPr>
          <w:p w14:paraId="3559B86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Concurrent validity, construct validity</w:t>
            </w:r>
          </w:p>
        </w:tc>
        <w:tc>
          <w:tcPr>
            <w:tcW w:w="1609" w:type="dxa"/>
          </w:tcPr>
          <w:p w14:paraId="4E053BA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7E41A807"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4A449DCA"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Newbury-Birch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hQtxLuQD","properties":{"formattedCitation":"(67)","plainCitation":"(67)","noteIndex":0},"citationItems":[{"id":3258,"uris":["http://zotero.org/users/4975241/items/95RKZLGQ"],"uri":["http://zotero.org/users/4975241/items/95RKZLGQ"],"itemData":{"id":3258,"type":"article-journal","abstract":"Work related stress and anxiety may have a profound eVect on an individual’s wellbeing. In the case of doctors this may also aVect patient care. This study measured stress, anxiety, and job satisfaction and the inﬂuence of personality factors on these in a group of preregistration house oYcers in the north east of England. A total of 109 preregistration house oYcers anonymously completed a lifestyles questionnaire designed to measure self rated psychological stress, state anxiety, job satisfaction, and personality characteristics. Results showed that 37.5% of women and 24% of men preregistration house oYcers suVered from possible psychological stress. Altogether 38.9% of women and 5.4% of men were suVering from possible anxiety and 8.3% of women and 2.7% of men were suVering from possible depression. The mean (SD) job satisfaction scores were 83.8(17.4) (range 52–127; median 86.5) for men and 80.5(16.7) (range 41–114; median 81) for women. Altogether 30.6% of men and 41.7% of women reported to be dissatisﬁed with the organisational processes in their job. There were signiﬁcant negative correlations between stress and job satisfaction scores (r = −0.508; p&lt;0.0001) and between anxiety and job satisfaction scores (r = −0.421; p&lt;0.0001), and signiﬁcant positive associations between anxiety and stress scores (r = 0.593; p&lt;0.0001). Stress, anxiety, and depression scores were signiﬁcantly correlated with neuroticism scores in both men and women. The personality characteristic of neuroticism was a predisposing factor for stress and anxiety in the junior doctors which may be taken into consideration when oVering support and counselling.","container-title":"Postgraduate Medical Journal","DOI":"10.1136/pmj.77.904.109","ISSN":"00325473","issue":"904","language":"en","page":"109-111","source":"DOI.org (Crossref)","title":"Psychological stress, anxiety, depression, job satisfaction, and personality characteristics in preregistration house officers","volume":"77","author":[{"family":"Newbury-Birch","given":"D"}],"issued":{"date-parts":[["2001",2,1]]}}}],"schema":"https://github.com/citation-style-language/schema/raw/master/csl-citation.json"}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(67)</w:t>
            </w:r>
            <w:r>
              <w:rPr>
                <w:rFonts w:ascii="Calibri" w:hAnsi="Calibri" w:cs="Calibri"/>
                <w:color w:val="000000"/>
                <w:sz w:val="20"/>
                <w:szCs w:val="20"/>
              </w:rPr>
              <w:fldChar w:fldCharType="end"/>
            </w:r>
          </w:p>
        </w:tc>
        <w:tc>
          <w:tcPr>
            <w:tcW w:w="1130" w:type="dxa"/>
          </w:tcPr>
          <w:p w14:paraId="45662C4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2001</w:t>
            </w:r>
          </w:p>
        </w:tc>
        <w:tc>
          <w:tcPr>
            <w:tcW w:w="1337" w:type="dxa"/>
          </w:tcPr>
          <w:p w14:paraId="7BBD1D6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211D8CB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05AC77B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447A620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18</w:t>
            </w:r>
          </w:p>
        </w:tc>
        <w:tc>
          <w:tcPr>
            <w:tcW w:w="1102" w:type="dxa"/>
          </w:tcPr>
          <w:p w14:paraId="260F949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109</w:t>
            </w:r>
          </w:p>
        </w:tc>
        <w:tc>
          <w:tcPr>
            <w:tcW w:w="1086" w:type="dxa"/>
          </w:tcPr>
          <w:p w14:paraId="3EC51E5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2B2A624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409E44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5A86B25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Occupational Stress Indicator</w:t>
            </w:r>
          </w:p>
        </w:tc>
        <w:tc>
          <w:tcPr>
            <w:tcW w:w="1500" w:type="dxa"/>
          </w:tcPr>
          <w:p w14:paraId="7C74587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GHQ-30</w:t>
            </w:r>
          </w:p>
        </w:tc>
        <w:tc>
          <w:tcPr>
            <w:tcW w:w="1500" w:type="dxa"/>
          </w:tcPr>
          <w:p w14:paraId="1672DB8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Hospital Anxiety and Depression Scale</w:t>
            </w:r>
          </w:p>
        </w:tc>
        <w:tc>
          <w:tcPr>
            <w:tcW w:w="1609" w:type="dxa"/>
          </w:tcPr>
          <w:p w14:paraId="4F5C54C2" w14:textId="3C1655C2"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Anxiety, depression, </w:t>
            </w:r>
            <w:r w:rsidR="008D7CF8">
              <w:rPr>
                <w:rFonts w:ascii="Calibri" w:hAnsi="Calibri" w:cs="Calibri"/>
                <w:color w:val="000000"/>
                <w:sz w:val="20"/>
                <w:szCs w:val="20"/>
              </w:rPr>
              <w:t>psychological dis</w:t>
            </w:r>
            <w:r w:rsidR="008D7CF8" w:rsidRPr="00701766">
              <w:rPr>
                <w:rFonts w:ascii="Calibri" w:hAnsi="Calibri" w:cs="Calibri"/>
                <w:color w:val="000000"/>
                <w:sz w:val="20"/>
                <w:szCs w:val="20"/>
              </w:rPr>
              <w:t>tress</w:t>
            </w:r>
            <w:r w:rsidRPr="00701766">
              <w:rPr>
                <w:rFonts w:ascii="Calibri" w:hAnsi="Calibri" w:cs="Calibri"/>
                <w:color w:val="000000"/>
                <w:sz w:val="20"/>
                <w:szCs w:val="20"/>
              </w:rPr>
              <w:t xml:space="preserve">, job satisfaction </w:t>
            </w:r>
          </w:p>
        </w:tc>
        <w:tc>
          <w:tcPr>
            <w:tcW w:w="1609" w:type="dxa"/>
          </w:tcPr>
          <w:p w14:paraId="242C6F5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7B846C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38028E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76ADA28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47B24EBC"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37D8065C"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lastRenderedPageBreak/>
              <w:t>Choi</w:t>
            </w:r>
            <w:r>
              <w:rPr>
                <w:rFonts w:ascii="Calibri" w:hAnsi="Calibri" w:cs="Calibri"/>
                <w:color w:val="000000"/>
                <w:sz w:val="20"/>
                <w:szCs w:val="20"/>
              </w:rPr>
              <w:t xml:space="preserve"> </w:t>
            </w:r>
            <w:r w:rsidRPr="00701766">
              <w:rPr>
                <w:rFonts w:ascii="Calibri" w:hAnsi="Calibri" w:cs="Calibri"/>
                <w:color w:val="000000"/>
                <w:sz w:val="20"/>
                <w:szCs w:val="20"/>
              </w:rPr>
              <w:t xml:space="preserve">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8rcTFgTK","properties":{"formattedCitation":"(68)","plainCitation":"(68)","noteIndex":0},"citationItems":[{"id":3259,"uris":["http://zotero.org/users/4975241/items/F532DA6H"],"uri":["http://zotero.org/users/4975241/items/F532DA6H"],"itemData":{"id":3259,"type":"article-journal","abstract":"Background: The surveys in this study were carried out at the Graduate Medical Education Division at Oregon Health &amp; Science University (OHSU). OHSU implemented two significant wellness initiatives: a wellness program in 2004, and a policy allowing 4 half-days off each academic year to pursue personal or family health care needs in 2010. This study provides a secondary data analysis of five cross-sectional surveys of career satisfaction of resident and fellow trainees.\nMethods: All trainees were surveyed five times over a 10-year period using anonymous, crosssectional web-based survey instruments. Surveys included questions about career satisfaction, perceived stress, sleep hours, burnout, and related factors.\nResults: This represents 10 years of accumulated responses from over 2,200 residents with results showing continual improvement in their career satisfaction. Response rates ranged from 56% to 72%. During the study period, there was a significant positive change in overall resident career satisfaction, with little change in factors traditionally considered to be predictive of overall career satisfaction such as sleep hours or perceived stress level. In addition, our data support that availability of time for personal tasks could positively impact the overall training experience.\nConclusion: We postulate that the improvements in satisfaction relate to two major institutional innovations designed to promote resident wellness.","container-title":"Advances in Medical Education and Practice","DOI":"10.2147/AMEP.S138770","ISSN":"1179-7258","journalAbbreviation":"AMEP","language":"en","page":"513-523","source":"DOI.org (Crossref)","title":"Resident wellness: institutional trends over 10 years since 2003","title-short":"Resident wellness","volume":"Volume 8","author":[{"family":"Choi","given":"Dongseok"},{"family":"Cedfeldt","given":"Andrea"},{"family":"Flores","given":"Christine"},{"family":"Irish","given":"Kimberly"},{"family":"Brunett","given":"Patrick"},{"family":"Girard","given":"Donald"}],"issued":{"date-parts":[["2017",7]]}}}],"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(68)</w:t>
            </w:r>
            <w:r>
              <w:rPr>
                <w:rFonts w:ascii="Calibri" w:hAnsi="Calibri" w:cs="Calibri"/>
                <w:color w:val="000000"/>
                <w:sz w:val="20"/>
                <w:szCs w:val="20"/>
              </w:rPr>
              <w:fldChar w:fldCharType="end"/>
            </w:r>
          </w:p>
        </w:tc>
        <w:tc>
          <w:tcPr>
            <w:tcW w:w="1130" w:type="dxa"/>
          </w:tcPr>
          <w:p w14:paraId="7578CDF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2017</w:t>
            </w:r>
          </w:p>
        </w:tc>
        <w:tc>
          <w:tcPr>
            <w:tcW w:w="1337" w:type="dxa"/>
          </w:tcPr>
          <w:p w14:paraId="36824EB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40121E7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1226A0B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1-4+</w:t>
            </w:r>
          </w:p>
        </w:tc>
        <w:tc>
          <w:tcPr>
            <w:tcW w:w="913" w:type="dxa"/>
          </w:tcPr>
          <w:p w14:paraId="6EF0EAF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2B72048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2200</w:t>
            </w:r>
          </w:p>
        </w:tc>
        <w:tc>
          <w:tcPr>
            <w:tcW w:w="1086" w:type="dxa"/>
          </w:tcPr>
          <w:p w14:paraId="50258FB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4C07D21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313E8C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0DD57F5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MBI</w:t>
            </w:r>
          </w:p>
        </w:tc>
        <w:tc>
          <w:tcPr>
            <w:tcW w:w="1500" w:type="dxa"/>
          </w:tcPr>
          <w:p w14:paraId="528237A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89D7A0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C5F242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Burnout, stress, job satisfaction, sleep</w:t>
            </w:r>
          </w:p>
        </w:tc>
        <w:tc>
          <w:tcPr>
            <w:tcW w:w="1609" w:type="dxa"/>
          </w:tcPr>
          <w:p w14:paraId="68FABC3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6127D5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w:t>
            </w:r>
          </w:p>
        </w:tc>
        <w:tc>
          <w:tcPr>
            <w:tcW w:w="1609" w:type="dxa"/>
          </w:tcPr>
          <w:p w14:paraId="3E5F4EC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695D9F3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564E6B9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1E8353E5"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Reynolds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LidW42aO","properties":{"formattedCitation":"(69)","plainCitation":"(69)","noteIndex":0},"citationItems":[{"id":3260,"uris":["http://zotero.org/users/4975241/items/CHY3R9EE"],"uri":["http://zotero.org/users/4975241/items/CHY3R9EE"],"itemData":{"id":3260,"type":"article-journal","container-title":"Current Problems in Pediatric and Adolescent Health Care","DOI":"10.1016/j.cppeds.2019.03.004","ISSN":"15385442","issue":"4","journalAbbreviation":"Current Problems in Pediatric and Adolescent Health Care","language":"en","page":"84-91","source":"DOI.org (Crossref)","title":"Residents’ perspective on professionalism in the learning environment","volume":"49","author":[{"family":"Reynolds","given":"P. Preston"},{"family":"White","given":"Casey"},{"family":"Martindale","given":"James R."}],"issued":{"date-parts":[["2019",4]]}}}],"schema":"https://github.com/citation-style-language/schema/raw/master/csl-citation.json"}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(69)</w:t>
            </w:r>
            <w:r>
              <w:rPr>
                <w:rFonts w:ascii="Calibri" w:hAnsi="Calibri" w:cs="Calibri"/>
                <w:color w:val="000000"/>
                <w:sz w:val="20"/>
                <w:szCs w:val="20"/>
              </w:rPr>
              <w:fldChar w:fldCharType="end"/>
            </w:r>
          </w:p>
        </w:tc>
        <w:tc>
          <w:tcPr>
            <w:tcW w:w="1130" w:type="dxa"/>
          </w:tcPr>
          <w:p w14:paraId="2F364A9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2019</w:t>
            </w:r>
          </w:p>
        </w:tc>
        <w:tc>
          <w:tcPr>
            <w:tcW w:w="1337" w:type="dxa"/>
          </w:tcPr>
          <w:p w14:paraId="50D93B6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38C7E9F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686811A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7B7B35B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40C7E6A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365</w:t>
            </w:r>
          </w:p>
        </w:tc>
        <w:tc>
          <w:tcPr>
            <w:tcW w:w="1086" w:type="dxa"/>
          </w:tcPr>
          <w:p w14:paraId="4FE93BC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41A8608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38CA75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75FD5FB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44DF3E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D91D71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EF4FA0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728974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Professionalism</w:t>
            </w:r>
          </w:p>
        </w:tc>
        <w:tc>
          <w:tcPr>
            <w:tcW w:w="1609" w:type="dxa"/>
          </w:tcPr>
          <w:p w14:paraId="3B3FD27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A78D82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2908EBE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35716E6E"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9831B16"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Holt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nO3926pa","properties":{"formattedCitation":"(70)","plainCitation":"(70)","noteIndex":0},"citationItems":[{"id":3308,"uris":["http://zotero.org/users/4975241/items/3FSYLRXT"],"uri":["http://zotero.org/users/4975241/items/3FSYLRXT"],"itemData":{"id":3308,"type":"article-journal","abstract":"PURPOSE: Residents' assessment of their learning environment is an important element of residency accreditation and a strong predictor of resident satisfaction. The authors examined the reliability and validity of a resident/fellow survey and explored the relationship between reported duty hours noncompliance and residents' perceptions of other aspects of their learning environments.\nMETHOD: The Accreditation Council for Graduate Medical Education (ACGME) administered a 29-item Web-based survey in 2007 and 2008 to 91,073 residents in 5,610 programs. Aggregate data from the survey comprised indicators of substantial compliance or noncompliance. The authors examined relationships among duty hours and aspects of the educational environment, as well as the relationship of the survey results to citations from accreditation reviews.\nRESULTS: The survey demonstrated a high degree of internal reliability (Cronbach alpha, 0.84). Common factor analysis revealed two factors, educational environment and resident duty hours (eigenvalues of 5.49 and 2.42, respectively). Programs having resident-identified duty hours issues were more likely than those without such issues to have received duty hours citations from residency review committees (odds ratio: 2.04; 95% CI: 1.03, 3.05).\nCONCLUSIONS: The ACGME Resident/Fellow Survey is a reliable, valid, and useful tool for evaluating residency programs. There are strong relationships between duty hours noncompliance and noncompliance in other aspects of the program environment.","container-title":"Academic Medicine: Journal of the Association of American Medical Colleges","DOI":"10.1097/ACM.0b013e3181ccc1db","ISSN":"1938-808X","issue":"3","journalAbbreviation":"Acad Med","language":"eng","note":"PMID: 20182130","page":"512-518","source":"PubMed","title":"Residents' perspectives on the learning environment: data from the Accreditation Council for Graduate Medical Education resident survey","title-short":"Residents' perspectives on the learning environment","volume":"85","author":[{"family":"Holt","given":"Kathleen D."},{"family":"Miller","given":"Rebecca S."},{"family":"Philibert","given":"Ingrid"},{"family":"Heard","given":"Jeanne K."},{"family":"Nasca","given":"Thomas J."}],"issued":{"date-parts":[["2010",3]]}}}],"schema":"https://github.com/citation-style-language/schema/raw/master/csl-citation.json"}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(70)</w:t>
            </w:r>
            <w:r>
              <w:rPr>
                <w:rFonts w:ascii="Calibri" w:hAnsi="Calibri" w:cs="Calibri"/>
                <w:color w:val="000000"/>
                <w:sz w:val="20"/>
                <w:szCs w:val="20"/>
              </w:rPr>
              <w:fldChar w:fldCharType="end"/>
            </w:r>
          </w:p>
        </w:tc>
        <w:tc>
          <w:tcPr>
            <w:tcW w:w="1130" w:type="dxa"/>
          </w:tcPr>
          <w:p w14:paraId="55B2E58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2010</w:t>
            </w:r>
          </w:p>
        </w:tc>
        <w:tc>
          <w:tcPr>
            <w:tcW w:w="1337" w:type="dxa"/>
          </w:tcPr>
          <w:p w14:paraId="4B1CFB6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31E6A76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78B1826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4CE4445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6C1DB95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91,073</w:t>
            </w:r>
          </w:p>
        </w:tc>
        <w:tc>
          <w:tcPr>
            <w:tcW w:w="1086" w:type="dxa"/>
          </w:tcPr>
          <w:p w14:paraId="4B5CC16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40749B9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482679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29CC12D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ACGME Resident Survey </w:t>
            </w:r>
          </w:p>
        </w:tc>
        <w:tc>
          <w:tcPr>
            <w:tcW w:w="1500" w:type="dxa"/>
          </w:tcPr>
          <w:p w14:paraId="14FBDB4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D17574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37D2D7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44712A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feedback, learning environment</w:t>
            </w:r>
          </w:p>
        </w:tc>
        <w:tc>
          <w:tcPr>
            <w:tcW w:w="1609" w:type="dxa"/>
          </w:tcPr>
          <w:p w14:paraId="05A3E01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 safety</w:t>
            </w:r>
          </w:p>
        </w:tc>
        <w:tc>
          <w:tcPr>
            <w:tcW w:w="1609" w:type="dxa"/>
          </w:tcPr>
          <w:p w14:paraId="7AD7E3F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Predictive validity, construct validity</w:t>
            </w:r>
          </w:p>
        </w:tc>
        <w:tc>
          <w:tcPr>
            <w:tcW w:w="1609" w:type="dxa"/>
          </w:tcPr>
          <w:p w14:paraId="4752256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288BB4EC"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5BA64A86"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Baldwin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NAGTqFCq","properties":{"formattedCitation":"(71)","plainCitation":"(71)","noteIndex":0},"citationItems":[{"id":3262,"uris":["http://zotero.org/users/4975241/items/FDRA2D6W"],"uri":["http://zotero.org/users/4975241/items/FDRA2D6W"],"itemData":{"id":3262,"type":"article-journal","abstract":"Background Medical errors and patient safety are major concerns for the medical and medical education communities. Improving clinical supervision for residents is important in avoiding errors, yet little is known about how residents perceive the adequacy of their supervision and how this relates to medical errors and other education outcomes, such as learning and satisfaction.\nMethods We analyzed data from a 2009 survey of residents in 4 large specialties regarding the adequacy and quality of supervision they receive as well as associations with self-reported data on medical errors and residents’ perceptions of their learning environment.\nResults Residents’ reports of working without adequate supervision were lower than data from a 1999 survey for all 4 specialties, and residents were least likely to rate ‘‘lack of supervision’’ as a problem. While few residents reported that they received inadequate supervision, problems with supervision were negatively correlated with sufficient time for clinical activities, overall ratings of the residency experience, and attending physicians as a source of learning. Problems with supervision were positively correlated with resident reports that they had made a significant medical error, had been belittled or humiliated, or had observed others falsifying medical records.\nConclusions Although working without supervision was not a pervasive problem in 2009, when it happened, it appeared to have negative consequences. The association between inadequate supervision and medical errors is of particular concern.","container-title":"Journal of Graduate Medical Education","DOI":"10.4300/JGME-D-18-00200.1","ISSN":"1949-8349, 1949-8357","issue":"2","journalAbbreviation":"Journal of Graduate Medical Education","language":"en","page":"235-241","source":"DOI.org (Crossref)","title":"Residents' Ratings of Their Clinical Supervision and Their Self-Reported Medical Errors: Analysis of Data From 2009","title-short":"Residents' Ratings of Their Clinical Supervision and Their Self-Reported Medical Errors","volume":"10","author":[{"family":"Baldwin","given":"DeWitt C."},{"family":"Daugherty","given":"Steven R."},{"family":"Ryan","given":"Patrick M."},{"family":"Yaghmour","given":"Nicholas A."},{"family":"Philibert","given":"Ingrid"}],"issued":{"date-parts":[["2018",4]]}}}],"schema":"https://github.com/citation-style-language/schema/raw/master/csl-citation.json"}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(71)</w:t>
            </w:r>
            <w:r>
              <w:rPr>
                <w:rFonts w:ascii="Calibri" w:hAnsi="Calibri" w:cs="Calibri"/>
                <w:color w:val="000000"/>
                <w:sz w:val="20"/>
                <w:szCs w:val="20"/>
              </w:rPr>
              <w:fldChar w:fldCharType="end"/>
            </w:r>
          </w:p>
        </w:tc>
        <w:tc>
          <w:tcPr>
            <w:tcW w:w="1130" w:type="dxa"/>
          </w:tcPr>
          <w:p w14:paraId="1585EB5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2018</w:t>
            </w:r>
          </w:p>
        </w:tc>
        <w:tc>
          <w:tcPr>
            <w:tcW w:w="1337" w:type="dxa"/>
          </w:tcPr>
          <w:p w14:paraId="4DA261B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698A8B2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03095EC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2-3</w:t>
            </w:r>
          </w:p>
        </w:tc>
        <w:tc>
          <w:tcPr>
            <w:tcW w:w="913" w:type="dxa"/>
          </w:tcPr>
          <w:p w14:paraId="19863C6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16</w:t>
            </w:r>
          </w:p>
        </w:tc>
        <w:tc>
          <w:tcPr>
            <w:tcW w:w="1102" w:type="dxa"/>
          </w:tcPr>
          <w:p w14:paraId="4DC73CA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759</w:t>
            </w:r>
          </w:p>
        </w:tc>
        <w:tc>
          <w:tcPr>
            <w:tcW w:w="1086" w:type="dxa"/>
          </w:tcPr>
          <w:p w14:paraId="6F6E438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74219E1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8BA783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34A21E0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A6618A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49CBB3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6B3101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E7E331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w:t>
            </w:r>
          </w:p>
        </w:tc>
        <w:tc>
          <w:tcPr>
            <w:tcW w:w="1609" w:type="dxa"/>
          </w:tcPr>
          <w:p w14:paraId="0A7A5A7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2EE272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5561EB4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3B6F11DB"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2A88912"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Baldwin </w:t>
            </w:r>
            <w:r>
              <w:rPr>
                <w:rFonts w:ascii="Calibri" w:hAnsi="Calibri" w:cs="Calibri"/>
                <w:color w:val="000000"/>
                <w:sz w:val="20"/>
                <w:szCs w:val="20"/>
              </w:rPr>
              <w:t>&amp; Daugherty</w:t>
            </w:r>
            <w:r w:rsidRPr="00701766">
              <w:rPr>
                <w:rFonts w:ascii="Calibri" w:hAnsi="Calibri" w:cs="Calibri"/>
                <w:color w:val="000000"/>
                <w:sz w:val="20"/>
                <w:szCs w:val="20"/>
              </w:rPr>
              <w:t xml:space="preserve">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gph4Z2Jy","properties":{"formattedCitation":"(72)","plainCitation":"(72)","noteIndex":0},"citationItems":[{"id":3263,"uris":["http://zotero.org/users/4975241/items/B6C589NF"],"uri":["http://zotero.org/users/4975241/items/B6C589NF"],"itemData":{"id":3263,"type":"article-journal","abstract":"Study Objectives: To examine the relationship between residents’ selfreported sleep hours, work hours, and other empirical correlates. Design: Using the American Medical Association’s Graduate Medical Education database, a national, random sample of PGY (postgraduate year) 1 and PGY2 residents in the 1998-1999 training year was surveyed by mail. Measurements and Results: Residents completed a 5-page survey with 44 questions requiring 144 separate responses about their residency experience. Completed surveys were received from 3,604 of 5,616 residents contacted, a 64.2% response rate. Although work hours and sleep hours were significantly correlated (r = -.39), this relationship was less robust than is generally assumed. Total average sleep hours varied across specialties but also within specialties. Just over 20% of all residents reported sleeping an average of 5 hours or less per night, with 66% averaging 6 hours or less per night. Residents averaging 5 or fewer hours of sleep per night were more likely to report serious accidents or injuries, conflict with other professional staff, use of alcohol, use of medications to stay awake, noticeable weight change, working in an “impaired condition,” and having made significant medical errors. Conclusions: Reduced sleep hours were significantly related to a number of work-related, learning, and personal health variables. Capping residents’ work hours is unlikely to fully address the sleep deficits and resulting impairments reported by residents.","container-title":"Sleep","DOI":"10.1093/sleep/27.2.217","ISSN":"0161-8105, 1550-9109","issue":"2","language":"en","page":"217-223","source":"DOI.org (Crossref)","title":"Sleep Deprivation and Fatigue in Residency Training: Results of a National Survey of First- and Second-Year Residents","title-short":"Sleep Deprivation and Fatigue in Residency Training","volume":"27","author":[{"family":"Baldwin","given":"DeWitt C."},{"family":"Daugherty","given":"Steven R."}],"issued":{"date-parts":[["2004",3]]}}}],"schema":"https://github.com/citation-style-language/schema/raw/master/csl-citation.json"}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(72)</w:t>
            </w:r>
            <w:r>
              <w:rPr>
                <w:rFonts w:ascii="Calibri" w:hAnsi="Calibri" w:cs="Calibri"/>
                <w:color w:val="000000"/>
                <w:sz w:val="20"/>
                <w:szCs w:val="20"/>
              </w:rPr>
              <w:fldChar w:fldCharType="end"/>
            </w:r>
          </w:p>
        </w:tc>
        <w:tc>
          <w:tcPr>
            <w:tcW w:w="1130" w:type="dxa"/>
          </w:tcPr>
          <w:p w14:paraId="669F280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2004</w:t>
            </w:r>
          </w:p>
        </w:tc>
        <w:tc>
          <w:tcPr>
            <w:tcW w:w="1337" w:type="dxa"/>
          </w:tcPr>
          <w:p w14:paraId="02CF0F4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5C8ABB6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5143AA9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1-2</w:t>
            </w:r>
          </w:p>
        </w:tc>
        <w:tc>
          <w:tcPr>
            <w:tcW w:w="913" w:type="dxa"/>
          </w:tcPr>
          <w:p w14:paraId="2BF3793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367DBBB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3604</w:t>
            </w:r>
          </w:p>
        </w:tc>
        <w:tc>
          <w:tcPr>
            <w:tcW w:w="1086" w:type="dxa"/>
          </w:tcPr>
          <w:p w14:paraId="109871E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3561A0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932904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03D6FEE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9FD42A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3F2C1A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2FB29D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sleep</w:t>
            </w:r>
          </w:p>
        </w:tc>
        <w:tc>
          <w:tcPr>
            <w:tcW w:w="1609" w:type="dxa"/>
          </w:tcPr>
          <w:p w14:paraId="7880C33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overall learning, professionalism</w:t>
            </w:r>
          </w:p>
        </w:tc>
        <w:tc>
          <w:tcPr>
            <w:tcW w:w="1609" w:type="dxa"/>
          </w:tcPr>
          <w:p w14:paraId="7ECF0CD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 harassment</w:t>
            </w:r>
          </w:p>
        </w:tc>
        <w:tc>
          <w:tcPr>
            <w:tcW w:w="1609" w:type="dxa"/>
          </w:tcPr>
          <w:p w14:paraId="682BC96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72DA4AA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487D9A1A"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2F0CDE18"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Min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pc30CEBC","properties":{"formattedCitation":"(73)","plainCitation":"(73)","noteIndex":0},"citationItems":[{"id":3264,"uris":["http://zotero.org/users/4975241/items/B5PBJ3AC"],"uri":["http://zotero.org/users/4975241/items/B5PBJ3AC"],"itemData":{"id":3264,"type":"article-journal","abstract":"Background: Medical residency can be a time of increased psychological stress and sleep disturbance. We examine the prospective associations between self-reported sleep quality and resident wellness across a single training year.\nMethods: Sixty-nine (N 069) resident physicians completed the Brief Resident Wellness Profile (M017.66, standard deviation [SD] 0 3.45, range: 0Á17) and the Pittsburgh Sleep Quality Index (M 06.22, SD 0 2.86, range: 12Á25) at multiple occasions in a single training year. We examined the 1-month lagged effect of sleep disturbances on residents’ self-reported wellness.\nResults: Accounting for residents’ overall level of sleep disturbance across the entire study period, both the concurrent (within-person) within-occasion effect of sleep disturbance (B 0 (0.20, standard error [SE] 00.06, p 00.003, 95% confidence interval [CI]: (0.33, (0.07) and the lagged within-person effect of resident sleep disturbance (B 0 (0.15, SE00.07, p 00.037, 95% CI: (0.29, (0.009) were significant predictors of decreased resident wellness. Increases in sleep disturbances are a leading indicator of resident wellness, predicting decreased well-being 1 month later.\nConclusions: Sleep quality exerts a significant effect on self-reported resident wellness. Periodic evaluation of sleep quality may alert program leadership and the residents themselves to impending decreases in psychological well-being.","container-title":"Medical Education Online","DOI":"10.3402/meo.v20.28530","ISSN":"1087-2981","issue":"1","journalAbbreviation":"Medical Education Online","language":"en","page":"28530","source":"DOI.org (Crossref)","title":"Sleep disturbances predict prospective declines in resident physicians’ psychological well-being","volume":"20","author":[{"family":"Min","given":"Alice A."},{"family":"Sbarra","given":"David A."},{"family":"Keim","given":"Samuel M."}],"issued":{"date-parts":[["2015",1]]}}}],"schema":"https://github.com/citation-style-language/schema/raw/master/csl-citation.json"}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(73)</w:t>
            </w:r>
            <w:r>
              <w:rPr>
                <w:rFonts w:ascii="Calibri" w:hAnsi="Calibri" w:cs="Calibri"/>
                <w:color w:val="000000"/>
                <w:sz w:val="20"/>
                <w:szCs w:val="20"/>
              </w:rPr>
              <w:fldChar w:fldCharType="end"/>
            </w:r>
          </w:p>
        </w:tc>
        <w:tc>
          <w:tcPr>
            <w:tcW w:w="1130" w:type="dxa"/>
          </w:tcPr>
          <w:p w14:paraId="1BB108E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2015</w:t>
            </w:r>
          </w:p>
        </w:tc>
        <w:tc>
          <w:tcPr>
            <w:tcW w:w="1337" w:type="dxa"/>
          </w:tcPr>
          <w:p w14:paraId="71AF32A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6936F50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7C61F40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54DB105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730E161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69</w:t>
            </w:r>
          </w:p>
        </w:tc>
        <w:tc>
          <w:tcPr>
            <w:tcW w:w="1086" w:type="dxa"/>
          </w:tcPr>
          <w:p w14:paraId="7E727DA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094BF92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2A1A2D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4DF0AD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Brief Resident Wellness Profile </w:t>
            </w:r>
          </w:p>
        </w:tc>
        <w:tc>
          <w:tcPr>
            <w:tcW w:w="1500" w:type="dxa"/>
          </w:tcPr>
          <w:p w14:paraId="253E005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Pittsburgh Sleep Quality Index </w:t>
            </w:r>
          </w:p>
        </w:tc>
        <w:tc>
          <w:tcPr>
            <w:tcW w:w="1500" w:type="dxa"/>
          </w:tcPr>
          <w:p w14:paraId="569EE8F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95BEE6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Wellness, sleep disturbance</w:t>
            </w:r>
          </w:p>
        </w:tc>
        <w:tc>
          <w:tcPr>
            <w:tcW w:w="1609" w:type="dxa"/>
          </w:tcPr>
          <w:p w14:paraId="46D682E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E6866F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643723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1481895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7969DBC7"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158DC1B2"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Zebrowski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XlBIDkHZ","properties":{"formattedCitation":"(74)","plainCitation":"(74)","noteIndex":0},"citationItems":[{"id":3322,"uris":["http://zotero.org/users/4975241/items/MUZVWV6U"],"uri":["http://zotero.org/users/4975241/items/MUZVWV6U"],"itemData":{"id":3322,"type":"article-journal","abstract":"BACKGROUND: Sleep impairment is highly prevalent among resident physicians and is associated with both adverse patient outcomes and poor resident mental and physical health. Risk factors for sleep problems during residency are less clear, and no screening model exists to identify residents at risk for sleep impairment.\nOBJECTIVE: The objective of this study was to assess change in resident sleep during training and to evaluate utility of baseline sleep screening in predicting future sleep impairment.\nDESIGN: This is a prospective observational repeated-measures survey study.\nPARTICIPANTS: The participants comprised PGY-1 residents across multiple specialties at Partners HealthCare hospitals.\nMAIN MEASURES: Main measures used for this study were demographic queries and two validated scales: the Pittsburgh Sleep Quality Index (PSQI), measuring sleep quality, and the Epworth Sleepiness Scale (ESS), measuring excessive daytime sleepiness.\nKEY RESULTS: Two hundred eighty-one PGY-1 residents completed surveys at residency orientation, and 153 (54%) completed matched surveys 9 months later. Mean nightly sleep time decreased from 7.6 to 6.5 hours (p &lt; 0.001). Mean PSQI score increased from 3.6 to 5.2 (p &lt; 0.001), and mean ESS score increased from 7.2 to 10.4 (p &lt; 0.001). The proportion of residents exceeding the scales' clinical cutoffs increased over time from 15 to 40% on the PSQI (p &lt; 0.001) and from 26 to 59% on the ESS (p &lt; 0.001). Baseline normal sleep was not protective: 68% of residents with normal scores on both scales at baseline exceeded the clinical cutoff on at least one scale at follow-up. Greater age and fewer children increased follow-up PSQI score (p &lt; 0.001) but not ESS score.\nCONCLUSIONS: During PGY-1 training, residents experience worsening sleep duration, quality of sleep, and daytime sleepiness. Residents with baseline impaired sleep tend to remain impaired. Moreover, many residents with baseline normal sleep experience sleep deterioration over time. Sleep screening at residency orientation may identify some, but not all, residents who will experience sleep impairment during training.","container-title":"Journal of General Internal Medicine","DOI":"10.1007/s11606-018-4348-3","ISSN":"1525-1497","issue":"6","journalAbbreviation":"J Gen Intern Med","language":"eng","note":"PMID: 29464473\nPMCID: PMC5975152","page":"825-830","source":"PubMed","title":"So Tired: Predictive Utility of Baseline Sleep Screening in a Longitudinal Observational Survey Cohort of First-Year Residents","title-short":"So Tired","volume":"33","author":[{"family":"Zebrowski","given":"Jonathan P."},{"family":"Pulliam","given":"Samantha J."},{"family":"Denninger","given":"John W."},{"family":"Berkowitz","given":"Lori R."}],"issued":{"date-parts":[["2018"]]}}}],"schema":"https://github.com/citation-style-language/schema/raw/master/csl-citation.json"}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(74)</w:t>
            </w:r>
            <w:r>
              <w:rPr>
                <w:rFonts w:ascii="Calibri" w:hAnsi="Calibri" w:cs="Calibri"/>
                <w:color w:val="000000"/>
                <w:sz w:val="20"/>
                <w:szCs w:val="20"/>
              </w:rPr>
              <w:fldChar w:fldCharType="end"/>
            </w:r>
          </w:p>
        </w:tc>
        <w:tc>
          <w:tcPr>
            <w:tcW w:w="1130" w:type="dxa"/>
          </w:tcPr>
          <w:p w14:paraId="7A4C92D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2018</w:t>
            </w:r>
          </w:p>
        </w:tc>
        <w:tc>
          <w:tcPr>
            <w:tcW w:w="1337" w:type="dxa"/>
          </w:tcPr>
          <w:p w14:paraId="66AB3A3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51E6566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0C8EA81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57D3EE1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78620A3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281</w:t>
            </w:r>
          </w:p>
        </w:tc>
        <w:tc>
          <w:tcPr>
            <w:tcW w:w="1086" w:type="dxa"/>
          </w:tcPr>
          <w:p w14:paraId="642E2D8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5A96712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87F094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 and selected questions available</w:t>
            </w:r>
          </w:p>
        </w:tc>
        <w:tc>
          <w:tcPr>
            <w:tcW w:w="1499" w:type="dxa"/>
          </w:tcPr>
          <w:p w14:paraId="1C94DB0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Pittsburgh Sleep Quality Index </w:t>
            </w:r>
          </w:p>
        </w:tc>
        <w:tc>
          <w:tcPr>
            <w:tcW w:w="1500" w:type="dxa"/>
          </w:tcPr>
          <w:p w14:paraId="15A2EE9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Epworth Sleepiness Scale</w:t>
            </w:r>
          </w:p>
        </w:tc>
        <w:tc>
          <w:tcPr>
            <w:tcW w:w="1500" w:type="dxa"/>
          </w:tcPr>
          <w:p w14:paraId="26A7CAE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E20EF8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Sleep</w:t>
            </w:r>
          </w:p>
        </w:tc>
        <w:tc>
          <w:tcPr>
            <w:tcW w:w="1609" w:type="dxa"/>
          </w:tcPr>
          <w:p w14:paraId="209179B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7F818E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3DF6C0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3D40C8F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52DCB5A8"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6D2168C3"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Yusoff</w:t>
            </w:r>
            <w:r>
              <w:rPr>
                <w:rFonts w:ascii="Calibri" w:hAnsi="Calibri" w:cs="Calibri"/>
                <w:color w:val="000000"/>
                <w:sz w:val="20"/>
                <w:szCs w:val="20"/>
              </w:rPr>
              <w:t xml:space="preserve"> </w:t>
            </w:r>
            <w:r w:rsidRPr="00701766">
              <w:rPr>
                <w:rFonts w:ascii="Calibri" w:hAnsi="Calibri" w:cs="Calibri"/>
                <w:color w:val="000000"/>
                <w:sz w:val="20"/>
                <w:szCs w:val="20"/>
              </w:rPr>
              <w:t xml:space="preserve">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XJ6RfJHm","properties":{"formattedCitation":"(75)","plainCitation":"(75)","noteIndex":0},"citationItems":[{"id":3310,"uris":["http://zotero.org/users/4975241/items/5JQ3RFE3"],"uri":["http://zotero.org/users/4975241/items/5JQ3RFE3"],"itemData":{"id":3310,"type":"article-journal","abstract":"Objective: Medical housemanship training has always been regarded as a highly stressful environment to doctors. This article described findings on stress, stressors and coping strategies among house officers in a Malaysian hospital. Methods: A cross-sectional study was conducted on house officers in a Malaysian hospital. The 12 items General Health Questionnaire (GHQ-12), General Stressors Questionnaire (GSQ) and Brief COPE inventory were administered to measure perceived stress, sources of stress and coping strategies among house officers respectively. Data was analysed using SPSS version 12. Results: Forty two house officers participated in this study. This study found that approximately 31% of the house officers were in distress. The top five stressors were fears of making mistakes that can lead to serious consequences, work overload, working with uncooperative colleagues, doing work that mentally straining and feeling of being underpaid. The most frequent coping strategies used by house officers were religion, acceptance and self-distraction. Conclusion: This study found that there was a high percentage of distressed house officers. It also found that major stressors were related to performance pressure. The main coping strategy used by house officer was emotion-focused coping. (PsycINFO Database Record (c) 2016 APA, all rights reserved)","container-title":"ASEAN Journal of Psychiatry","ISSN":"2231-7791(Electronic),2231-7805(Print)","issue":"1","note":"publisher-place: Malaysia\npublisher: Mobition Sdn. Bhd.","page":"85-94","source":"APA PsycNET","title":"Stress, stressors and coping strategies among house officers in a Malaysian hospital","volume":"12","author":[{"family":"Yusoff","given":"Muhamad Saiful Bahri"},{"family":"Jie","given":"Tan Ying"},{"family":"Esa","given":"Ab Rahman"}],"issued":{"date-parts":[["2011"]]}}}],"schema":"https://github.com/citation-style-language/schema/raw/master/csl-citation.json"}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(75)</w:t>
            </w:r>
            <w:r>
              <w:rPr>
                <w:rFonts w:ascii="Calibri" w:hAnsi="Calibri" w:cs="Calibri"/>
                <w:color w:val="000000"/>
                <w:sz w:val="20"/>
                <w:szCs w:val="20"/>
              </w:rPr>
              <w:fldChar w:fldCharType="end"/>
            </w:r>
          </w:p>
        </w:tc>
        <w:tc>
          <w:tcPr>
            <w:tcW w:w="1130" w:type="dxa"/>
          </w:tcPr>
          <w:p w14:paraId="35BCEA4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2011</w:t>
            </w:r>
          </w:p>
        </w:tc>
        <w:tc>
          <w:tcPr>
            <w:tcW w:w="1337" w:type="dxa"/>
          </w:tcPr>
          <w:p w14:paraId="2B73FC0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Malaysia</w:t>
            </w:r>
          </w:p>
        </w:tc>
        <w:tc>
          <w:tcPr>
            <w:tcW w:w="1434" w:type="dxa"/>
          </w:tcPr>
          <w:p w14:paraId="1B999E9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House officer</w:t>
            </w:r>
          </w:p>
        </w:tc>
        <w:tc>
          <w:tcPr>
            <w:tcW w:w="1106" w:type="dxa"/>
          </w:tcPr>
          <w:p w14:paraId="6F67051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5E3A25B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77C563F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42</w:t>
            </w:r>
          </w:p>
        </w:tc>
        <w:tc>
          <w:tcPr>
            <w:tcW w:w="1086" w:type="dxa"/>
          </w:tcPr>
          <w:p w14:paraId="6A9A264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36BB0FF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1613E7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4AA6481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GHQ-12</w:t>
            </w:r>
          </w:p>
        </w:tc>
        <w:tc>
          <w:tcPr>
            <w:tcW w:w="1500" w:type="dxa"/>
          </w:tcPr>
          <w:p w14:paraId="6828E45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General stressor questionnaire</w:t>
            </w:r>
          </w:p>
        </w:tc>
        <w:tc>
          <w:tcPr>
            <w:tcW w:w="1500" w:type="dxa"/>
          </w:tcPr>
          <w:p w14:paraId="03CD923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Brief COPE </w:t>
            </w:r>
          </w:p>
        </w:tc>
        <w:tc>
          <w:tcPr>
            <w:tcW w:w="1609" w:type="dxa"/>
          </w:tcPr>
          <w:p w14:paraId="006FE875" w14:textId="4A5B0769" w:rsidR="00E46C9F" w:rsidRPr="00701766" w:rsidRDefault="008D7CF8"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Pr>
                <w:rFonts w:ascii="Calibri" w:hAnsi="Calibri" w:cs="Calibri"/>
                <w:color w:val="000000"/>
                <w:sz w:val="20"/>
                <w:szCs w:val="20"/>
              </w:rPr>
              <w:t>Psychological dis</w:t>
            </w:r>
            <w:r w:rsidRPr="00701766">
              <w:rPr>
                <w:rFonts w:ascii="Calibri" w:hAnsi="Calibri" w:cs="Calibri"/>
                <w:color w:val="000000"/>
                <w:sz w:val="20"/>
                <w:szCs w:val="20"/>
              </w:rPr>
              <w:t>tress</w:t>
            </w:r>
          </w:p>
        </w:tc>
        <w:tc>
          <w:tcPr>
            <w:tcW w:w="1609" w:type="dxa"/>
          </w:tcPr>
          <w:p w14:paraId="6035901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Teamwork, supervision, support</w:t>
            </w:r>
          </w:p>
        </w:tc>
        <w:tc>
          <w:tcPr>
            <w:tcW w:w="1609" w:type="dxa"/>
          </w:tcPr>
          <w:p w14:paraId="01E6B0E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 pay, work-family conflict</w:t>
            </w:r>
          </w:p>
        </w:tc>
        <w:tc>
          <w:tcPr>
            <w:tcW w:w="1609" w:type="dxa"/>
          </w:tcPr>
          <w:p w14:paraId="0A1D89B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2A38749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1806A8F6"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7831DA9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Sangi-Haghpeykar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lA1NVXJr","properties":{"formattedCitation":"(76)","plainCitation":"(76)","noteIndex":0},"citationItems":[{"id":3267,"uris":["http://zotero.org/users/4975241/items/ETWIKY4X"],"uri":["http://zotero.org/users/4975241/items/ETWIKY4X"],"itemData":{"id":3267,"type":"article-journal","abstract":"Objectives: To assess the impact of stress and workload on sexual health and quality of life (QOL) of the medical residents in training. Design and subjects: A total of 339 male and female medical residents from 11 specialties were surveyed. Level of stress, sexual health and QOL were measured using validated questionnaires. Results: Overall, 49% of the female and 11% of male residents had sexual dysfunction, and 47% and 34% respectively indicated being very to mostly dissatisﬁed with their sexual life. Both the frequency of sexual activity and quality of relationship with partner decreased during residency compared with the time immediately prior to residency. This decline was irrespective of gender, specialty or year of residency. A majority of residents (75% of women and 54% of men) were identiﬁed to be at high levels of stress using a validated questionnaire. In women, stress negatively inﬂuenced most domains of sexual health including desire, arousal and satisfaction; in men, satisfaction was signiﬁcantly affected by high levels of stress. Long hours of work (&gt; 70 h per week) impacted sexual health less profoundly than did stress. Among both male and female residents, QOL was signiﬁcantly lower among residents who experienced sexual dysfunction and dissatisfaction compared with those with normal sexual functioning. Conclusions: Our results highlight the importance of stress-management efforts in residency programmes and provide evidence that limiting work hours alone may not lead to signiﬁcant improvement in sexual health and QOL during residency.","container-title":"International Journal of Clinical Practice","DOI":"10.1111/j.1742-1241.2008.01845.x","ISSN":"13685031, 17421241","issue":"3","language":"en","page":"462-467","source":"DOI.org (Crossref)","title":"Stress, workload, sexual well-being and quality of life among physician residents in training","volume":"63","author":[{"family":"Sangi-Haghpeykar","given":"H."},{"family":"Ambani","given":"D. S."},{"family":"Carson","given":"S. A."}],"issued":{"date-parts":[["2009",3]]}}}],"schema":"https://github.com/citation-style-language/schema/raw/master/csl-citation.json"}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(76)</w:t>
            </w:r>
            <w:r>
              <w:rPr>
                <w:rFonts w:ascii="Calibri" w:hAnsi="Calibri" w:cs="Calibri"/>
                <w:color w:val="000000"/>
                <w:sz w:val="20"/>
                <w:szCs w:val="20"/>
              </w:rPr>
              <w:fldChar w:fldCharType="end"/>
            </w:r>
          </w:p>
        </w:tc>
        <w:tc>
          <w:tcPr>
            <w:tcW w:w="1130" w:type="dxa"/>
          </w:tcPr>
          <w:p w14:paraId="2B9AB77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2009</w:t>
            </w:r>
          </w:p>
        </w:tc>
        <w:tc>
          <w:tcPr>
            <w:tcW w:w="1337" w:type="dxa"/>
          </w:tcPr>
          <w:p w14:paraId="697CC1C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72227A3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2FB8173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1-5</w:t>
            </w:r>
          </w:p>
        </w:tc>
        <w:tc>
          <w:tcPr>
            <w:tcW w:w="913" w:type="dxa"/>
          </w:tcPr>
          <w:p w14:paraId="445F03C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0C20B3A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275</w:t>
            </w:r>
          </w:p>
        </w:tc>
        <w:tc>
          <w:tcPr>
            <w:tcW w:w="1086" w:type="dxa"/>
          </w:tcPr>
          <w:p w14:paraId="5D97BBC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210C3D3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D94C14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7EC8261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Quality of life inventory</w:t>
            </w:r>
          </w:p>
        </w:tc>
        <w:tc>
          <w:tcPr>
            <w:tcW w:w="1500" w:type="dxa"/>
          </w:tcPr>
          <w:p w14:paraId="5F6979D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inventory</w:t>
            </w:r>
          </w:p>
        </w:tc>
        <w:tc>
          <w:tcPr>
            <w:tcW w:w="1500" w:type="dxa"/>
          </w:tcPr>
          <w:p w14:paraId="6C7456A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62DB9F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Quality of life, stress</w:t>
            </w:r>
          </w:p>
        </w:tc>
        <w:tc>
          <w:tcPr>
            <w:tcW w:w="1609" w:type="dxa"/>
          </w:tcPr>
          <w:p w14:paraId="6344C6B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08785C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A254CA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13FACFE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56B649CD"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528CA94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Kashner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txf1lMAQ","properties":{"formattedCitation":"(77)","plainCitation":"(77)","noteIndex":0},"citationItems":[{"id":3314,"uris":["http://zotero.org/users/4975241/items/X4RP739Z"],"uri":["http://zotero.org/users/4975241/items/X4RP739Z"],"itemData":{"id":3314,"type":"article-journal","abstract":"BACKGROUND: As the Accreditation Council on Graduate Medical Education (ACGME) deliberates over further limiting duty hours of graduate medical education (GME) trainees, few large-scale studies have shown residents to be satisfied with the effect the 2003 standards have had on clinical care, education outcomes, or working environments. This study measures the effect of the 2003 duty hours limits on resident-reported satisfaction with GME training during their rotations through the Department of Veterans Affairs (VA) medical centers from 2001 through 2007.\nMETHOD: Self-reported satisfaction with clinical care and education environments were assessed by comparing responses to VA's annual Learners' Perceptions Survey administered before 2003 with responses administered after 2003. To measure duty hours effects on satisfaction, before-after differences were adjusted for covariate biases modeled after an exhaustive covariate search with 10-fold cross-validation. Because nonteaching controls are not available in satisfaction studies, we used a robust differencing variable technique to control before-after differences for trend biases in the simultaneous presence of missing data and possible model misspecification.\nRESULTS: There were 19,605 responders. Adjusting for covariate and trend biases, after the 2003 ACGME standards, 25% more residents in medicine specialties reported satisfaction with VA clinical environment and 11% more with VA preceptors and faculty. For surgery, 33% more residents reported satisfaction with VA clinical environment and 12% more with VA preceptors and faculty. Satisfaction with working environment was mixed.\nCONCLUSIONS: The 2003 ACGME duty hours standards were associated with improved satisfaction for resident clinical training and learning environments.","container-title":"Academic Medicine: Journal of the Association of American Medical Colleges","DOI":"10.1097/ACM.0b013e3181e1d7e3","ISSN":"1938-808X","issue":"7","journalAbbreviation":"Acad Med","language":"eng","note":"PMID: 20592508","page":"1130-1139","source":"PubMed","title":"Studying the effects of ACGME duty hours limits on resident satisfaction: results from VA learners' perceptions survey","title-short":"Studying the effects of ACGME duty hours limits on resident satisfaction","volume":"85","author":[{"family":"Kashner","given":"T. Michael"},{"family":"Henley","given":"Steven S."},{"family":"Golden","given":"Richard M."},{"family":"Byrne","given":"John M."},{"family":"Keitz","given":"Sheri A."},{"family":"Cannon","given":"Grant W."},{"family":"Chang","given":"Barbara K."},{"family":"Holland","given":"Gloria J."},{"family":"Aron","given":"David C."},{"family":"Muchmore","given":"Elaine A."},{"family":"Wicker","given":"Annie"},{"family":"White","given":"Halbert"}],"issued":{"date-parts":[["2010",7]]}}}],"schema":"https://github.com/citation-style-language/schema/raw/master/csl-citation.json"}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(77)</w:t>
            </w:r>
            <w:r>
              <w:rPr>
                <w:rFonts w:ascii="Calibri" w:hAnsi="Calibri" w:cs="Calibri"/>
                <w:color w:val="000000"/>
                <w:sz w:val="20"/>
                <w:szCs w:val="20"/>
              </w:rPr>
              <w:fldChar w:fldCharType="end"/>
            </w:r>
          </w:p>
        </w:tc>
        <w:tc>
          <w:tcPr>
            <w:tcW w:w="1130" w:type="dxa"/>
          </w:tcPr>
          <w:p w14:paraId="7945EBD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2010</w:t>
            </w:r>
          </w:p>
        </w:tc>
        <w:tc>
          <w:tcPr>
            <w:tcW w:w="1337" w:type="dxa"/>
          </w:tcPr>
          <w:p w14:paraId="0A749C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36A5943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09343CD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1-7</w:t>
            </w:r>
          </w:p>
        </w:tc>
        <w:tc>
          <w:tcPr>
            <w:tcW w:w="913" w:type="dxa"/>
          </w:tcPr>
          <w:p w14:paraId="340F517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4AB5D72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18323</w:t>
            </w:r>
          </w:p>
        </w:tc>
        <w:tc>
          <w:tcPr>
            <w:tcW w:w="1086" w:type="dxa"/>
          </w:tcPr>
          <w:p w14:paraId="3D0C4D4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1BFDB9F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6FD5224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5E9027C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B52C30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111A7B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D5AB5D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fatigue</w:t>
            </w:r>
          </w:p>
        </w:tc>
        <w:tc>
          <w:tcPr>
            <w:tcW w:w="1609" w:type="dxa"/>
          </w:tcPr>
          <w:p w14:paraId="4C0008E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learning environment, support, teamwork, teaching</w:t>
            </w:r>
          </w:p>
        </w:tc>
        <w:tc>
          <w:tcPr>
            <w:tcW w:w="1609" w:type="dxa"/>
          </w:tcPr>
          <w:p w14:paraId="3863289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 infrastructure, safety, food and accommodation</w:t>
            </w:r>
          </w:p>
        </w:tc>
        <w:tc>
          <w:tcPr>
            <w:tcW w:w="1609" w:type="dxa"/>
          </w:tcPr>
          <w:p w14:paraId="4F180C8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68A6812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53F15C74"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2A3A2EFE"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Touchie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ssIHhNDb","properties":{"formattedCitation":"(78)","plainCitation":"(78)","noteIndex":0},"citationItems":[{"id":3269,"uris":["http://zotero.org/users/4975241/items/2T5BLGPB"],"uri":["http://zotero.org/users/4975241/items/2T5BLGPB"],"itemData":{"id":3269,"type":"article-journal","container-title":"Medical Education","DOI":"10.1111/medu.12503","ISSN":"03080110","issue":"9","journalAbbreviation":"Med Educ","language":"en","page":"921-929","source":"DOI.org (Crossref)","title":"Supervising incoming first-year residents: faculty expectations versus residents' experiences","title-short":"Supervising incoming first-year residents","volume":"48","author":[{"family":"Touchie","given":"Claire"},{"family":"De Champlain","given":"André"},{"family":"Pugh","given":"Debra"},{"family":"Downing","given":"Steven"},{"family":"Bordage","given":"Georges"}],"issued":{"date-parts":[["2014",9]]}}}],"schema":"https://github.com/citation-style-language/schema/raw/master/csl-citation.json"}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(78)</w:t>
            </w:r>
            <w:r>
              <w:rPr>
                <w:rFonts w:ascii="Calibri" w:hAnsi="Calibri" w:cs="Calibri"/>
                <w:color w:val="000000"/>
                <w:sz w:val="20"/>
                <w:szCs w:val="20"/>
              </w:rPr>
              <w:fldChar w:fldCharType="end"/>
            </w:r>
          </w:p>
        </w:tc>
        <w:tc>
          <w:tcPr>
            <w:tcW w:w="1130" w:type="dxa"/>
          </w:tcPr>
          <w:p w14:paraId="152980D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2014</w:t>
            </w:r>
          </w:p>
        </w:tc>
        <w:tc>
          <w:tcPr>
            <w:tcW w:w="1337" w:type="dxa"/>
          </w:tcPr>
          <w:p w14:paraId="7441A02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Canada</w:t>
            </w:r>
          </w:p>
        </w:tc>
        <w:tc>
          <w:tcPr>
            <w:tcW w:w="1434" w:type="dxa"/>
          </w:tcPr>
          <w:p w14:paraId="14A9303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39AC5F9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24DCE08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489D7FD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48</w:t>
            </w:r>
          </w:p>
        </w:tc>
        <w:tc>
          <w:tcPr>
            <w:tcW w:w="1086" w:type="dxa"/>
          </w:tcPr>
          <w:p w14:paraId="5D3F3AA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5DBA95D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A139CF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3D79A89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F45822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89F993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0DC6AF7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A46878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w:t>
            </w:r>
          </w:p>
        </w:tc>
        <w:tc>
          <w:tcPr>
            <w:tcW w:w="1609" w:type="dxa"/>
          </w:tcPr>
          <w:p w14:paraId="1ECA265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C2D27A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Face validity</w:t>
            </w:r>
          </w:p>
        </w:tc>
        <w:tc>
          <w:tcPr>
            <w:tcW w:w="1609" w:type="dxa"/>
          </w:tcPr>
          <w:p w14:paraId="7B5701E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12F0CE1"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6D749E16"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Jagsi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k0OTLSfP","properties":{"formattedCitation":"(79)","plainCitation":"(79)","noteIndex":0},"citationItems":[{"id":3270,"uris":["http://zotero.org/users/4975241/items/H4R68G7M"],"uri":["http://zotero.org/users/4975241/items/H4R68G7M"],"itemData":{"id":3270,"type":"article-journal","container-title":"Archives of Internal Medicine","DOI":"10.1001/archinternmed.2007.129","ISSN":"0003-9926","issue":"5","journalAbbreviation":"Arch Intern Med","language":"en","page":"493","source":"DOI.org (Crossref)","title":"The Accreditation Council for Graduate Medical Education's Limits on Residents' Work Hours and Patient SafetyA Study of Resident Experiences and Perceptions Before and After Hours Reductions","volume":"168","author":[{"family":"Jagsi","given":"Reshma"}],"issued":{"date-parts":[["2008",3,10]]}}}],"schema":"https://github.com/citation-style-language/schema/raw/master/csl-citation.json"}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(79)</w:t>
            </w:r>
            <w:r>
              <w:rPr>
                <w:rFonts w:ascii="Calibri" w:hAnsi="Calibri" w:cs="Calibri"/>
                <w:color w:val="000000"/>
                <w:sz w:val="20"/>
                <w:szCs w:val="20"/>
              </w:rPr>
              <w:fldChar w:fldCharType="end"/>
            </w:r>
          </w:p>
        </w:tc>
        <w:tc>
          <w:tcPr>
            <w:tcW w:w="1130" w:type="dxa"/>
          </w:tcPr>
          <w:p w14:paraId="2DE1AAE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2008</w:t>
            </w:r>
          </w:p>
        </w:tc>
        <w:tc>
          <w:tcPr>
            <w:tcW w:w="1337" w:type="dxa"/>
          </w:tcPr>
          <w:p w14:paraId="4567268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213E007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62A536B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1-6+</w:t>
            </w:r>
          </w:p>
        </w:tc>
        <w:tc>
          <w:tcPr>
            <w:tcW w:w="913" w:type="dxa"/>
          </w:tcPr>
          <w:p w14:paraId="772FED2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w:t>
            </w:r>
          </w:p>
        </w:tc>
        <w:tc>
          <w:tcPr>
            <w:tcW w:w="1102" w:type="dxa"/>
          </w:tcPr>
          <w:p w14:paraId="04A8FA1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1498</w:t>
            </w:r>
          </w:p>
        </w:tc>
        <w:tc>
          <w:tcPr>
            <w:tcW w:w="1086" w:type="dxa"/>
          </w:tcPr>
          <w:p w14:paraId="618FC60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 and online</w:t>
            </w:r>
          </w:p>
        </w:tc>
        <w:tc>
          <w:tcPr>
            <w:tcW w:w="1375" w:type="dxa"/>
          </w:tcPr>
          <w:p w14:paraId="63AD142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1EAB73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2483A8C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9EE8E1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FCD26B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C536D6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Fatigue</w:t>
            </w:r>
          </w:p>
        </w:tc>
        <w:tc>
          <w:tcPr>
            <w:tcW w:w="1609" w:type="dxa"/>
          </w:tcPr>
          <w:p w14:paraId="279925B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947DB5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 safety</w:t>
            </w:r>
          </w:p>
        </w:tc>
        <w:tc>
          <w:tcPr>
            <w:tcW w:w="1609" w:type="dxa"/>
          </w:tcPr>
          <w:p w14:paraId="14B6122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27E3974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7608F594"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650DF345"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Marek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Gyr6FdT1","properties":{"formattedCitation":"(80)","plainCitation":"(80)","noteIndex":0},"citationItems":[{"id":3271,"uris":["http://zotero.org/users/4975241/items/T5XYTJ2G"],"uri":["http://zotero.org/users/4975241/items/T5XYTJ2G"],"itemData":{"id":3271,"type":"article-journal","abstract":"Background: When compared to the general US working population, physicians are more likely to experience burnout and dissatisfaction with work-life balance. Our aim was to examine the association of objectively-measured sleep, activity, call load, and gender with reported resident burnout and wellness factors.\nMethods: Residents were recruited to wear activity tracker bands and complete interval blinded surveys.\nResults: Of the 30 residents recruited, 28 (93%) completed the study. Based on survey results, residents who reported high amounts of call reported equivalent levels of wellness factors to those who reported low call loads. There was no association between amount of call on training satisfaction, emotional exhaustion, self-reported burnout, or sleep quality. Analysis of sleep tracker data showed that there was no significant association with time in bed, time asleep, times awakened or sleep latency and call load or self-reported burnout. Female gender, however, was found to be associated with self-reported burnout. No significant associations were found between objectively-measured activity and burnout.\nConclusions: Based on the results of our study, there was no association with burnout and objectively-measured sleep, call volume, or activity. Increased call demands had no negative association with training satisfaction or professional fulfillment. This would suggest that more hours worked does not necessarily equate to increased burnout.","container-title":"BMC Medical Education","DOI":"10.1186/s12909-019-1592-0","ISSN":"1472-6920","issue":"1","journalAbbreviation":"BMC Med Educ","language":"en","page":"158","source":"DOI.org (Crossref)","title":"The association between objectively-measured activity, sleep, call responsibilities, and burnout in a resident cohort","volume":"19","author":[{"family":"Marek","given":"Ashley P."},{"family":"Nygaard","given":"Rachel M."},{"family":"Liang","given":"Ellen T."},{"family":"Roetker","given":"Nicholas S."},{"family":"DeLaquil","given":"Mary"},{"family":"Gregorich","given":"Sandy"},{"family":"Richardson","given":"Chad J."},{"family":"Van Camp","given":"Joan M."}],"issued":{"date-parts":[["2019",12]]}}}],"schema":"https://github.com/citation-style-language/schema/raw/master/csl-citation.json"}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(80)</w:t>
            </w:r>
            <w:r>
              <w:rPr>
                <w:rFonts w:ascii="Calibri" w:hAnsi="Calibri" w:cs="Calibri"/>
                <w:color w:val="000000"/>
                <w:sz w:val="20"/>
                <w:szCs w:val="20"/>
              </w:rPr>
              <w:fldChar w:fldCharType="end"/>
            </w:r>
          </w:p>
        </w:tc>
        <w:tc>
          <w:tcPr>
            <w:tcW w:w="1130" w:type="dxa"/>
          </w:tcPr>
          <w:p w14:paraId="633A8E9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2019</w:t>
            </w:r>
          </w:p>
        </w:tc>
        <w:tc>
          <w:tcPr>
            <w:tcW w:w="1337" w:type="dxa"/>
          </w:tcPr>
          <w:p w14:paraId="587DC9C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6CB24EE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0F89C09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32AD73F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4347674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28</w:t>
            </w:r>
          </w:p>
        </w:tc>
        <w:tc>
          <w:tcPr>
            <w:tcW w:w="1086" w:type="dxa"/>
          </w:tcPr>
          <w:p w14:paraId="2553169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7F96975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F38C17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4F61E7F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A0DA9E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93AF5D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5F59EC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Burnout, sleep</w:t>
            </w:r>
          </w:p>
        </w:tc>
        <w:tc>
          <w:tcPr>
            <w:tcW w:w="1609" w:type="dxa"/>
          </w:tcPr>
          <w:p w14:paraId="1ADA281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E41D43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E7779E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488D768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3EC5EC96"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50C2151E"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Goldacre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JBD2qoCp","properties":{"formattedCitation":"(82)","plainCitation":"(82)","noteIndex":0},"citationItems":[{"id":3273,"uris":["http://zotero.org/users/4975241/items/9ALUWLYY"],"uri":["http://zotero.org/users/4975241/items/9ALUWLYY"],"itemData":{"id":3273,"type":"article-journal","abstract":"OBJECTIVE To determine whether graduate and nongraduate entrants to medical school differ in their views on the ﬁrst year spent in medical practice as a pre-registration house ofﬁcer.\nMETHODS We carried out postal questionnaire surveys of medical qualiﬁers of 1999, 2000 and 2002 from all UK medical schools, 1 year after qualiﬁcation. The timing of the study slightly pre-dates the recent major expansion in graduate entry fast-track courses.\nRESULTS Differences between graduate and nongraduate entrants were few and, even when statistically signiﬁcant, were small in scale. Graduate entrants viewed their working hours, pay and living conditions at work, such as hospital accommodation and food, a little less favourably than did non-graduate entrants. Graduate entrants were also less satisﬁed than non-graduates with time available for family, social and recreational activities. However, graduate entrants were more likely than non-graduate entrants to feel positive about their future career prospects. There were no differences between graduate and non-graduate entrants in whether they felt they had been well prepared by their medical schools for the jobs they undertook as house ofﬁcers. Levels of job satisfaction expressed by graduate and non-graduate entrants were similar, as were their responses to most other statements about attitudes to clinical work.\nCONCLUSIONS ÔQuality of lifeÕ issues, a sense of being fairly rewarded, and expectations about oneÕs physical working environment seem a little more important to graduate than to non-graduate entrants.","container-title":"Medical Education","DOI":"10.1111/j.1365-2923.2007.02992.x","ISSN":"03080110, 13652923","issue":"3","language":"en","page":"286-293","source":"DOI.org (Crossref)","title":"The first house officer year: views of graduate and non-graduate entrants to medical school","title-short":"The first house officer year","volume":"42","author":[{"family":"Goldacre","given":"Michael J"},{"family":"Davidson","given":"Jean M"},{"family":"Lambert","given":"Trevor W"}],"issued":{"date-parts":[["2008",3]]}}}],"schema":"https://github.com/citation-style-language/schema/raw/master/csl-citation.json"}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(82)</w:t>
            </w:r>
            <w:r>
              <w:rPr>
                <w:rFonts w:ascii="Calibri" w:hAnsi="Calibri" w:cs="Calibri"/>
                <w:color w:val="000000"/>
                <w:sz w:val="20"/>
                <w:szCs w:val="20"/>
              </w:rPr>
              <w:fldChar w:fldCharType="end"/>
            </w:r>
          </w:p>
        </w:tc>
        <w:tc>
          <w:tcPr>
            <w:tcW w:w="1130" w:type="dxa"/>
          </w:tcPr>
          <w:p w14:paraId="40B0FE8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2008</w:t>
            </w:r>
          </w:p>
        </w:tc>
        <w:tc>
          <w:tcPr>
            <w:tcW w:w="1337" w:type="dxa"/>
          </w:tcPr>
          <w:p w14:paraId="6121910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5FC6A44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6298D14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1BA1149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DA0AEF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6243</w:t>
            </w:r>
          </w:p>
        </w:tc>
        <w:tc>
          <w:tcPr>
            <w:tcW w:w="1086" w:type="dxa"/>
          </w:tcPr>
          <w:p w14:paraId="6866059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2CF137F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3CFDBF5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6DA29C6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25660C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6CA770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045E44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4530DE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support, preparedness</w:t>
            </w:r>
          </w:p>
        </w:tc>
        <w:tc>
          <w:tcPr>
            <w:tcW w:w="1609" w:type="dxa"/>
          </w:tcPr>
          <w:p w14:paraId="4148FA8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 remuneration, food and accommodation</w:t>
            </w:r>
          </w:p>
        </w:tc>
        <w:tc>
          <w:tcPr>
            <w:tcW w:w="1609" w:type="dxa"/>
          </w:tcPr>
          <w:p w14:paraId="27BF31C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6CE5965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7334B4D9"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4A1213ED"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Choi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Z0wcv0GD","properties":{"formattedCitation":"(83)","plainCitation":"(83)","noteIndex":0},"citationItems":[{"id":3274,"uris":["http://zotero.org/users/4975241/items/S3PQSF94"],"uri":["http://zotero.org/users/4975241/items/S3PQSF94"],"itemData":{"id":3274,"type":"article-journal","abstract":"Background: To assess the impact of work hours' limitations required by the Accreditation Council for Graduate Medical Education (ACGME) on residents' career satisfaction, emotions and attitudes.\nMethods: A validated survey instrument was used to assess residents' levels of career satisfaction, emotions and attitudes before and after the ACGME duty hour requirements were implemented. The \"pre\" implementation survey was distributed in December 2002 and the \"post\" implementation one in December 2004. Only the latter included work-hour related questions.\nResults: The response rates were 56% for the 2002 and 72% for the 2004 surveys respectively. Although career satisfaction remained unchanged, numerous changes occurred in both emotions and attitudes. Compared to those residents who did not violate work-hour requirements, those who did were significantly more negative in attitudes and emotions.\nConclusion: With the implementation of the ACGME work hour limitations, the training experience became more negative for those residents who violated the work hour limits and had a small positive impact on those who did not violate them. Graduate medical education leaders must innovate to make the experiences for selected residents improved and still maintain compliance with the work hour requirements.","container-title":"BMC Medical Education","DOI":"10.1186/1472-6920-6-53","ISSN":"1472-6920","issue":"1","journalAbbreviation":"BMC Med Educ","language":"en","page":"53","source":"DOI.org (Crossref)","title":"The impact of the implementation of work hour requirements on residents' career satisfaction, attitudes and emotions","volume":"6","author":[{"family":"Choi","given":"Dongseok"},{"family":"Dickey","given":"Jamie"},{"family":"Wessel","given":"Kristen"},{"family":"Girard","given":"Donald E"}],"issued":{"date-parts":[["2006",12]]}}}],"schema":"https://github.com/citation-style-language/schema/raw/master/csl-citation.json"}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(83)</w:t>
            </w:r>
            <w:r>
              <w:rPr>
                <w:rFonts w:ascii="Calibri" w:hAnsi="Calibri" w:cs="Calibri"/>
                <w:color w:val="000000"/>
                <w:sz w:val="20"/>
                <w:szCs w:val="20"/>
              </w:rPr>
              <w:fldChar w:fldCharType="end"/>
            </w:r>
          </w:p>
        </w:tc>
        <w:tc>
          <w:tcPr>
            <w:tcW w:w="1130" w:type="dxa"/>
          </w:tcPr>
          <w:p w14:paraId="3293585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2006</w:t>
            </w:r>
          </w:p>
        </w:tc>
        <w:tc>
          <w:tcPr>
            <w:tcW w:w="1337" w:type="dxa"/>
          </w:tcPr>
          <w:p w14:paraId="59B0FB5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75A7FEF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48EE38C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76060B4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60EB97D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450</w:t>
            </w:r>
          </w:p>
        </w:tc>
        <w:tc>
          <w:tcPr>
            <w:tcW w:w="1086" w:type="dxa"/>
          </w:tcPr>
          <w:p w14:paraId="492C95B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4E78E81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F6DC82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01A4405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543DCC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778D1F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11B239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Job satisfaction</w:t>
            </w:r>
          </w:p>
        </w:tc>
        <w:tc>
          <w:tcPr>
            <w:tcW w:w="1609" w:type="dxa"/>
          </w:tcPr>
          <w:p w14:paraId="293144F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22F0A1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hours</w:t>
            </w:r>
          </w:p>
        </w:tc>
        <w:tc>
          <w:tcPr>
            <w:tcW w:w="1609" w:type="dxa"/>
          </w:tcPr>
          <w:p w14:paraId="41A3498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3048C83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52C5A96"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480AD9C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Degen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s0y5kOBT","properties":{"formattedCitation":"(84)","plainCitation":"(84)","noteIndex":0},"citationItems":[{"id":3275,"uris":["http://zotero.org/users/4975241/items/VUZAKUFT"],"uri":["http://zotero.org/users/4975241/items/VUZAKUFT"],"itemData":{"id":3275,"type":"article-journal","abstract":"Background: The shortage of physicians is an evolving problem throughout the world. In this study we aimed to identify to what extent junior doctors’ training and working conditions determine their intention to leave clinical practice after residency training.\nMethods: A prospective cohort study was conducted in 557 junior doctors undergoing residency training in German hospitals. Self-reported specialty training conditions, working conditions and intention to leave clinical practice were measured over three time points. Scales covering training conditions were assessed by structured residency training, professional support, and dealing with lack of knowledge; working conditions were evaluated by work overload, job autonomy and social support, based on the Demand–Control–Support model. Multivariate ordinal logistic regression analyses with random intercept for longitudinal data were applied to determine the odds ratio of having a higher level of intention to leave clinical practice.\nResults: In the models that considered training and working conditions separately to predict intention to leave clinical practice we found significant baseline effects and change effects. After modelling training and working conditions simultaneously, we found evidence that the change effect of job autonomy (OR 0.77, p = .005) was associated with intention to leave clinical practice, whereas for the training conditions, only the baseline effects of structured residency training (OR 0.74, p = .017) and dealing with lack of knowledge (OR 0.74, p = .026) predicted intention to leave clinical practice.\nConclusions: Junior doctors undergoing specialty training experience high workload in hospital practice and intense requirements in terms of specialty training. Our study indicates that simultaneously improving working conditions over time and establishing a high standard of specialty training conditions may prevent junior doctors from considering leaving clinical practice after residency training.","container-title":"BMC Medical Education","DOI":"10.1186/1472-6920-14-119","ISSN":"1472-6920","issue":"1","journalAbbreviation":"BMC Med Educ","language":"en","page":"119","source":"DOI.org (Crossref)","title":"The impact of training and working conditions on junior doctors’ intention to leave clinical practice","volume":"14","author":[{"family":"Degen","given":"Christiane"},{"family":"Weigl","given":"Matthias"},{"family":"Glaser","given":"Jürgen"},{"family":"Li","given":"Jian"},{"family":"Angerer","given":"Peter"}],"issued":{"date-parts":[["2014",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(84)</w:t>
            </w:r>
            <w:r>
              <w:rPr>
                <w:rFonts w:ascii="Calibri" w:hAnsi="Calibri" w:cs="Calibri"/>
                <w:color w:val="000000"/>
                <w:sz w:val="20"/>
                <w:szCs w:val="20"/>
              </w:rPr>
              <w:fldChar w:fldCharType="end"/>
            </w:r>
          </w:p>
        </w:tc>
        <w:tc>
          <w:tcPr>
            <w:tcW w:w="1130" w:type="dxa"/>
          </w:tcPr>
          <w:p w14:paraId="63506A6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2014</w:t>
            </w:r>
          </w:p>
        </w:tc>
        <w:tc>
          <w:tcPr>
            <w:tcW w:w="1337" w:type="dxa"/>
          </w:tcPr>
          <w:p w14:paraId="1F0EA81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Germany</w:t>
            </w:r>
          </w:p>
        </w:tc>
        <w:tc>
          <w:tcPr>
            <w:tcW w:w="1434" w:type="dxa"/>
          </w:tcPr>
          <w:p w14:paraId="1054514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Resident</w:t>
            </w:r>
          </w:p>
        </w:tc>
        <w:tc>
          <w:tcPr>
            <w:tcW w:w="1106" w:type="dxa"/>
          </w:tcPr>
          <w:p w14:paraId="0DBFDEF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2-3</w:t>
            </w:r>
          </w:p>
        </w:tc>
        <w:tc>
          <w:tcPr>
            <w:tcW w:w="913" w:type="dxa"/>
          </w:tcPr>
          <w:p w14:paraId="14D9D4C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3C53D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557</w:t>
            </w:r>
          </w:p>
        </w:tc>
        <w:tc>
          <w:tcPr>
            <w:tcW w:w="1086" w:type="dxa"/>
          </w:tcPr>
          <w:p w14:paraId="40D605F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6DB0793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6286AE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779949D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Work Analysis Instrument for Hospitals </w:t>
            </w:r>
          </w:p>
        </w:tc>
        <w:tc>
          <w:tcPr>
            <w:tcW w:w="1500" w:type="dxa"/>
          </w:tcPr>
          <w:p w14:paraId="4EB208C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F08A91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A4AD00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31BC17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Teaching, support</w:t>
            </w:r>
          </w:p>
        </w:tc>
        <w:tc>
          <w:tcPr>
            <w:tcW w:w="1609" w:type="dxa"/>
          </w:tcPr>
          <w:p w14:paraId="2AD99DB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w:t>
            </w:r>
          </w:p>
        </w:tc>
        <w:tc>
          <w:tcPr>
            <w:tcW w:w="1609" w:type="dxa"/>
          </w:tcPr>
          <w:p w14:paraId="7983504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3DAB06B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4FA7A485"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719C25B9"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Burford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fD97BTVU","properties":{"formattedCitation":"(85)","plainCitation":"(85)","noteIndex":0},"citationItems":[{"id":3276,"uris":["http://zotero.org/users/4975241/items/JUZLTBPF"],"uri":["http://zotero.org/users/4975241/items/JUZLTBPF"],"itemData":{"id":3276,"type":"article-journal","abstract":"Background: Alongside providing a knowledge base and practical skills, undergraduate medical education must prepare graduates to immediately begin practice as qualified doctors. A significant challenge is to provide safe learning opportunities that will optimise students’ preparedness to start work. This study examined UK graduates’ preparedness for clinical practice, and their exposure to real-life and simulated immediate care scenarios during final year placements.\nMethod: A questionnaire measuring students’ perceived preparedness, and their exposure to immediate care scenarios, was distributed to all new Foundation Year 1 doctors (F1s) attending an induction session in one region of the UK.\nResults: 356 F1s responded to the questionnaire (91% response rate; 89% of cohort) and data from 344 graduates of UK medical schools were analysed. Respondents were generally prepared for practice, but many reported few ‘hands-on’ experiences of providing immediate care during final year placements (a median of 1–2 experiences). Those who had 1–2 experiences reported no greater preparedness for acute management than those reporting no experience. Several exposures are necessary for a significant increase in perceived preparedness. Real-life experience was a better predictor of preparedness than simulated practice.\nConclusions: Gaps still remain in medical students’ acute care experience, with a direct relationship to their perceived preparedness. The format and facilitation of placements may need to be addressed in order to enhance the quality of experience during final year.","container-title":"BMC Medical Education","DOI":"10.1186/1472-6920-14-223","ISSN":"1472-6920","issue":"1","journalAbbreviation":"BMC Med Educ","language":"en","page":"223","source":"DOI.org (Crossref)","title":"The relationship between medical student learning opportunities and preparedness for practice: a questionnaire study","title-short":"The relationship between medical student learning opportunities and preparedness for practice","volume":"14","author":[{"family":"Burford","given":"Bryan"},{"family":"Whittle","given":"Victoria"},{"family":"Vance","given":"Gillian HS"}],"issued":{"date-parts":[["2014",12]]}}}],"schema":"https://github.com/citation-style-language/schema/raw/master/csl-citation.json"}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(85)</w:t>
            </w:r>
            <w:r>
              <w:rPr>
                <w:rFonts w:ascii="Calibri" w:hAnsi="Calibri" w:cs="Calibri"/>
                <w:color w:val="000000"/>
                <w:sz w:val="20"/>
                <w:szCs w:val="20"/>
              </w:rPr>
              <w:fldChar w:fldCharType="end"/>
            </w:r>
          </w:p>
        </w:tc>
        <w:tc>
          <w:tcPr>
            <w:tcW w:w="1130" w:type="dxa"/>
          </w:tcPr>
          <w:p w14:paraId="0E60265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2014</w:t>
            </w:r>
          </w:p>
        </w:tc>
        <w:tc>
          <w:tcPr>
            <w:tcW w:w="1337" w:type="dxa"/>
          </w:tcPr>
          <w:p w14:paraId="19AC96E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0D24E81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Foundation year</w:t>
            </w:r>
          </w:p>
        </w:tc>
        <w:tc>
          <w:tcPr>
            <w:tcW w:w="1106" w:type="dxa"/>
          </w:tcPr>
          <w:p w14:paraId="5BE8969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04E60FB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08F50EA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356</w:t>
            </w:r>
          </w:p>
        </w:tc>
        <w:tc>
          <w:tcPr>
            <w:tcW w:w="1086" w:type="dxa"/>
          </w:tcPr>
          <w:p w14:paraId="3C3F371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6030555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39463C4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5684261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26B5610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758E16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7CBF04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75CEA98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 overall learning</w:t>
            </w:r>
          </w:p>
        </w:tc>
        <w:tc>
          <w:tcPr>
            <w:tcW w:w="1609" w:type="dxa"/>
          </w:tcPr>
          <w:p w14:paraId="144AFEB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C1B1F7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5793797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5B73684E"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6D5F576F"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Anastasiadis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rx9nHzWU","properties":{"formattedCitation":"(86)","plainCitation":"(86)","noteIndex":0},"citationItems":[{"id":3277,"uris":["http://zotero.org/users/4975241/items/5AK5N2AL"],"uri":["http://zotero.org/users/4975241/items/5AK5N2AL"],"itemData":{"id":3277,"type":"article-journal","abstract":"Objective:  The educational climate is a key factor in medical education. The study aims to examine the relationship between trainee doctors’ perceptions of hospital educational environment, stress and social capital. A cross-sectional study among 104 trainee doctors working in a Greek public hospital was conducted. According to the main hypotheses, perceptions of clinical training are positively associated with social capital and negatively with stress. Results:  Perceptions of autonomy dimension of training quality was positively related to community participation, tolerance of diversity and total social capital. Perceptions of teaching and social support dimensions of the quality of education were positively correlated with community participation. All training quality subscales were negatively correlated with almost all working stress subscales. Analysis revealed significantly higher scores in autonomy perceptions for those who evaluated their undergraduate studies positively. Females had a significantly lower score in perceptions of teaching and social support scales.","container-title":"BMC Research Notes","DOI":"10.1186/s13104-018-3387-5","ISSN":"1756-0500","issue":"1","journalAbbreviation":"BMC Res Notes","language":"en","page":"274","source":"DOI.org (Crossref)","title":"The relationship between stress, social capital and quality of education among medical residents","volume":"11","author":[{"family":"Anastasiadis","given":"Charis"},{"family":"Tsounis","given":"Andreas"},{"family":"Sarafis","given":"Pavlos"}],"issued":{"date-parts":[["2018",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(86)</w:t>
            </w:r>
            <w:r>
              <w:rPr>
                <w:rFonts w:ascii="Calibri" w:hAnsi="Calibri" w:cs="Calibri"/>
                <w:color w:val="000000"/>
                <w:sz w:val="20"/>
                <w:szCs w:val="20"/>
              </w:rPr>
              <w:fldChar w:fldCharType="end"/>
            </w:r>
          </w:p>
        </w:tc>
        <w:tc>
          <w:tcPr>
            <w:tcW w:w="1130" w:type="dxa"/>
          </w:tcPr>
          <w:p w14:paraId="7DAA245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2018</w:t>
            </w:r>
          </w:p>
        </w:tc>
        <w:tc>
          <w:tcPr>
            <w:tcW w:w="1337" w:type="dxa"/>
          </w:tcPr>
          <w:p w14:paraId="0341613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Greece</w:t>
            </w:r>
          </w:p>
        </w:tc>
        <w:tc>
          <w:tcPr>
            <w:tcW w:w="1434" w:type="dxa"/>
          </w:tcPr>
          <w:p w14:paraId="7E3C6B8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Trainee</w:t>
            </w:r>
          </w:p>
        </w:tc>
        <w:tc>
          <w:tcPr>
            <w:tcW w:w="1106" w:type="dxa"/>
          </w:tcPr>
          <w:p w14:paraId="6EF6ECD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913" w:type="dxa"/>
          </w:tcPr>
          <w:p w14:paraId="11EA001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5912BE3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104</w:t>
            </w:r>
          </w:p>
        </w:tc>
        <w:tc>
          <w:tcPr>
            <w:tcW w:w="1086" w:type="dxa"/>
          </w:tcPr>
          <w:p w14:paraId="3F18E70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375" w:type="dxa"/>
          </w:tcPr>
          <w:p w14:paraId="3962D7B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FFA9D3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6C6D112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Social Capital Questionnaire (SCQ-G)</w:t>
            </w:r>
          </w:p>
        </w:tc>
        <w:tc>
          <w:tcPr>
            <w:tcW w:w="1500" w:type="dxa"/>
          </w:tcPr>
          <w:p w14:paraId="2F36FEE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Sources of Stress Scale</w:t>
            </w:r>
            <w:r w:rsidRPr="00701766">
              <w:rPr>
                <w:rFonts w:ascii="Calibri" w:hAnsi="Calibri" w:cs="Calibri"/>
                <w:color w:val="000000"/>
                <w:sz w:val="20"/>
                <w:szCs w:val="20"/>
              </w:rPr>
              <w:br/>
              <w:t xml:space="preserve">(SSS) </w:t>
            </w:r>
          </w:p>
        </w:tc>
        <w:tc>
          <w:tcPr>
            <w:tcW w:w="1500" w:type="dxa"/>
          </w:tcPr>
          <w:p w14:paraId="6BDD843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PHEEM</w:t>
            </w:r>
          </w:p>
        </w:tc>
        <w:tc>
          <w:tcPr>
            <w:tcW w:w="1609" w:type="dxa"/>
          </w:tcPr>
          <w:p w14:paraId="2C25F07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w:t>
            </w:r>
          </w:p>
        </w:tc>
        <w:tc>
          <w:tcPr>
            <w:tcW w:w="1609" w:type="dxa"/>
          </w:tcPr>
          <w:p w14:paraId="4687185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Educational environment, supervision, induction, communication, feedback, career development, teamwork, teaching, support</w:t>
            </w:r>
          </w:p>
        </w:tc>
        <w:tc>
          <w:tcPr>
            <w:tcW w:w="1609" w:type="dxa"/>
          </w:tcPr>
          <w:p w14:paraId="47BCA46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hour, harassment, safety, bullying, food and accommodation</w:t>
            </w:r>
          </w:p>
        </w:tc>
        <w:tc>
          <w:tcPr>
            <w:tcW w:w="1609" w:type="dxa"/>
          </w:tcPr>
          <w:p w14:paraId="2AFC007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20AB01D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7F246C67"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75755D30"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Tyssen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IT1aaezE","properties":{"formattedCitation":"(87)","plainCitation":"(87)","noteIndex":0},"citationItems":[{"id":3278,"uris":["http://zotero.org/users/4975241/items/WEP5TZZ3"],"uri":["http://zotero.org/users/4975241/items/WEP5TZZ3"],"itemData":{"id":3278,"type":"article-journal","abstract":"This study aimed to investigate the relative and sequential importance of individual and organizational predictors of job stress associated with medical internship work. All medical students who graduated in Norway over 2 years (n ¼ 631) were surveyed and followed up 1 year later at the end of the hospital internship year. The outcome was job stress as a house officer; predictor variables included individual factors at medical school and work-related factors during internship. A total of 371 (58%) responded at both time points. Adjusted predictors of job stress were: vulnerability (neuroticism) personality trait (beta 1.7 [95% CI, 0.94 to 2.5]); perceived recording skills (beta À0.43 [À0.78 to À0.08]); number of hours of sleep when on call (beta À2.3 [À3.6 to À1.0]); and learning environment on the hospital wards (beta À0.56 [À0.82 to À0.30]) (see table 2). The vulnerability trait was especially important among the female interns. The predictors explained 29% of the total variance in the model; personality contributed 16% of the variance, perceived recording skills 4% and the organizational factors measured in the internship year explained 9%. In terms of prevention, both individual factors (personality trait and perceived skills) and organizational workrelated factors (sleep deprivation and learning environment on the wards) should be considered.","container-title":"Medical Teacher","DOI":"10.1080/01421590500314561","ISSN":"0142-159X, 1466-187X","issue":"8","journalAbbreviation":"Medical Teacher","language":"en","page":"726-731","source":"DOI.org (Crossref)","title":"The relative importance of individual and organizational factors for the prevention of job stress during internship: a nationwide and prospective study","title-short":"The relative importance of individual and organizational factors for the prevention of job stress during internship","volume":"27","author":[{"family":"Tyssen","given":"Reidar"},{"family":"Vaglum","given":"Per"},{"family":"Grønvold","given":"Nina T."},{"family":"Ekeberg","given":"Øivind"}],"issued":{"date-parts":[["2005",12]]}}}],"schema":"https://github.com/citation-style-language/schema/raw/master/csl-citation.json"}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(87)</w:t>
            </w:r>
            <w:r>
              <w:rPr>
                <w:rFonts w:ascii="Calibri" w:hAnsi="Calibri" w:cs="Calibri"/>
                <w:color w:val="000000"/>
                <w:sz w:val="20"/>
                <w:szCs w:val="20"/>
              </w:rPr>
              <w:fldChar w:fldCharType="end"/>
            </w:r>
          </w:p>
        </w:tc>
        <w:tc>
          <w:tcPr>
            <w:tcW w:w="1130" w:type="dxa"/>
          </w:tcPr>
          <w:p w14:paraId="3284E70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2005</w:t>
            </w:r>
          </w:p>
        </w:tc>
        <w:tc>
          <w:tcPr>
            <w:tcW w:w="1337" w:type="dxa"/>
          </w:tcPr>
          <w:p w14:paraId="2F9F193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Norway</w:t>
            </w:r>
          </w:p>
        </w:tc>
        <w:tc>
          <w:tcPr>
            <w:tcW w:w="1434" w:type="dxa"/>
          </w:tcPr>
          <w:p w14:paraId="0596EC2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09EE959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20ECD01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37F8CCB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371</w:t>
            </w:r>
          </w:p>
        </w:tc>
        <w:tc>
          <w:tcPr>
            <w:tcW w:w="1086" w:type="dxa"/>
          </w:tcPr>
          <w:p w14:paraId="5ED25CB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473B1F2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4227437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 and selected questions available</w:t>
            </w:r>
          </w:p>
        </w:tc>
        <w:tc>
          <w:tcPr>
            <w:tcW w:w="1499" w:type="dxa"/>
          </w:tcPr>
          <w:p w14:paraId="7753B7F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Cooper's Job stress questionnaire</w:t>
            </w:r>
          </w:p>
        </w:tc>
        <w:tc>
          <w:tcPr>
            <w:tcW w:w="1500" w:type="dxa"/>
          </w:tcPr>
          <w:p w14:paraId="61C678F7"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Climate for learning</w:t>
            </w:r>
          </w:p>
        </w:tc>
        <w:tc>
          <w:tcPr>
            <w:tcW w:w="1500" w:type="dxa"/>
          </w:tcPr>
          <w:p w14:paraId="161B98F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BC6F6A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Stress, sleep</w:t>
            </w:r>
          </w:p>
        </w:tc>
        <w:tc>
          <w:tcPr>
            <w:tcW w:w="1609" w:type="dxa"/>
          </w:tcPr>
          <w:p w14:paraId="5AF1E2E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Learning environment, support</w:t>
            </w:r>
          </w:p>
        </w:tc>
        <w:tc>
          <w:tcPr>
            <w:tcW w:w="1609" w:type="dxa"/>
          </w:tcPr>
          <w:p w14:paraId="0C9A772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CDA1F10"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Construct validity</w:t>
            </w:r>
          </w:p>
        </w:tc>
        <w:tc>
          <w:tcPr>
            <w:tcW w:w="1609" w:type="dxa"/>
          </w:tcPr>
          <w:p w14:paraId="76E6610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Internal consistency (cronbach's alpha)</w:t>
            </w:r>
          </w:p>
        </w:tc>
      </w:tr>
      <w:tr w:rsidR="00E46C9F" w:rsidRPr="00701766" w14:paraId="1D1F8812"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335FB42A"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Bola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vtol5S8v","properties":{"formattedCitation":"(88)","plainCitation":"(88)","noteIndex":0},"citationItems":[{"id":3279,"uris":["http://zotero.org/users/4975241/items/8QHZNR3P"],"uri":["http://zotero.org/users/4975241/items/8QHZNR3P"],"itemData":{"id":3279,"type":"article-journal","abstract":"Background. Medical internship is designed to bridge the gap between the theoretical knowledge learned as a student and the skills required as a competent medical practitioner. In South Africa (SA) it is a 2-year structured programme incorporating experience in key domains of medicine selected by the Health Professions Council of South Africa (HPCSA). HPCSA guidelines state that the clinical experience should include teaching, supervision and competency in selected logbook procedures. After concerns were raised over some accredited intern facilities, we investigated whether these guidelines were being met for interns across SA.\nMethods. An electronic survey was sent to 150 SA doctors who had completed their internship between 2010 and 2013. The questions covered supervision, workload and rest, teaching and perception of patient safety. All responses were anonymous and there was opportunity to comment at the end of each question.\nResults. The respondents (n=90) included graduates from all eight SA medical schools. Supervision was ranked as the aspect of internship that respondents would change the most, with 33.0% performing an interventional procedure for the first time without supervision and 25.6% experiencing an adverse event where senior help was not available. More than half the interns had an entire shift supervised by a medical officer with less than 3 years’ clinical training in that specialty.\nConclusions. This survey identified deficiencies of supervision as directed by the HPCSA. It also highlighted difficulties with workload and teaching opportunities. A significant proportion of interns did not feel that patients were safe under their care. A national annual HPCSA survey would highlight hospitals where closer investigation may be required.","container-title":"South African Medical Journal","DOI":"10.7196/SAMJnew.7923","ISSN":"2078-5135","issue":"7","journalAbbreviation":"S Afr Med J","language":"en","page":"535","source":"DOI.org (Crossref)","title":"The state of South African internships: A national survey against HPCSA guidelines","title-short":"The state of South African internships","volume":"105","author":[{"family":"Bola","given":"Sumrit"},{"family":"Trollip","given":"Eudiet"},{"family":"Parkinson","given":"Fran"}],"issued":{"date-parts":[["2015",9,21]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(88)</w:t>
            </w:r>
            <w:r>
              <w:rPr>
                <w:rFonts w:ascii="Calibri" w:hAnsi="Calibri" w:cs="Calibri"/>
                <w:color w:val="000000"/>
                <w:sz w:val="20"/>
                <w:szCs w:val="20"/>
              </w:rPr>
              <w:fldChar w:fldCharType="end"/>
            </w:r>
          </w:p>
        </w:tc>
        <w:tc>
          <w:tcPr>
            <w:tcW w:w="1130" w:type="dxa"/>
          </w:tcPr>
          <w:p w14:paraId="798F75C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2015</w:t>
            </w:r>
          </w:p>
        </w:tc>
        <w:tc>
          <w:tcPr>
            <w:tcW w:w="1337" w:type="dxa"/>
          </w:tcPr>
          <w:p w14:paraId="0FA5B72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South Africa</w:t>
            </w:r>
          </w:p>
        </w:tc>
        <w:tc>
          <w:tcPr>
            <w:tcW w:w="1434" w:type="dxa"/>
          </w:tcPr>
          <w:p w14:paraId="636EEEB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31C89CC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w:t>
            </w:r>
          </w:p>
        </w:tc>
        <w:tc>
          <w:tcPr>
            <w:tcW w:w="913" w:type="dxa"/>
          </w:tcPr>
          <w:p w14:paraId="78333DE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24</w:t>
            </w:r>
          </w:p>
        </w:tc>
        <w:tc>
          <w:tcPr>
            <w:tcW w:w="1102" w:type="dxa"/>
          </w:tcPr>
          <w:p w14:paraId="60DACF4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90</w:t>
            </w:r>
          </w:p>
        </w:tc>
        <w:tc>
          <w:tcPr>
            <w:tcW w:w="1086" w:type="dxa"/>
          </w:tcPr>
          <w:p w14:paraId="454F13D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05B8DD4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200E7D4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66EA0B3A"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BBD8D8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1EA7B1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B81B49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9F8FEF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Supervision, teaching, handoff, induction</w:t>
            </w:r>
          </w:p>
        </w:tc>
        <w:tc>
          <w:tcPr>
            <w:tcW w:w="1609" w:type="dxa"/>
          </w:tcPr>
          <w:p w14:paraId="7059E68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Safety, workload</w:t>
            </w:r>
          </w:p>
        </w:tc>
        <w:tc>
          <w:tcPr>
            <w:tcW w:w="1609" w:type="dxa"/>
          </w:tcPr>
          <w:p w14:paraId="43ECB31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6AA027B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4593D3EF"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5DB3DB0D"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Doran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e6eMRkOY","properties":{"formattedCitation":"(89)","plainCitation":"(89)","noteIndex":0},"citationItems":[{"id":3280,"uris":["http://zotero.org/users/4975241/items/48YBGFQJ"],"uri":["http://zotero.org/users/4975241/items/48YBGFQJ"],"itemData":{"id":3280,"type":"article-journal","container-title":"Medical Education","DOI":"10.1111/j.1365-2929.2007.02727.x","ISSN":"03080110, 13652923","issue":"5","language":"en","page":"487-494","source":"DOI.org (Crossref)","title":"Time to think? Questionnaire survey of pre-registration house officers' experiences of critical appraisal in the Mersey Deanery","title-short":"Time to think?","volume":"41","author":[{"family":"Doran","given":"Tim"},{"family":"Maudsley","given":"Gillian"},{"family":"Zakhour","given":"Hani"}],"issued":{"date-parts":[["2007",5]]}}}],"schema":"https://github.com/citation-style-language/schema/raw/master/csl-citation.json"}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(89)</w:t>
            </w:r>
            <w:r>
              <w:rPr>
                <w:rFonts w:ascii="Calibri" w:hAnsi="Calibri" w:cs="Calibri"/>
                <w:color w:val="000000"/>
                <w:sz w:val="20"/>
                <w:szCs w:val="20"/>
              </w:rPr>
              <w:fldChar w:fldCharType="end"/>
            </w:r>
          </w:p>
        </w:tc>
        <w:tc>
          <w:tcPr>
            <w:tcW w:w="1130" w:type="dxa"/>
          </w:tcPr>
          <w:p w14:paraId="57E76A9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2007</w:t>
            </w:r>
          </w:p>
        </w:tc>
        <w:tc>
          <w:tcPr>
            <w:tcW w:w="1337" w:type="dxa"/>
          </w:tcPr>
          <w:p w14:paraId="63F23AF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5ECDE4F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1BD57E2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6856186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5</w:t>
            </w:r>
          </w:p>
        </w:tc>
        <w:tc>
          <w:tcPr>
            <w:tcW w:w="1102" w:type="dxa"/>
          </w:tcPr>
          <w:p w14:paraId="49F4018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149</w:t>
            </w:r>
          </w:p>
        </w:tc>
        <w:tc>
          <w:tcPr>
            <w:tcW w:w="1086" w:type="dxa"/>
          </w:tcPr>
          <w:p w14:paraId="30EAD85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3C7AE5C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51CD475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4B37158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B426B2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5E14D7E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60ACCAD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FEE3381"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Preparedness, supervision</w:t>
            </w:r>
          </w:p>
        </w:tc>
        <w:tc>
          <w:tcPr>
            <w:tcW w:w="1609" w:type="dxa"/>
          </w:tcPr>
          <w:p w14:paraId="503ACBC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 load</w:t>
            </w:r>
          </w:p>
        </w:tc>
        <w:tc>
          <w:tcPr>
            <w:tcW w:w="1609" w:type="dxa"/>
          </w:tcPr>
          <w:p w14:paraId="7AA985E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548320F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35E6017"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53364081"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Lambert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Mg9PtmZS","properties":{"formattedCitation":"(90)","plainCitation":"(90)","noteIndex":0},"citationItems":[{"id":3281,"uris":["http://zotero.org/users/4975241/items/88EPWDWH"],"uri":["http://zotero.org/users/4975241/items/88EPWDWH"],"itemData":{"id":3281,"type":"article-journal","abstract":"Background: In the UK, doctors’ first year of medical work is also their first year of postgraduate training. It is very important that their experience of work and training is good. Design: Surveys of entire cohorts graduating in particular years. Setting: UK.\nMethod: Questionnaires sent 1 year after qualification to all UK medical graduates of 1999, 2000, 2002, 2005, 2008 and 2009.\nResults: The study comprised 17 831 respondents. Variation in views across cohorts was modest. Overall, 30% agreed their training had been of a high standard; 38% agreed educational opportunities had been good; 52% agreed they had to do too much routine nonmedical work; and 16% agreed they had to perform clinical tasks for which they felt inadequately trained. Job enjoyment, rated from 1 (‘I didn’t enjoy it at all’) to 10 (‘I enjoyed it greatly’), improved from 70% of doctors in the 1999 cohort scoring 7–10 to 75% in the 2009 cohort. Satisfaction with available leisure time, rated from 1 (‘not at all satisfied’) to 10 (‘extremely satisfied’), rose from 24% scoring 7–10 in the 1999s to 49% in the 2009s. Male–female differences were small.\nConclusions: There was improvement over the decade in some aspects of work, particularly satisfaction with time off work for leisure, and overall enjoyment of the job. There was little change in doctors’ views about the training experience offered by the F1 year.","container-title":"BMJ Open","DOI":"10.1136/bmjopen-2013-002723","ISSN":"2044-6055, 2044-6055","issue":"4","journalAbbreviation":"BMJ Open","language":"en","page":"e002723","source":"DOI.org (Crossref)","title":"Views of UK-trained medical graduates of 1999–2009 about their first postgraduate year of training: national surveys","title-short":"Views of UK-trained medical graduates of 1999–2009 about their first postgraduate year of training","volume":"3","author":[{"family":"Lambert","given":"Trevor W"},{"family":"Surman","given":"Geraldine"},{"family":"Goldacre","given":"Michael J"}],"issued":{"date-parts":[["2013"]]}}}],"schema":"https://github.com/citation-style-language/schema/raw/master/csl-citation.json"}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(90)</w:t>
            </w:r>
            <w:r>
              <w:rPr>
                <w:rFonts w:ascii="Calibri" w:hAnsi="Calibri" w:cs="Calibri"/>
                <w:color w:val="000000"/>
                <w:sz w:val="20"/>
                <w:szCs w:val="20"/>
              </w:rPr>
              <w:fldChar w:fldCharType="end"/>
            </w:r>
          </w:p>
        </w:tc>
        <w:tc>
          <w:tcPr>
            <w:tcW w:w="1130" w:type="dxa"/>
          </w:tcPr>
          <w:p w14:paraId="6355760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2013</w:t>
            </w:r>
          </w:p>
        </w:tc>
        <w:tc>
          <w:tcPr>
            <w:tcW w:w="1337" w:type="dxa"/>
          </w:tcPr>
          <w:p w14:paraId="609E746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UK</w:t>
            </w:r>
          </w:p>
        </w:tc>
        <w:tc>
          <w:tcPr>
            <w:tcW w:w="1434" w:type="dxa"/>
          </w:tcPr>
          <w:p w14:paraId="39E3E57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Preregistration house officer</w:t>
            </w:r>
          </w:p>
        </w:tc>
        <w:tc>
          <w:tcPr>
            <w:tcW w:w="1106" w:type="dxa"/>
          </w:tcPr>
          <w:p w14:paraId="76E7B8F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32B08DD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3A3D3E8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14329</w:t>
            </w:r>
          </w:p>
        </w:tc>
        <w:tc>
          <w:tcPr>
            <w:tcW w:w="1086" w:type="dxa"/>
          </w:tcPr>
          <w:p w14:paraId="5A9586D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35626A87"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1B9D8C0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0611608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63B0E42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142E509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4FD76EB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Job satisfaction</w:t>
            </w:r>
          </w:p>
        </w:tc>
        <w:tc>
          <w:tcPr>
            <w:tcW w:w="1609" w:type="dxa"/>
          </w:tcPr>
          <w:p w14:paraId="16BEB6C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Teaching</w:t>
            </w:r>
          </w:p>
        </w:tc>
        <w:tc>
          <w:tcPr>
            <w:tcW w:w="1609" w:type="dxa"/>
          </w:tcPr>
          <w:p w14:paraId="2D778DE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Workload</w:t>
            </w:r>
          </w:p>
        </w:tc>
        <w:tc>
          <w:tcPr>
            <w:tcW w:w="1609" w:type="dxa"/>
          </w:tcPr>
          <w:p w14:paraId="5E8C5A1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49692FDF"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6F079278"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369949A4" w14:textId="77777777"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Guille et al.  </w:t>
            </w:r>
            <w:r>
              <w:rPr>
                <w:rFonts w:ascii="Calibri" w:hAnsi="Calibri" w:cs="Calibri"/>
                <w:color w:val="000000"/>
                <w:sz w:val="20"/>
                <w:szCs w:val="20"/>
              </w:rPr>
              <w:fldChar w:fldCharType="begin"/>
            </w:r>
            <w:r>
              <w:rPr>
                <w:rFonts w:ascii="Calibri" w:hAnsi="Calibri" w:cs="Calibri"/>
                <w:color w:val="000000"/>
                <w:sz w:val="20"/>
                <w:szCs w:val="20"/>
              </w:rPr>
              <w:instrText xml:space="preserve"> ADDIN ZOTERO_ITEM CSL_CITATION {"citationID":"9ksHAglT","properties":{"formattedCitation":"(91)","plainCitation":"(91)","noteIndex":0},"citationItems":[{"id":3282,"uris":["http://zotero.org/users/4975241/items/8H67MFES"],"uri":["http://zotero.org/users/4975241/items/8H67MFES"],"itemData":{"id":3282,"type":"article-journal","abstract":"OBJECTIVE To determine the presence and magnitude of a sex difference in depressive symptoms and work-family conflict among training physicians; and if work-family conflict impacts the sex difference in depressive symptoms among training physicians. DESIGN, SETTING, AND PARTICIPANTS A prospective longitudinal cohort study of medical internship in the United States during the 2015 to 2016 academic year in which 3121 interns were recruited across all specialties from 44 medical institutions. Invited Commentary page 1772 MAIN OUTCOMES AND MEASURES Prior to and during their internship year, participants reported the degree to which work responsibilities interfered with family life using the Work Family Conflict Scale and depressive symptoms using the Patient Health Questionnaire-9 (PHQ-9).\nRESULTS Mean (SD) participant age was 27.5 (2.7) years, and 1571 participants (49.7%) were women. Both men and women experienced a marked increase in depressive symptoms during their internship year, with the increase being statistically significantly greater for women (men: mean increase in PHQ-9, 2.50; 95% CI, 2.26-2.73 vs women: mean increase, 3.20; 95% CI, 2.97-3.43). When work-family conflict was accounted for, the sex disparity in the increase in depressive symptoms decreased by 36%.\nCONCLUSIONS AND RELEVANCE Our study demonstrates that depressive symptoms increase substantially during the internship year for men and women, but that this increase is greater for women. The study also identifies work-family conflict as an important potentially modifiable factor that is associated with elevated depressive symptoms in training physicians. Systemic modifications to alleviate conflict between work and family life may improve physician mental health and reduce the disproportionate depression disease burden for female physicians. Given that depression among physicians is associated with poor patient care and career attrition, efforts to alleviate depression among physicians has the potential to reduce the negative consequences associated with this disease.","container-title":"JAMA Internal Medicine","DOI":"10.1001/jamainternmed.2017.5138","ISSN":"2168-6106","issue":"12","journalAbbreviation":"JAMA Intern Med","language":"en","page":"1766","source":"DOI.org (Crossref)","title":"Work-Family Conflict and the Sex Difference in Depression Among Training Physicians","volume":"177","author":[{"family":"Guille","given":"Constance"},{"family":"Frank","given":"Elena"},{"family":"Zhao","given":"Zhuo"},{"family":"Kalmbach","given":"David A."},{"family":"Nietert","given":"Paul J."},{"family":"Mata","given":"Douglas A."},{"family":"Sen","given":"Srijan"}],"issued":{"date-parts":[["2017",12,1]]}}}],"schema":"https://github.com/citation-style-language/schema/raw/master/csl-citation.json"} </w:instrText>
            </w:r>
            <w:r>
              <w:rPr>
                <w:rFonts w:ascii="Calibri" w:hAnsi="Calibri" w:cs="Calibri"/>
                <w:color w:val="000000"/>
                <w:sz w:val="20"/>
                <w:szCs w:val="20"/>
              </w:rPr>
              <w:fldChar w:fldCharType="separate"/>
            </w:r>
            <w:r>
              <w:rPr>
                <w:rFonts w:ascii="Calibri" w:hAnsi="Calibri" w:cs="Calibri"/>
                <w:noProof/>
                <w:color w:val="000000"/>
                <w:sz w:val="20"/>
                <w:szCs w:val="20"/>
              </w:rPr>
              <w:t>(90)</w:t>
            </w:r>
            <w:r>
              <w:rPr>
                <w:rFonts w:ascii="Calibri" w:hAnsi="Calibri" w:cs="Calibri"/>
                <w:color w:val="000000"/>
                <w:sz w:val="20"/>
                <w:szCs w:val="20"/>
              </w:rPr>
              <w:fldChar w:fldCharType="end"/>
            </w:r>
          </w:p>
        </w:tc>
        <w:tc>
          <w:tcPr>
            <w:tcW w:w="1130" w:type="dxa"/>
          </w:tcPr>
          <w:p w14:paraId="31AAF90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2017</w:t>
            </w:r>
          </w:p>
        </w:tc>
        <w:tc>
          <w:tcPr>
            <w:tcW w:w="1337" w:type="dxa"/>
          </w:tcPr>
          <w:p w14:paraId="071FB92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US</w:t>
            </w:r>
          </w:p>
        </w:tc>
        <w:tc>
          <w:tcPr>
            <w:tcW w:w="1434" w:type="dxa"/>
          </w:tcPr>
          <w:p w14:paraId="670F484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5054218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46974D86"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34</w:t>
            </w:r>
          </w:p>
        </w:tc>
        <w:tc>
          <w:tcPr>
            <w:tcW w:w="1102" w:type="dxa"/>
          </w:tcPr>
          <w:p w14:paraId="3585F5D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3121</w:t>
            </w:r>
          </w:p>
        </w:tc>
        <w:tc>
          <w:tcPr>
            <w:tcW w:w="1086" w:type="dxa"/>
          </w:tcPr>
          <w:p w14:paraId="6F34B24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53A8866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3397FE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Tools available</w:t>
            </w:r>
          </w:p>
        </w:tc>
        <w:tc>
          <w:tcPr>
            <w:tcW w:w="1499" w:type="dxa"/>
          </w:tcPr>
          <w:p w14:paraId="4FED84C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xml:space="preserve">Work and Family Conflict Scale </w:t>
            </w:r>
          </w:p>
        </w:tc>
        <w:tc>
          <w:tcPr>
            <w:tcW w:w="1500" w:type="dxa"/>
          </w:tcPr>
          <w:p w14:paraId="660AE24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PHQ-9</w:t>
            </w:r>
          </w:p>
        </w:tc>
        <w:tc>
          <w:tcPr>
            <w:tcW w:w="1500" w:type="dxa"/>
          </w:tcPr>
          <w:p w14:paraId="4A9728B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2402B2E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Depression</w:t>
            </w:r>
          </w:p>
        </w:tc>
        <w:tc>
          <w:tcPr>
            <w:tcW w:w="1609" w:type="dxa"/>
          </w:tcPr>
          <w:p w14:paraId="169706E4"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AF015A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Work-family conflict</w:t>
            </w:r>
          </w:p>
        </w:tc>
        <w:tc>
          <w:tcPr>
            <w:tcW w:w="1609" w:type="dxa"/>
          </w:tcPr>
          <w:p w14:paraId="277C2DD8"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validated in other studies</w:t>
            </w:r>
          </w:p>
        </w:tc>
        <w:tc>
          <w:tcPr>
            <w:tcW w:w="1609" w:type="dxa"/>
          </w:tcPr>
          <w:p w14:paraId="61F7807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Previously tested in other studies</w:t>
            </w:r>
          </w:p>
        </w:tc>
      </w:tr>
      <w:tr w:rsidR="00E46C9F" w:rsidRPr="00701766" w14:paraId="493D4A39" w14:textId="77777777" w:rsidTr="008C78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2" w:type="dxa"/>
          </w:tcPr>
          <w:p w14:paraId="108AE581" w14:textId="3168396E"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 xml:space="preserve">Finucane </w:t>
            </w:r>
            <w:r>
              <w:rPr>
                <w:rFonts w:ascii="Calibri" w:hAnsi="Calibri" w:cs="Calibri"/>
                <w:color w:val="000000"/>
                <w:sz w:val="20"/>
                <w:szCs w:val="20"/>
              </w:rPr>
              <w:t>&amp; O’Dowd</w:t>
            </w:r>
            <w:r w:rsidRPr="00701766">
              <w:rPr>
                <w:rFonts w:ascii="Calibri" w:hAnsi="Calibri" w:cs="Calibri"/>
                <w:color w:val="000000"/>
                <w:sz w:val="20"/>
                <w:szCs w:val="20"/>
              </w:rPr>
              <w:t xml:space="preserve">  </w:t>
            </w:r>
            <w:r>
              <w:rPr>
                <w:rFonts w:ascii="Calibri" w:hAnsi="Calibri" w:cs="Calibri"/>
                <w:color w:val="000000"/>
                <w:sz w:val="20"/>
                <w:szCs w:val="20"/>
              </w:rPr>
              <w:fldChar w:fldCharType="begin"/>
            </w:r>
            <w:r w:rsidR="00FC3B3C">
              <w:rPr>
                <w:rFonts w:ascii="Calibri" w:hAnsi="Calibri" w:cs="Calibri"/>
                <w:color w:val="000000"/>
                <w:sz w:val="20"/>
                <w:szCs w:val="20"/>
              </w:rPr>
              <w:instrText xml:space="preserve"> ADDIN ZOTERO_ITEM CSL_CITATION {"citationID":"xOTxgJ02","properties":{"formattedCitation":"[91]","plainCitation":"[91]","noteIndex":0},"citationItems":[{"id":3283,"uris":["http://zotero.org/users/4975241/items/JLLP24EG"],"uri":["http://zotero.org/users/4975241/items/JLLP24EG"],"itemData":{"id":3283,"type":"article-journal","abstract":"The Medical Council of Ireland recently introduced some initiatives to enhance the education and training of interns. These include the development of a generic job description, a logbook to monitor training outcomes and a national network of supervisors to plan and oversee intern training. To get feedback on the impact of these reforms, the Medical Council surveyed all interns with Irish addresses in March 2003. Three hundred (65%) of 461 interns responded. The majority provided positive feedback on many aspects of their education and training, their work environment and professional relationships. However, a majority also reported a lack of protected time for education, a lack of formal educational programmes, insufficient feedback on performance and an unnecessarily stressful work environment. Overall, 61% reported being bullied and 4% had experienced sexual harassment. While feedback on the Irish internship experience is generally positive, further work is necessary to address the problems identified.","container-title":"Medical Teacher","DOI":"10.1080/01421590400029665","ISSN":"0142-159X, 1466-187X","issue":"2","journalAbbreviation":"Medical Teacher","language":"en","page":"107-113","source":"DOI.org (Crossref)","title":"Working and training as an intern: a national survey of Irish interns","title-short":"Working and training as an intern","volume":"27","author":[{"family":"Finucane","given":"Paul"},{"family":"O’Dowd","given":"Tom"}],"issued":{"date-parts":[["2005",3]]}}}],"schema":"https://github.com/citation-style-language/schema/raw/master/csl-citation.json"} </w:instrText>
            </w:r>
            <w:r>
              <w:rPr>
                <w:rFonts w:ascii="Calibri" w:hAnsi="Calibri" w:cs="Calibri"/>
                <w:color w:val="000000"/>
                <w:sz w:val="20"/>
                <w:szCs w:val="20"/>
              </w:rPr>
              <w:fldChar w:fldCharType="separate"/>
            </w:r>
            <w:r w:rsidR="00FC3B3C">
              <w:rPr>
                <w:rFonts w:ascii="Calibri" w:hAnsi="Calibri" w:cs="Calibri"/>
                <w:color w:val="000000"/>
                <w:sz w:val="20"/>
              </w:rPr>
              <w:t>[91]</w:t>
            </w:r>
            <w:r>
              <w:rPr>
                <w:rFonts w:ascii="Calibri" w:hAnsi="Calibri" w:cs="Calibri"/>
                <w:color w:val="000000"/>
                <w:sz w:val="20"/>
                <w:szCs w:val="20"/>
              </w:rPr>
              <w:fldChar w:fldCharType="end"/>
            </w:r>
          </w:p>
        </w:tc>
        <w:tc>
          <w:tcPr>
            <w:tcW w:w="1130" w:type="dxa"/>
          </w:tcPr>
          <w:p w14:paraId="3B934C85"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2005</w:t>
            </w:r>
          </w:p>
        </w:tc>
        <w:tc>
          <w:tcPr>
            <w:tcW w:w="1337" w:type="dxa"/>
          </w:tcPr>
          <w:p w14:paraId="1CEB6F2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Ireland</w:t>
            </w:r>
          </w:p>
        </w:tc>
        <w:tc>
          <w:tcPr>
            <w:tcW w:w="1434" w:type="dxa"/>
          </w:tcPr>
          <w:p w14:paraId="0F14B132"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27DE8636"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1ECF7E3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NA</w:t>
            </w:r>
          </w:p>
        </w:tc>
        <w:tc>
          <w:tcPr>
            <w:tcW w:w="1102" w:type="dxa"/>
          </w:tcPr>
          <w:p w14:paraId="1928D699"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300</w:t>
            </w:r>
          </w:p>
        </w:tc>
        <w:tc>
          <w:tcPr>
            <w:tcW w:w="1086" w:type="dxa"/>
          </w:tcPr>
          <w:p w14:paraId="4EBD7948"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Paper</w:t>
            </w:r>
          </w:p>
        </w:tc>
        <w:tc>
          <w:tcPr>
            <w:tcW w:w="1375" w:type="dxa"/>
          </w:tcPr>
          <w:p w14:paraId="55E2A6DB"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73280861"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Questions available</w:t>
            </w:r>
          </w:p>
        </w:tc>
        <w:tc>
          <w:tcPr>
            <w:tcW w:w="1499" w:type="dxa"/>
          </w:tcPr>
          <w:p w14:paraId="61D675D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7B74663D"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B8332E3"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33440AB4"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545B65D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Teaching, feedback, preparedness</w:t>
            </w:r>
          </w:p>
        </w:tc>
        <w:tc>
          <w:tcPr>
            <w:tcW w:w="1609" w:type="dxa"/>
          </w:tcPr>
          <w:p w14:paraId="515FE49E"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Accomodation, pay, harassment, workload</w:t>
            </w:r>
          </w:p>
        </w:tc>
        <w:tc>
          <w:tcPr>
            <w:tcW w:w="1609" w:type="dxa"/>
          </w:tcPr>
          <w:p w14:paraId="66D25B9C"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2F116430" w14:textId="77777777" w:rsidR="00E46C9F" w:rsidRPr="00701766" w:rsidRDefault="00E46C9F" w:rsidP="008C7800">
            <w:pPr>
              <w:cnfStyle w:val="000000100000" w:firstRow="0" w:lastRow="0" w:firstColumn="0" w:lastColumn="0" w:oddVBand="0" w:evenVBand="0" w:oddHBand="1"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r w:rsidR="00E46C9F" w:rsidRPr="00701766" w14:paraId="58151EEA" w14:textId="77777777" w:rsidTr="008C7800">
        <w:tc>
          <w:tcPr>
            <w:cnfStyle w:val="001000000000" w:firstRow="0" w:lastRow="0" w:firstColumn="1" w:lastColumn="0" w:oddVBand="0" w:evenVBand="0" w:oddHBand="0" w:evenHBand="0" w:firstRowFirstColumn="0" w:firstRowLastColumn="0" w:lastRowFirstColumn="0" w:lastRowLastColumn="0"/>
            <w:tcW w:w="2152" w:type="dxa"/>
          </w:tcPr>
          <w:p w14:paraId="4F553CCE" w14:textId="57DCA0E4" w:rsidR="00E46C9F" w:rsidRPr="00701766" w:rsidRDefault="00E46C9F" w:rsidP="008C7800">
            <w:pPr>
              <w:rPr>
                <w:rFonts w:ascii="Calibri" w:hAnsi="Calibri" w:cs="Calibri"/>
                <w:sz w:val="20"/>
                <w:szCs w:val="20"/>
              </w:rPr>
            </w:pPr>
            <w:r w:rsidRPr="00701766">
              <w:rPr>
                <w:rFonts w:ascii="Calibri" w:hAnsi="Calibri" w:cs="Calibri"/>
                <w:color w:val="000000"/>
                <w:sz w:val="20"/>
                <w:szCs w:val="20"/>
              </w:rPr>
              <w:t>Swaid</w:t>
            </w:r>
            <w:r>
              <w:rPr>
                <w:rFonts w:ascii="Calibri" w:hAnsi="Calibri" w:cs="Calibri"/>
                <w:color w:val="000000"/>
                <w:sz w:val="20"/>
                <w:szCs w:val="20"/>
              </w:rPr>
              <w:t xml:space="preserve">  </w:t>
            </w:r>
            <w:r w:rsidRPr="00701766">
              <w:rPr>
                <w:rFonts w:ascii="Calibri" w:hAnsi="Calibri" w:cs="Calibri"/>
                <w:color w:val="000000"/>
                <w:sz w:val="20"/>
                <w:szCs w:val="20"/>
              </w:rPr>
              <w:t xml:space="preserve"> et al</w:t>
            </w:r>
            <w:r>
              <w:rPr>
                <w:rFonts w:ascii="Calibri" w:hAnsi="Calibri" w:cs="Calibri"/>
                <w:color w:val="000000"/>
                <w:sz w:val="20"/>
                <w:szCs w:val="20"/>
              </w:rPr>
              <w:t xml:space="preserve"> </w:t>
            </w:r>
            <w:r>
              <w:rPr>
                <w:rFonts w:ascii="Calibri" w:hAnsi="Calibri" w:cs="Calibri"/>
                <w:color w:val="000000"/>
                <w:sz w:val="20"/>
                <w:szCs w:val="20"/>
              </w:rPr>
              <w:fldChar w:fldCharType="begin"/>
            </w:r>
            <w:r w:rsidR="00FC3B3C">
              <w:rPr>
                <w:rFonts w:ascii="Calibri" w:hAnsi="Calibri" w:cs="Calibri"/>
                <w:color w:val="000000"/>
                <w:sz w:val="20"/>
                <w:szCs w:val="20"/>
              </w:rPr>
              <w:instrText xml:space="preserve"> ADDIN ZOTERO_ITEM CSL_CITATION {"citationID":"gnzXZmXf","properties":{"formattedCitation":"[92]","plainCitation":"[92]","noteIndex":0},"citationItems":[{"id":3284,"uris":["http://zotero.org/users/4975241/items/7L4AUUCN"],"uri":["http://zotero.org/users/4975241/items/7L4AUUCN"],"itemData":{"id":3284,"type":"article-journal","abstract":"Background: Internship training offers an important opportunity for personal development and career planning. However, there are many factors affecting the efficiency of training, and the views of interns are rarely considered. The main objective of this study was to explore the views of interns enrolled in Jazan University internship program during the year 2015. Subjects and methods: A web-based cross-sectional study was conducted in the Jazan region, Kingdom of Saudi Arabia, during the academic year 2015. To achieve the study goals, an online questionnaire was distributed to all interns (n=85) enrolled in the Jazan University internship program.\nResults: Results revealed that satisfaction with training was more evident in general surgery and pediatrics (76.1%, n=54 and 77.5%, n=55, respectively). Satisfaction was lowest for obstetrics and gynecology programs (45.1%, n=32), while in internal medicine it was 54.9% (n=39). Training in general surgery and pediatrics was rated as excellent by most of the interns (45.8% and 43.1%, respectively). The picture is reversed in obstetrics and gynecology, as 43.1% rated it as average. More than half of the study sample felt that they were well prepared to start the next step in their career at the end of internship (50.7%), while 25.4% felt that they were moderately prepared.\nConclusion: It is clear that training quality in views of interns is variable across the major specialties, and there are some problems in obstetrics and gynecology training. More studies are needed to explore in-depth dimensions of internship training program in the Kingdom of Saudi Arabia.","container-title":"Advances in Medical Education and Practice","DOI":"10.2147/AMEP.S123119","ISSN":"1179-7258","journalAbbreviation":"AMEP","language":"en","page":"121-128","source":"DOI.org (Crossref)","title":"Medical internship training in Saudi Arabia: interns' views and perceptions","title-short":"Medical internship training in Saudi Arabia","volume":"Volume 8","author":[{"family":"Swaid","given":"Ali"},{"family":"Elhilu","given":"Abdelkhalig"},{"family":"Mahfouz","given":"Mohamed"}],"issued":{"date-parts":[["2017",1]]}}}],"schema":"https://github.com/citation-style-language/schema/raw/master/csl-citation.json"} </w:instrText>
            </w:r>
            <w:r>
              <w:rPr>
                <w:rFonts w:ascii="Calibri" w:hAnsi="Calibri" w:cs="Calibri"/>
                <w:color w:val="000000"/>
                <w:sz w:val="20"/>
                <w:szCs w:val="20"/>
              </w:rPr>
              <w:fldChar w:fldCharType="separate"/>
            </w:r>
            <w:r w:rsidR="00FC3B3C">
              <w:rPr>
                <w:rFonts w:ascii="Calibri" w:hAnsi="Calibri" w:cs="Calibri"/>
                <w:noProof/>
                <w:color w:val="000000"/>
                <w:sz w:val="20"/>
                <w:szCs w:val="20"/>
              </w:rPr>
              <w:t>[92]</w:t>
            </w:r>
            <w:r>
              <w:rPr>
                <w:rFonts w:ascii="Calibri" w:hAnsi="Calibri" w:cs="Calibri"/>
                <w:color w:val="000000"/>
                <w:sz w:val="20"/>
                <w:szCs w:val="20"/>
              </w:rPr>
              <w:fldChar w:fldCharType="end"/>
            </w:r>
          </w:p>
        </w:tc>
        <w:tc>
          <w:tcPr>
            <w:tcW w:w="1130" w:type="dxa"/>
          </w:tcPr>
          <w:p w14:paraId="140A8B5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2017</w:t>
            </w:r>
          </w:p>
        </w:tc>
        <w:tc>
          <w:tcPr>
            <w:tcW w:w="1337" w:type="dxa"/>
          </w:tcPr>
          <w:p w14:paraId="73908702"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Saudi Arabia</w:t>
            </w:r>
          </w:p>
        </w:tc>
        <w:tc>
          <w:tcPr>
            <w:tcW w:w="1434" w:type="dxa"/>
          </w:tcPr>
          <w:p w14:paraId="0A9841F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Intern</w:t>
            </w:r>
          </w:p>
        </w:tc>
        <w:tc>
          <w:tcPr>
            <w:tcW w:w="1106" w:type="dxa"/>
          </w:tcPr>
          <w:p w14:paraId="0E27DD2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913" w:type="dxa"/>
          </w:tcPr>
          <w:p w14:paraId="2A5CDA85"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1</w:t>
            </w:r>
          </w:p>
        </w:tc>
        <w:tc>
          <w:tcPr>
            <w:tcW w:w="1102" w:type="dxa"/>
          </w:tcPr>
          <w:p w14:paraId="4737EB9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71</w:t>
            </w:r>
          </w:p>
        </w:tc>
        <w:tc>
          <w:tcPr>
            <w:tcW w:w="1086" w:type="dxa"/>
          </w:tcPr>
          <w:p w14:paraId="4756FB4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Online</w:t>
            </w:r>
          </w:p>
        </w:tc>
        <w:tc>
          <w:tcPr>
            <w:tcW w:w="1375" w:type="dxa"/>
          </w:tcPr>
          <w:p w14:paraId="6EF33F7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Self-reported</w:t>
            </w:r>
          </w:p>
        </w:tc>
        <w:tc>
          <w:tcPr>
            <w:tcW w:w="1757" w:type="dxa"/>
          </w:tcPr>
          <w:p w14:paraId="04D7970C"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Selected questions available</w:t>
            </w:r>
          </w:p>
        </w:tc>
        <w:tc>
          <w:tcPr>
            <w:tcW w:w="1499" w:type="dxa"/>
          </w:tcPr>
          <w:p w14:paraId="5DCA6BEB"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399AF7EE"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500" w:type="dxa"/>
          </w:tcPr>
          <w:p w14:paraId="09262BF9"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871A003"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Job satisfaction</w:t>
            </w:r>
          </w:p>
        </w:tc>
        <w:tc>
          <w:tcPr>
            <w:tcW w:w="1609" w:type="dxa"/>
          </w:tcPr>
          <w:p w14:paraId="5A14618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Induction, preparedness, teaching</w:t>
            </w:r>
          </w:p>
        </w:tc>
        <w:tc>
          <w:tcPr>
            <w:tcW w:w="1609" w:type="dxa"/>
          </w:tcPr>
          <w:p w14:paraId="5AEECBCA"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 </w:t>
            </w:r>
          </w:p>
        </w:tc>
        <w:tc>
          <w:tcPr>
            <w:tcW w:w="1609" w:type="dxa"/>
          </w:tcPr>
          <w:p w14:paraId="160CEA5D"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c>
          <w:tcPr>
            <w:tcW w:w="1609" w:type="dxa"/>
          </w:tcPr>
          <w:p w14:paraId="0887AD6F" w14:textId="77777777" w:rsidR="00E46C9F" w:rsidRPr="00701766" w:rsidRDefault="00E46C9F" w:rsidP="008C7800">
            <w:pPr>
              <w:cnfStyle w:val="000000000000" w:firstRow="0" w:lastRow="0" w:firstColumn="0" w:lastColumn="0" w:oddVBand="0" w:evenVBand="0" w:oddHBand="0" w:evenHBand="0" w:firstRowFirstColumn="0" w:firstRowLastColumn="0" w:lastRowFirstColumn="0" w:lastRowLastColumn="0"/>
              <w:rPr>
                <w:rFonts w:ascii="Calibri" w:hAnsi="Calibri" w:cs="Calibri"/>
                <w:sz w:val="20"/>
                <w:szCs w:val="20"/>
              </w:rPr>
            </w:pPr>
            <w:r w:rsidRPr="00701766">
              <w:rPr>
                <w:rFonts w:ascii="Calibri" w:hAnsi="Calibri" w:cs="Calibri"/>
                <w:color w:val="000000"/>
                <w:sz w:val="20"/>
                <w:szCs w:val="20"/>
              </w:rPr>
              <w:t>0</w:t>
            </w:r>
          </w:p>
        </w:tc>
      </w:tr>
    </w:tbl>
    <w:p w14:paraId="75D19BC1" w14:textId="3D4FDB90" w:rsidR="009A49A6" w:rsidRDefault="009A49A6"/>
    <w:p w14:paraId="3BA6F403" w14:textId="7F3E659D" w:rsidR="00E46C9F" w:rsidRPr="00FC3B3C" w:rsidRDefault="00FC3B3C">
      <w:pPr>
        <w:rPr>
          <w:b/>
          <w:bCs/>
        </w:rPr>
      </w:pPr>
      <w:r w:rsidRPr="00FC3B3C">
        <w:rPr>
          <w:b/>
          <w:bCs/>
        </w:rPr>
        <w:t>Reference</w:t>
      </w:r>
    </w:p>
    <w:p w14:paraId="7209E25C" w14:textId="77777777" w:rsidR="00FC3B3C" w:rsidRPr="00FC3B3C" w:rsidRDefault="00FC3B3C" w:rsidP="00FC3B3C">
      <w:pPr>
        <w:pStyle w:val="Bibliography"/>
        <w:rPr>
          <w:rFonts w:ascii="Calibri" w:cs="Calibri"/>
        </w:rPr>
      </w:pPr>
      <w:r>
        <w:fldChar w:fldCharType="begin"/>
      </w:r>
      <w:r>
        <w:instrText xml:space="preserve"> ADDIN ZOTERO_BIBL {"uncited":[],"omitted":[],"custom":[]} CSL_BIBLIOGRAPHY </w:instrText>
      </w:r>
      <w:r>
        <w:fldChar w:fldCharType="separate"/>
      </w:r>
      <w:r w:rsidRPr="00FC3B3C">
        <w:rPr>
          <w:rFonts w:ascii="Calibri" w:cs="Calibri"/>
        </w:rPr>
        <w:t xml:space="preserve">1. Hinze SW. ‘Am I Being Over-Sensitive?’ Women’s Experience of Sexual Harassment During Medical Training. Health Interdiscip J Soc Study Health Illn Med. 2004;8:101–27. </w:t>
      </w:r>
    </w:p>
    <w:p w14:paraId="003DE8CC" w14:textId="77777777" w:rsidR="00FC3B3C" w:rsidRPr="00FC3B3C" w:rsidRDefault="00FC3B3C" w:rsidP="00FC3B3C">
      <w:pPr>
        <w:pStyle w:val="Bibliography"/>
        <w:rPr>
          <w:rFonts w:ascii="Calibri" w:cs="Calibri"/>
        </w:rPr>
      </w:pPr>
      <w:r w:rsidRPr="00FC3B3C">
        <w:rPr>
          <w:rFonts w:ascii="Calibri" w:cs="Calibri"/>
        </w:rPr>
        <w:t xml:space="preserve">2. Galam E, Vauloup Soupault C, Bunge L, Buffel du Vaure C, Boujut E, Jaury P. ‘Intern life’: a longitudinal study of burnout, empathy, and coping strategies used by French GPs in training. BJGP Open. 2017;1:bjgpopen17X100773. </w:t>
      </w:r>
    </w:p>
    <w:p w14:paraId="621899DF" w14:textId="77777777" w:rsidR="00FC3B3C" w:rsidRPr="00FC3B3C" w:rsidRDefault="00FC3B3C" w:rsidP="00FC3B3C">
      <w:pPr>
        <w:pStyle w:val="Bibliography"/>
        <w:rPr>
          <w:rFonts w:ascii="Calibri" w:cs="Calibri"/>
        </w:rPr>
      </w:pPr>
      <w:r w:rsidRPr="00FC3B3C">
        <w:rPr>
          <w:rFonts w:ascii="Calibri" w:cs="Calibri"/>
        </w:rPr>
        <w:t xml:space="preserve">3. Martinez W, Etchegaray JM, Thomas EJ, Hickson GB, Lehmann LS, Schleyer AM, et al. ‘Speaking up’ about patient safety concerns and unprofessional behaviour among residents: validation of two scales. BMJ Qual Saf. 2015;24:671–80. </w:t>
      </w:r>
    </w:p>
    <w:p w14:paraId="64D3EFF4" w14:textId="77777777" w:rsidR="00FC3B3C" w:rsidRPr="00FC3B3C" w:rsidRDefault="00FC3B3C" w:rsidP="00FC3B3C">
      <w:pPr>
        <w:pStyle w:val="Bibliography"/>
        <w:rPr>
          <w:rFonts w:ascii="Calibri" w:cs="Calibri"/>
        </w:rPr>
      </w:pPr>
      <w:r w:rsidRPr="00FC3B3C">
        <w:rPr>
          <w:rFonts w:ascii="Calibri" w:cs="Calibri"/>
        </w:rPr>
        <w:t xml:space="preserve">4. Kobayashi H. A cross-cultural survey of residents’ perceived barriers in questioning/challenging authority. Qual Saf Health Care. 2006;15:277–83. </w:t>
      </w:r>
    </w:p>
    <w:p w14:paraId="31A95A1A" w14:textId="77777777" w:rsidR="00FC3B3C" w:rsidRPr="00FC3B3C" w:rsidRDefault="00FC3B3C" w:rsidP="00FC3B3C">
      <w:pPr>
        <w:pStyle w:val="Bibliography"/>
        <w:rPr>
          <w:rFonts w:ascii="Calibri" w:cs="Calibri"/>
        </w:rPr>
      </w:pPr>
      <w:r w:rsidRPr="00FC3B3C">
        <w:rPr>
          <w:rFonts w:ascii="Calibri" w:cs="Calibri"/>
        </w:rPr>
        <w:t xml:space="preserve">5. Baldwin DC, Daugherty SR, Tsai R, Scotti MJ. A national survey of residents’ self-reported work hours: thinking beyond specialty. Acad Med J Assoc Am Med Coll. 2003;78:1154–63. </w:t>
      </w:r>
    </w:p>
    <w:p w14:paraId="48F277F4" w14:textId="77777777" w:rsidR="00FC3B3C" w:rsidRPr="00FC3B3C" w:rsidRDefault="00FC3B3C" w:rsidP="00FC3B3C">
      <w:pPr>
        <w:pStyle w:val="Bibliography"/>
        <w:rPr>
          <w:rFonts w:ascii="Calibri" w:cs="Calibri"/>
        </w:rPr>
      </w:pPr>
      <w:r w:rsidRPr="00FC3B3C">
        <w:rPr>
          <w:rFonts w:ascii="Calibri" w:cs="Calibri"/>
        </w:rPr>
        <w:t xml:space="preserve">6. Mitchell R, Regan-Smith M, Fisher MA, Knox I, Lambert DR. A New Measure of the Cognitive, Metacognitive, and Experiential Aspects of Residents’ Learning: Acad Med. 2009;84:918–26. </w:t>
      </w:r>
    </w:p>
    <w:p w14:paraId="18F0A3AF" w14:textId="77777777" w:rsidR="00FC3B3C" w:rsidRPr="00FC3B3C" w:rsidRDefault="00FC3B3C" w:rsidP="00FC3B3C">
      <w:pPr>
        <w:pStyle w:val="Bibliography"/>
        <w:rPr>
          <w:rFonts w:ascii="Calibri" w:cs="Calibri"/>
        </w:rPr>
      </w:pPr>
      <w:r w:rsidRPr="00FC3B3C">
        <w:rPr>
          <w:rFonts w:ascii="Calibri" w:cs="Calibri"/>
        </w:rPr>
        <w:t xml:space="preserve">7. Sen S, Kranzler HR, Krystal JH, Speller H, Chan G, Gelernter J, et al. A Prospective Cohort Study Investigating Factors Associated With Depression During Medical Internship. Arch Gen Psychiatry. 2010;67:557. </w:t>
      </w:r>
    </w:p>
    <w:p w14:paraId="62C43475" w14:textId="77777777" w:rsidR="00FC3B3C" w:rsidRPr="00FC3B3C" w:rsidRDefault="00FC3B3C" w:rsidP="00FC3B3C">
      <w:pPr>
        <w:pStyle w:val="Bibliography"/>
        <w:rPr>
          <w:rFonts w:ascii="Calibri" w:cs="Calibri"/>
        </w:rPr>
      </w:pPr>
      <w:r w:rsidRPr="00FC3B3C">
        <w:rPr>
          <w:rFonts w:ascii="Calibri" w:cs="Calibri"/>
        </w:rPr>
        <w:t xml:space="preserve">8. Chu ES, Reid M, Schulz T, Burden M, Mancini D, Ambardekar AV, et al. A Structured Handoff Program for Interns: Acad Med. 2009;84:347–52. </w:t>
      </w:r>
    </w:p>
    <w:p w14:paraId="1C1D5C13" w14:textId="77777777" w:rsidR="00FC3B3C" w:rsidRPr="00FC3B3C" w:rsidRDefault="00FC3B3C" w:rsidP="00FC3B3C">
      <w:pPr>
        <w:pStyle w:val="Bibliography"/>
        <w:rPr>
          <w:rFonts w:ascii="Calibri" w:cs="Calibri"/>
        </w:rPr>
      </w:pPr>
      <w:r w:rsidRPr="00FC3B3C">
        <w:rPr>
          <w:rFonts w:ascii="Calibri" w:cs="Calibri"/>
        </w:rPr>
        <w:t xml:space="preserve">9. Ross A, Naidoo S (Cyril), Dlamini S. An evaluation of the medical internship programme at King Edward VIII hospital, South Africa in 2016. South Afr Fam Pract. 2018;60:187–91. </w:t>
      </w:r>
    </w:p>
    <w:p w14:paraId="2D620A23" w14:textId="77777777" w:rsidR="00FC3B3C" w:rsidRPr="00FC3B3C" w:rsidRDefault="00FC3B3C" w:rsidP="00FC3B3C">
      <w:pPr>
        <w:pStyle w:val="Bibliography"/>
        <w:rPr>
          <w:rFonts w:ascii="Calibri" w:cs="Calibri"/>
        </w:rPr>
      </w:pPr>
      <w:r w:rsidRPr="00FC3B3C">
        <w:rPr>
          <w:rFonts w:ascii="Calibri" w:cs="Calibri"/>
        </w:rPr>
        <w:t xml:space="preserve">10. Brant H, Wetherell MA, Lightman S, Crown A, Vedhara K. An exploration into physiological and self-report measures of stress in pre-registration doctors at the beginning and end of a clinical rotation. Stress. 2010;13:155–62. </w:t>
      </w:r>
    </w:p>
    <w:p w14:paraId="252BB443" w14:textId="77777777" w:rsidR="00FC3B3C" w:rsidRPr="00FC3B3C" w:rsidRDefault="00FC3B3C" w:rsidP="00FC3B3C">
      <w:pPr>
        <w:pStyle w:val="Bibliography"/>
        <w:rPr>
          <w:rFonts w:ascii="Calibri" w:cs="Calibri"/>
        </w:rPr>
      </w:pPr>
      <w:r w:rsidRPr="00FC3B3C">
        <w:rPr>
          <w:rFonts w:ascii="Calibri" w:cs="Calibri"/>
        </w:rPr>
        <w:t xml:space="preserve">11. Heard JK, O’Sullivan P, Smith CE, Harper RA, Schexnayder SM. An Institutional System to Monitor and Improve the Quality of Residency Education: Acad Med. 2004;79:858–64. </w:t>
      </w:r>
    </w:p>
    <w:p w14:paraId="18AF3620" w14:textId="77777777" w:rsidR="00FC3B3C" w:rsidRPr="00FC3B3C" w:rsidRDefault="00FC3B3C" w:rsidP="00FC3B3C">
      <w:pPr>
        <w:pStyle w:val="Bibliography"/>
        <w:rPr>
          <w:rFonts w:ascii="Calibri" w:cs="Calibri"/>
        </w:rPr>
      </w:pPr>
      <w:r w:rsidRPr="00FC3B3C">
        <w:rPr>
          <w:rFonts w:ascii="Calibri" w:cs="Calibri"/>
        </w:rPr>
        <w:t xml:space="preserve">12. Bolanowski W. Anxiety about professional future among young doctors. Int J Occup Med Environ Health. 2005;18:367–74. </w:t>
      </w:r>
    </w:p>
    <w:p w14:paraId="14BC1D8E" w14:textId="77777777" w:rsidR="00FC3B3C" w:rsidRPr="00FC3B3C" w:rsidRDefault="00FC3B3C" w:rsidP="00FC3B3C">
      <w:pPr>
        <w:pStyle w:val="Bibliography"/>
        <w:rPr>
          <w:rFonts w:ascii="Calibri" w:cs="Calibri"/>
        </w:rPr>
      </w:pPr>
      <w:r w:rsidRPr="00FC3B3C">
        <w:rPr>
          <w:rFonts w:ascii="Calibri" w:cs="Calibri"/>
        </w:rPr>
        <w:t xml:space="preserve">13. Han W, Maxwell S. Are Medical Students Adequately Trained to Prescribe at the Point of Graduation? Views of First Year Foundation Doctors. Scott Med J. 2006;51:27–32. </w:t>
      </w:r>
    </w:p>
    <w:p w14:paraId="0FC67F58" w14:textId="77777777" w:rsidR="00FC3B3C" w:rsidRPr="00FC3B3C" w:rsidRDefault="00FC3B3C" w:rsidP="00FC3B3C">
      <w:pPr>
        <w:pStyle w:val="Bibliography"/>
        <w:rPr>
          <w:rFonts w:ascii="Calibri" w:cs="Calibri"/>
        </w:rPr>
      </w:pPr>
      <w:r w:rsidRPr="00FC3B3C">
        <w:rPr>
          <w:rFonts w:ascii="Calibri" w:cs="Calibri"/>
        </w:rPr>
        <w:t xml:space="preserve">14. Carr SE, Celenza A, Lake F. Assessment of Junior Doctor performance: a validation study. BMC Med Educ. 2013;13:129. </w:t>
      </w:r>
    </w:p>
    <w:p w14:paraId="4D1013A2" w14:textId="77777777" w:rsidR="00FC3B3C" w:rsidRPr="00FC3B3C" w:rsidRDefault="00FC3B3C" w:rsidP="00FC3B3C">
      <w:pPr>
        <w:pStyle w:val="Bibliography"/>
        <w:rPr>
          <w:rFonts w:ascii="Calibri" w:cs="Calibri"/>
        </w:rPr>
      </w:pPr>
      <w:r w:rsidRPr="00FC3B3C">
        <w:rPr>
          <w:rFonts w:ascii="Calibri" w:cs="Calibri"/>
        </w:rPr>
        <w:t xml:space="preserve">15. Gooneratne IK, Munasinghe SR, Siriwardena C, Olupeliyawa AM, Karunathilake I. Assessment of psychometric properties of a modified PHEEM questionnaire. Ann Acad Med Singapore. 2008;37:993–7. </w:t>
      </w:r>
    </w:p>
    <w:p w14:paraId="7CCDFE52" w14:textId="77777777" w:rsidR="00FC3B3C" w:rsidRPr="00FC3B3C" w:rsidRDefault="00FC3B3C" w:rsidP="00FC3B3C">
      <w:pPr>
        <w:pStyle w:val="Bibliography"/>
        <w:rPr>
          <w:rFonts w:ascii="Calibri" w:cs="Calibri"/>
        </w:rPr>
      </w:pPr>
      <w:r w:rsidRPr="00FC3B3C">
        <w:rPr>
          <w:rFonts w:ascii="Calibri" w:cs="Calibri"/>
        </w:rPr>
        <w:t xml:space="preserve">16. Loftus TJ, Hall DJ, Malaty JZ, Kuruppacherry SB, Sarosi GA, Shaw CM, et al. Associations Between National Board Exam Performance and Residency Program Emphasis on Patient Safety and Interprofessional Teamwork. Acad Psychiatry. 2019;43:581–4. </w:t>
      </w:r>
    </w:p>
    <w:p w14:paraId="05A29324" w14:textId="77777777" w:rsidR="00FC3B3C" w:rsidRPr="00FC3B3C" w:rsidRDefault="00FC3B3C" w:rsidP="00FC3B3C">
      <w:pPr>
        <w:pStyle w:val="Bibliography"/>
        <w:rPr>
          <w:rFonts w:ascii="Calibri" w:cs="Calibri"/>
        </w:rPr>
      </w:pPr>
      <w:r w:rsidRPr="00FC3B3C">
        <w:rPr>
          <w:rFonts w:ascii="Calibri" w:cs="Calibri"/>
        </w:rPr>
        <w:t xml:space="preserve">17. Lin KS, Zaw T, Oo WM, Soe PP. Burnout among house officers in Myanmar: A cross-sectional study. Ann Med Surg. 2018;33:7–12. </w:t>
      </w:r>
    </w:p>
    <w:p w14:paraId="48F38F97" w14:textId="77777777" w:rsidR="00FC3B3C" w:rsidRPr="00FC3B3C" w:rsidRDefault="00FC3B3C" w:rsidP="00FC3B3C">
      <w:pPr>
        <w:pStyle w:val="Bibliography"/>
        <w:rPr>
          <w:rFonts w:ascii="Calibri" w:cs="Calibri"/>
        </w:rPr>
      </w:pPr>
      <w:r w:rsidRPr="00FC3B3C">
        <w:rPr>
          <w:rFonts w:ascii="Calibri" w:cs="Calibri"/>
        </w:rPr>
        <w:t xml:space="preserve">18. Hannan E, Breslin N, Doherty E, McGreal M, Moneley D, Offiah G. Burnout and stress amongst interns in Irish hospitals: contributing factors and potential solutions. Ir J Med Sci 1971 -. 2018;187:301–7. </w:t>
      </w:r>
    </w:p>
    <w:p w14:paraId="42D86095" w14:textId="77777777" w:rsidR="00FC3B3C" w:rsidRPr="00FC3B3C" w:rsidRDefault="00FC3B3C" w:rsidP="00FC3B3C">
      <w:pPr>
        <w:pStyle w:val="Bibliography"/>
        <w:rPr>
          <w:rFonts w:ascii="Calibri" w:cs="Calibri"/>
        </w:rPr>
      </w:pPr>
      <w:r w:rsidRPr="00FC3B3C">
        <w:rPr>
          <w:rFonts w:ascii="Calibri" w:cs="Calibri"/>
        </w:rPr>
        <w:t xml:space="preserve">19. Calcides DAP, Didou R da N, Melo EV de, Oliva-Costa EF de. Burnout Syndrome in medical internship students and its prevention with Balint Group. Rev Assoc Médica Bras. 2019;65:1362–7. </w:t>
      </w:r>
    </w:p>
    <w:p w14:paraId="01FE0DF9" w14:textId="77777777" w:rsidR="00FC3B3C" w:rsidRPr="00FC3B3C" w:rsidRDefault="00FC3B3C" w:rsidP="00FC3B3C">
      <w:pPr>
        <w:pStyle w:val="Bibliography"/>
        <w:rPr>
          <w:rFonts w:ascii="Calibri" w:cs="Calibri"/>
        </w:rPr>
      </w:pPr>
      <w:r w:rsidRPr="00FC3B3C">
        <w:rPr>
          <w:rFonts w:ascii="Calibri" w:cs="Calibri"/>
        </w:rPr>
        <w:t xml:space="preserve">20. Li J, Weigl M, Glaser J, Petru R, Siegrist J, Angerer P. Changes in psychosocial work environment and depressive symptoms: A prospective study in junior physicians: Changes in ERI and Depressive Symptoms. Am J Ind Med. 2013;56:1414–22. </w:t>
      </w:r>
    </w:p>
    <w:p w14:paraId="0A6AB4C5" w14:textId="77777777" w:rsidR="00FC3B3C" w:rsidRPr="00FC3B3C" w:rsidRDefault="00FC3B3C" w:rsidP="00FC3B3C">
      <w:pPr>
        <w:pStyle w:val="Bibliography"/>
        <w:rPr>
          <w:rFonts w:ascii="Calibri" w:cs="Calibri"/>
        </w:rPr>
      </w:pPr>
      <w:r w:rsidRPr="00FC3B3C">
        <w:rPr>
          <w:rFonts w:ascii="Calibri" w:cs="Calibri"/>
        </w:rPr>
        <w:t xml:space="preserve">21. Vinothkumar M, Arathi A, Joseph M, Nayana P, Jishma Ej, Sahana U. Coping, perceived stress, and job satisfaction among medical interns: The mediating effect of mindfulness. Ind Psychiatry J. 2016;25:195. </w:t>
      </w:r>
    </w:p>
    <w:p w14:paraId="3AA59C98" w14:textId="77777777" w:rsidR="00FC3B3C" w:rsidRPr="00FC3B3C" w:rsidRDefault="00FC3B3C" w:rsidP="00FC3B3C">
      <w:pPr>
        <w:pStyle w:val="Bibliography"/>
        <w:rPr>
          <w:rFonts w:ascii="Calibri" w:cs="Calibri"/>
        </w:rPr>
      </w:pPr>
      <w:r w:rsidRPr="00FC3B3C">
        <w:rPr>
          <w:rFonts w:ascii="Calibri" w:cs="Calibri"/>
        </w:rPr>
        <w:t xml:space="preserve">22. Talih F, Warakian R, Ajaltouni J, Shehab AAS, Tamim H. Correlates of Depression and Burnout Among Residents in a Lebanese Academic Medical Center: a Cross-Sectional Study. Acad Psychiatry. 2016;40:38–45. </w:t>
      </w:r>
    </w:p>
    <w:p w14:paraId="7E75586F" w14:textId="77777777" w:rsidR="00FC3B3C" w:rsidRPr="00FC3B3C" w:rsidRDefault="00FC3B3C" w:rsidP="00FC3B3C">
      <w:pPr>
        <w:pStyle w:val="Bibliography"/>
        <w:rPr>
          <w:rFonts w:ascii="Calibri" w:cs="Calibri"/>
        </w:rPr>
      </w:pPr>
      <w:r w:rsidRPr="00FC3B3C">
        <w:rPr>
          <w:rFonts w:ascii="Calibri" w:cs="Calibri"/>
        </w:rPr>
        <w:t xml:space="preserve">23. Carr SE, Celenza T, Lake FR. Descriptive analysis of junior doctor assessment in the first postgraduate year. Med Teach. 2014;36:983–90. </w:t>
      </w:r>
    </w:p>
    <w:p w14:paraId="76CE9A73" w14:textId="77777777" w:rsidR="00FC3B3C" w:rsidRPr="00FC3B3C" w:rsidRDefault="00FC3B3C" w:rsidP="00FC3B3C">
      <w:pPr>
        <w:pStyle w:val="Bibliography"/>
        <w:rPr>
          <w:rFonts w:ascii="Calibri" w:cs="Calibri"/>
        </w:rPr>
      </w:pPr>
      <w:r w:rsidRPr="00FC3B3C">
        <w:rPr>
          <w:rFonts w:ascii="Calibri" w:cs="Calibri"/>
        </w:rPr>
        <w:t xml:space="preserve">24. Roff S, McAleer S, Skinner A. Development and validation of an instrument to measure the postgraduate clinical learning and teaching educational environment for hospital-based junior doctors in the UK. Med Teach. 2005;27:326–31. </w:t>
      </w:r>
    </w:p>
    <w:p w14:paraId="6F081EFE" w14:textId="77777777" w:rsidR="00FC3B3C" w:rsidRPr="00FC3B3C" w:rsidRDefault="00FC3B3C" w:rsidP="00FC3B3C">
      <w:pPr>
        <w:pStyle w:val="Bibliography"/>
        <w:rPr>
          <w:rFonts w:ascii="Calibri" w:cs="Calibri"/>
        </w:rPr>
      </w:pPr>
      <w:r w:rsidRPr="00FC3B3C">
        <w:rPr>
          <w:rFonts w:ascii="Calibri" w:cs="Calibri"/>
        </w:rPr>
        <w:t xml:space="preserve">25. Robson J, de Wet C, McKay J, Bowie P. Do we know what foundation year doctors think about patient safety incident reporting? Development of a web based tool to assess attitude and knowledge. Postgrad Med J. 2011;87:750–6. </w:t>
      </w:r>
    </w:p>
    <w:p w14:paraId="2599E1CC" w14:textId="77777777" w:rsidR="00FC3B3C" w:rsidRPr="00FC3B3C" w:rsidRDefault="00FC3B3C" w:rsidP="00FC3B3C">
      <w:pPr>
        <w:pStyle w:val="Bibliography"/>
        <w:rPr>
          <w:rFonts w:ascii="Calibri" w:cs="Calibri"/>
        </w:rPr>
      </w:pPr>
      <w:r w:rsidRPr="00FC3B3C">
        <w:rPr>
          <w:rFonts w:ascii="Calibri" w:cs="Calibri"/>
        </w:rPr>
        <w:t xml:space="preserve">26. Goldacre MJ, Davidson JM, Lambert TW. Doctors’ views of their first year of medical work and postgraduate training in the UK: questionnaire surveys. Med Educ. 2003;37:802–8. </w:t>
      </w:r>
    </w:p>
    <w:p w14:paraId="1B781BC3" w14:textId="77777777" w:rsidR="00FC3B3C" w:rsidRPr="00FC3B3C" w:rsidRDefault="00FC3B3C" w:rsidP="00FC3B3C">
      <w:pPr>
        <w:pStyle w:val="Bibliography"/>
        <w:rPr>
          <w:rFonts w:ascii="Calibri" w:cs="Calibri"/>
        </w:rPr>
      </w:pPr>
      <w:r w:rsidRPr="00FC3B3C">
        <w:rPr>
          <w:rFonts w:ascii="Calibri" w:cs="Calibri"/>
        </w:rPr>
        <w:t xml:space="preserve">27. Bleakley A, Brennan N. Does undergraduate curriculum design make a difference to readiness to practice as a junior doctor? Med Teach. 2011;33:459–67. </w:t>
      </w:r>
    </w:p>
    <w:p w14:paraId="69CDDAB5" w14:textId="77777777" w:rsidR="00FC3B3C" w:rsidRPr="00FC3B3C" w:rsidRDefault="00FC3B3C" w:rsidP="00FC3B3C">
      <w:pPr>
        <w:pStyle w:val="Bibliography"/>
        <w:rPr>
          <w:rFonts w:ascii="Calibri" w:cs="Calibri"/>
        </w:rPr>
      </w:pPr>
      <w:r w:rsidRPr="00FC3B3C">
        <w:rPr>
          <w:rFonts w:ascii="Calibri" w:cs="Calibri"/>
        </w:rPr>
        <w:t xml:space="preserve">28. Linklater G. Educational needs of foundation doctors caring for dying patients. J R Coll Physicians Edinb. 2010;40:13–8. </w:t>
      </w:r>
    </w:p>
    <w:p w14:paraId="194C4DEA" w14:textId="77777777" w:rsidR="00FC3B3C" w:rsidRPr="00FC3B3C" w:rsidRDefault="00FC3B3C" w:rsidP="00FC3B3C">
      <w:pPr>
        <w:pStyle w:val="Bibliography"/>
        <w:rPr>
          <w:rFonts w:ascii="Calibri" w:cs="Calibri"/>
        </w:rPr>
      </w:pPr>
      <w:r w:rsidRPr="00FC3B3C">
        <w:rPr>
          <w:rFonts w:ascii="Calibri" w:cs="Calibri"/>
        </w:rPr>
        <w:t xml:space="preserve">29. Mohammadi G, Tourdeh M, Ebrahimian A. Effect of simulation-based training method on the psychological health promotion in operating room students during the educational internship. J Educ Health Promot. 2019;8:172. </w:t>
      </w:r>
    </w:p>
    <w:p w14:paraId="1F55BCA9" w14:textId="77777777" w:rsidR="00FC3B3C" w:rsidRPr="00FC3B3C" w:rsidRDefault="00FC3B3C" w:rsidP="00FC3B3C">
      <w:pPr>
        <w:pStyle w:val="Bibliography"/>
        <w:rPr>
          <w:rFonts w:ascii="Calibri" w:cs="Calibri"/>
        </w:rPr>
      </w:pPr>
      <w:r w:rsidRPr="00FC3B3C">
        <w:rPr>
          <w:rFonts w:ascii="Calibri" w:cs="Calibri"/>
        </w:rPr>
        <w:t xml:space="preserve">30. Kalmbach DA, Fang Y, Arnedt JT, Cochran AL, Deldin PJ, Kaplin AI, et al. Effects of Sleep, Physical Activity, and Shift Work on Daily Mood: a Prospective Mobile Monitoring Study of Medical Interns. J Gen Intern Med. 2018;33:914–20. </w:t>
      </w:r>
    </w:p>
    <w:p w14:paraId="37337124" w14:textId="77777777" w:rsidR="00FC3B3C" w:rsidRPr="00FC3B3C" w:rsidRDefault="00FC3B3C" w:rsidP="00FC3B3C">
      <w:pPr>
        <w:pStyle w:val="Bibliography"/>
        <w:rPr>
          <w:rFonts w:ascii="Calibri" w:cs="Calibri"/>
        </w:rPr>
      </w:pPr>
      <w:r w:rsidRPr="00FC3B3C">
        <w:rPr>
          <w:rFonts w:ascii="Calibri" w:cs="Calibri"/>
        </w:rPr>
        <w:t>31. Mayer S. Examining the Relationships Between Chronic Stress, HPA Axis Activity, and Depression in a Prospective and Longitudinal Study of Medical Internship [Internet]. University of Michigan; 2017. Available from: https://deepblue.lib.umich.edu/handle/2027.42/137074</w:t>
      </w:r>
    </w:p>
    <w:p w14:paraId="4B88526F" w14:textId="77777777" w:rsidR="00FC3B3C" w:rsidRPr="00FC3B3C" w:rsidRDefault="00FC3B3C" w:rsidP="00FC3B3C">
      <w:pPr>
        <w:pStyle w:val="Bibliography"/>
        <w:rPr>
          <w:rFonts w:ascii="Calibri" w:cs="Calibri"/>
        </w:rPr>
      </w:pPr>
      <w:r w:rsidRPr="00FC3B3C">
        <w:rPr>
          <w:rFonts w:ascii="Calibri" w:cs="Calibri"/>
        </w:rPr>
        <w:t xml:space="preserve">32. Farley S, Coyne I, Sprigg C, Axtell C, Subramanian G. Exploring the impact of workplace cyberbullying on trainee doctors. Med Educ. 2015;49:436–43. </w:t>
      </w:r>
    </w:p>
    <w:p w14:paraId="47CF5CCB" w14:textId="77777777" w:rsidR="00FC3B3C" w:rsidRPr="00FC3B3C" w:rsidRDefault="00FC3B3C" w:rsidP="00FC3B3C">
      <w:pPr>
        <w:pStyle w:val="Bibliography"/>
        <w:rPr>
          <w:rFonts w:ascii="Calibri" w:cs="Calibri"/>
        </w:rPr>
      </w:pPr>
      <w:r w:rsidRPr="00FC3B3C">
        <w:rPr>
          <w:rFonts w:ascii="Calibri" w:cs="Calibri"/>
        </w:rPr>
        <w:t>33. Mataya AA, Macuvele ME, Gwitima T, Muula AS. Factors affecting job satisfaction and commitment among medical interns in Malawi: a cross-sectional study. Pan Afr Med J [Internet]. 2015 [cited 2020 Sep 9];21. Available from: http://www.panafrican-med-journal.com/content/article/21/174/full/</w:t>
      </w:r>
    </w:p>
    <w:p w14:paraId="7927A3DF" w14:textId="77777777" w:rsidR="00FC3B3C" w:rsidRPr="00FC3B3C" w:rsidRDefault="00FC3B3C" w:rsidP="00FC3B3C">
      <w:pPr>
        <w:pStyle w:val="Bibliography"/>
        <w:rPr>
          <w:rFonts w:ascii="Calibri" w:cs="Calibri"/>
        </w:rPr>
      </w:pPr>
      <w:r w:rsidRPr="00FC3B3C">
        <w:rPr>
          <w:rFonts w:ascii="Calibri" w:cs="Calibri"/>
        </w:rPr>
        <w:t xml:space="preserve">34. Friesen LD, Vidyarthi AR, Baron RB, Katz PP. Factors associated with intern fatigue. J Gen Intern Med. 2008;23:1981–6. </w:t>
      </w:r>
    </w:p>
    <w:p w14:paraId="00C690D6" w14:textId="77777777" w:rsidR="00FC3B3C" w:rsidRPr="00FC3B3C" w:rsidRDefault="00FC3B3C" w:rsidP="00FC3B3C">
      <w:pPr>
        <w:pStyle w:val="Bibliography"/>
        <w:rPr>
          <w:rFonts w:ascii="Calibri" w:cs="Calibri"/>
        </w:rPr>
      </w:pPr>
      <w:r w:rsidRPr="00FC3B3C">
        <w:rPr>
          <w:rFonts w:ascii="Calibri" w:cs="Calibri"/>
        </w:rPr>
        <w:t xml:space="preserve">35. Auret K, Skinner L, Sinclair C, Evans S. Formal assessment of the educational environment experienced by interns placed in rural hospitals in Western Australia. :12. </w:t>
      </w:r>
    </w:p>
    <w:p w14:paraId="5CAF07BB" w14:textId="77777777" w:rsidR="00FC3B3C" w:rsidRPr="00FC3B3C" w:rsidRDefault="00FC3B3C" w:rsidP="00FC3B3C">
      <w:pPr>
        <w:pStyle w:val="Bibliography"/>
        <w:rPr>
          <w:rFonts w:ascii="Calibri" w:cs="Calibri"/>
        </w:rPr>
      </w:pPr>
      <w:r w:rsidRPr="00FC3B3C">
        <w:rPr>
          <w:rFonts w:ascii="Calibri" w:cs="Calibri"/>
        </w:rPr>
        <w:t xml:space="preserve">36. Miles S, Kellett J, Leinster SJ. Foundation doctors’ induction experiences. BMC Med Educ. 2015;15:118. </w:t>
      </w:r>
    </w:p>
    <w:p w14:paraId="41C86E4C" w14:textId="77777777" w:rsidR="00FC3B3C" w:rsidRPr="00FC3B3C" w:rsidRDefault="00FC3B3C" w:rsidP="00FC3B3C">
      <w:pPr>
        <w:pStyle w:val="Bibliography"/>
        <w:rPr>
          <w:rFonts w:ascii="Calibri" w:cs="Calibri"/>
        </w:rPr>
      </w:pPr>
      <w:r w:rsidRPr="00FC3B3C">
        <w:rPr>
          <w:rFonts w:ascii="Calibri" w:cs="Calibri"/>
        </w:rPr>
        <w:t xml:space="preserve">37. O’Donnell M, Noad R, Boohan M, Carragher A. Foundation Programme Impact on Junior Doctor Personality and Anxiety in Northern Ireland. Ulster Med J. :7. </w:t>
      </w:r>
    </w:p>
    <w:p w14:paraId="413C24FD" w14:textId="77777777" w:rsidR="00FC3B3C" w:rsidRPr="00FC3B3C" w:rsidRDefault="00FC3B3C" w:rsidP="00FC3B3C">
      <w:pPr>
        <w:pStyle w:val="Bibliography"/>
        <w:rPr>
          <w:rFonts w:ascii="Calibri" w:cs="Calibri"/>
        </w:rPr>
      </w:pPr>
      <w:r w:rsidRPr="00FC3B3C">
        <w:rPr>
          <w:rFonts w:ascii="Calibri" w:cs="Calibri"/>
        </w:rPr>
        <w:t xml:space="preserve">38. Rogers E, Polonijo AN, Carpiano RM. Getting by with a little help from friends and colleagues: Testing how residents’ social support networks affect loneliness and burnout. Can Fam Physician Med Fam Can. 2016;62:e677–83. </w:t>
      </w:r>
    </w:p>
    <w:p w14:paraId="3B63CD69" w14:textId="77777777" w:rsidR="00FC3B3C" w:rsidRPr="00FC3B3C" w:rsidRDefault="00FC3B3C" w:rsidP="00FC3B3C">
      <w:pPr>
        <w:pStyle w:val="Bibliography"/>
        <w:rPr>
          <w:rFonts w:ascii="Calibri" w:cs="Calibri"/>
        </w:rPr>
      </w:pPr>
      <w:r w:rsidRPr="00FC3B3C">
        <w:rPr>
          <w:rFonts w:ascii="Calibri" w:cs="Calibri"/>
        </w:rPr>
        <w:t xml:space="preserve">39. Bruce C, Thomas PS, Yates DH. Health and stress in Australian interns: Health and stress in interns. Intern Med J. 2003;33:392–5. </w:t>
      </w:r>
    </w:p>
    <w:p w14:paraId="7ECC0444" w14:textId="77777777" w:rsidR="00FC3B3C" w:rsidRPr="00FC3B3C" w:rsidRDefault="00FC3B3C" w:rsidP="00FC3B3C">
      <w:pPr>
        <w:pStyle w:val="Bibliography"/>
        <w:rPr>
          <w:rFonts w:ascii="Calibri" w:cs="Calibri"/>
        </w:rPr>
      </w:pPr>
      <w:r w:rsidRPr="00FC3B3C">
        <w:rPr>
          <w:rFonts w:ascii="Calibri" w:cs="Calibri"/>
        </w:rPr>
        <w:t xml:space="preserve">40. McKavanagh P, Smyth A, Carragher A. Hospital consultants and workplace based assessments: how foundation doctors view these educational interactions? Postgrad Med J. 2012;88:119–24. </w:t>
      </w:r>
    </w:p>
    <w:p w14:paraId="73CC9DB6" w14:textId="77777777" w:rsidR="00FC3B3C" w:rsidRPr="00FC3B3C" w:rsidRDefault="00FC3B3C" w:rsidP="00FC3B3C">
      <w:pPr>
        <w:pStyle w:val="Bibliography"/>
        <w:rPr>
          <w:rFonts w:ascii="Calibri" w:cs="Calibri"/>
        </w:rPr>
      </w:pPr>
      <w:r w:rsidRPr="00FC3B3C">
        <w:rPr>
          <w:rFonts w:ascii="Calibri" w:cs="Calibri"/>
        </w:rPr>
        <w:t xml:space="preserve">41. Shapiro RE, Vallejo MC, Sofka SH, Elmo RM, Anderson AH, Ferrari ND. Hospital Spiritual Care Can Complement Graduate Medical Trainee Well-Being. Adv Med. 2019;2019:1–4. </w:t>
      </w:r>
    </w:p>
    <w:p w14:paraId="0BCB3672" w14:textId="77777777" w:rsidR="00FC3B3C" w:rsidRPr="00FC3B3C" w:rsidRDefault="00FC3B3C" w:rsidP="00FC3B3C">
      <w:pPr>
        <w:pStyle w:val="Bibliography"/>
        <w:rPr>
          <w:rFonts w:ascii="Calibri" w:cs="Calibri"/>
        </w:rPr>
      </w:pPr>
      <w:r w:rsidRPr="00FC3B3C">
        <w:rPr>
          <w:rFonts w:ascii="Calibri" w:cs="Calibri"/>
        </w:rPr>
        <w:t xml:space="preserve">42. Arora VM, Greenstein EA, Woodruff JN, Staisiunas PG, Farnan JM. Implementing Peer Evaluation of Handoffs: Associations With Experience and Workload: Implementing Peer Evaluation of Handoffs. J Hosp Med. 2013;8:132–6. </w:t>
      </w:r>
    </w:p>
    <w:p w14:paraId="0DF4797A" w14:textId="77777777" w:rsidR="00FC3B3C" w:rsidRPr="00FC3B3C" w:rsidRDefault="00FC3B3C" w:rsidP="00FC3B3C">
      <w:pPr>
        <w:pStyle w:val="Bibliography"/>
        <w:rPr>
          <w:rFonts w:ascii="Calibri" w:cs="Calibri"/>
        </w:rPr>
      </w:pPr>
      <w:r w:rsidRPr="00FC3B3C">
        <w:rPr>
          <w:rFonts w:ascii="Calibri" w:cs="Calibri"/>
        </w:rPr>
        <w:t xml:space="preserve">43. Arora VM, Farnan JM, Lypson ML, Anderson RA, Prochaska MH, Humphrey HJ. Incoming Interns’ Perspectives on the Institute of Medicine Recommendations for Residents’ Duty Hours. J Grad Med Educ. 2010;2:536–40. </w:t>
      </w:r>
    </w:p>
    <w:p w14:paraId="76E4EA6D" w14:textId="77777777" w:rsidR="00FC3B3C" w:rsidRPr="00FC3B3C" w:rsidRDefault="00FC3B3C" w:rsidP="00FC3B3C">
      <w:pPr>
        <w:pStyle w:val="Bibliography"/>
        <w:rPr>
          <w:rFonts w:ascii="Calibri" w:cs="Calibri"/>
        </w:rPr>
      </w:pPr>
      <w:r w:rsidRPr="00FC3B3C">
        <w:rPr>
          <w:rFonts w:ascii="Calibri" w:cs="Calibri"/>
        </w:rPr>
        <w:t xml:space="preserve">44. Gruppen LD, Stansfield RB, Zhao Z, Sen S. Institution and Specialty Contribute to Resident Satisfaction With Their Learning Environment and Workload: Acad Med. 2015;90:S77–82. </w:t>
      </w:r>
    </w:p>
    <w:p w14:paraId="47023EC6" w14:textId="77777777" w:rsidR="00FC3B3C" w:rsidRPr="00FC3B3C" w:rsidRDefault="00FC3B3C" w:rsidP="00FC3B3C">
      <w:pPr>
        <w:pStyle w:val="Bibliography"/>
        <w:rPr>
          <w:rFonts w:ascii="Calibri" w:cs="Calibri"/>
        </w:rPr>
      </w:pPr>
      <w:r w:rsidRPr="00FC3B3C">
        <w:rPr>
          <w:rFonts w:ascii="Calibri" w:cs="Calibri"/>
        </w:rPr>
        <w:t xml:space="preserve">45. Røvik JO, Tyssen R, Hem E, Gude T, Ekeberg Ø, Moum T, et al. Job Stress in Young Physicians with an Emphasis on the Work-Home Interface: A Nine-Year, Nationwide and Longitudinal Study of its Course and Predictors. Ind Health. 2007;45:662–71. </w:t>
      </w:r>
    </w:p>
    <w:p w14:paraId="3C2F106A" w14:textId="77777777" w:rsidR="00FC3B3C" w:rsidRPr="00FC3B3C" w:rsidRDefault="00FC3B3C" w:rsidP="00FC3B3C">
      <w:pPr>
        <w:pStyle w:val="Bibliography"/>
        <w:rPr>
          <w:rFonts w:ascii="Calibri" w:cs="Calibri"/>
        </w:rPr>
      </w:pPr>
      <w:r w:rsidRPr="00FC3B3C">
        <w:rPr>
          <w:rFonts w:ascii="Calibri" w:cs="Calibri"/>
        </w:rPr>
        <w:t xml:space="preserve">46. Chandramouleeswaran S, Edwin NC, Braganza D. Job Stress, Satisfaction, and Coping Strategies Among Medical Interns in a South Indian Tertiary Hospital. Indian J Psychol Med. 2014;36:308–11. </w:t>
      </w:r>
    </w:p>
    <w:p w14:paraId="74958E38" w14:textId="77777777" w:rsidR="00FC3B3C" w:rsidRPr="00FC3B3C" w:rsidRDefault="00FC3B3C" w:rsidP="00FC3B3C">
      <w:pPr>
        <w:pStyle w:val="Bibliography"/>
        <w:rPr>
          <w:rFonts w:ascii="Calibri" w:cs="Calibri"/>
        </w:rPr>
      </w:pPr>
      <w:r w:rsidRPr="00FC3B3C">
        <w:rPr>
          <w:rFonts w:ascii="Calibri" w:cs="Calibri"/>
        </w:rPr>
        <w:t xml:space="preserve">47. Henning MA, Sollers J, Strom JM, Hill AG, Lyndon MP, Cumin D, et al. Junior doctors in their first year: mental health, quality of life, burnout and heart rate variability. Perspect Med Educ. 2014;3:136–43. </w:t>
      </w:r>
    </w:p>
    <w:p w14:paraId="287DE0C6" w14:textId="77777777" w:rsidR="00FC3B3C" w:rsidRPr="00FC3B3C" w:rsidRDefault="00FC3B3C" w:rsidP="00FC3B3C">
      <w:pPr>
        <w:pStyle w:val="Bibliography"/>
        <w:rPr>
          <w:rFonts w:ascii="Calibri" w:cs="Calibri"/>
        </w:rPr>
      </w:pPr>
      <w:r w:rsidRPr="00FC3B3C">
        <w:rPr>
          <w:rFonts w:ascii="Calibri" w:cs="Calibri"/>
        </w:rPr>
        <w:t xml:space="preserve">48. Byszewski A, Lochnan H, Johnston D, Seabrook C, Wood T. Learning environment: assessing resident experience. Clin Teach. 2017;14:195–9. </w:t>
      </w:r>
    </w:p>
    <w:p w14:paraId="0024CB19" w14:textId="77777777" w:rsidR="00FC3B3C" w:rsidRPr="00FC3B3C" w:rsidRDefault="00FC3B3C" w:rsidP="00FC3B3C">
      <w:pPr>
        <w:pStyle w:val="Bibliography"/>
        <w:rPr>
          <w:rFonts w:ascii="Calibri" w:cs="Calibri"/>
        </w:rPr>
      </w:pPr>
      <w:r w:rsidRPr="00FC3B3C">
        <w:rPr>
          <w:rFonts w:ascii="Calibri" w:cs="Calibri"/>
        </w:rPr>
        <w:t xml:space="preserve">49. Keim SM, Mays MZ, Williams JM, Serido J, Harris RB. Measuring wellness among resident physicians. Med Teach. 2006;28:370–4. </w:t>
      </w:r>
    </w:p>
    <w:p w14:paraId="1E903648" w14:textId="77777777" w:rsidR="00FC3B3C" w:rsidRPr="00FC3B3C" w:rsidRDefault="00FC3B3C" w:rsidP="00FC3B3C">
      <w:pPr>
        <w:pStyle w:val="Bibliography"/>
        <w:rPr>
          <w:rFonts w:ascii="Calibri" w:cs="Calibri"/>
        </w:rPr>
      </w:pPr>
      <w:r w:rsidRPr="00FC3B3C">
        <w:rPr>
          <w:rFonts w:ascii="Calibri" w:cs="Calibri"/>
        </w:rPr>
        <w:t xml:space="preserve">50. Hoppe A, Persson E, Birgegård G. Medical interns’ view of their undergraduate medical education in Uppsala: An alumnus study with clear attitude differences between women and men. Med Teach. 2009;31:426–32. </w:t>
      </w:r>
    </w:p>
    <w:p w14:paraId="1D7F247A" w14:textId="77777777" w:rsidR="00FC3B3C" w:rsidRPr="00FC3B3C" w:rsidRDefault="00FC3B3C" w:rsidP="00FC3B3C">
      <w:pPr>
        <w:pStyle w:val="Bibliography"/>
        <w:rPr>
          <w:rFonts w:ascii="Calibri" w:cs="Calibri"/>
        </w:rPr>
      </w:pPr>
      <w:r w:rsidRPr="00FC3B3C">
        <w:rPr>
          <w:rFonts w:ascii="Calibri" w:cs="Calibri"/>
        </w:rPr>
        <w:t xml:space="preserve">51. Han E, Chung E, Oh S, Woo Y, Hitchcock M. Mentoring experience and its effects on medical interns. Singapore Med J. 2014;55:593–7. </w:t>
      </w:r>
    </w:p>
    <w:p w14:paraId="31A726A6" w14:textId="77777777" w:rsidR="00FC3B3C" w:rsidRPr="00FC3B3C" w:rsidRDefault="00FC3B3C" w:rsidP="00FC3B3C">
      <w:pPr>
        <w:pStyle w:val="Bibliography"/>
        <w:rPr>
          <w:rFonts w:ascii="Calibri" w:cs="Calibri"/>
        </w:rPr>
      </w:pPr>
      <w:r w:rsidRPr="00FC3B3C">
        <w:rPr>
          <w:rFonts w:ascii="Calibri" w:cs="Calibri"/>
        </w:rPr>
        <w:t xml:space="preserve">52. Bu CNN, Cotzias E, Panagioti M. Mindfulness intervention for foundation year doctors: a feasibility study. Pilot Feasibility Stud. 2019;5:61. </w:t>
      </w:r>
    </w:p>
    <w:p w14:paraId="74828F55" w14:textId="77777777" w:rsidR="00FC3B3C" w:rsidRPr="00FC3B3C" w:rsidRDefault="00FC3B3C" w:rsidP="00FC3B3C">
      <w:pPr>
        <w:pStyle w:val="Bibliography"/>
        <w:rPr>
          <w:rFonts w:ascii="Calibri" w:cs="Calibri"/>
        </w:rPr>
      </w:pPr>
      <w:r w:rsidRPr="00FC3B3C">
        <w:rPr>
          <w:rFonts w:ascii="Calibri" w:cs="Calibri"/>
        </w:rPr>
        <w:t xml:space="preserve">53. Cave J, Goldacre M, Lambert T, Woolf K, Jones A, Dacre J. Newly qualified doctors’ views about whether their medical school had trained them well: questionnaire surveys. BMC Med Educ. 2007;7:38. </w:t>
      </w:r>
    </w:p>
    <w:p w14:paraId="4FC1B8B3" w14:textId="77777777" w:rsidR="00FC3B3C" w:rsidRPr="00FC3B3C" w:rsidRDefault="00FC3B3C" w:rsidP="00FC3B3C">
      <w:pPr>
        <w:pStyle w:val="Bibliography"/>
        <w:rPr>
          <w:rFonts w:ascii="Calibri" w:cs="Calibri"/>
        </w:rPr>
      </w:pPr>
      <w:r w:rsidRPr="00FC3B3C">
        <w:rPr>
          <w:rFonts w:ascii="Calibri" w:cs="Calibri"/>
        </w:rPr>
        <w:t xml:space="preserve">54. Kazmi R, Amjad S, Khan D. Occupational stress and its effect on job performance. A case study of medical house officers of district Abbottabad. J Ayub Med Coll Abbottabad JAMC. 2008;20:135–9. </w:t>
      </w:r>
    </w:p>
    <w:p w14:paraId="55D77894" w14:textId="77777777" w:rsidR="00FC3B3C" w:rsidRPr="00FC3B3C" w:rsidRDefault="00FC3B3C" w:rsidP="00FC3B3C">
      <w:pPr>
        <w:pStyle w:val="Bibliography"/>
        <w:rPr>
          <w:rFonts w:ascii="Calibri" w:cs="Calibri"/>
        </w:rPr>
      </w:pPr>
      <w:r w:rsidRPr="00FC3B3C">
        <w:rPr>
          <w:rFonts w:ascii="Calibri" w:cs="Calibri"/>
        </w:rPr>
        <w:t xml:space="preserve">55. Hassan M, Hussain T, Ahmed S, Fraz T, Rehmat Z. Perceived stress and stressors among house officers. Indian J Occup Environ Med. 2014;18:145. </w:t>
      </w:r>
    </w:p>
    <w:p w14:paraId="46399F88" w14:textId="77777777" w:rsidR="00FC3B3C" w:rsidRPr="00FC3B3C" w:rsidRDefault="00FC3B3C" w:rsidP="00FC3B3C">
      <w:pPr>
        <w:pStyle w:val="Bibliography"/>
        <w:rPr>
          <w:rFonts w:ascii="Calibri" w:cs="Calibri"/>
        </w:rPr>
      </w:pPr>
      <w:r w:rsidRPr="00FC3B3C">
        <w:rPr>
          <w:rFonts w:ascii="Calibri" w:cs="Calibri"/>
        </w:rPr>
        <w:t xml:space="preserve">56. Cedfeldt AS, Bower EA, English C, Grady-Weliky TA, Girard DE, Choi D. Personal time off and residents’ career satisfaction, attitudes and emotions: Time off and well-being in residents. Med Educ. 2010;44:977–84. </w:t>
      </w:r>
    </w:p>
    <w:p w14:paraId="2BA9EF1C" w14:textId="77777777" w:rsidR="00FC3B3C" w:rsidRPr="00FC3B3C" w:rsidRDefault="00FC3B3C" w:rsidP="00FC3B3C">
      <w:pPr>
        <w:pStyle w:val="Bibliography"/>
        <w:rPr>
          <w:rFonts w:ascii="Calibri" w:cs="Calibri"/>
        </w:rPr>
      </w:pPr>
      <w:r w:rsidRPr="00FC3B3C">
        <w:rPr>
          <w:rFonts w:ascii="Calibri" w:cs="Calibri"/>
        </w:rPr>
        <w:t xml:space="preserve">57. Kleim B, Thörn HA, Ehlert U. Positive interpretation bias predicts well-being in medical interns. Front Psychol. 2014;5:640. </w:t>
      </w:r>
    </w:p>
    <w:p w14:paraId="3146E2AF" w14:textId="77777777" w:rsidR="00FC3B3C" w:rsidRPr="00FC3B3C" w:rsidRDefault="00FC3B3C" w:rsidP="00FC3B3C">
      <w:pPr>
        <w:pStyle w:val="Bibliography"/>
        <w:rPr>
          <w:rFonts w:ascii="Calibri" w:cs="Calibri"/>
        </w:rPr>
      </w:pPr>
      <w:r w:rsidRPr="00FC3B3C">
        <w:rPr>
          <w:rFonts w:ascii="Calibri" w:cs="Calibri"/>
        </w:rPr>
        <w:t xml:space="preserve">58. Abuhusain H, Chotirmall SH, Hamid N, O’Neill SJ. Prepared for internship? Ir Med J. 2009;102:82–4. </w:t>
      </w:r>
    </w:p>
    <w:p w14:paraId="0773216E" w14:textId="77777777" w:rsidR="00FC3B3C" w:rsidRPr="00FC3B3C" w:rsidRDefault="00FC3B3C" w:rsidP="00FC3B3C">
      <w:pPr>
        <w:pStyle w:val="Bibliography"/>
        <w:rPr>
          <w:rFonts w:ascii="Calibri" w:cs="Calibri"/>
        </w:rPr>
      </w:pPr>
      <w:r w:rsidRPr="00FC3B3C">
        <w:rPr>
          <w:rFonts w:ascii="Calibri" w:cs="Calibri"/>
        </w:rPr>
        <w:t xml:space="preserve">59. Kelly C, Noonan CLF, Monagle JP. Preparedness for internship: a survey of new interns in a large Victorian Health Service. Aust Health Rev. 2011;35:146. </w:t>
      </w:r>
    </w:p>
    <w:p w14:paraId="66D621DF" w14:textId="77777777" w:rsidR="00FC3B3C" w:rsidRPr="00FC3B3C" w:rsidRDefault="00FC3B3C" w:rsidP="00FC3B3C">
      <w:pPr>
        <w:pStyle w:val="Bibliography"/>
        <w:rPr>
          <w:rFonts w:ascii="Calibri" w:cs="Calibri"/>
        </w:rPr>
      </w:pPr>
      <w:r w:rsidRPr="00FC3B3C">
        <w:rPr>
          <w:rFonts w:ascii="Calibri" w:cs="Calibri"/>
        </w:rPr>
        <w:t xml:space="preserve">60. Goldacre MJ. Preregistration house officers’ views on whether their experience at medical school prepared them well for their jobs: national questionnaire survey. BMJ. 2003;326:1011–2. </w:t>
      </w:r>
    </w:p>
    <w:p w14:paraId="3FDE4898" w14:textId="77777777" w:rsidR="00FC3B3C" w:rsidRPr="00FC3B3C" w:rsidRDefault="00FC3B3C" w:rsidP="00FC3B3C">
      <w:pPr>
        <w:pStyle w:val="Bibliography"/>
        <w:rPr>
          <w:rFonts w:ascii="Calibri" w:cs="Calibri"/>
        </w:rPr>
      </w:pPr>
      <w:r w:rsidRPr="00FC3B3C">
        <w:rPr>
          <w:rFonts w:ascii="Calibri" w:cs="Calibri"/>
        </w:rPr>
        <w:t xml:space="preserve">61. Charalambous A, Pantelas G, Pouloukas S. Preregistration programme for medical practice: a survey of Cypriot trainees (2000 and 2002). East Mediterr Health J Rev Sante Mediterr Orient Al-Majallah Al-Sihhiyah Li-Sharq Al-Mutawassit. 2007;13:129–37. </w:t>
      </w:r>
    </w:p>
    <w:p w14:paraId="4D93CE3A" w14:textId="77777777" w:rsidR="00FC3B3C" w:rsidRPr="00FC3B3C" w:rsidRDefault="00FC3B3C" w:rsidP="00FC3B3C">
      <w:pPr>
        <w:pStyle w:val="Bibliography"/>
        <w:rPr>
          <w:rFonts w:ascii="Calibri" w:cs="Calibri"/>
        </w:rPr>
      </w:pPr>
      <w:r w:rsidRPr="00FC3B3C">
        <w:rPr>
          <w:rFonts w:ascii="Calibri" w:cs="Calibri"/>
        </w:rPr>
        <w:t xml:space="preserve">62. Lau MW, Li WE, Llewellyn A, Cyna AM. Prevalence and associations of psychological distress in Australian junior medical officers: Psychological distress in JMO. Intern Med J. 2017;47:1190–6. </w:t>
      </w:r>
    </w:p>
    <w:p w14:paraId="3A5B6D33" w14:textId="77777777" w:rsidR="00FC3B3C" w:rsidRPr="00FC3B3C" w:rsidRDefault="00FC3B3C" w:rsidP="00FC3B3C">
      <w:pPr>
        <w:pStyle w:val="Bibliography"/>
        <w:rPr>
          <w:rFonts w:ascii="Calibri" w:cs="Calibri"/>
        </w:rPr>
      </w:pPr>
      <w:r w:rsidRPr="00FC3B3C">
        <w:rPr>
          <w:rFonts w:ascii="Calibri" w:cs="Calibri"/>
        </w:rPr>
        <w:t xml:space="preserve">63. Lin Y-H, Lin S-H, Li P, Huang W-L, Chen C-Y. Prevalent hallucinations during medical internships: phantom vibration and ringing syndromes. PloS One. 2013;8:e65152. </w:t>
      </w:r>
    </w:p>
    <w:p w14:paraId="6079071B" w14:textId="77777777" w:rsidR="00FC3B3C" w:rsidRPr="00FC3B3C" w:rsidRDefault="00FC3B3C" w:rsidP="00FC3B3C">
      <w:pPr>
        <w:pStyle w:val="Bibliography"/>
        <w:rPr>
          <w:rFonts w:ascii="Calibri" w:cs="Calibri"/>
        </w:rPr>
      </w:pPr>
      <w:r w:rsidRPr="00FC3B3C">
        <w:rPr>
          <w:rFonts w:ascii="Calibri" w:cs="Calibri"/>
        </w:rPr>
        <w:t xml:space="preserve">64. Rodger M, Lavender T, Kapur N. Problem-based learning, work demands and psychological distress in pre-registration house officers: a preliminary study. Med Teach. 2002;24:334–6. </w:t>
      </w:r>
    </w:p>
    <w:p w14:paraId="1E127EE3" w14:textId="77777777" w:rsidR="00FC3B3C" w:rsidRPr="00FC3B3C" w:rsidRDefault="00FC3B3C" w:rsidP="00FC3B3C">
      <w:pPr>
        <w:pStyle w:val="Bibliography"/>
        <w:rPr>
          <w:rFonts w:ascii="Calibri" w:cs="Calibri"/>
        </w:rPr>
      </w:pPr>
      <w:r w:rsidRPr="00FC3B3C">
        <w:rPr>
          <w:rFonts w:ascii="Calibri" w:cs="Calibri"/>
        </w:rPr>
        <w:t xml:space="preserve">65. Al Sultan AI, Parashar SK, Wahass SH, Al Soweilem LS. Professional Stress During Medical Internship. Qatar Med J. 2002;2002:19. </w:t>
      </w:r>
    </w:p>
    <w:p w14:paraId="469A8968" w14:textId="77777777" w:rsidR="00FC3B3C" w:rsidRPr="00FC3B3C" w:rsidRDefault="00FC3B3C" w:rsidP="00FC3B3C">
      <w:pPr>
        <w:pStyle w:val="Bibliography"/>
        <w:rPr>
          <w:rFonts w:ascii="Calibri" w:cs="Calibri"/>
        </w:rPr>
      </w:pPr>
      <w:r w:rsidRPr="00FC3B3C">
        <w:rPr>
          <w:rFonts w:ascii="Calibri" w:cs="Calibri"/>
        </w:rPr>
        <w:t xml:space="preserve">66. Appelbaum NP, Santen SA, Aboff BM, Vega R, Munoz JL, Hemphill RR. Psychological Safety and Support: Assessing Resident Perceptions of the Clinical Learning Environment. J Grad Med Educ. 2018;10:651–6. </w:t>
      </w:r>
    </w:p>
    <w:p w14:paraId="31962470" w14:textId="77777777" w:rsidR="00FC3B3C" w:rsidRPr="00FC3B3C" w:rsidRDefault="00FC3B3C" w:rsidP="00FC3B3C">
      <w:pPr>
        <w:pStyle w:val="Bibliography"/>
        <w:rPr>
          <w:rFonts w:ascii="Calibri" w:cs="Calibri"/>
        </w:rPr>
      </w:pPr>
      <w:r w:rsidRPr="00FC3B3C">
        <w:rPr>
          <w:rFonts w:ascii="Calibri" w:cs="Calibri"/>
        </w:rPr>
        <w:t xml:space="preserve">67. Newbury-Birch D. Psychological stress, anxiety, depression, job satisfaction, and personality characteristics in preregistration house officers. Postgrad Med J. 2001;77:109–11. </w:t>
      </w:r>
    </w:p>
    <w:p w14:paraId="6800A55E" w14:textId="77777777" w:rsidR="00FC3B3C" w:rsidRPr="00FC3B3C" w:rsidRDefault="00FC3B3C" w:rsidP="00FC3B3C">
      <w:pPr>
        <w:pStyle w:val="Bibliography"/>
        <w:rPr>
          <w:rFonts w:ascii="Calibri" w:cs="Calibri"/>
        </w:rPr>
      </w:pPr>
      <w:r w:rsidRPr="00FC3B3C">
        <w:rPr>
          <w:rFonts w:ascii="Calibri" w:cs="Calibri"/>
        </w:rPr>
        <w:t xml:space="preserve">68. Choi D, Cedfeldt A, Flores C, Irish K, Brunett P, Girard D. Resident wellness: institutional trends over 10 years since 2003. Adv Med Educ Pract. 2017;Volume 8:513–23. </w:t>
      </w:r>
    </w:p>
    <w:p w14:paraId="7BD4E854" w14:textId="77777777" w:rsidR="00FC3B3C" w:rsidRPr="00FC3B3C" w:rsidRDefault="00FC3B3C" w:rsidP="00FC3B3C">
      <w:pPr>
        <w:pStyle w:val="Bibliography"/>
        <w:rPr>
          <w:rFonts w:ascii="Calibri" w:cs="Calibri"/>
        </w:rPr>
      </w:pPr>
      <w:r w:rsidRPr="00FC3B3C">
        <w:rPr>
          <w:rFonts w:ascii="Calibri" w:cs="Calibri"/>
        </w:rPr>
        <w:t xml:space="preserve">69. Reynolds PP, White C, Martindale JR. Residents’ perspective on professionalism in the learning environment. Curr Probl Pediatr Adolesc Health Care. 2019;49:84–91. </w:t>
      </w:r>
    </w:p>
    <w:p w14:paraId="31E1CEE9" w14:textId="77777777" w:rsidR="00FC3B3C" w:rsidRPr="00FC3B3C" w:rsidRDefault="00FC3B3C" w:rsidP="00FC3B3C">
      <w:pPr>
        <w:pStyle w:val="Bibliography"/>
        <w:rPr>
          <w:rFonts w:ascii="Calibri" w:cs="Calibri"/>
        </w:rPr>
      </w:pPr>
      <w:r w:rsidRPr="00FC3B3C">
        <w:rPr>
          <w:rFonts w:ascii="Calibri" w:cs="Calibri"/>
        </w:rPr>
        <w:t xml:space="preserve">70. Holt KD, Miller RS, Philibert I, Heard JK, Nasca TJ. Residents’ perspectives on the learning environment: data from the Accreditation Council for Graduate Medical Education resident survey. Acad Med J Assoc Am Med Coll. 2010;85:512–8. </w:t>
      </w:r>
    </w:p>
    <w:p w14:paraId="3ECB85CE" w14:textId="77777777" w:rsidR="00FC3B3C" w:rsidRPr="00FC3B3C" w:rsidRDefault="00FC3B3C" w:rsidP="00FC3B3C">
      <w:pPr>
        <w:pStyle w:val="Bibliography"/>
        <w:rPr>
          <w:rFonts w:ascii="Calibri" w:cs="Calibri"/>
        </w:rPr>
      </w:pPr>
      <w:r w:rsidRPr="00FC3B3C">
        <w:rPr>
          <w:rFonts w:ascii="Calibri" w:cs="Calibri"/>
        </w:rPr>
        <w:t xml:space="preserve">71. Baldwin DC, Daugherty SR, Ryan PM, Yaghmour NA, Philibert I. Residents’ Ratings of Their Clinical Supervision and Their Self-Reported Medical Errors: Analysis of Data From 2009. J Grad Med Educ. 2018;10:235–41. </w:t>
      </w:r>
    </w:p>
    <w:p w14:paraId="20D8FC6A" w14:textId="77777777" w:rsidR="00FC3B3C" w:rsidRPr="00FC3B3C" w:rsidRDefault="00FC3B3C" w:rsidP="00FC3B3C">
      <w:pPr>
        <w:pStyle w:val="Bibliography"/>
        <w:rPr>
          <w:rFonts w:ascii="Calibri" w:cs="Calibri"/>
        </w:rPr>
      </w:pPr>
      <w:r w:rsidRPr="00FC3B3C">
        <w:rPr>
          <w:rFonts w:ascii="Calibri" w:cs="Calibri"/>
        </w:rPr>
        <w:t xml:space="preserve">72. Baldwin DC, Daugherty SR. Sleep Deprivation and Fatigue in Residency Training: Results of a National Survey of First- and Second-Year Residents. Sleep. 2004;27:217–23. </w:t>
      </w:r>
    </w:p>
    <w:p w14:paraId="3F583A69" w14:textId="77777777" w:rsidR="00FC3B3C" w:rsidRPr="00FC3B3C" w:rsidRDefault="00FC3B3C" w:rsidP="00FC3B3C">
      <w:pPr>
        <w:pStyle w:val="Bibliography"/>
        <w:rPr>
          <w:rFonts w:ascii="Calibri" w:cs="Calibri"/>
        </w:rPr>
      </w:pPr>
      <w:r w:rsidRPr="00FC3B3C">
        <w:rPr>
          <w:rFonts w:ascii="Calibri" w:cs="Calibri"/>
        </w:rPr>
        <w:t xml:space="preserve">73. Min AA, Sbarra DA, Keim SM. Sleep disturbances predict prospective declines in resident physicians’ psychological well-being. Med Educ Online. 2015;20:28530. </w:t>
      </w:r>
    </w:p>
    <w:p w14:paraId="36C5A80F" w14:textId="77777777" w:rsidR="00FC3B3C" w:rsidRPr="00FC3B3C" w:rsidRDefault="00FC3B3C" w:rsidP="00FC3B3C">
      <w:pPr>
        <w:pStyle w:val="Bibliography"/>
        <w:rPr>
          <w:rFonts w:ascii="Calibri" w:cs="Calibri"/>
        </w:rPr>
      </w:pPr>
      <w:r w:rsidRPr="00FC3B3C">
        <w:rPr>
          <w:rFonts w:ascii="Calibri" w:cs="Calibri"/>
        </w:rPr>
        <w:t xml:space="preserve">74. Zebrowski JP, Pulliam SJ, Denninger JW, Berkowitz LR. So Tired: Predictive Utility of Baseline Sleep Screening in a Longitudinal Observational Survey Cohort of First-Year Residents. J Gen Intern Med. 2018;33:825–30. </w:t>
      </w:r>
    </w:p>
    <w:p w14:paraId="57CD2017" w14:textId="77777777" w:rsidR="00FC3B3C" w:rsidRPr="00FC3B3C" w:rsidRDefault="00FC3B3C" w:rsidP="00FC3B3C">
      <w:pPr>
        <w:pStyle w:val="Bibliography"/>
        <w:rPr>
          <w:rFonts w:ascii="Calibri" w:cs="Calibri"/>
        </w:rPr>
      </w:pPr>
      <w:r w:rsidRPr="00FC3B3C">
        <w:rPr>
          <w:rFonts w:ascii="Calibri" w:cs="Calibri"/>
        </w:rPr>
        <w:t xml:space="preserve">75. Yusoff MSB, Jie TY, Esa AR. Stress, stressors and coping strategies among house officers in a Malaysian hospital. ASEAN J Psychiatry. Malaysia: Mobition Sdn. Bhd.; 2011;12:85–94. </w:t>
      </w:r>
    </w:p>
    <w:p w14:paraId="7354E79F" w14:textId="77777777" w:rsidR="00FC3B3C" w:rsidRPr="00FC3B3C" w:rsidRDefault="00FC3B3C" w:rsidP="00FC3B3C">
      <w:pPr>
        <w:pStyle w:val="Bibliography"/>
        <w:rPr>
          <w:rFonts w:ascii="Calibri" w:cs="Calibri"/>
        </w:rPr>
      </w:pPr>
      <w:r w:rsidRPr="00FC3B3C">
        <w:rPr>
          <w:rFonts w:ascii="Calibri" w:cs="Calibri"/>
        </w:rPr>
        <w:t xml:space="preserve">76. Sangi-Haghpeykar H, Ambani DS, Carson SA. Stress, workload, sexual well-being and quality of life among physician residents in training. Int J Clin Pract. 2009;63:462–7. </w:t>
      </w:r>
    </w:p>
    <w:p w14:paraId="1B46B3BA" w14:textId="77777777" w:rsidR="00FC3B3C" w:rsidRPr="00FC3B3C" w:rsidRDefault="00FC3B3C" w:rsidP="00FC3B3C">
      <w:pPr>
        <w:pStyle w:val="Bibliography"/>
        <w:rPr>
          <w:rFonts w:ascii="Calibri" w:cs="Calibri"/>
        </w:rPr>
      </w:pPr>
      <w:r w:rsidRPr="00FC3B3C">
        <w:rPr>
          <w:rFonts w:ascii="Calibri" w:cs="Calibri"/>
        </w:rPr>
        <w:t xml:space="preserve">77. Kashner TM, Henley SS, Golden RM, Byrne JM, Keitz SA, Cannon GW, et al. Studying the effects of ACGME duty hours limits on resident satisfaction: results from VA learners’ perceptions survey. Acad Med J Assoc Am Med Coll. 2010;85:1130–9. </w:t>
      </w:r>
    </w:p>
    <w:p w14:paraId="0269AEE1" w14:textId="77777777" w:rsidR="00FC3B3C" w:rsidRPr="00FC3B3C" w:rsidRDefault="00FC3B3C" w:rsidP="00FC3B3C">
      <w:pPr>
        <w:pStyle w:val="Bibliography"/>
        <w:rPr>
          <w:rFonts w:ascii="Calibri" w:cs="Calibri"/>
        </w:rPr>
      </w:pPr>
      <w:r w:rsidRPr="00FC3B3C">
        <w:rPr>
          <w:rFonts w:ascii="Calibri" w:cs="Calibri"/>
        </w:rPr>
        <w:t xml:space="preserve">78. Touchie C, De Champlain A, Pugh D, Downing S, Bordage G. Supervising incoming first-year residents: faculty expectations versus residents’ experiences. Med Educ. 2014;48:921–9. </w:t>
      </w:r>
    </w:p>
    <w:p w14:paraId="2B66AC15" w14:textId="77777777" w:rsidR="00FC3B3C" w:rsidRPr="00FC3B3C" w:rsidRDefault="00FC3B3C" w:rsidP="00FC3B3C">
      <w:pPr>
        <w:pStyle w:val="Bibliography"/>
        <w:rPr>
          <w:rFonts w:ascii="Calibri" w:cs="Calibri"/>
        </w:rPr>
      </w:pPr>
      <w:r w:rsidRPr="00FC3B3C">
        <w:rPr>
          <w:rFonts w:ascii="Calibri" w:cs="Calibri"/>
        </w:rPr>
        <w:t xml:space="preserve">79. Jagsi R. The Accreditation Council for Graduate Medical Education’s Limits on Residents’ Work Hours and Patient SafetyA Study of Resident Experiences and Perceptions Before and After Hours Reductions. Arch Intern Med. 2008;168:493. </w:t>
      </w:r>
    </w:p>
    <w:p w14:paraId="1CE459E8" w14:textId="77777777" w:rsidR="00FC3B3C" w:rsidRPr="00FC3B3C" w:rsidRDefault="00FC3B3C" w:rsidP="00FC3B3C">
      <w:pPr>
        <w:pStyle w:val="Bibliography"/>
        <w:rPr>
          <w:rFonts w:ascii="Calibri" w:cs="Calibri"/>
        </w:rPr>
      </w:pPr>
      <w:r w:rsidRPr="00FC3B3C">
        <w:rPr>
          <w:rFonts w:ascii="Calibri" w:cs="Calibri"/>
        </w:rPr>
        <w:t xml:space="preserve">80. Marek AP, Nygaard RM, Liang ET, Roetker NS, DeLaquil M, Gregorich S, et al. The association between objectively-measured activity, sleep, call responsibilities, and burnout in a resident cohort. BMC Med Educ. 2019;19:158. </w:t>
      </w:r>
    </w:p>
    <w:p w14:paraId="7F59CD34" w14:textId="77777777" w:rsidR="00FC3B3C" w:rsidRPr="00FC3B3C" w:rsidRDefault="00FC3B3C" w:rsidP="00FC3B3C">
      <w:pPr>
        <w:pStyle w:val="Bibliography"/>
        <w:rPr>
          <w:rFonts w:ascii="Calibri" w:cs="Calibri"/>
        </w:rPr>
      </w:pPr>
      <w:r w:rsidRPr="00FC3B3C">
        <w:rPr>
          <w:rFonts w:ascii="Calibri" w:cs="Calibri"/>
        </w:rPr>
        <w:t xml:space="preserve">81. Goldacre MJ, Davidson JM, Lambert TW. The first house officer year: views of graduate and non-graduate entrants to medical school. Med Educ. 2008;42:286–93. </w:t>
      </w:r>
    </w:p>
    <w:p w14:paraId="33223F60" w14:textId="77777777" w:rsidR="00FC3B3C" w:rsidRPr="00FC3B3C" w:rsidRDefault="00FC3B3C" w:rsidP="00FC3B3C">
      <w:pPr>
        <w:pStyle w:val="Bibliography"/>
        <w:rPr>
          <w:rFonts w:ascii="Calibri" w:cs="Calibri"/>
        </w:rPr>
      </w:pPr>
      <w:r w:rsidRPr="00FC3B3C">
        <w:rPr>
          <w:rFonts w:ascii="Calibri" w:cs="Calibri"/>
        </w:rPr>
        <w:t xml:space="preserve">82. Choi D, Dickey J, Wessel K, Girard DE. The impact of the implementation of work hour requirements on residents’ career satisfaction, attitudes and emotions. BMC Med Educ. 2006;6:53. </w:t>
      </w:r>
    </w:p>
    <w:p w14:paraId="43E6068A" w14:textId="77777777" w:rsidR="00FC3B3C" w:rsidRPr="00FC3B3C" w:rsidRDefault="00FC3B3C" w:rsidP="00FC3B3C">
      <w:pPr>
        <w:pStyle w:val="Bibliography"/>
        <w:rPr>
          <w:rFonts w:ascii="Calibri" w:cs="Calibri"/>
        </w:rPr>
      </w:pPr>
      <w:r w:rsidRPr="00FC3B3C">
        <w:rPr>
          <w:rFonts w:ascii="Calibri" w:cs="Calibri"/>
        </w:rPr>
        <w:t xml:space="preserve">83. Degen C, Weigl M, Glaser J, Li J, Angerer P. The impact of training and working conditions on junior doctors’ intention to leave clinical practice. BMC Med Educ. 2014;14:119. </w:t>
      </w:r>
    </w:p>
    <w:p w14:paraId="6A95AC9B" w14:textId="77777777" w:rsidR="00FC3B3C" w:rsidRPr="00FC3B3C" w:rsidRDefault="00FC3B3C" w:rsidP="00FC3B3C">
      <w:pPr>
        <w:pStyle w:val="Bibliography"/>
        <w:rPr>
          <w:rFonts w:ascii="Calibri" w:cs="Calibri"/>
        </w:rPr>
      </w:pPr>
      <w:r w:rsidRPr="00FC3B3C">
        <w:rPr>
          <w:rFonts w:ascii="Calibri" w:cs="Calibri"/>
        </w:rPr>
        <w:t xml:space="preserve">84. Burford B, Whittle V, Vance GH. The relationship between medical student learning opportunities and preparedness for practice: a questionnaire study. BMC Med Educ. 2014;14:223. </w:t>
      </w:r>
    </w:p>
    <w:p w14:paraId="0B0B934C" w14:textId="77777777" w:rsidR="00FC3B3C" w:rsidRPr="00FC3B3C" w:rsidRDefault="00FC3B3C" w:rsidP="00FC3B3C">
      <w:pPr>
        <w:pStyle w:val="Bibliography"/>
        <w:rPr>
          <w:rFonts w:ascii="Calibri" w:cs="Calibri"/>
        </w:rPr>
      </w:pPr>
      <w:r w:rsidRPr="00FC3B3C">
        <w:rPr>
          <w:rFonts w:ascii="Calibri" w:cs="Calibri"/>
        </w:rPr>
        <w:t xml:space="preserve">85. Anastasiadis C, Tsounis A, Sarafis P. The relationship between stress, social capital and quality of education among medical residents. BMC Res Notes. 2018;11:274. </w:t>
      </w:r>
    </w:p>
    <w:p w14:paraId="561E8E0B" w14:textId="77777777" w:rsidR="00FC3B3C" w:rsidRPr="00FC3B3C" w:rsidRDefault="00FC3B3C" w:rsidP="00FC3B3C">
      <w:pPr>
        <w:pStyle w:val="Bibliography"/>
        <w:rPr>
          <w:rFonts w:ascii="Calibri" w:cs="Calibri"/>
        </w:rPr>
      </w:pPr>
      <w:r w:rsidRPr="00FC3B3C">
        <w:rPr>
          <w:rFonts w:ascii="Calibri" w:cs="Calibri"/>
        </w:rPr>
        <w:t xml:space="preserve">86. Tyssen R, Vaglum P, Grønvold NT, Ekeberg Ø. The relative importance of individual and organizational factors for the prevention of job stress during internship: a nationwide and prospective study. Med Teach. 2005;27:726–31. </w:t>
      </w:r>
    </w:p>
    <w:p w14:paraId="6D3C281D" w14:textId="77777777" w:rsidR="00FC3B3C" w:rsidRPr="00FC3B3C" w:rsidRDefault="00FC3B3C" w:rsidP="00FC3B3C">
      <w:pPr>
        <w:pStyle w:val="Bibliography"/>
        <w:rPr>
          <w:rFonts w:ascii="Calibri" w:cs="Calibri"/>
        </w:rPr>
      </w:pPr>
      <w:r w:rsidRPr="00FC3B3C">
        <w:rPr>
          <w:rFonts w:ascii="Calibri" w:cs="Calibri"/>
        </w:rPr>
        <w:t xml:space="preserve">87. Bola S, Trollip E, Parkinson F. The state of South African internships: A national survey against HPCSA guidelines. S Afr Med J. 2015;105:535. </w:t>
      </w:r>
    </w:p>
    <w:p w14:paraId="37DBE4DC" w14:textId="77777777" w:rsidR="00FC3B3C" w:rsidRPr="00FC3B3C" w:rsidRDefault="00FC3B3C" w:rsidP="00FC3B3C">
      <w:pPr>
        <w:pStyle w:val="Bibliography"/>
        <w:rPr>
          <w:rFonts w:ascii="Calibri" w:cs="Calibri"/>
        </w:rPr>
      </w:pPr>
      <w:r w:rsidRPr="00FC3B3C">
        <w:rPr>
          <w:rFonts w:ascii="Calibri" w:cs="Calibri"/>
        </w:rPr>
        <w:t xml:space="preserve">88. Doran T, Maudsley G, Zakhour H. Time to think? Questionnaire survey of pre-registration house officers’ experiences of critical appraisal in the Mersey Deanery. Med Educ. 2007;41:487–94. </w:t>
      </w:r>
    </w:p>
    <w:p w14:paraId="09E79D5F" w14:textId="77777777" w:rsidR="00FC3B3C" w:rsidRPr="00FC3B3C" w:rsidRDefault="00FC3B3C" w:rsidP="00FC3B3C">
      <w:pPr>
        <w:pStyle w:val="Bibliography"/>
        <w:rPr>
          <w:rFonts w:ascii="Calibri" w:cs="Calibri"/>
        </w:rPr>
      </w:pPr>
      <w:r w:rsidRPr="00FC3B3C">
        <w:rPr>
          <w:rFonts w:ascii="Calibri" w:cs="Calibri"/>
        </w:rPr>
        <w:t xml:space="preserve">89. Lambert TW, Surman G, Goldacre MJ. Views of UK-trained medical graduates of 1999–2009 about their first postgraduate year of training: national surveys. BMJ Open. 2013;3:e002723. </w:t>
      </w:r>
    </w:p>
    <w:p w14:paraId="158D0A00" w14:textId="77777777" w:rsidR="00FC3B3C" w:rsidRPr="00FC3B3C" w:rsidRDefault="00FC3B3C" w:rsidP="00FC3B3C">
      <w:pPr>
        <w:pStyle w:val="Bibliography"/>
        <w:rPr>
          <w:rFonts w:ascii="Calibri" w:cs="Calibri"/>
        </w:rPr>
      </w:pPr>
      <w:r w:rsidRPr="00FC3B3C">
        <w:rPr>
          <w:rFonts w:ascii="Calibri" w:cs="Calibri"/>
        </w:rPr>
        <w:t xml:space="preserve">90. Guille C, Frank E, Zhao Z, Kalmbach DA, Nietert PJ, Mata DA, et al. Work-Family Conflict and the Sex Difference in Depression Among Training Physicians. JAMA Intern Med. 2017;177:1766. </w:t>
      </w:r>
    </w:p>
    <w:p w14:paraId="5EC55639" w14:textId="77777777" w:rsidR="00FC3B3C" w:rsidRPr="00FC3B3C" w:rsidRDefault="00FC3B3C" w:rsidP="00FC3B3C">
      <w:pPr>
        <w:pStyle w:val="Bibliography"/>
        <w:rPr>
          <w:rFonts w:ascii="Calibri" w:cs="Calibri"/>
        </w:rPr>
      </w:pPr>
      <w:r w:rsidRPr="00FC3B3C">
        <w:rPr>
          <w:rFonts w:ascii="Calibri" w:cs="Calibri"/>
        </w:rPr>
        <w:t xml:space="preserve">91. Finucane P, O’Dowd T. Working and training as an intern: a national survey of Irish interns. Med Teach. 2005;27:107–13. </w:t>
      </w:r>
    </w:p>
    <w:p w14:paraId="5389B9B3" w14:textId="77777777" w:rsidR="00FC3B3C" w:rsidRPr="00FC3B3C" w:rsidRDefault="00FC3B3C" w:rsidP="00FC3B3C">
      <w:pPr>
        <w:pStyle w:val="Bibliography"/>
        <w:rPr>
          <w:rFonts w:ascii="Calibri" w:cs="Calibri"/>
        </w:rPr>
      </w:pPr>
      <w:r w:rsidRPr="00FC3B3C">
        <w:rPr>
          <w:rFonts w:ascii="Calibri" w:cs="Calibri"/>
        </w:rPr>
        <w:t xml:space="preserve">92. Swaid A, Elhilu A, Mahfouz M. Medical internship training in Saudi Arabia: interns’ views and perceptions. Adv Med Educ Pract. 2017;Volume 8:121–8. </w:t>
      </w:r>
    </w:p>
    <w:p w14:paraId="17CD35D8" w14:textId="3B1D97B8" w:rsidR="00FC3B3C" w:rsidRDefault="00FC3B3C">
      <w:r>
        <w:fldChar w:fldCharType="end"/>
      </w:r>
    </w:p>
    <w:sectPr w:rsidR="00FC3B3C" w:rsidSect="00DD6BF2">
      <w:pgSz w:w="27360" w:h="1872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BF2"/>
    <w:rsid w:val="000978D8"/>
    <w:rsid w:val="00701766"/>
    <w:rsid w:val="00787959"/>
    <w:rsid w:val="008C7116"/>
    <w:rsid w:val="008D7CF8"/>
    <w:rsid w:val="00990443"/>
    <w:rsid w:val="009A49A6"/>
    <w:rsid w:val="00B6184A"/>
    <w:rsid w:val="00B849AD"/>
    <w:rsid w:val="00D154D3"/>
    <w:rsid w:val="00DD6BF2"/>
    <w:rsid w:val="00E32DCB"/>
    <w:rsid w:val="00E46C9F"/>
    <w:rsid w:val="00EA67D9"/>
    <w:rsid w:val="00EE2239"/>
    <w:rsid w:val="00F56B35"/>
    <w:rsid w:val="00FC3B3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735B7724"/>
  <w15:chartTrackingRefBased/>
  <w15:docId w15:val="{7135095D-B70B-4C40-9ACC-30FF5B767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46C9F"/>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D6BF2"/>
    <w:rPr>
      <w:color w:val="0563C1"/>
      <w:u w:val="single"/>
    </w:rPr>
  </w:style>
  <w:style w:type="character" w:styleId="FollowedHyperlink">
    <w:name w:val="FollowedHyperlink"/>
    <w:basedOn w:val="DefaultParagraphFont"/>
    <w:uiPriority w:val="99"/>
    <w:semiHidden/>
    <w:unhideWhenUsed/>
    <w:rsid w:val="00DD6BF2"/>
    <w:rPr>
      <w:color w:val="954F72"/>
      <w:u w:val="single"/>
    </w:rPr>
  </w:style>
  <w:style w:type="paragraph" w:customStyle="1" w:styleId="msonormal0">
    <w:name w:val="msonormal"/>
    <w:basedOn w:val="Normal"/>
    <w:rsid w:val="00DD6BF2"/>
    <w:pPr>
      <w:spacing w:before="100" w:beforeAutospacing="1" w:after="100" w:afterAutospacing="1"/>
    </w:pPr>
    <w:rPr>
      <w:rFonts w:ascii="Times New Roman" w:eastAsia="Times New Roman" w:hAnsi="Times New Roman" w:cs="Times New Roman"/>
    </w:rPr>
  </w:style>
  <w:style w:type="paragraph" w:customStyle="1" w:styleId="xl63">
    <w:name w:val="xl63"/>
    <w:basedOn w:val="Normal"/>
    <w:rsid w:val="00DD6BF2"/>
    <w:pPr>
      <w:spacing w:before="100" w:beforeAutospacing="1" w:after="100" w:afterAutospacing="1"/>
    </w:pPr>
    <w:rPr>
      <w:rFonts w:ascii="Times New Roman" w:eastAsia="Times New Roman" w:hAnsi="Times New Roman" w:cs="Times New Roman"/>
      <w:sz w:val="22"/>
      <w:szCs w:val="22"/>
    </w:rPr>
  </w:style>
  <w:style w:type="paragraph" w:customStyle="1" w:styleId="xl64">
    <w:name w:val="xl64"/>
    <w:basedOn w:val="Normal"/>
    <w:rsid w:val="00DD6BF2"/>
    <w:pPr>
      <w:spacing w:before="100" w:beforeAutospacing="1" w:after="100" w:afterAutospacing="1"/>
    </w:pPr>
    <w:rPr>
      <w:rFonts w:ascii="Times New Roman" w:eastAsia="Times New Roman" w:hAnsi="Times New Roman" w:cs="Times New Roman"/>
    </w:rPr>
  </w:style>
  <w:style w:type="paragraph" w:customStyle="1" w:styleId="xl65">
    <w:name w:val="xl65"/>
    <w:basedOn w:val="Normal"/>
    <w:rsid w:val="00DD6BF2"/>
    <w:pPr>
      <w:spacing w:before="100" w:beforeAutospacing="1" w:after="100" w:afterAutospacing="1"/>
    </w:pPr>
    <w:rPr>
      <w:rFonts w:ascii="Arial" w:eastAsia="Times New Roman" w:hAnsi="Arial" w:cs="Arial"/>
    </w:rPr>
  </w:style>
  <w:style w:type="paragraph" w:customStyle="1" w:styleId="xl66">
    <w:name w:val="xl66"/>
    <w:basedOn w:val="Normal"/>
    <w:rsid w:val="00DD6BF2"/>
    <w:pPr>
      <w:spacing w:before="100" w:beforeAutospacing="1" w:after="100" w:afterAutospacing="1"/>
    </w:pPr>
    <w:rPr>
      <w:rFonts w:ascii="Arial" w:eastAsia="Times New Roman" w:hAnsi="Arial" w:cs="Arial"/>
    </w:rPr>
  </w:style>
  <w:style w:type="paragraph" w:customStyle="1" w:styleId="xl67">
    <w:name w:val="xl67"/>
    <w:basedOn w:val="Normal"/>
    <w:rsid w:val="00DD6BF2"/>
    <w:pPr>
      <w:spacing w:before="100" w:beforeAutospacing="1" w:after="100" w:afterAutospacing="1"/>
    </w:pPr>
    <w:rPr>
      <w:rFonts w:ascii="Arial" w:eastAsia="Times New Roman" w:hAnsi="Arial" w:cs="Arial"/>
    </w:rPr>
  </w:style>
  <w:style w:type="paragraph" w:customStyle="1" w:styleId="xl68">
    <w:name w:val="xl68"/>
    <w:basedOn w:val="Normal"/>
    <w:rsid w:val="00DD6BF2"/>
    <w:pPr>
      <w:spacing w:before="100" w:beforeAutospacing="1" w:after="100" w:afterAutospacing="1"/>
    </w:pPr>
    <w:rPr>
      <w:rFonts w:ascii="Arial" w:eastAsia="Times New Roman" w:hAnsi="Arial" w:cs="Arial"/>
    </w:rPr>
  </w:style>
  <w:style w:type="paragraph" w:customStyle="1" w:styleId="xl69">
    <w:name w:val="xl69"/>
    <w:basedOn w:val="Normal"/>
    <w:rsid w:val="00DD6BF2"/>
    <w:pPr>
      <w:spacing w:before="100" w:beforeAutospacing="1" w:after="100" w:afterAutospacing="1"/>
    </w:pPr>
    <w:rPr>
      <w:rFonts w:ascii="Arial" w:eastAsia="Times New Roman" w:hAnsi="Arial" w:cs="Arial"/>
    </w:rPr>
  </w:style>
  <w:style w:type="paragraph" w:customStyle="1" w:styleId="xl70">
    <w:name w:val="xl70"/>
    <w:basedOn w:val="Normal"/>
    <w:rsid w:val="00DD6BF2"/>
    <w:pPr>
      <w:spacing w:before="100" w:beforeAutospacing="1" w:after="100" w:afterAutospacing="1"/>
    </w:pPr>
    <w:rPr>
      <w:rFonts w:ascii="Arial" w:eastAsia="Times New Roman" w:hAnsi="Arial" w:cs="Arial"/>
    </w:rPr>
  </w:style>
  <w:style w:type="paragraph" w:customStyle="1" w:styleId="xl71">
    <w:name w:val="xl71"/>
    <w:basedOn w:val="Normal"/>
    <w:rsid w:val="00DD6BF2"/>
    <w:pPr>
      <w:spacing w:before="100" w:beforeAutospacing="1" w:after="100" w:afterAutospacing="1"/>
    </w:pPr>
    <w:rPr>
      <w:rFonts w:ascii="Arial" w:eastAsia="Times New Roman" w:hAnsi="Arial" w:cs="Arial"/>
    </w:rPr>
  </w:style>
  <w:style w:type="paragraph" w:customStyle="1" w:styleId="xl72">
    <w:name w:val="xl72"/>
    <w:basedOn w:val="Normal"/>
    <w:rsid w:val="00DD6BF2"/>
    <w:pPr>
      <w:spacing w:before="100" w:beforeAutospacing="1" w:after="100" w:afterAutospacing="1"/>
    </w:pPr>
    <w:rPr>
      <w:rFonts w:ascii="Arial" w:eastAsia="Times New Roman" w:hAnsi="Arial" w:cs="Arial"/>
    </w:rPr>
  </w:style>
  <w:style w:type="paragraph" w:customStyle="1" w:styleId="xl73">
    <w:name w:val="xl73"/>
    <w:basedOn w:val="Normal"/>
    <w:rsid w:val="00DD6BF2"/>
    <w:pPr>
      <w:spacing w:before="100" w:beforeAutospacing="1" w:after="100" w:afterAutospacing="1"/>
    </w:pPr>
    <w:rPr>
      <w:rFonts w:ascii="Arial" w:eastAsia="Times New Roman" w:hAnsi="Arial" w:cs="Arial"/>
    </w:rPr>
  </w:style>
  <w:style w:type="paragraph" w:customStyle="1" w:styleId="xl74">
    <w:name w:val="xl74"/>
    <w:basedOn w:val="Normal"/>
    <w:rsid w:val="00DD6BF2"/>
    <w:pPr>
      <w:spacing w:before="100" w:beforeAutospacing="1" w:after="100" w:afterAutospacing="1"/>
    </w:pPr>
    <w:rPr>
      <w:rFonts w:ascii="Arial" w:eastAsia="Times New Roman" w:hAnsi="Arial" w:cs="Arial"/>
    </w:rPr>
  </w:style>
  <w:style w:type="paragraph" w:customStyle="1" w:styleId="xl75">
    <w:name w:val="xl75"/>
    <w:basedOn w:val="Normal"/>
    <w:rsid w:val="00DD6BF2"/>
    <w:pPr>
      <w:spacing w:before="100" w:beforeAutospacing="1" w:after="100" w:afterAutospacing="1"/>
    </w:pPr>
    <w:rPr>
      <w:rFonts w:ascii="Arial" w:eastAsia="Times New Roman" w:hAnsi="Arial" w:cs="Arial"/>
    </w:rPr>
  </w:style>
  <w:style w:type="paragraph" w:customStyle="1" w:styleId="xl76">
    <w:name w:val="xl76"/>
    <w:basedOn w:val="Normal"/>
    <w:rsid w:val="00DD6BF2"/>
    <w:pPr>
      <w:spacing w:before="100" w:beforeAutospacing="1" w:after="100" w:afterAutospacing="1"/>
      <w:jc w:val="right"/>
    </w:pPr>
    <w:rPr>
      <w:rFonts w:ascii="Arial" w:eastAsia="Times New Roman" w:hAnsi="Arial" w:cs="Arial"/>
    </w:rPr>
  </w:style>
  <w:style w:type="paragraph" w:customStyle="1" w:styleId="xl77">
    <w:name w:val="xl77"/>
    <w:basedOn w:val="Normal"/>
    <w:rsid w:val="00DD6BF2"/>
    <w:pPr>
      <w:spacing w:before="100" w:beforeAutospacing="1" w:after="100" w:afterAutospacing="1"/>
    </w:pPr>
    <w:rPr>
      <w:rFonts w:ascii="Times New Roman" w:eastAsia="Times New Roman" w:hAnsi="Times New Roman" w:cs="Times New Roman"/>
      <w:sz w:val="22"/>
      <w:szCs w:val="22"/>
    </w:rPr>
  </w:style>
  <w:style w:type="paragraph" w:customStyle="1" w:styleId="xl78">
    <w:name w:val="xl78"/>
    <w:basedOn w:val="Normal"/>
    <w:rsid w:val="00DD6BF2"/>
    <w:pPr>
      <w:spacing w:before="100" w:beforeAutospacing="1" w:after="100" w:afterAutospacing="1"/>
    </w:pPr>
    <w:rPr>
      <w:rFonts w:ascii="Times New Roman" w:eastAsia="Times New Roman" w:hAnsi="Times New Roman" w:cs="Times New Roman"/>
      <w:color w:val="000000"/>
      <w:sz w:val="20"/>
      <w:szCs w:val="20"/>
    </w:rPr>
  </w:style>
  <w:style w:type="table" w:styleId="TableGrid">
    <w:name w:val="Table Grid"/>
    <w:basedOn w:val="TableNormal"/>
    <w:uiPriority w:val="39"/>
    <w:rsid w:val="00DD6B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8795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E46C9F"/>
    <w:rPr>
      <w:rFonts w:asciiTheme="majorHAnsi" w:eastAsiaTheme="majorEastAsia" w:hAnsiTheme="majorHAnsi" w:cstheme="majorBidi"/>
      <w:color w:val="2F5496" w:themeColor="accent1" w:themeShade="BF"/>
      <w:sz w:val="32"/>
      <w:szCs w:val="32"/>
    </w:rPr>
  </w:style>
  <w:style w:type="character" w:customStyle="1" w:styleId="BalloonTextChar">
    <w:name w:val="Balloon Text Char"/>
    <w:basedOn w:val="DefaultParagraphFont"/>
    <w:link w:val="BalloonText"/>
    <w:uiPriority w:val="99"/>
    <w:semiHidden/>
    <w:rsid w:val="00E46C9F"/>
    <w:rPr>
      <w:rFonts w:ascii="Times New Roman" w:eastAsia="Times New Roman" w:hAnsi="Times New Roman" w:cs="Times New Roman"/>
      <w:sz w:val="18"/>
      <w:szCs w:val="18"/>
    </w:rPr>
  </w:style>
  <w:style w:type="paragraph" w:styleId="BalloonText">
    <w:name w:val="Balloon Text"/>
    <w:basedOn w:val="Normal"/>
    <w:link w:val="BalloonTextChar"/>
    <w:uiPriority w:val="99"/>
    <w:semiHidden/>
    <w:unhideWhenUsed/>
    <w:rsid w:val="00E46C9F"/>
    <w:rPr>
      <w:rFonts w:ascii="Times New Roman" w:eastAsia="Times New Roman" w:hAnsi="Times New Roman" w:cs="Times New Roman"/>
      <w:sz w:val="18"/>
      <w:szCs w:val="18"/>
    </w:rPr>
  </w:style>
  <w:style w:type="character" w:customStyle="1" w:styleId="BalloonTextChar1">
    <w:name w:val="Balloon Text Char1"/>
    <w:basedOn w:val="DefaultParagraphFont"/>
    <w:uiPriority w:val="99"/>
    <w:semiHidden/>
    <w:rsid w:val="00E46C9F"/>
    <w:rPr>
      <w:rFonts w:ascii="Times New Roman" w:hAnsi="Times New Roman" w:cs="Times New Roman"/>
      <w:sz w:val="18"/>
      <w:szCs w:val="18"/>
    </w:rPr>
  </w:style>
  <w:style w:type="paragraph" w:styleId="Bibliography">
    <w:name w:val="Bibliography"/>
    <w:basedOn w:val="Normal"/>
    <w:next w:val="Normal"/>
    <w:uiPriority w:val="37"/>
    <w:unhideWhenUsed/>
    <w:rsid w:val="00E46C9F"/>
    <w:pPr>
      <w:tabs>
        <w:tab w:val="left" w:pos="500"/>
      </w:tabs>
      <w:spacing w:after="240"/>
    </w:pPr>
  </w:style>
  <w:style w:type="table" w:styleId="ListTable3-Accent3">
    <w:name w:val="List Table 3 Accent 3"/>
    <w:basedOn w:val="TableNormal"/>
    <w:uiPriority w:val="48"/>
    <w:rsid w:val="00E46C9F"/>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4090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37816</Words>
  <Characters>215934</Characters>
  <Application>Microsoft Office Word</Application>
  <DocSecurity>0</DocSecurity>
  <Lines>3855</Lines>
  <Paragraphs>884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Yingxi Zhao</dc:creator>
  <cp:keywords/>
  <dc:description/>
  <cp:lastModifiedBy>Yingxi Zhao</cp:lastModifiedBy>
  <cp:revision>10</cp:revision>
  <dcterms:created xsi:type="dcterms:W3CDTF">2020-09-08T00:31:00Z</dcterms:created>
  <dcterms:modified xsi:type="dcterms:W3CDTF">2020-12-15T20:32:00Z</dcterms:modified>
</cp:coreProperties>
</file>