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D93807" w14:textId="55B82042" w:rsidR="004E1654" w:rsidRPr="00CF7581" w:rsidRDefault="00DA10F9">
      <w:pPr>
        <w:rPr>
          <w:rFonts w:ascii="Calibri" w:hAnsi="Calibri" w:cs="Calibri"/>
          <w:b/>
          <w:bCs/>
        </w:rPr>
      </w:pPr>
      <w:r>
        <w:rPr>
          <w:rFonts w:ascii="Calibri" w:hAnsi="Calibri" w:cs="Calibri"/>
          <w:b/>
          <w:bCs/>
        </w:rPr>
        <w:t>Additional file</w:t>
      </w:r>
      <w:r w:rsidR="00CF7581" w:rsidRPr="00CF7581">
        <w:rPr>
          <w:rFonts w:ascii="Calibri" w:hAnsi="Calibri" w:cs="Calibri"/>
          <w:b/>
          <w:bCs/>
        </w:rPr>
        <w:t xml:space="preserve"> </w:t>
      </w:r>
      <w:r w:rsidR="00E51630">
        <w:rPr>
          <w:rFonts w:ascii="Calibri" w:hAnsi="Calibri" w:cs="Calibri"/>
          <w:b/>
          <w:bCs/>
        </w:rPr>
        <w:t>4</w:t>
      </w:r>
      <w:r w:rsidR="00CF7581" w:rsidRPr="00CF7581">
        <w:rPr>
          <w:rFonts w:ascii="Calibri" w:hAnsi="Calibri" w:cs="Calibri"/>
          <w:b/>
          <w:bCs/>
        </w:rPr>
        <w:t>. Detailed information of tool and questionnaire used in 9</w:t>
      </w:r>
      <w:r w:rsidR="00EA4F75">
        <w:rPr>
          <w:rFonts w:ascii="Calibri" w:hAnsi="Calibri" w:cs="Calibri"/>
          <w:b/>
          <w:bCs/>
        </w:rPr>
        <w:t>2</w:t>
      </w:r>
      <w:r w:rsidR="00CF7581" w:rsidRPr="00CF7581">
        <w:rPr>
          <w:rFonts w:ascii="Calibri" w:hAnsi="Calibri" w:cs="Calibri"/>
          <w:b/>
          <w:bCs/>
        </w:rPr>
        <w:t xml:space="preserve"> included studies</w:t>
      </w:r>
    </w:p>
    <w:p w14:paraId="1BDAD099" w14:textId="77777777" w:rsidR="00CF7581" w:rsidRDefault="00CF7581">
      <w:pPr>
        <w:rPr>
          <w:rFonts w:ascii="Calibri" w:hAnsi="Calibri" w:cs="Calibri"/>
        </w:rPr>
      </w:pPr>
    </w:p>
    <w:p w14:paraId="09B2BBC6" w14:textId="77777777" w:rsidR="006938E9" w:rsidRPr="00D10E16" w:rsidRDefault="006938E9" w:rsidP="006938E9">
      <w:pPr>
        <w:rPr>
          <w:rFonts w:ascii="Calibri" w:hAnsi="Calibri" w:cs="Calibri"/>
          <w:b/>
          <w:bCs/>
          <w:sz w:val="20"/>
          <w:szCs w:val="20"/>
        </w:rPr>
      </w:pPr>
      <w:r w:rsidRPr="00CF7581">
        <w:rPr>
          <w:rFonts w:ascii="Calibri" w:hAnsi="Calibri" w:cs="Calibri"/>
          <w:b/>
          <w:bCs/>
          <w:sz w:val="20"/>
          <w:szCs w:val="20"/>
        </w:rPr>
        <w:t>Theme 1: Well-being</w:t>
      </w:r>
    </w:p>
    <w:tbl>
      <w:tblPr>
        <w:tblStyle w:val="ListTable3-Accent3"/>
        <w:tblW w:w="0" w:type="auto"/>
        <w:tblLook w:val="04A0" w:firstRow="1" w:lastRow="0" w:firstColumn="1" w:lastColumn="0" w:noHBand="0" w:noVBand="1"/>
      </w:tblPr>
      <w:tblGrid>
        <w:gridCol w:w="2691"/>
        <w:gridCol w:w="701"/>
        <w:gridCol w:w="1702"/>
        <w:gridCol w:w="1564"/>
        <w:gridCol w:w="4365"/>
        <w:gridCol w:w="4365"/>
      </w:tblGrid>
      <w:tr w:rsidR="006938E9" w:rsidRPr="00FD5E3D" w14:paraId="487E9B7F" w14:textId="77777777" w:rsidTr="008C78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91" w:type="dxa"/>
          </w:tcPr>
          <w:p w14:paraId="28DA6350" w14:textId="77777777" w:rsidR="006938E9" w:rsidRPr="00FD5E3D" w:rsidRDefault="006938E9" w:rsidP="008C7800">
            <w:pPr>
              <w:rPr>
                <w:rFonts w:ascii="Calibri" w:hAnsi="Calibri" w:cs="Calibri"/>
                <w:color w:val="000000" w:themeColor="text1"/>
                <w:sz w:val="20"/>
                <w:szCs w:val="20"/>
              </w:rPr>
            </w:pPr>
            <w:r w:rsidRPr="00FD5E3D">
              <w:rPr>
                <w:rFonts w:ascii="Calibri" w:hAnsi="Calibri" w:cs="Calibri"/>
                <w:color w:val="000000" w:themeColor="text1"/>
                <w:sz w:val="20"/>
                <w:szCs w:val="20"/>
              </w:rPr>
              <w:t>Tool name</w:t>
            </w:r>
          </w:p>
        </w:tc>
        <w:tc>
          <w:tcPr>
            <w:tcW w:w="701" w:type="dxa"/>
          </w:tcPr>
          <w:p w14:paraId="5D20B95F" w14:textId="77777777" w:rsidR="006938E9" w:rsidRPr="00FD5E3D"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Time used</w:t>
            </w:r>
          </w:p>
        </w:tc>
        <w:tc>
          <w:tcPr>
            <w:tcW w:w="1702" w:type="dxa"/>
          </w:tcPr>
          <w:p w14:paraId="4B744C06" w14:textId="77777777" w:rsidR="006938E9" w:rsidRPr="00FD5E3D"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Reference</w:t>
            </w:r>
          </w:p>
        </w:tc>
        <w:tc>
          <w:tcPr>
            <w:tcW w:w="1564" w:type="dxa"/>
          </w:tcPr>
          <w:p w14:paraId="47956C34" w14:textId="77777777" w:rsidR="006938E9" w:rsidRPr="00FD5E3D"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Sub-themes</w:t>
            </w:r>
          </w:p>
        </w:tc>
        <w:tc>
          <w:tcPr>
            <w:tcW w:w="4365" w:type="dxa"/>
          </w:tcPr>
          <w:p w14:paraId="4A64E18E" w14:textId="77777777" w:rsidR="006938E9" w:rsidRPr="00FD5E3D"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Pr>
                <w:rFonts w:ascii="Calibri" w:hAnsi="Calibri" w:cs="Calibri"/>
                <w:color w:val="000000" w:themeColor="text1"/>
                <w:sz w:val="20"/>
                <w:szCs w:val="20"/>
              </w:rPr>
              <w:t>Internal v</w:t>
            </w:r>
            <w:r w:rsidRPr="00FD5E3D">
              <w:rPr>
                <w:rFonts w:ascii="Calibri" w:hAnsi="Calibri" w:cs="Calibri"/>
                <w:color w:val="000000" w:themeColor="text1"/>
                <w:sz w:val="20"/>
                <w:szCs w:val="20"/>
              </w:rPr>
              <w:t>alidity evidence</w:t>
            </w:r>
          </w:p>
        </w:tc>
        <w:tc>
          <w:tcPr>
            <w:tcW w:w="4365" w:type="dxa"/>
          </w:tcPr>
          <w:p w14:paraId="1B2DD62F" w14:textId="77777777" w:rsidR="006938E9" w:rsidRPr="00FD5E3D"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Reliability evidence</w:t>
            </w:r>
          </w:p>
        </w:tc>
      </w:tr>
      <w:tr w:rsidR="006938E9" w:rsidRPr="00AB4BAE" w14:paraId="488CC11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3C20297C" w14:textId="77777777" w:rsidR="006938E9" w:rsidRPr="00AB4BAE" w:rsidRDefault="006938E9" w:rsidP="008C7800">
            <w:pPr>
              <w:rPr>
                <w:rFonts w:ascii="Calibri" w:hAnsi="Calibri" w:cs="Calibri"/>
                <w:sz w:val="20"/>
                <w:szCs w:val="20"/>
              </w:rPr>
            </w:pPr>
            <w:r w:rsidRPr="00E16ACB">
              <w:rPr>
                <w:rFonts w:ascii="Calibri" w:hAnsi="Calibri" w:cs="Calibri"/>
                <w:color w:val="000000"/>
                <w:sz w:val="20"/>
                <w:szCs w:val="20"/>
              </w:rPr>
              <w:t xml:space="preserve">Maslach Burnout Inventory </w:t>
            </w:r>
            <w:r>
              <w:rPr>
                <w:rFonts w:ascii="Calibri" w:hAnsi="Calibri" w:cs="Calibri"/>
                <w:color w:val="000000"/>
                <w:sz w:val="20"/>
                <w:szCs w:val="20"/>
              </w:rPr>
              <w:t>(</w:t>
            </w:r>
            <w:r w:rsidRPr="00AB4BAE">
              <w:rPr>
                <w:rFonts w:ascii="Calibri" w:hAnsi="Calibri" w:cs="Calibri"/>
                <w:color w:val="000000"/>
                <w:sz w:val="20"/>
                <w:szCs w:val="20"/>
              </w:rPr>
              <w:t>MBI</w:t>
            </w:r>
            <w:r>
              <w:rPr>
                <w:rFonts w:ascii="Calibri" w:hAnsi="Calibri" w:cs="Calibri"/>
                <w:color w:val="000000"/>
                <w:sz w:val="20"/>
                <w:szCs w:val="20"/>
              </w:rPr>
              <w:t>)</w:t>
            </w:r>
          </w:p>
        </w:tc>
        <w:tc>
          <w:tcPr>
            <w:tcW w:w="701" w:type="dxa"/>
          </w:tcPr>
          <w:p w14:paraId="38E4456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6</w:t>
            </w:r>
          </w:p>
        </w:tc>
        <w:tc>
          <w:tcPr>
            <w:tcW w:w="1702" w:type="dxa"/>
          </w:tcPr>
          <w:p w14:paraId="2848361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tWz2DlvX","properties":{"formattedCitation":"(2,10,17\\uc0\\u8211{}19,45)","plainCitation":"(2,10,17–19,45)","noteIndex":0},"citationItems":[{"id":3196,"uris":["http://zotero.org/users/4975241/items/EQ5LM3BM"],"uri":["http://zotero.org/users/4975241/items/EQ5LM3BM"],"itemData":{"id":3196,"type":"article-journal","abstract":"Background\n              More than half of French medical GP trainees (GPTs) suffer from burnout.\n            \n            \n              Aim\n              To define and follow the evolution of risk factors, such as empathy and coping strategies, associated with burnout in this population.\n            \n            \n              Design &amp; setting\n              Prospective longitudinal study involving volunteers of 577 Parisian university GPTs in 2012.\n            \n            \n              Method\n              Self-reported anonymous online questionnaires were sent three times every 6 months to all participants. Stress was measured using the Intern-Life scale and burnout using the Maslach Inventory, and anxiety and depression measured using the Hospital Anxiety and Depression Scale (HADS). Sociodemographic, professional, and personal data, including coping strategies and measures of empathy were also collected.\n            \n            \n              Results\n              \n                In total 343 questionnaires were fully completed at baseline (T0): 304 were usable at baseline, 169 were usable at 6 months (T1) and 174 at 1 year (T2). Stress rates decreased sharply between T1 (scores 42.96) and T2 (17.08), while scores for burnout remained relatively stable: more than 13% of GPTs had high scores in all three dimensions of burnout. Depersonalisation increased from 61% (T1) to 66% (T2). One hundred and four paired samples were analysed between T0 and T1, and between T1 and T2. Emotion-centred coping was associated with emotional exhaustion (\n                P\n                &lt;0.05), while professional support reduced it. Experiences of aggression increased depersonalisation (\n                P\n                &lt;0.05). Social support, problem-centred coping, perspective-taking empathy, and professional support improved the sense of personal accomplishment (\n                P\n                &lt;0.05).\n              \n            \n            \n              Conclusion\n              Tools to help GPTs are available but are underused. More training in doctor–patient relationships and understanding of medical hidden curricula are necessary to decrease burnout among GPTs and improve their wellbeing and patient care.","container-title":"BJGP Open","DOI":"10.3399/bjgpopen17X100773","ISSN":"2398-3795","issue":"2","journalAbbreviation":"BJGP Open","language":"en","page":"bjgpopen17X100773","source":"DOI.org (Crossref)","title":"‘Intern life’: a longitudinal study of burnout, empathy, and coping strategies used by French GPs in training","title-short":"‘Intern life’","volume":"1","author":[{"family":"Galam","given":"Eric"},{"family":"Vauloup Soupault","given":"Camille"},{"family":"Bunge","given":"Lucie"},{"family":"Buffel du Vaure","given":"Céline"},{"family":"Boujut","given":"Emilie"},{"family":"Jaury","given":"Philippe"}],"issued":{"date-parts":[["2017",7,10]]}}},{"id":3204,"uris":["http://zotero.org/users/4975241/items/URBKBLJG"],"uri":["http://zotero.org/users/4975241/items/URBKBLJG"],"itemData":{"id":3204,"type":"article-journal","abstract":"The ﬁrst year practising medicine, pre-registration, is considered to be a stressful time for junior doctors. The aims of this study were to explore how levels of psychological distress were affected by changes in the working environment and to examine these effects across subjective (i.e. self-report) and objective (i.e. stress hormone cortisol) indices of psychological distress. A cohort of 36 pre-registration house ofﬁcers (males ¼ 15) completed a battery of psychosocial measures and collected salivary samples for the measurement of diurnal cortisol at the beginning and end of a 3– 4-month clinical rotation with the assumption that the end of a rotation would be less stressful than the beginning. Results from the self-report measures remained constant over the twotime points suggesting no perceived change in emotional well-being on a subjective level. However, there is some evidence of neuro-endocrine changes across the two time points suggestive of hypothalamic – pituitary – adrenal axis dysregulation. In particular, there was a signiﬁcant difference between the cortisol awakening rise with the greatest rise seen at the beginning of a rotation. In addition, the daily cortisol decline (diurnal slope) was also signiﬁcantly less at this test time. These ﬁndings have implications for the discord apparent between self-report and physiological measures of psychological stress.","container-title":"Stress","DOI":"10.3109/10253890903093778","ISSN":"1025-3890, 1607-8888","issue":"2","journalAbbreviation":"Stress","language":"en","page":"155-162","source":"DOI.org (Crossref)","title":"An exploration into physiological and self-report measures of stress in pre-registration doctors at the beginning and end of a clinical rotation","volume":"13","author":[{"family":"Brant","given":"Heather"},{"family":"Wetherell","given":"Mark A."},{"family":"Lightman","given":"Stafford"},{"family":"Crown","given":"Anna"},{"family":"Vedhara","given":"Kavita"}],"issued":{"date-parts":[["2010",3]]}}},{"id":3211,"uris":["http://zotero.org/users/4975241/items/LP92RK8J"],"uri":["http://zotero.org/users/4975241/items/LP92RK8J"],"itemData":{"id":3211,"type":"article-journal","abstract":"Background: Burnout can result in a serious negative impact on a doctor's life, the quality of patient care, and the healthcare organization. This study aims to determine the prevalence of burnout and factors aﬀecting burnout among the house oﬃcers in Myanmar. Materials and methods: An exploratory cross-sectional quantitative survey study was conducted using a selfadministered, web-based survey. House oﬃcers working in any of the government hospitals in Myanmar were invited to participate in the study. The survey link was distributed online via Facebook. To measure burnout, we utilised a non-proprietary single-item measure, validated to serve as a reliable substitute for the Maslach Burnout Inventory Emotional Exhaustion (MBI:EE). To measure global life satisfaction, the validated Satisfaction with Life Scale (SWLS) was used. The questions for the scales regarding the psychosocial environment were extracted from the long version of the validated Copenhagen Psychosocial Questionnaire (COPSOQ II). The scales selected were “possibilities for the development”, “meaning of work”, “commitment to workplace”, “recognition”, “social support from colleagues” and “social support from supervisors”. Multiple logistic regression method was applied to determine the factors associated with burnout.\nResults: Regarding the prevalence of burnout, out of 159 participants, 42.8% (n = 68) of the participants had no symptoms of burnout. 57.2% (n = 91) had one or more symptoms of burnout. Multivariate analysis showed that the only signiﬁcant factor associated with burnout was “recognition” (OR 0.96, 95% CI: 0.94–0.97, P &lt; 0.001).\nConclusion: From this study, we have determined the relatively high burnout prevalence and that recognition is the only preventive factor; increase in recognition will decrease the odds of burnout. Hence, urgent interventions are recommended to prevent undesirable eﬀects on both health professionals and patients. Recognition for work done should always be in the heart of the health authorities and medical community in Myanmar.","container-title":"Annals of Medicine and Surgery","DOI":"10.1016/j.amsu.2018.07.008","ISSN":"20490801","journalAbbreviation":"Annals of Medicine and Surgery","language":"en","page":"7-12","source":"DOI.org (Crossref)","title":"Burnout among house officers in Myanmar: A cross-sectional study","title-short":"Burnout among house officers in Myanmar","volume":"33","author":[{"family":"Lin","given":"Kyaw San"},{"family":"Zaw","given":"Thant"},{"family":"Oo","given":"Win Min"},{"family":"Soe","given":"Pa Pa"}],"issued":{"date-parts":[["2018",9]]}}},{"id":3212,"uris":["http://zotero.org/users/4975241/items/Q32TFBCG"],"uri":["http://zotero.org/users/4975241/items/Q32TFBCG"],"itemData":{"id":3212,"type":"article-journal","abstract":"Background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id":3213,"uris":["http://zotero.org/users/4975241/items/9G2CQTE4"],"uri":["http://zotero.org/users/4975241/items/9G2CQTE4"],"itemData":{"id":3213,"type":"article-journal","abstract":"BACKGROUND: We intend to estimate the Burnout Syndrome prevalence and its associated factors among medical internship students at a public university in northeastern Brasil, besides investigating the Balint Group (BG) contribution in its prevention.\nMETHODS: We conducted a cross-sectional study in February/2018 with Medical Internship Students at the University researched. We applied a structured questionnaire developed by the authors about socio-demographic data, educational process with BG participation, and current psycho-emotional experiences, in addition to the Maslach Burnout Inventory – Student Survey (MBI-SS), for Burnout Syndrome screening. We performed descriptive data analysis, logistic regression, and cluster analysis.\nRESULTS: A total of 184 students (98%) participated in the study, with a mean age of 25.9±3.9 years, of which 54.9% were men. The prevalence of Burnout Syndrome was 10.3% based on the three-dimensional criterion and 35.9% on two-dimensional criterion (Exhaustion and Cynicism); it was higher in those who thought about quitting the program (OR=2.14), were dissatisfied with the teaching strategies (OR=2.67) and their performance (OR=2.64) and made use of licit drugs (OR=2.37). The variables associated with Burnout Syndrome allowed individuals to be discriminated, classifying them into three subgroups. Burnout Syndrome prevalence decreased, and vulnerability factors were attenuated when there was a higher frequency of students participating in BG.\nCONCLUSIONS: The prevalence of two-dimensional Burnout Syndrome was high, with factors associated with the educational process. Participation in BG was associated with a lower Burnout rate prevalence. Longitudinal studies should be conducted.","container-title":"Revista da Associação Médica Brasileira","DOI":"10.1590/1806-9282.65.11.1362","ISSN":"1806-9282, 0104-4230","issue":"11","journalAbbreviation":"Rev. Assoc. Med. Bras.","language":"en","page":"1362-1367","source":"DOI.org (Crossref)","title":"Burnout Syndrome in medical internship students and its prevention with Balint Group","volume":"65","author":[{"family":"Calcides","given":"Dâmaris Alejandra Paula"},{"family":"Didou","given":"Rayssa da Nóbrega"},{"family":"Melo","given":"Enaldo Vieira","dropping-particle":"de"},{"family":"Oliva-Costa","given":"Edméa Fontes","dropping-particle":"de"}],"issued":{"date-parts":[["2019",11]]}}},{"id":3095,"uris":["http://zotero.org/users/4975241/items/L7VTUCSC"],"uri":["http://zotero.org/users/4975241/items/L7VTUCSC"],"itemData":{"id":3095,"type":"article-journal","abstract":"Although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schema":"https://github.com/citation-style-language/schema/raw/master/csl-citation.json"} </w:instrText>
            </w:r>
            <w:r>
              <w:rPr>
                <w:rFonts w:ascii="Calibri" w:hAnsi="Calibri" w:cs="Calibri"/>
                <w:sz w:val="20"/>
                <w:szCs w:val="20"/>
              </w:rPr>
              <w:fldChar w:fldCharType="separate"/>
            </w:r>
            <w:r w:rsidRPr="0024743B">
              <w:rPr>
                <w:rFonts w:ascii="Calibri" w:hAnsi="Calibri" w:cs="Calibri"/>
                <w:sz w:val="20"/>
              </w:rPr>
              <w:t>(2,10,17–19,45)</w:t>
            </w:r>
            <w:r>
              <w:rPr>
                <w:rFonts w:ascii="Calibri" w:hAnsi="Calibri" w:cs="Calibri"/>
                <w:sz w:val="20"/>
                <w:szCs w:val="20"/>
              </w:rPr>
              <w:fldChar w:fldCharType="end"/>
            </w:r>
          </w:p>
        </w:tc>
        <w:tc>
          <w:tcPr>
            <w:tcW w:w="1564" w:type="dxa"/>
          </w:tcPr>
          <w:p w14:paraId="75502C3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Burnout</w:t>
            </w:r>
          </w:p>
        </w:tc>
        <w:tc>
          <w:tcPr>
            <w:tcW w:w="4365" w:type="dxa"/>
          </w:tcPr>
          <w:p w14:paraId="1FBCBFE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71AC1E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217A038E"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5AD8357E" w14:textId="77777777" w:rsidR="006938E9" w:rsidRPr="00AB4BAE" w:rsidRDefault="006938E9" w:rsidP="008C7800">
            <w:pPr>
              <w:rPr>
                <w:rFonts w:ascii="Calibri" w:hAnsi="Calibri" w:cs="Calibri"/>
                <w:sz w:val="20"/>
                <w:szCs w:val="20"/>
              </w:rPr>
            </w:pPr>
            <w:r w:rsidRPr="00E16ACB">
              <w:rPr>
                <w:rFonts w:ascii="Calibri" w:hAnsi="Calibri" w:cs="Calibri"/>
                <w:color w:val="000000"/>
                <w:sz w:val="20"/>
                <w:szCs w:val="20"/>
              </w:rPr>
              <w:t>Patient Health Questionnaire-</w:t>
            </w:r>
            <w:r>
              <w:rPr>
                <w:rFonts w:ascii="Calibri" w:hAnsi="Calibri" w:cs="Calibri"/>
                <w:color w:val="000000"/>
                <w:sz w:val="20"/>
                <w:szCs w:val="20"/>
              </w:rPr>
              <w:t>9 (</w:t>
            </w:r>
            <w:r w:rsidRPr="00AB4BAE">
              <w:rPr>
                <w:rFonts w:ascii="Calibri" w:hAnsi="Calibri" w:cs="Calibri"/>
                <w:color w:val="000000"/>
                <w:sz w:val="20"/>
                <w:szCs w:val="20"/>
              </w:rPr>
              <w:t>PHQ-9</w:t>
            </w:r>
            <w:r>
              <w:rPr>
                <w:rFonts w:ascii="Calibri" w:hAnsi="Calibri" w:cs="Calibri"/>
                <w:color w:val="000000"/>
                <w:sz w:val="20"/>
                <w:szCs w:val="20"/>
              </w:rPr>
              <w:t>)</w:t>
            </w:r>
          </w:p>
        </w:tc>
        <w:tc>
          <w:tcPr>
            <w:tcW w:w="701" w:type="dxa"/>
          </w:tcPr>
          <w:p w14:paraId="33890E1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6</w:t>
            </w:r>
          </w:p>
        </w:tc>
        <w:tc>
          <w:tcPr>
            <w:tcW w:w="1702" w:type="dxa"/>
          </w:tcPr>
          <w:p w14:paraId="2BEDA69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wC1b9o5C","properties":{"formattedCitation":"(7,22,31,41,57,90)","plainCitation":"(7,22,31,41,57,90)","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id":2980,"uris":["http://zotero.org/users/4975241/items/88F3T9RF"],"uri":["http://zotero.org/users/4975241/items/88F3T9RF"],"itemData":{"id":2980,"type":"article-journal","abstract":"Objectives This study aims to assess the prevalence of depressive symptoms, severity of burnout, and suicidal ideation among residents in a range of specialties and to identify factors that are associated with these symptoms.\nMethods A cross-sectional study was carried out at the American University of Beirut Medical Center between August and October 2013. In total, 118 out of 311 eligible residents responded. The survey included general sociodemographic questions and standardized validated tools to measure depressive symptomatology (PHQ-9), burnout (burnout measure), anxiety (GAD-7), alcohol use (AUDIT), and drug abuse (DAST-10).\nResults Overall, 22 % of the residents qualified for major depressive symptomatology. Stressful personal life events and burnout were significantly associated with depression. Drug abuse, but neither alcohol abuse nor anxiety, was associated with depression. Twenty-seven percent of the residents met criteria for burnout. Additionally, 13 % of residents had suicidal ideation, which was significantly associated with the severity of depression and not using mental health services.\nConclusions These findings increase awareness regarding the vulnerability of residents internationally. Addressing the mental health of residents is a pressing issue, and training programs need to actively address the psychological well-being of residents.","container-title":"Academic Psychiatry","DOI":"10.1007/s40596-015-0400-3","ISSN":"1042-9670, 1545-7230","issue":"1","journalAbbreviation":"Acad Psychiatry","language":"en","page":"38-45","source":"DOI.org (Crossref)","title":"Correlates of Depression and Burnout Among Residents in a Lebanese Academic Medical Center: a Cross-Sectional Study","title-short":"Correlates of Depression and Burnout Among Residents in a Lebanese Academic Medical Center","volume":"40","author":[{"family":"Talih","given":"Farid"},{"family":"Warakian","given":"Razmig"},{"family":"Ajaltouni","given":"Jean"},{"family":"Shehab","given":"Al Amira Safa"},{"family":"Tamim","given":"Hani"}],"issued":{"date-parts":[["2016",2]]}}},{"id":3285,"uris":["http://zotero.org/users/4975241/items/UXPTY6E6"],"uri":["http://zotero.org/users/4975241/items/UXPTY6E6"],"itemData":{"id":3285,"type":"thesis","abstract":"Abstract: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id":3091,"uris":["http://zotero.org/users/4975241/items/5NITUNCS"],"uri":["http://zotero.org/users/4975241/items/5NITUNCS"],"itemData":{"id":3091,"type":"article-journal","abstract":"Background\n              . Burnout and depression among physician trainees is increasing at an alarming rate. Promoting well-being is of utmost importance for graduate medical education. The primary objective was to determine if spiritual care staff/chaplaincy can assist in building emotional well-being and resiliency within medical residency education.\n              Methods\n              . For the academic year of July 2017 through June 2018, all graduate medical trainees in our institution were given the option of attending either an individual or group spiritual care session as part of a universal “\n              Call to Wellness\n              ” curriculum. A Post-Wellness Survey was administered to measure perceptions about the program.\n              Results\n              . 49% (\n              N\n               = 258) of residents chose to participate in a spiritual care session. Prior to the session, 51% (\n              N\n               = 132) rated their overall well-being as neutral and 25% (\n              N\n               = 64) rated their overall well-being as slightly positive, positive, or very positive. After their spiritual care session, significant improvement was seen. 25% (\n              N\n               = 64) rated their overall well-being as neutral, and 51% (\n              N\n               = 132) rated their overall well-being as slightly positive, positive, or very positive (\n              \n                \n                  p\n                  &lt;\n                  0.001\n                \n              \n              ).\n              Conclusion\n              . Spiritual care staff/chaplaincy can have a positive influence on emotional well-being for physicians during residency training.","container-title":"Advances in Medicine","DOI":"10.1155/2019/8749351","ISSN":"2356-6752, 2314-758X","journalAbbreviation":"Advances in Medicine","language":"en","page":"1-4","source":"DOI.org (Crossref)","title":"Hospital Spiritual Care Can Complement Graduate Medical Trainee Well-Being","volume":"2019","author":[{"family":"Shapiro","given":"Robert E."},{"family":"Vallejo","given":"Manuel C."},{"family":"Sofka","given":"Sarah H."},{"family":"Elmo","given":"Rebecca M."},{"family":"Anderson","given":"Allison H."},{"family":"Ferrari","given":"Norman D."}],"issued":{"date-parts":[["2019",12,10]]}}},{"id":3325,"uris":["http://zotero.org/users/4975241/items/AYDX997D"],"uri":["http://zotero.org/users/4975241/items/AYDX997D"],"itemData":{"id":3325,"type":"article-journal","abstract":"Cognitive theories of emotion posit that affective responses may be shaped by how individuals interpret emotion-eliciting situations. This study tested whether individual differences in interpretation bias (i.e., interpreting ambiguous scenarios in a more negative or positive manner) independently predict trait resilience and depression in medical interns. Interpretation bias and trait resilience scores were assessed in 47 interns prior to their first internship. Depressive symptoms were assessed twice during internship. Nearly half of the sample (42%) scored above the cut-off for mild depressive symptoms during internship, a significant rise compared to the initial assessment. Those with a more positive interpretation bias had higher trait resilience (β = 0.44, p = 0.004) and a 6-fold decreased depressive symptom risk during internship (OR = 6.41, p = 0.027). The predictive power of a positive interpretation bias for decreased depression symptoms held over and above initial depressive symptoms, demographics and trait reappraisal. Assessing positive interpretation bias may have practical utility for predicting future well-being in at risk-populations.","container-title":"Frontiers in Psychology","DOI":"10.3389/fpsyg.2014.00640","ISSN":"1664-1078","journalAbbreviation":"Front Psychol","language":"eng","note":"PMID: 25009521\nPMCID: PMC4067546","page":"640","source":"PubMed","title":"Positive interpretation bias predicts well-being in medical interns","volume":"5","author":[{"family":"Kleim","given":"Birgit"},{"family":"Thörn","given":"Hanna A."},{"family":"Ehlert","given":"Ulrike"}],"issued":{"date-parts":[["2014"]]}}},{"id":3282,"uris":["http://zotero.org/users/4975241/items/8H67MFES"],"uri":["http://zotero.org/users/4975241/items/8H67MFES"],"itemData":{"id":3282,"type":"article-journal","abstract":"OBJECTIVE To determine the presence and magnitude of a sex difference in depressive symptoms and work-family conflict among training physicians; and if work-family conflict impacts the sex difference in depressive symptoms among training physicians. DESIGN, SETTING, AND PARTICIPANTS A prospective longitudinal cohort study of medical internship in the United States during the 2015 to 2016 academic year in which 3121 interns were recruited across all specialties from 44 medical institutions. Invited Commentary page 1772 MAIN OUTCOMES AND MEASURES Prior to and during their internship year, participants reported the degree to which work responsibilities interfered with family life using the Work Family Conflict Scale and depressive symptoms using the Patient Health Questionnaire-9 (PHQ-9).\nRESULTS Mean (SD) participant age was 27.5 (2.7) years, and 1571 participants (49.7%) were women. Both men and women experienced a marked increase in depressive symptoms during their internship year, with the increase being statistically significantly greater for women (men: mean increase in PHQ-9, 2.50; 95% CI, 2.26-2.73 vs women: mean increase, 3.20; 95% CI, 2.97-3.43). When work-family conflict was accounted for, the sex disparity in the increase in depressive symptoms decreased by 36%.\nCONCLUSIONS AND RELEVANCE Our study demonstrates that depressive symptoms increase substantially during the internship year for men and women, but that this increase is greater for women. The study also identifies work-family conflict as an important potentially modifiable factor that is associated with elevated depressive symptoms in training physicians. Systemic modifications to alleviate conflict between work and family life may improve physician mental health and reduce the disproportionate depression disease burden for female physicians. Given that depression among physicians is associated with poor patient care and career attrition, efforts to alleviate depression among physicians has the potential to reduce the negative consequences associated with this disease.","container-title":"JAMA Internal Medicine","DOI":"10.1001/jamainternmed.2017.5138","ISSN":"2168-6106","issue":"12","journalAbbreviation":"JAMA Intern Med","language":"en","page":"1766","source":"DOI.org (Crossref)","title":"Work-Family Conflict and the Sex Difference in Depression Among Training Physicians","volume":"177","author":[{"family":"Guille","given":"Constance"},{"family":"Frank","given":"Elena"},{"family":"Zhao","given":"Zhuo"},{"family":"Kalmbach","given":"David A."},{"family":"Nietert","given":"Paul J."},{"family":"Mata","given":"Douglas A."},{"family":"Sen","given":"Srijan"}],"issued":{"date-parts":[["2017",12,1]]}}}],"schema":"https://github.com/citation-style-language/schema/raw/master/csl-citation.json"}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(7,22,31,41,57,90)</w:t>
            </w:r>
            <w:r>
              <w:rPr>
                <w:rFonts w:ascii="Calibri" w:hAnsi="Calibri" w:cs="Calibri"/>
                <w:sz w:val="20"/>
                <w:szCs w:val="20"/>
              </w:rPr>
              <w:fldChar w:fldCharType="end"/>
            </w:r>
          </w:p>
        </w:tc>
        <w:tc>
          <w:tcPr>
            <w:tcW w:w="1564" w:type="dxa"/>
          </w:tcPr>
          <w:p w14:paraId="571C2DA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Depression</w:t>
            </w:r>
          </w:p>
        </w:tc>
        <w:tc>
          <w:tcPr>
            <w:tcW w:w="4365" w:type="dxa"/>
          </w:tcPr>
          <w:p w14:paraId="6F10D1E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7351BAD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gOHLlzG","properties":{"formattedCitation":"(31)","plainCitation":"(31)","noteIndex":0},"citationItems":[{"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(31)</w:t>
            </w:r>
            <w:r>
              <w:rPr>
                <w:rFonts w:ascii="Calibri" w:hAnsi="Calibri" w:cs="Calibri"/>
                <w:sz w:val="20"/>
                <w:szCs w:val="20"/>
              </w:rPr>
              <w:fldChar w:fldCharType="end"/>
            </w:r>
            <w:r>
              <w:rPr>
                <w:rFonts w:ascii="Calibri" w:hAnsi="Calibri" w:cs="Calibri"/>
                <w:sz w:val="20"/>
                <w:szCs w:val="20"/>
              </w:rPr>
              <w:t xml:space="preserve"> Internal consistency (Cronbach’s alpha = 0.74-0.85), test-retest</w:t>
            </w:r>
          </w:p>
        </w:tc>
      </w:tr>
      <w:tr w:rsidR="006938E9" w:rsidRPr="00AB4BAE" w14:paraId="7AB8F870"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60E727A4" w14:textId="77777777" w:rsidR="006938E9" w:rsidRPr="00AB4BAE" w:rsidRDefault="006938E9" w:rsidP="008C7800">
            <w:pPr>
              <w:rPr>
                <w:rFonts w:ascii="Calibri" w:hAnsi="Calibri" w:cs="Calibri"/>
                <w:sz w:val="20"/>
                <w:szCs w:val="20"/>
              </w:rPr>
            </w:pPr>
            <w:r w:rsidRPr="00292787">
              <w:rPr>
                <w:rFonts w:ascii="Calibri" w:hAnsi="Calibri" w:cs="Calibri"/>
                <w:color w:val="000000"/>
                <w:sz w:val="20"/>
                <w:szCs w:val="20"/>
              </w:rPr>
              <w:t>General Health Questionnaire-12 or 30</w:t>
            </w:r>
            <w:r>
              <w:rPr>
                <w:rFonts w:ascii="Calibri" w:hAnsi="Calibri" w:cs="Calibri"/>
                <w:color w:val="000000"/>
                <w:sz w:val="20"/>
                <w:szCs w:val="20"/>
              </w:rPr>
              <w:t xml:space="preserve"> (</w:t>
            </w:r>
            <w:r w:rsidRPr="00AB4BAE">
              <w:rPr>
                <w:rFonts w:ascii="Calibri" w:hAnsi="Calibri" w:cs="Calibri"/>
                <w:color w:val="000000"/>
                <w:sz w:val="20"/>
                <w:szCs w:val="20"/>
              </w:rPr>
              <w:t>GHQ-12 or GHQ-30</w:t>
            </w:r>
            <w:r>
              <w:rPr>
                <w:rFonts w:ascii="Calibri" w:hAnsi="Calibri" w:cs="Calibri"/>
                <w:color w:val="000000"/>
                <w:sz w:val="20"/>
                <w:szCs w:val="20"/>
              </w:rPr>
              <w:t>)</w:t>
            </w:r>
          </w:p>
        </w:tc>
        <w:tc>
          <w:tcPr>
            <w:tcW w:w="701" w:type="dxa"/>
          </w:tcPr>
          <w:p w14:paraId="1EE89C3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5</w:t>
            </w:r>
          </w:p>
        </w:tc>
        <w:tc>
          <w:tcPr>
            <w:tcW w:w="1702" w:type="dxa"/>
          </w:tcPr>
          <w:p w14:paraId="5CBEABF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2e7zC70X","properties":{"formattedCitation":"(18,39,64,67,75)","plainCitation":"(18,39,64,67,75)","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id":3077,"uris":["http://zotero.org/users/4975241/items/FUFCMUQZ"],"uri":["http://zotero.org/users/4975241/items/FUFCMUQZ"],"itemData":{"id":3077,"type":"article-journal","container-title":"Internal Medicine Journal","DOI":"10.1046/j.1445-5994.2003.00421.x","ISSN":"14440903","issue":"8","language":"en","page":"392-395","source":"DOI.org (Crossref)","title":"Health and stress in Australian interns: Health and stress in interns","title-short":"Health and stress in Australian interns","volume":"33","author":[{"family":"Bruce","given":"C."},{"family":"Thomas","given":"P. S."},{"family":"Yates","given":"D. H."}],"issued":{"date-parts":[["2003",8]]}}},{"id":3306,"uris":["http://zotero.org/users/4975241/items/BZH7HNGT"],"uri":["http://zotero.org/users/4975241/items/BZH7HNGT"],"itemData":{"id":3306,"type":"article-journal","abstract":"There has been little work examining the longer term occupational and psychological outcomes of problem-based learn-ing (PBL). The authors aimed to investigate the relationship between psychological distress, occupational factors and experience of PBL in the first cohort of UK pre-registration house officers to be trained exclusively using problem-based methods. Questionnaires were sent to al pre-registration house officers working in the three teaching hospitals in the Manchester area. Measures included demographic items, hours of actual work and the GHQ-12 as a measure of psychological distress, as well as validated Likert scales of job satisfaction, perceived work demands, support from superior,and experience and attitudes towards PBL. The response rate was 87% (66/76). Almost one-third of respondents (20/66) worked more than 72 hours a week. The occupational and psychological measures were significantly interrelated. The multiple regression analysis revealed that work demands and job satisfaction together accounted for over 45% of the variance in psychological distress. The other demographic, occupational and PBL-related factors did not make an independent contribution to distress. Scores were similar for respondents with high and low levels of exposure to PBL, and similar to scores obtained from a previous cohort of house officers graduating from a traditional course. These findings should be interpreted cautiously because of the small size of the current study and the setting. It is possible that as staff and students grow accustomed to new styles of teaching, and work intensity for junior doctors reduces, the effect of PBL will become more evident. Further research is needed examining the occupational and psychological outcomes of medical students taught by problem-based methods indifferent settings.","container-title":"Medical Teacher","ISSN":"0142-159X","issue":"3","journalAbbreviation":"Med Teach","language":"eng","note":"PMID: 12109458","page":"334-336","source":"PubMed","title":"Problem-based learning, work demands and psychological distress in pre-registration house officers: a preliminary study","title-short":"Problem-based learning, work demands and psychological distress in pre-registration house officers","volume":"24","author":[{"family":"Rodger","given":"Mike"},{"family":"Lavender","given":"Tom"},{"family":"Kapur","given":"Navneet"}],"issued":{"date-parts":[["2002",5]]}}},{"id":3258,"uris":["http://zotero.org/users/4975241/items/95RKZLGQ"],"uri":["http://zotero.org/users/4975241/items/95RKZLGQ"],"itemData":{"id":3258,"type":"article-journal","abstract":"Work related stress and anxiety may have a profound eVect on an individual’s wellbeing. In the case of doctors this may also aVect patient care. This study measured stress, anxiety, and job satisfaction and the inﬂuence of personality factors on these in a group of preregistration house oYcers in the north east of England. A total of 109 preregistration house oYcers anonymously completed a lifestyles questionnaire designed to measure self rated psychological stress, state anxiety, job satisfaction, and personality characteristics. Results showed that 37.5% of women and 24% of men preregistration house oYcers suVered from possible psychological stress. Altogether 38.9% of women and 5.4% of men were suVering from possible anxiety and 8.3% of women and 2.7% of men were suVering from possible depression. The mean (SD) job satisfaction scores were 83.8(17.4) (range 52–127; median 86.5) for men and 80.5(16.7) (range 41–114; median 81) for women. Altogether 30.6% of men and 41.7% of women reported to be dissatisﬁed with the organisational processes in their job. There were signiﬁcant negative correlations between stress and job satisfaction scores (r = −0.508; p&lt;0.0001) and between anxiety and job satisfaction scores (r = −0.421; p&lt;0.0001), and signiﬁcant positive associations between anxiety and stress scores (r = 0.593; p&lt;0.0001). Stress, anxiety, and depression scores were signiﬁcantly correlated with neuroticism scores in both men and women. The personality characteristic of neuroticism was a predisposing factor for stress and anxiety in the junior doctors which may be taken into consideration when oVering support and counselling.","container-title":"Postgraduate Medical Journal","DOI":"10.1136/pmj.77.904.109","ISSN":"00325473","issue":"904","language":"en","page":"109-111","source":"DOI.org (Crossref)","title":"Psychological stress, anxiety, depression, job satisfaction, and personality characteristics in preregistration house officers","volume":"77","author":[{"family":"Newbury-Birch","given":"D"}],"issued":{"date-parts":[["2001",2,1]]}}},{"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(18,39,64,67,75)</w:t>
            </w:r>
            <w:r>
              <w:rPr>
                <w:rFonts w:ascii="Calibri" w:hAnsi="Calibri" w:cs="Calibri"/>
                <w:sz w:val="20"/>
                <w:szCs w:val="20"/>
              </w:rPr>
              <w:fldChar w:fldCharType="end"/>
            </w:r>
          </w:p>
        </w:tc>
        <w:tc>
          <w:tcPr>
            <w:tcW w:w="1564" w:type="dxa"/>
          </w:tcPr>
          <w:p w14:paraId="19D75050" w14:textId="23F6688F" w:rsidR="006938E9" w:rsidRPr="00AB4BAE" w:rsidRDefault="00B5004D"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Psychological dis</w:t>
            </w:r>
            <w:r w:rsidRPr="00701766">
              <w:rPr>
                <w:rFonts w:ascii="Calibri" w:hAnsi="Calibri" w:cs="Calibri"/>
                <w:color w:val="000000"/>
                <w:sz w:val="20"/>
                <w:szCs w:val="20"/>
              </w:rPr>
              <w:t>tress</w:t>
            </w:r>
          </w:p>
        </w:tc>
        <w:tc>
          <w:tcPr>
            <w:tcW w:w="4365" w:type="dxa"/>
          </w:tcPr>
          <w:p w14:paraId="7430C80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0E76B2E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5ABA7126"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251FE25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Perceived stress scale</w:t>
            </w:r>
          </w:p>
        </w:tc>
        <w:tc>
          <w:tcPr>
            <w:tcW w:w="701" w:type="dxa"/>
          </w:tcPr>
          <w:p w14:paraId="5339FA3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4</w:t>
            </w:r>
          </w:p>
        </w:tc>
        <w:tc>
          <w:tcPr>
            <w:tcW w:w="1702" w:type="dxa"/>
          </w:tcPr>
          <w:p w14:paraId="72400F8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vkk0Vegl","properties":{"formattedCitation":"(7,21,31,55)","plainCitation":"(7,21,31,55)","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id":3248,"uris":["http://zotero.org/users/4975241/items/JHC8B6L7"],"uri":["http://zotero.org/users/4975241/items/JHC8B6L7"],"itemData":{"id":3248,"type":"article-journal","abstract":"Background: House officers training has always been regarded as a highly stressful environment to doctors. The objectives of our study were to assess perceived stress and sources of stress among house officers. Materials and Methods: A cross</w:instrText>
            </w:r>
            <w:r>
              <w:rPr>
                <w:rFonts w:ascii="Cambria Math" w:hAnsi="Cambria Math" w:cs="Cambria Math"/>
                <w:sz w:val="20"/>
                <w:szCs w:val="20"/>
              </w:rPr>
              <w:instrText>‑</w:instrText>
            </w:r>
            <w:r>
              <w:rPr>
                <w:rFonts w:ascii="Calibri" w:hAnsi="Calibri" w:cs="Calibri"/>
                <w:sz w:val="20"/>
                <w:szCs w:val="20"/>
              </w:rPr>
              <w:instrText>sectional questionnaire</w:instrText>
            </w:r>
            <w:r>
              <w:rPr>
                <w:rFonts w:ascii="Cambria Math" w:hAnsi="Cambria Math" w:cs="Cambria Math"/>
                <w:sz w:val="20"/>
                <w:szCs w:val="20"/>
              </w:rPr>
              <w:instrText>‑</w:instrText>
            </w:r>
            <w:r>
              <w:rPr>
                <w:rFonts w:ascii="Calibri" w:hAnsi="Calibri" w:cs="Calibri"/>
                <w:sz w:val="20"/>
                <w:szCs w:val="20"/>
              </w:rPr>
              <w:instrText>based survey was carried out among house officers working in Civil Hospital, Karachi, Pakistan, and Jinnah Postgraduate Medical Centre, Karachi, Pakistan, during November and December, 2013. Perceived stress was assessed using perceived stress scale. A 15</w:instrText>
            </w:r>
            <w:r>
              <w:rPr>
                <w:rFonts w:ascii="Cambria Math" w:hAnsi="Cambria Math" w:cs="Cambria Math"/>
                <w:sz w:val="20"/>
                <w:szCs w:val="20"/>
              </w:rPr>
              <w:instrText>‑</w:instrText>
            </w:r>
            <w:r>
              <w:rPr>
                <w:rFonts w:ascii="Calibri" w:hAnsi="Calibri" w:cs="Calibri"/>
                <w:sz w:val="20"/>
                <w:szCs w:val="20"/>
              </w:rPr>
              <w:instrText>item questionnaire was used to assess sources of stress and was graded by Likert scale (1 = very low, 5 = very high). To calculate the difference of mean for stressors by gender of house officers, t</w:instrText>
            </w:r>
            <w:r>
              <w:rPr>
                <w:rFonts w:ascii="Cambria Math" w:hAnsi="Cambria Math" w:cs="Cambria Math"/>
                <w:sz w:val="20"/>
                <w:szCs w:val="20"/>
              </w:rPr>
              <w:instrText>‑</w:instrText>
            </w:r>
            <w:r>
              <w:rPr>
                <w:rFonts w:ascii="Calibri" w:hAnsi="Calibri" w:cs="Calibri"/>
                <w:sz w:val="20"/>
                <w:szCs w:val="20"/>
              </w:rPr>
              <w:instrText>test with 95% confidence interval was used. Results: The overall response rate was 81.5% (269 out of 330). One hundred twenty</w:instrText>
            </w:r>
            <w:r>
              <w:rPr>
                <w:rFonts w:ascii="Cambria Math" w:hAnsi="Cambria Math" w:cs="Cambria Math"/>
                <w:sz w:val="20"/>
                <w:szCs w:val="20"/>
              </w:rPr>
              <w:instrText>‑</w:instrText>
            </w:r>
            <w:r>
              <w:rPr>
                <w:rFonts w:ascii="Calibri" w:hAnsi="Calibri" w:cs="Calibri"/>
                <w:sz w:val="20"/>
                <w:szCs w:val="20"/>
              </w:rPr>
              <w:instrText xml:space="preserve">nine (47.9%) were found to be under stress of whom 32 (24.8%) were males and 97 (75.2%) were females. Top five stressors reported by house officers were night calls, workload, time pressure, working alone, and coping with diagnostic uncertainty. Significant differences for stressors by gender were found for night calls (P &lt; 0.05), unrealistically high expectation by others (P &lt; 0.05), financial issues (P &lt; 0.05), and lack of senior support (P &lt; 0.05). Conclusion: Majority of house officers working in Civil Hospital, Karachi, and Jinnah Postgraduate Medical Centre, Karachi, were under high level of stress. Therefore, immediate steps should be taken for control of stress and its management.","container-title":"Indian Journal of Occupational and Environmental Medicine","DOI":"10.4103/0019-5278.146914","ISSN":"0019-5278","issue":"3","journalAbbreviation":"Indian J Occup Environ Med","language":"en","page":"145","source":"DOI.org (Crossref)","title":"Perceived stress and stressors among house officers","volume":"18","author":[{"family":"Hassan","given":"Maroof"},{"family":"Hussain","given":"Talal"},{"family":"Ahmed","given":"SyedMustajab"},{"family":"Fraz","given":"TayyabRaza"},{"family":"Rehmat","given":"Zoha"}],"issued":{"date-parts":[["2014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(7,21,31,55)</w:t>
            </w:r>
            <w:r>
              <w:rPr>
                <w:rFonts w:ascii="Calibri" w:hAnsi="Calibri" w:cs="Calibri"/>
                <w:sz w:val="20"/>
                <w:szCs w:val="20"/>
              </w:rPr>
              <w:fldChar w:fldCharType="end"/>
            </w:r>
          </w:p>
        </w:tc>
        <w:tc>
          <w:tcPr>
            <w:tcW w:w="1564" w:type="dxa"/>
          </w:tcPr>
          <w:p w14:paraId="1EA187B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35DF415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50DA1DE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aFOvNMx","properties":{"formattedCitation":"(31)","plainCitation":"(31)","noteIndex":0},"citationItems":[{"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(31)</w:t>
            </w:r>
            <w:r>
              <w:rPr>
                <w:rFonts w:ascii="Calibri" w:hAnsi="Calibri" w:cs="Calibri"/>
                <w:sz w:val="20"/>
                <w:szCs w:val="20"/>
              </w:rPr>
              <w:fldChar w:fldCharType="end"/>
            </w:r>
            <w:r>
              <w:rPr>
                <w:rFonts w:ascii="Calibri" w:hAnsi="Calibri" w:cs="Calibri"/>
                <w:sz w:val="20"/>
                <w:szCs w:val="20"/>
              </w:rPr>
              <w:t xml:space="preserve"> Internal consistency (Cronbach’s alpha = 0.82-90), test-retest</w:t>
            </w:r>
          </w:p>
        </w:tc>
      </w:tr>
      <w:tr w:rsidR="006938E9" w:rsidRPr="00AB4BAE" w14:paraId="628DBE0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3D93A229"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Hospital Anxiety and Depression Scale</w:t>
            </w:r>
          </w:p>
        </w:tc>
        <w:tc>
          <w:tcPr>
            <w:tcW w:w="701" w:type="dxa"/>
          </w:tcPr>
          <w:p w14:paraId="63C0D33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3</w:t>
            </w:r>
          </w:p>
        </w:tc>
        <w:tc>
          <w:tcPr>
            <w:tcW w:w="1702" w:type="dxa"/>
          </w:tcPr>
          <w:p w14:paraId="7772BF8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PlG64Cpc","properties":{"formattedCitation":"(2,10,67)","plainCitation":"(2,10,67)","noteIndex":0},"citationItems":[{"id":3196,"uris":["http://zotero.org/users/4975241/items/EQ5LM3BM"],"uri":["http://zotero.org/users/4975241/items/EQ5LM3BM"],"itemData":{"id":3196,"type":"article-journal","abstract":"Background\n              More than half of French medical GP trainees (GPTs) suffer from burnout.\n            \n            \n              Aim\n              To define and follow the evolution of risk factors, such as empathy and coping strategies, associated with burnout in this population.\n            \n            \n              Design &amp; setting\n              Prospective longitudinal study involving volunteers of 577 Parisian university GPTs in 2012.\n            \n            \n              Method\n              Self-reported anonymous online questionnaires were sent three times every 6 months to all participants. Stress was measured using the Intern-Life scale and burnout using the Maslach Inventory, and anxiety and depression measured using the Hospital Anxiety and Depression Scale (HADS). Sociodemographic, professional, and personal data, including coping strategies and measures of empathy were also collected.\n            \n            \n              Results\n              \n                In total 343 questionnaires were fully completed at baseline (T0): 304 were usable at baseline, 169 were usable at 6 months (T1) and 174 at 1 year (T2). Stress rates decreased sharply between T1 (scores 42.96) and T2 (17.08), while scores for burnout remained relatively stable: more than 13% of GPTs had high scores in all three dimensions of burnout. Depersonalisation increased from 61% (T1) to 66% (T2). One hundred and four paired samples were analysed between T0 and T1, and between T1 and T2. Emotion-centred coping was associated with emotional exhaustion (\n                P\n                &lt;0.05), while professional support reduced it. Experiences of aggression increased depersonalisation (\n                P\n                &lt;0.05). Social support, problem-centred coping, perspective-taking empathy, and professional support improved the sense of personal accomplishment (\n                P\n                &lt;0.05).\n              \n            \n            \n              Conclusion\n              Tools to help GPTs are available but are underused. More training in doctor–patient relationships and understanding of medical hidden curricula are necessary to decrease burnout among GPTs and improve their wellbeing and patient care.","container-title":"BJGP Open","DOI":"10.3399/bjgpopen17X100773","ISSN":"2398-3795","issue":"2","journalAbbreviation":"BJGP Open","language":"en","page":"bjgpopen17X100773","source":"DOI.org (Crossref)","title":"‘Intern life’: a longitudinal study of burnout, empathy, and coping strategies used by French GPs in training","title-short":"‘Intern life’","volume":"1","author":[{"family":"Galam","given":"Eric"},{"family":"Vauloup Soupault","given":"Camille"},{"family":"Bunge","given":"Lucie"},{"family":"Buffel du Vaure","given":"Céline"},{"family":"Boujut","given":"Emilie"},{"family":"Jaury","given":"Philippe"}],"issued":{"date-parts":[["2017",7,10]]}}},{"id":3204,"uris":["http://zotero.org/users/4975241/items/URBKBLJG"],"uri":["http://zotero.org/users/4975241/items/URBKBLJG"],"itemData":{"id":3204,"type":"article-journal","abstract":"The ﬁrst year practising medicine, pre-registration, is considered to be a stressful time for junior doctors. The aims of this study were to explore how levels of psychological distress were affected by changes in the working environment and to examine these effects across subjective (i.e. self-report) and objective (i.e. stress hormone cortisol) indices of psychological distress. A cohort of 36 pre-registration house ofﬁcers (males ¼ 15) completed a battery of psychosocial measures and collected salivary samples for the measurement of diurnal cortisol at the beginning and end of a 3– 4-month clinical rotation with the assumption that the end of a rotation would be less stressful than the beginning. Results from the self-report measures remained constant over the twotime points suggesting no perceived change in emotional well-being on a subjective level. However, there is some evidence of neuro-endocrine changes across the two time points suggestive of hypothalamic – pituitary – adrenal axis dysregulation. In particular, there was a signiﬁcant difference between the cortisol awakening rise with the greatest rise seen at the beginning of a rotation. In addition, the daily cortisol decline (diurnal slope) was also signiﬁcantly less at this test time. These ﬁndings have implications for the discord apparent between self-report and physiological measures of psychological stress.","container-title":"Stress","DOI":"10.3109/10253890903093778","ISSN":"1025-3890, 1607-8888","issue":"2","journalAbbreviation":"Stress","language":"en","page":"155-162","source":"DOI.org (Crossref)","title":"An exploration into physiological and self-report measures of stress in pre-registration doctors at the beginning and end of a clinical rotation","volume":"13","author":[{"family":"Brant","given":"Heather"},{"family":"Wetherell","given":"Mark A."},{"family":"Lightman","given":"Stafford"},{"family":"Crown","given":"Anna"},{"family":"Vedhara","given":"Kavita"}],"issued":{"date-parts":[["2010",3]]}}},{"id":3258,"uris":["http://zotero.org/users/4975241/items/95RKZLGQ"],"uri":["http://zotero.org/users/4975241/items/95RKZLGQ"],"itemData":{"id":3258,"type":"article-journal","abstract":"Work related stress and anxiety may have a profound eVect on an individual’s wellbeing. In the case of doctors this may also aVect patient care. This study measured stress, anxiety, and job satisfaction and the inﬂuence of personality factors on these in a group of preregistration house oYcers in the north east of England. A total of 109 preregistration house oYcers anonymously completed a lifestyles questionnaire designed to measure self rated psychological stress, state anxiety, job satisfaction, and personality characteristics. Results showed that 37.5% of women and 24% of men preregistration house oYcers suVered from possible psychological stress. Altogether 38.9% of women and 5.4% of men were suVering from possible anxiety and 8.3% of women and 2.7% of men were suVering from possible depression. The mean (SD) job satisfaction scores were 83.8(17.4) (range 52–127; median 86.5) for men and 80.5(16.7) (range 41–114; median 81) for women. Altogether 30.6% of men and 41.7% of women reported to be dissatisﬁed with the organisational processes in their job. There were signiﬁcant negative correlations between stress and job satisfaction scores (r = −0.508; p&lt;0.0001) and between anxiety and job satisfaction scores (r = −0.421; p&lt;0.0001), and signiﬁcant positive associations between anxiety and stress scores (r = 0.593; p&lt;0.0001). Stress, anxiety, and depression scores were signiﬁcantly correlated with neuroticism scores in both men and women. The personality characteristic of neuroticism was a predisposing factor for stress and anxiety in the junior doctors which may be taken into consideration when oVering support and counselling.","container-title":"Postgraduate Medical Journal","DOI":"10.1136/pmj.77.904.109","ISSN":"00325473","issue":"904","language":"en","page":"109-111","source":"DOI.org (Crossref)","title":"Psychological stress, anxiety, depression, job satisfaction, and personality characteristics in preregistration house officers","volume":"77","author":[{"family":"Newbury-Birch","given":"D"}],"issued":{"date-parts":[["2001",2,1]]}}}],"schema":"https://github.com/citation-style-language/schema/raw/master/csl-citation.json"}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(2,10,67)</w:t>
            </w:r>
            <w:r>
              <w:rPr>
                <w:rFonts w:ascii="Calibri" w:hAnsi="Calibri" w:cs="Calibri"/>
                <w:sz w:val="20"/>
                <w:szCs w:val="20"/>
              </w:rPr>
              <w:fldChar w:fldCharType="end"/>
            </w:r>
          </w:p>
        </w:tc>
        <w:tc>
          <w:tcPr>
            <w:tcW w:w="1564" w:type="dxa"/>
          </w:tcPr>
          <w:p w14:paraId="082AE89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Anxiety, depression</w:t>
            </w:r>
          </w:p>
        </w:tc>
        <w:tc>
          <w:tcPr>
            <w:tcW w:w="4365" w:type="dxa"/>
          </w:tcPr>
          <w:p w14:paraId="7129285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52FD82B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vccjbB3M","properties":{"formattedCitation":"(10)","plainCitation":"(10)","noteIndex":0},"citationItems":[{"id":3204,"uris":["http://zotero.org/users/4975241/items/URBKBLJG"],"uri":["http://zotero.org/users/4975241/items/URBKBLJG"],"itemData":{"id":3204,"type":"article-journal","abstract":"The ﬁrst year practising medicine, pre-registration, is considered to be a stressful time for junior doctors. The aims of this study were to explore how levels of psychological distress were affected by changes in the working environment and to examine these effects across subjective (i.e. self-report) and objective (i.e. stress hormone cortisol) indices of psychological distress. A cohort of 36 pre-registration house ofﬁcers (males ¼ 15) completed a battery of psychosocial measures and collected salivary samples for the measurement of diurnal cortisol at the beginning and end of a 3– 4-month clinical rotation with the assumption that the end of a rotation would be less stressful than the beginning. Results from the self-report measures remained constant over the twotime points suggesting no perceived change in emotional well-being on a subjective level. However, there is some evidence of neuro-endocrine changes across the two time points suggestive of hypothalamic – pituitary – adrenal axis dysregulation. In particular, there was a signiﬁcant difference between the cortisol awakening rise with the greatest rise seen at the beginning of a rotation. In addition, the daily cortisol decline (diurnal slope) was also signiﬁcantly less at this test time. These ﬁndings have implications for the discord apparent between self-report and physiological measures of psychological stress.","container-title":"Stress","DOI":"10.3109/10253890903093778","ISSN":"1025-3890, 1607-8888","issue":"2","journalAbbreviation":"Stress","language":"en","page":"155-162","source":"DOI.org (Crossref)","title":"An exploration into physiological and self-report measures of stress in pre-registration doctors at the beginning and end of a clinical rotation","volume":"13","author":[{"family":"Brant","given":"Heather"},{"family":"Wetherell","given":"Mark A."},{"family":"Lightman","given":"Stafford"},{"family":"Crown","given":"Anna"},{"family":"Vedhara","given":"Kavita"}],"issued":{"date-parts":[["2010",3]]}}}],"schema":"https://github.com/citation-style-language/schema/raw/master/csl-citation.json"}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(10)</w:t>
            </w:r>
            <w:r>
              <w:rPr>
                <w:rFonts w:ascii="Calibri" w:hAnsi="Calibri" w:cs="Calibri"/>
                <w:sz w:val="20"/>
                <w:szCs w:val="20"/>
              </w:rPr>
              <w:fldChar w:fldCharType="end"/>
            </w:r>
            <w:r>
              <w:rPr>
                <w:rFonts w:ascii="Calibri" w:hAnsi="Calibri" w:cs="Calibri"/>
                <w:sz w:val="20"/>
                <w:szCs w:val="20"/>
              </w:rPr>
              <w:t xml:space="preserve"> Internal consistency (Cronbach’s alpha = 0.53)</w:t>
            </w:r>
          </w:p>
        </w:tc>
      </w:tr>
      <w:tr w:rsidR="006938E9" w:rsidRPr="00AB4BAE" w14:paraId="5050E375"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72BF771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Brief resident wellness profile</w:t>
            </w:r>
          </w:p>
        </w:tc>
        <w:tc>
          <w:tcPr>
            <w:tcW w:w="701" w:type="dxa"/>
          </w:tcPr>
          <w:p w14:paraId="3649A7A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2</w:t>
            </w:r>
          </w:p>
        </w:tc>
        <w:tc>
          <w:tcPr>
            <w:tcW w:w="1702" w:type="dxa"/>
          </w:tcPr>
          <w:p w14:paraId="42B2290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8XTYMvGr","properties":{"formattedCitation":"(49,73)","plainCitation":"(49,73)","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B."}],"issued":{"date-parts":[["2006",1]]}}},{"id":3264,"uris":["http://zotero.org/users/4975241/items/B5PBJ3AC"],"uri":["http://zotero.org/users/4975241/items/B5PBJ3AC"],"itemData":{"id":3264,"type":"article-journal","abstract":"Background: Medical residency can be a time of increased psychological stress and sleep disturbance. We examine the prospective associations between self-reported sleep quality and resident wellness across a single training year.\nMethods: Sixty-nine (N 069) resident physicians completed the Brief Resident Wellness Profile (M017.66, standard deviation [SD] 0 3.45, range: 0Á17) and the Pittsburgh Sleep Quality Index (M 06.22, SD 0 2.86, range: 12Á25) at multiple occasions in a single training year. We examined the 1-month lagged effect of sleep disturbances on residents’ self-reported wellness.\nResults: Accounting for residents’ overall level of sleep disturbance across the entire study period, both the concurrent (within-person) within-occasion effect of sleep disturbance (B 0 (0.20, standard error [SE] 00.06, p 00.003, 95% confidence interval [CI]: (0.33, (0.07) and the lagged within-person effect of resident sleep disturbance (B 0 (0.15, SE00.07, p 00.037, 95% CI: (0.29, (0.009) were significant predictors of decreased resident wellness. Increases in sleep disturbances are a leading indicator of resident wellness, predicting decreased well-being 1 month later.\nConclusions: Sleep quality exerts a significant effect on self-reported resident wellness. Periodic evaluation of sleep quality may alert program leadership and the residents themselves to impending decreases in psychological well-being.","container-title":"Medical Education Online","DOI":"10.3402/meo.v20.28530","ISSN":"1087-2981","issue":"1","journalAbbreviation":"Medical Education Online","language":"en","page":"28530","source":"DOI.org (Crossref)","title":"Sleep disturbances predict prospective declines in resident physicians’ psychological well-being","volume":"20","author":[{"family":"Min","given":"Alice A."},{"family":"Sbarra","given":"David A."},{"family":"Keim","given":"Samuel M."}],"issued":{"date-parts":[["2015",1]]}}}],"schema":"https://github.com/citation-style-language/schema/raw/master/csl-citation.json"}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(49,73)</w:t>
            </w:r>
            <w:r>
              <w:rPr>
                <w:rFonts w:ascii="Calibri" w:hAnsi="Calibri" w:cs="Calibri"/>
                <w:sz w:val="20"/>
                <w:szCs w:val="20"/>
              </w:rPr>
              <w:fldChar w:fldCharType="end"/>
            </w:r>
          </w:p>
        </w:tc>
        <w:tc>
          <w:tcPr>
            <w:tcW w:w="1564" w:type="dxa"/>
          </w:tcPr>
          <w:p w14:paraId="47DBFC0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Wellness</w:t>
            </w:r>
          </w:p>
        </w:tc>
        <w:tc>
          <w:tcPr>
            <w:tcW w:w="4365" w:type="dxa"/>
          </w:tcPr>
          <w:p w14:paraId="5D61861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6mmSjPH","properties":{"formattedCitation":"(49)","plainCitation":"(49)","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(49)</w:t>
            </w:r>
            <w:r>
              <w:rPr>
                <w:rFonts w:ascii="Calibri" w:hAnsi="Calibri" w:cs="Calibri"/>
                <w:sz w:val="20"/>
                <w:szCs w:val="20"/>
              </w:rPr>
              <w:fldChar w:fldCharType="end"/>
            </w:r>
            <w:r>
              <w:rPr>
                <w:rFonts w:ascii="Calibri" w:hAnsi="Calibri" w:cs="Calibri"/>
                <w:sz w:val="20"/>
                <w:szCs w:val="20"/>
              </w:rPr>
              <w:t xml:space="preserve"> Convergent validity (r=0.63), discriminant validity (r=-0.37), concurrent validity (r=0.007), face validity</w:t>
            </w:r>
          </w:p>
        </w:tc>
        <w:tc>
          <w:tcPr>
            <w:tcW w:w="4365" w:type="dxa"/>
          </w:tcPr>
          <w:p w14:paraId="01630F5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wwXNO1d","properties":{"formattedCitation":"(73)","plainCitation":"(73)","noteIndex":0},"citationItems":[{"id":3264,"uris":["http://zotero.org/users/4975241/items/B5PBJ3AC"],"uri":["http://zotero.org/users/4975241/items/B5PBJ3AC"],"itemData":{"id":3264,"type":"article-journal","abstract":"Background: Medical residency can be a time of increased psychological stress and sleep disturbance. We examine the prospective associations between self-reported sleep quality and resident wellness across a single training year.\nMethods: Sixty-nine (N 069) resident physicians completed the Brief Resident Wellness Profile (M017.66, standard deviation [SD] 0 3.45, range: 0Á17) and the Pittsburgh Sleep Quality Index (M 06.22, SD 0 2.86, range: 12Á25) at multiple occasions in a single training year. We examined the 1-month lagged effect of sleep disturbances on residents’ self-reported wellness.\nResults: Accounting for residents’ overall level of sleep disturbance across the entire study period, both the concurrent (within-person) within-occasion effect of sleep disturbance (B 0 (0.20, standard error [SE] 00.06, p 00.003, 95% confidence interval [CI]: (0.33, (0.07) and the lagged within-person effect of resident sleep disturbance (B 0 (0.15, SE00.07, p 00.037, 95% CI: (0.29, (0.009) were significant predictors of decreased resident wellness. Increases in sleep disturbances are a leading indicator of resident wellness, predicting decreased well-being 1 month later.\nConclusions: Sleep quality exerts a significant effect on self-reported resident wellness. Periodic evaluation of sleep quality may alert program leadership and the residents themselves to impending decreases in psychological well-being.","container-title":"Medical Education Online","DOI":"10.3402/meo.v20.28530","ISSN":"1087-2981","issue":"1","journalAbbreviation":"Medical Education Online","language":"en","page":"28530","source":"DOI.org (Crossref)","title":"Sleep disturbances predict prospective declines in resident physicians’ psychological well-being","volume":"20","author":[{"family":"Min","given":"Alice A."},{"family":"Sbarra","given":"David A."},{"family":"Keim","given":"Samuel M."}],"issued":{"date-parts":[["2015",1]]}}}],"schema":"https://github.com/citation-style-language/schema/raw/master/csl-citation.json"}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(73)</w:t>
            </w:r>
            <w:r>
              <w:rPr>
                <w:rFonts w:ascii="Calibri" w:hAnsi="Calibri" w:cs="Calibri"/>
                <w:sz w:val="20"/>
                <w:szCs w:val="20"/>
              </w:rPr>
              <w:fldChar w:fldCharType="end"/>
            </w:r>
            <w:r>
              <w:rPr>
                <w:rFonts w:ascii="Calibri" w:hAnsi="Calibri" w:cs="Calibri"/>
                <w:sz w:val="20"/>
                <w:szCs w:val="20"/>
              </w:rPr>
              <w:t xml:space="preserve"> Internal consistency (Cronbach’s alpha = 0.83)</w:t>
            </w:r>
          </w:p>
        </w:tc>
      </w:tr>
      <w:tr w:rsidR="006938E9" w:rsidRPr="00AB4BAE" w14:paraId="4C8FB0B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4A32F1B2"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Connor-Davidson-Resilience Scale </w:t>
            </w:r>
          </w:p>
        </w:tc>
        <w:tc>
          <w:tcPr>
            <w:tcW w:w="701" w:type="dxa"/>
          </w:tcPr>
          <w:p w14:paraId="1F6F181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2</w:t>
            </w:r>
          </w:p>
        </w:tc>
        <w:tc>
          <w:tcPr>
            <w:tcW w:w="1702" w:type="dxa"/>
          </w:tcPr>
          <w:p w14:paraId="03FB65A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jeUz7mC3","properties":{"formattedCitation":"(7,57)","plainCitation":"(7,57)","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id":3325,"uris":["http://zotero.org/users/4975241/items/AYDX997D"],"uri":["http://zotero.org/users/4975241/items/AYDX997D"],"itemData":{"id":3325,"type":"article-journal","abstract":"Cognitive theories of emotion posit that affective responses may be shaped by how individuals interpret emotion-eliciting situations. This study tested whether individual differences in interpretation bias (i.e., interpreting ambiguous scenarios in a more negative or positive manner) independently predict trait resilience and depression in medical interns. Interpretation bias and trait resilience scores were assessed in 47 interns prior to their first internship. Depressive symptoms were assessed twice during internship. Nearly half of the sample (42%) scored above the cut-off for mild depressive symptoms during internship, a significant rise compared to the initial assessment. Those with a more positive interpretation bias had higher trait resilience (β = 0.44, p = 0.004) and a 6-fold decreased depressive symptom risk during internship (OR = 6.41, p = 0.027). The predictive power of a positive interpretation bias for decreased depression symptoms held over and above initial depressive symptoms, demographics and trait reappraisal. Assessing positive interpretation bias may have practical utility for predicting future well-being in at risk-populations.","container-title":"Frontiers in Psychology","DOI":"10.3389/fpsyg.2014.00640","ISSN":"1664-1078","journalAbbreviation":"Front Psychol","language":"eng","note":"PMID: 25009521\nPMCID: PMC4067546","page":"640","source":"PubMed","title":"Positive interpretation bias predicts well-being in medical interns","volume":"5","author":[{"family":"Kleim","given":"Birgit"},{"family":"Thörn","given":"Hanna A."},{"family":"Ehlert","given":"Ulrike"}],"issued":{"date-parts":[["2014"]]}}}],"schema":"https://github.com/citation-style-language/schema/raw/master/csl-citation.json"}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(7,57)</w:t>
            </w:r>
            <w:r>
              <w:rPr>
                <w:rFonts w:ascii="Calibri" w:hAnsi="Calibri" w:cs="Calibri"/>
                <w:sz w:val="20"/>
                <w:szCs w:val="20"/>
              </w:rPr>
              <w:fldChar w:fldCharType="end"/>
            </w:r>
          </w:p>
        </w:tc>
        <w:tc>
          <w:tcPr>
            <w:tcW w:w="1564" w:type="dxa"/>
          </w:tcPr>
          <w:p w14:paraId="5E77557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2317817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57CF738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C0A9M38","properties":{"formattedCitation":"(57)","plainCitation":"(57)","noteIndex":0},"citationItems":[{"id":3325,"uris":["http://zotero.org/users/4975241/items/AYDX997D"],"uri":["http://zotero.org/users/4975241/items/AYDX997D"],"itemData":{"id":3325,"type":"article-journal","abstract":"Cognitive theories of emotion posit that affective responses may be shaped by how individuals interpret emotion-eliciting situations. This study tested whether individual differences in interpretation bias (i.e., interpreting ambiguous scenarios in a more negative or positive manner) independently predict trait resilience and depression in medical interns. Interpretation bias and trait resilience scores were assessed in 47 interns prior to their first internship. Depressive symptoms were assessed twice during internship. Nearly half of the sample (42%) scored above the cut-off for mild depressive symptoms during internship, a significant rise compared to the initial assessment. Those with a more positive interpretation bias had higher trait resilience (β = 0.44, p = 0.004) and a 6-fold decreased depressive symptom risk during internship (OR = 6.41, p = 0.027). The predictive power of a positive interpretation bias for decreased depression symptoms held over and above initial depressive symptoms, demographics and trait reappraisal. Assessing positive interpretation bias may have practical utility for predicting future well-being in at risk-populations.","container-title":"Frontiers in Psychology","DOI":"10.3389/fpsyg.2014.00640","ISSN":"1664-1078","journalAbbreviation":"Front Psychol","language":"eng","note":"PMID: 25009521\nPMCID: PMC4067546","page":"640","source":"PubMed","title":"Positive interpretation bias predicts well-being in medical interns","volume":"5","author":[{"family":"Kleim","given":"Birgit"},{"family":"Thörn","given":"Hanna A."},{"family":"Ehlert","given":"Ulrike"}],"issued":{"date-parts":[["2014"]]}}}],"schema":"https://github.com/citation-style-language/schema/raw/master/csl-citation.json"}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(57)</w:t>
            </w:r>
            <w:r>
              <w:rPr>
                <w:rFonts w:ascii="Calibri" w:hAnsi="Calibri" w:cs="Calibri"/>
                <w:sz w:val="20"/>
                <w:szCs w:val="20"/>
              </w:rPr>
              <w:fldChar w:fldCharType="end"/>
            </w:r>
            <w:r>
              <w:rPr>
                <w:rFonts w:ascii="Calibri" w:hAnsi="Calibri" w:cs="Calibri"/>
                <w:sz w:val="20"/>
                <w:szCs w:val="20"/>
              </w:rPr>
              <w:t xml:space="preserve"> Internal consistency (Cronbach’s alpha = 0.85)</w:t>
            </w:r>
          </w:p>
        </w:tc>
      </w:tr>
      <w:tr w:rsidR="006938E9" w:rsidRPr="00AB4BAE" w14:paraId="3262AB1A"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3F7B894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Cooper Job Stress</w:t>
            </w:r>
          </w:p>
        </w:tc>
        <w:tc>
          <w:tcPr>
            <w:tcW w:w="701" w:type="dxa"/>
          </w:tcPr>
          <w:p w14:paraId="014DCA4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2</w:t>
            </w:r>
          </w:p>
        </w:tc>
        <w:tc>
          <w:tcPr>
            <w:tcW w:w="1702" w:type="dxa"/>
          </w:tcPr>
          <w:p w14:paraId="2056A23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hstRpzY","properties":{"formattedCitation":"(45,86)","plainCitation":"(45,86)","noteIndex":0},"citationItems":[{"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sz w:val="20"/>
              </w:rPr>
              <w:t>(45,86)</w:t>
            </w:r>
            <w:r>
              <w:rPr>
                <w:rFonts w:ascii="Calibri" w:hAnsi="Calibri" w:cs="Calibri"/>
                <w:sz w:val="20"/>
                <w:szCs w:val="20"/>
              </w:rPr>
              <w:fldChar w:fldCharType="end"/>
            </w:r>
          </w:p>
        </w:tc>
        <w:tc>
          <w:tcPr>
            <w:tcW w:w="1564" w:type="dxa"/>
          </w:tcPr>
          <w:p w14:paraId="369A2BA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5389FE9F"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SLjwUwwc","properties":{"formattedCitation":"(45)","plainCitation":"(45)","noteIndex":0},"citationItems":[{"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schema":"https://github.com/citation-style-language/schema/raw/master/csl-citation.json"} </w:instrText>
            </w:r>
            <w:r>
              <w:rPr>
                <w:rFonts w:ascii="Calibri" w:hAnsi="Calibri" w:cs="Calibri"/>
                <w:sz w:val="20"/>
                <w:szCs w:val="20"/>
              </w:rPr>
              <w:fldChar w:fldCharType="separate"/>
            </w:r>
            <w:r>
              <w:rPr>
                <w:rFonts w:ascii="Calibri" w:hAnsi="Calibri" w:cs="Calibri"/>
                <w:sz w:val="20"/>
              </w:rPr>
              <w:t>(45)</w:t>
            </w:r>
            <w:r>
              <w:rPr>
                <w:rFonts w:ascii="Calibri" w:hAnsi="Calibri" w:cs="Calibri"/>
                <w:sz w:val="20"/>
                <w:szCs w:val="20"/>
              </w:rPr>
              <w:fldChar w:fldCharType="end"/>
            </w:r>
            <w:r>
              <w:rPr>
                <w:rFonts w:ascii="Calibri" w:hAnsi="Calibri" w:cs="Calibri"/>
                <w:sz w:val="20"/>
                <w:szCs w:val="20"/>
              </w:rPr>
              <w:t xml:space="preserve"> Construct validity (four factors), face validity</w:t>
            </w:r>
          </w:p>
          <w:p w14:paraId="6FFA047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q0XH3H40","properties":{"formattedCitation":"(86)","plainCitation":"(86)","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(86)</w:t>
            </w:r>
            <w:r>
              <w:rPr>
                <w:rFonts w:ascii="Calibri" w:hAnsi="Calibri" w:cs="Calibri"/>
                <w:sz w:val="20"/>
                <w:szCs w:val="20"/>
              </w:rPr>
              <w:fldChar w:fldCharType="end"/>
            </w:r>
            <w:r>
              <w:rPr>
                <w:rFonts w:ascii="Calibri" w:hAnsi="Calibri" w:cs="Calibri"/>
                <w:sz w:val="20"/>
                <w:szCs w:val="20"/>
              </w:rPr>
              <w:t xml:space="preserve"> Construct validity (three factors)</w:t>
            </w:r>
          </w:p>
        </w:tc>
        <w:tc>
          <w:tcPr>
            <w:tcW w:w="4365" w:type="dxa"/>
          </w:tcPr>
          <w:p w14:paraId="6589EF84"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WIIQuDL2","properties":{"formattedCitation":"(45)","plainCitation":"(45)","noteIndex":0},"citationItems":[{"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schema":"https://github.com/citation-style-language/schema/raw/master/csl-citation.json"} </w:instrText>
            </w:r>
            <w:r>
              <w:rPr>
                <w:rFonts w:ascii="Calibri" w:hAnsi="Calibri" w:cs="Calibri"/>
                <w:sz w:val="20"/>
                <w:szCs w:val="20"/>
              </w:rPr>
              <w:fldChar w:fldCharType="separate"/>
            </w:r>
            <w:r>
              <w:rPr>
                <w:rFonts w:ascii="Calibri" w:hAnsi="Calibri" w:cs="Calibri"/>
                <w:sz w:val="20"/>
              </w:rPr>
              <w:t>(45)</w:t>
            </w:r>
            <w:r>
              <w:rPr>
                <w:rFonts w:ascii="Calibri" w:hAnsi="Calibri" w:cs="Calibri"/>
                <w:sz w:val="20"/>
                <w:szCs w:val="20"/>
              </w:rPr>
              <w:fldChar w:fldCharType="end"/>
            </w:r>
            <w:r>
              <w:rPr>
                <w:rFonts w:ascii="Calibri" w:hAnsi="Calibri" w:cs="Calibri"/>
                <w:sz w:val="20"/>
                <w:szCs w:val="20"/>
              </w:rPr>
              <w:t xml:space="preserve"> Internal consistency (Cronbach’s alpha = 0.73-0.83)</w:t>
            </w:r>
          </w:p>
          <w:p w14:paraId="77B6944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4Jas5WQA","properties":{"formattedCitation":"(86)","plainCitation":"(86)","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(86)</w:t>
            </w:r>
            <w:r>
              <w:rPr>
                <w:rFonts w:ascii="Calibri" w:hAnsi="Calibri" w:cs="Calibri"/>
                <w:sz w:val="20"/>
                <w:szCs w:val="20"/>
              </w:rPr>
              <w:fldChar w:fldCharType="end"/>
            </w:r>
            <w:r>
              <w:rPr>
                <w:rFonts w:ascii="Calibri" w:hAnsi="Calibri" w:cs="Calibri"/>
                <w:sz w:val="20"/>
                <w:szCs w:val="20"/>
              </w:rPr>
              <w:t xml:space="preserve"> Internal consistency (Cronbach’s alpha = 0.90)</w:t>
            </w:r>
          </w:p>
        </w:tc>
      </w:tr>
      <w:tr w:rsidR="006938E9" w:rsidRPr="00AB4BAE" w14:paraId="487B037D"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0E4AD97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Copenhagen Burnout Inventory</w:t>
            </w:r>
          </w:p>
        </w:tc>
        <w:tc>
          <w:tcPr>
            <w:tcW w:w="701" w:type="dxa"/>
          </w:tcPr>
          <w:p w14:paraId="6886707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2</w:t>
            </w:r>
          </w:p>
        </w:tc>
        <w:tc>
          <w:tcPr>
            <w:tcW w:w="1702" w:type="dxa"/>
          </w:tcPr>
          <w:p w14:paraId="0895803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d7fRAMTb","properties":{"formattedCitation":"(38,47)","plainCitation":"(38,47)","noteIndex":0},"citationItems":[{"id":3302,"uris":["http://zotero.org/users/4975241/items/RPVAHTL7"],"uri":["http://zotero.org/users/4975241/items/RPVAHTL7"],"itemData":{"id":3302,"type":"article-journal","abstract":"OBJECTIVE: To determine how residents' relationships with their sources of social support (ie, family, friends, and colleagues) affect levels of burnout and loneliness.\nDESIGN: Cross-sectional survey.\nSETTING: Faculty of Medicine at the University of British Columbia in Vancouver.\nPARTICIPANTS: A total of 198 physician-trainees in the university's postgraduate medical education program.\nMAIN OUTCOME MEASURES: Residents' personal and work-related burnout scores (measured using items from the Copenhagen Burnout Inventory); loneliness (measured using a 3-item loneliness scale); and social support (assessed with the Lubben Social Network Scale, version 6).\nRESULTS: Of the 234 respondents who completed the Internet-based survey (a 22% response rate), 198 provided complete information on all study variables and thus constituted the analytic sample. Seemingly unrelated regression analyses indicated that loneliness was significantly (P &lt; .01) and positively associated with both personal and work-related burnout scores. Greater friend-based and colleague-based social support were both indirectly associated with lower personal and work-related burnout scores through their negative associations with loneliness.\nCONCLUSION: Social relationships might help residents mitigate the deleterious effects of burnout. By promoting interventions that stabilize and nurture social relationships, hospitals and universities can potentially help promote resident resilience and well-being and, in turn, improve patient care.","container-title":"Canadian Family Physician Medecin De Famille Canadien","ISSN":"1715-5258","issue":"11","journalAbbreviation":"Can Fam Physician","language":"eng","note":"PMID: 28661887","page":"e677-e683","source":"PubMed","title":"Getting by with a little help from friends and colleagues: Testing how residents' social support networks affect loneliness and burnout","title-short":"Getting by with a little help from friends and colleagues","volume":"62","author":[{"family":"Rogers","given":"Eamonn"},{"family":"Polonijo","given":"Andrea N."},{"family":"Carpiano","given":"Richard M."}],"issued":{"date-parts":[["2016",11]]}}},{"id":3097,"uris":["http://zotero.org/users/4975241/items/3F28C6I7"],"uri":["http://zotero.org/users/4975241/items/3F28C6I7"],"itemData":{"id":3097,"type":"article-journal","container-title":"Perspectives on Medical Education","DOI":"10.1007/s40037-013-0075-y","ISSN":"2212-2761, 2212-277X","issue":"2","journalAbbreviation":"Perspect Med Educ","language":"en","page":"136-143","source":"DOI.org (Crossref)","title":"Junior doctors in their first year: mental health, quality of life, burnout and heart rate variability","title-short":"Junior doctors in their first year","volume":"3","author":[{"family":"Henning","given":"Marcus A."},{"family":"Sollers","given":"John"},{"family":"Strom","given":"Joanna M."},{"family":"Hill","given":"Andrew G."},{"family":"Lyndon","given":"Mataroria P."},{"family":"Cumin","given":"David"},{"family":"Hawken","given":"Susan J."}],"issued":{"date-parts":[["2014",4]]}}}],"schema":"https://github.com/citation-style-language/schema/raw/master/csl-citation.json"}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(38,47)</w:t>
            </w:r>
            <w:r>
              <w:rPr>
                <w:rFonts w:ascii="Calibri" w:hAnsi="Calibri" w:cs="Calibri"/>
                <w:sz w:val="20"/>
                <w:szCs w:val="20"/>
              </w:rPr>
              <w:fldChar w:fldCharType="end"/>
            </w:r>
          </w:p>
        </w:tc>
        <w:tc>
          <w:tcPr>
            <w:tcW w:w="1564" w:type="dxa"/>
          </w:tcPr>
          <w:p w14:paraId="6A638E0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Burnout</w:t>
            </w:r>
          </w:p>
        </w:tc>
        <w:tc>
          <w:tcPr>
            <w:tcW w:w="4365" w:type="dxa"/>
          </w:tcPr>
          <w:p w14:paraId="084D4FA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18F6A09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viOwWXwN","properties":{"formattedCitation":"(38)","plainCitation":"(38)","noteIndex":0},"citationItems":[{"id":3302,"uris":["http://zotero.org/users/4975241/items/RPVAHTL7"],"uri":["http://zotero.org/users/4975241/items/RPVAHTL7"],"itemData":{"id":3302,"type":"article-journal","abstract":"OBJECTIVE: To determine how residents' relationships with their sources of social support (ie, family, friends, and colleagues) affect levels of burnout and loneliness.\nDESIGN: Cross-sectional survey.\nSETTING: Faculty of Medicine at the University of British Columbia in Vancouver.\nPARTICIPANTS: A total of 198 physician-trainees in the university's postgraduate medical education program.\nMAIN OUTCOME MEASURES: Residents' personal and work-related burnout scores (measured using items from the Copenhagen Burnout Inventory); loneliness (measured using a 3-item loneliness scale); and social support (assessed with the Lubben Social Network Scale, version 6).\nRESULTS: Of the 234 respondents who completed the Internet-based survey (a 22% response rate), 198 provided complete information on all study variables and thus constituted the analytic sample. Seemingly unrelated regression analyses indicated that loneliness was significantly (P &lt; .01) and positively associated with both personal and work-related burnout scores. Greater friend-based and colleague-based social support were both indirectly associated with lower personal and work-related burnout scores through their negative associations with loneliness.\nCONCLUSION: Social relationships might help residents mitigate the deleterious effects of burnout. By promoting interventions that stabilize and nurture social relationships, hospitals and universities can potentially help promote resident resilience and well-being and, in turn, improve patient care.","container-title":"Canadian Family Physician Medecin De Famille Canadien","ISSN":"1715-5258","issue":"11","journalAbbreviation":"Can Fam Physician","language":"eng","note":"PMID: 28661887","page":"e677-e683","source":"PubMed","title":"Getting by with a little help from friends and colleagues: Testing how residents' social support networks affect loneliness and burnout","title-short":"Getting by with a little help from friends and colleagues","volume":"62","author":[{"family":"Rogers","given":"Eamonn"},{"family":"Polonijo","given":"Andrea N."},{"family":"Carpiano","given":"Richard M."}],"issued":{"date-parts":[["2016",11]]}}}],"schema":"https://github.com/citation-style-language/schema/raw/master/csl-citation.json"}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(38)</w:t>
            </w:r>
            <w:r>
              <w:rPr>
                <w:rFonts w:ascii="Calibri" w:hAnsi="Calibri" w:cs="Calibri"/>
                <w:sz w:val="20"/>
                <w:szCs w:val="20"/>
              </w:rPr>
              <w:fldChar w:fldCharType="end"/>
            </w:r>
            <w:r>
              <w:rPr>
                <w:rFonts w:ascii="Calibri" w:hAnsi="Calibri" w:cs="Calibri"/>
                <w:sz w:val="20"/>
                <w:szCs w:val="20"/>
              </w:rPr>
              <w:t>Internal consistency (Cronbach’s alpha = 0.73-0.71 and 0.82)</w:t>
            </w:r>
          </w:p>
        </w:tc>
      </w:tr>
      <w:tr w:rsidR="006938E9" w:rsidRPr="00AB4BAE" w14:paraId="1A3FAD30"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3241B55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Occupational Stress Indicator</w:t>
            </w:r>
          </w:p>
        </w:tc>
        <w:tc>
          <w:tcPr>
            <w:tcW w:w="701" w:type="dxa"/>
          </w:tcPr>
          <w:p w14:paraId="1DD5B54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2</w:t>
            </w:r>
          </w:p>
        </w:tc>
        <w:tc>
          <w:tcPr>
            <w:tcW w:w="1702" w:type="dxa"/>
          </w:tcPr>
          <w:p w14:paraId="2A9817E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2UvLDNZK","properties":{"formattedCitation":"(21,67)","plainCitation":"(21,67)","noteIndex":0},"citationItems":[{"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id":3258,"uris":["http://zotero.org/users/4975241/items/95RKZLGQ"],"uri":["http://zotero.org/users/4975241/items/95RKZLGQ"],"itemData":{"id":3258,"type":"article-journal","abstract":"Work related stress and anxiety may have a profound eVect on an individual’s wellbeing. In the case of doctors this may also aVect patient care. This study measured stress, anxiety, and job satisfaction and the inﬂuence of personality factors on these in a group of preregistration house oYcers in the north east of England. A total of 109 preregistration house oYcers anonymously completed a lifestyles questionnaire designed to measure self rated psychological stress, state anxiety, job satisfaction, and personality characteristics. Results showed that 37.5% of women and 24% of men preregistration house oYcers suVered from possible psychological stress. Altogether 38.9% of women and 5.4% of men were suVering from possible anxiety and 8.3% of women and 2.7% of men were suVering from possible depression. The mean (SD) job satisfaction scores were 83.8(17.4) (range 52–127; median 86.5) for men and 80.5(16.7) (range 41–114; median 81) for women. Altogether 30.6% of men and 41.7% of women reported to be dissatisﬁed with the organisational processes in their job. There were signiﬁcant negative correlations between stress and job satisfaction scores (r = −0.508; p&lt;0.0001) and between anxiety and job satisfaction scores (r = −0.421; p&lt;0.0001), and signiﬁcant positive associations between anxiety and stress scores (r = 0.593; p&lt;0.0001). Stress, anxiety, and depression scores were signiﬁcantly correlated with neuroticism scores in both men and women. The personality characteristic of neuroticism was a predisposing factor for stress and anxiety in the junior doctors which may be taken into consideration when oVering support and counselling.","container-title":"Postgraduate Medical Journal","DOI":"10.1136/pmj.77.904.109","ISSN":"00325473","issue":"904","language":"en","page":"109-111","source":"DOI.org (Crossref)","title":"Psychological stress, anxiety, depression, job satisfaction, and personality characteristics in preregistration house officers","volume":"77","author":[{"family":"Newbury-Birch","given":"D"}],"issued":{"date-parts":[["2001",2,1]]}}}],"schema":"https://github.com/citation-style-language/schema/raw/master/csl-citation.json"}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(21,67)</w:t>
            </w:r>
            <w:r>
              <w:rPr>
                <w:rFonts w:ascii="Calibri" w:hAnsi="Calibri" w:cs="Calibri"/>
                <w:sz w:val="20"/>
                <w:szCs w:val="20"/>
              </w:rPr>
              <w:fldChar w:fldCharType="end"/>
            </w:r>
          </w:p>
        </w:tc>
        <w:tc>
          <w:tcPr>
            <w:tcW w:w="1564" w:type="dxa"/>
          </w:tcPr>
          <w:p w14:paraId="27D9816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5E457A9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2A7D0BF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G124aDo","properties":{"formattedCitation":"(21)","plainCitation":"(21)","noteIndex":0},"citationItems":[{"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(21)</w:t>
            </w:r>
            <w:r>
              <w:rPr>
                <w:rFonts w:ascii="Calibri" w:hAnsi="Calibri" w:cs="Calibri"/>
                <w:sz w:val="20"/>
                <w:szCs w:val="20"/>
              </w:rPr>
              <w:fldChar w:fldCharType="end"/>
            </w:r>
            <w:r>
              <w:rPr>
                <w:rFonts w:ascii="Calibri" w:hAnsi="Calibri" w:cs="Calibri"/>
                <w:sz w:val="20"/>
                <w:szCs w:val="20"/>
              </w:rPr>
              <w:t xml:space="preserve"> Internal consistency (Cronbach’s alpha = 0.89)</w:t>
            </w:r>
          </w:p>
        </w:tc>
      </w:tr>
      <w:tr w:rsidR="006938E9" w:rsidRPr="00AB4BAE" w14:paraId="7F70763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17E3CA5B"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Pittsburgh Sleep Quality Index </w:t>
            </w:r>
          </w:p>
        </w:tc>
        <w:tc>
          <w:tcPr>
            <w:tcW w:w="701" w:type="dxa"/>
          </w:tcPr>
          <w:p w14:paraId="18D6B63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2</w:t>
            </w:r>
          </w:p>
        </w:tc>
        <w:tc>
          <w:tcPr>
            <w:tcW w:w="1702" w:type="dxa"/>
          </w:tcPr>
          <w:p w14:paraId="0019157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pFivXj9k","properties":{"formattedCitation":"(73,74)","plainCitation":"(73,74)","noteIndex":0},"citationItems":[{"id":3264,"uris":["http://zotero.org/users/4975241/items/B5PBJ3AC"],"uri":["http://zotero.org/users/4975241/items/B5PBJ3AC"],"itemData":{"id":3264,"type":"article-journal","abstract":"Background: Medical residency can be a time of increased psychological stress and sleep disturbance. We examine the prospective associations between self-reported sleep quality and resident wellness across a single training year.\nMethods: Sixty-nine (N 069) resident physicians completed the Brief Resident Wellness Profile (M017.66, standard deviation [SD] 0 3.45, range: 0Á17) and the Pittsburgh Sleep Quality Index (M 06.22, SD 0 2.86, range: 12Á25) at multiple occasions in a single training year. We examined the 1-month lagged effect of sleep disturbances on residents’ self-reported wellness.\nResults: Accounting for residents’ overall level of sleep disturbance across the entire study period, both the concurrent (within-person) within-occasion effect of sleep disturbance (B 0 (0.20, standard error [SE] 00.06, p 00.003, 95% confidence interval [CI]: (0.33, (0.07) and the lagged within-person effect of resident sleep disturbance (B 0 (0.15, SE00.07, p 00.037, 95% CI: (0.29, (0.009) were significant predictors of decreased resident wellness. Increases in sleep disturbances are a leading indicator of resident wellness, predicting decreased well-being 1 month later.\nConclusions: Sleep quality exerts a significant effect on self-reported resident wellness. Periodic evaluation of sleep quality may alert program leadership and the residents themselves to impending decreases in psychological well-being.","container-title":"Medical Education Online","DOI":"10.3402/meo.v20.28530","ISSN":"1087-2981","issue":"1","journalAbbreviation":"Medical Education Online","language":"en","page":"28530","source":"DOI.org (Crossref)","title":"Sleep disturbances predict prospective declines in resident physicians’ psychological well-being","volume":"20","author":[{"family":"Min","given":"Alice A."},{"family":"Sbarra","given":"David A."},{"family":"Keim","given":"Samuel M."}],"issued":{"date-parts":[["2015",1]]}}},{"id":3322,"uris":["http://zotero.org/users/4975241/items/MUZVWV6U"],"uri":["http://zotero.org/users/4975241/items/MUZVWV6U"],"itemData":{"id":3322,"type":"article-journal","abstract":"BACKGROUND: Sleep impairment is highly prevalent among resident physicians and is associated with both adverse patient outcomes and poor resident mental and physical health. Risk factors for sleep problems during residency are less clear, and no screening model exists to identify residents at risk for sleep impairment.\nOBJECTIVE: The objective of this study was to assess change in resident sleep during training and to evaluate utility of baseline sleep screening in predicting future sleep impairment.\nDESIGN: This is a prospective observational repeated-measures survey study.\nPARTICIPANTS: The participants comprised PGY-1 residents across multiple specialties at Partners HealthCare hospitals.\nMAIN MEASURES: Main measures used for this study were demographic queries and two validated scales: the Pittsburgh Sleep Quality Index (PSQI), measuring sleep quality, and the Epworth Sleepiness Scale (ESS), measuring excessive daytime sleepiness.\nKEY RESULTS: Two hundred eighty-one PGY-1 residents completed surveys at residency orientation, and 153 (54%) completed matched surveys 9 months later. Mean nightly sleep time decreased from 7.6 to 6.5 hours (p &lt; 0.001). Mean PSQI score increased from 3.6 to 5.2 (p &lt; 0.001), and mean ESS score increased from 7.2 to 10.4 (p &lt; 0.001). The proportion of residents exceeding the scales' clinical cutoffs increased over time from 15 to 40% on the PSQI (p &lt; 0.001) and from 26 to 59% on the ESS (p &lt; 0.001). Baseline normal sleep was not protective: 68% of residents with normal scores on both scales at baseline exceeded the clinical cutoff on at least one scale at follow-up. Greater age and fewer children increased follow-up PSQI score (p &lt; 0.001) but not ESS score.\nCONCLUSIONS: During PGY-1 training, residents experience worsening sleep duration, quality of sleep, and daytime sleepiness. Residents with baseline impaired sleep tend to remain impaired. Moreover, many residents with baseline normal sleep experience sleep deterioration over time. Sleep screening at residency orientation may identify some, but not all, residents who will experience sleep impairment during training.","container-title":"Journal of General Internal Medicine","DOI":"10.1007/s11606-018-4348-3","ISSN":"1525-1497","issue":"6","journalAbbreviation":"J Gen Intern Med","language":"eng","note":"PMID: 29464473\nPMCID: PMC5975152","page":"825-830","source":"PubMed","title":"So Tired: Predictive Utility of Baseline Sleep Screening in a Longitudinal Observational Survey Cohort of First-Year Residents","title-short":"So Tired","volume":"33","author":[{"family":"Zebrowski","given":"Jonathan P."},{"family":"Pulliam","given":"Samantha J."},{"family":"Denninger","given":"John W."},{"family":"Berkowitz","given":"Lori R."}],"issued":{"date-parts":[["2018"]]}}}],"schema":"https://github.com/citation-style-language/schema/raw/master/csl-citation.json"}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(73,74)</w:t>
            </w:r>
            <w:r>
              <w:rPr>
                <w:rFonts w:ascii="Calibri" w:hAnsi="Calibri" w:cs="Calibri"/>
                <w:sz w:val="20"/>
                <w:szCs w:val="20"/>
              </w:rPr>
              <w:fldChar w:fldCharType="end"/>
            </w:r>
          </w:p>
        </w:tc>
        <w:tc>
          <w:tcPr>
            <w:tcW w:w="1564" w:type="dxa"/>
          </w:tcPr>
          <w:p w14:paraId="5D58C2D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Sleep</w:t>
            </w:r>
          </w:p>
        </w:tc>
        <w:tc>
          <w:tcPr>
            <w:tcW w:w="4365" w:type="dxa"/>
          </w:tcPr>
          <w:p w14:paraId="313727F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C060EB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02EB36DA"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187360F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UK Medical Career Research Group</w:t>
            </w:r>
          </w:p>
        </w:tc>
        <w:tc>
          <w:tcPr>
            <w:tcW w:w="701" w:type="dxa"/>
          </w:tcPr>
          <w:p w14:paraId="1D5AABE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2</w:t>
            </w:r>
          </w:p>
        </w:tc>
        <w:tc>
          <w:tcPr>
            <w:tcW w:w="1702" w:type="dxa"/>
          </w:tcPr>
          <w:p w14:paraId="3A82B40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a9G892h","properties":{"formattedCitation":"(26,89)","plainCitation":"(26,89)","noteIndex":0},"citationItems":[{"id":2984,"uris":["http://zotero.org/users/4975241/items/DCEHAHMU"],"uri":["http://zotero.org/users/4975241/items/DCEHAHMU"],"itemData":{"id":2984,"type":"article-journal","abstract":"Objective The ﬁrst year of postgraduate work for newly qualiﬁed doctors in the UK, the pre-registration year, is spent working intensively in training posts under supervision. Our aim was to report the views of preregistration doctors on these posts. Design Questionnaire survey. Subjects All medical graduates of 1999 and a 25% sample of graduates of 2000 from all UK medical schools. Main outcome measures Doctors’ views on the preregistration house ofﬁcer (PRHO) year, recorded as ratings in answers to questions and statements about the year. Results In reply to the question ÔHow much have you enjoyed the PRHO year overall?Õ, rated on a scale from 0)10 (0 ¼ no enjoyment; 10 ¼ enjoyed it greatly), 44% of respondents (1341 ⁄ 3068) gave scores of 8–10; in all, 83Æ2% of respondents gave scores in the upper half of the scale (‡6). However, there were criticisms of speciﬁc aspects of working conditions. Only a third agreed that their training during the year had been of a high standard. Posts in medicine were rated more highly than those in surgery for quality of training. Differences in views held by women and men junior doctors were few. However, where differences existed, women were slightly more positive about their work than men. Conclusion Most graduates enjoyed the pre-registration year but there is still considerable scope for improvement in working conditions and training. Men and women gave similar responses, which suggests that later divergence in their career pathways is not attributable to different views formed about work in their preregistration year.","container-title":"Medical Education","DOI":"10.1046/j.1365-2923.2003.01611.x","ISSN":"0308-0110, 1365-2923","issue":"9","journalAbbreviation":"Med Educ","language":"en","page":"802-808","source":"DOI.org (Crossref)","title":"Doctors' views of their first year of medical work and postgraduate training in the UK: questionnaire surveys","title-short":"Doctors' views of their first year of medical work and postgraduate training in the UK","volume":"37","author":[{"family":"Goldacre","given":"Michael J"},{"family":"Davidson","given":"Jean M"},{"family":"Lambert","given":"Trevor W"}],"issued":{"date-parts":[["2003",9]]}}},{"id":3281,"uris":["http://zotero.org/users/4975241/items/88EPWDWH"],"uri":["http://zotero.org/users/4975241/items/88EPWDWH"],"itemData":{"id":3281,"type":"article-journal","abstract":"Background: In the UK, doctors’ first year of medical work is also their first year of postgraduate training. It is very important that their experience of work and training is good. Design: Surveys of entire cohorts graduating in particular years. Setting: UK.\nMethod: Questionnaires sent 1 year after qualification to all UK medical graduates of 1999, 2000, 2002, 2005, 2008 and 2009.\nResults: The study comprised 17 831 respondents. Variation in views across cohorts was modest. Overall, 30% agreed their training had been of a high standard; 38% agreed educational opportunities had been good; 52% agreed they had to do too much routine nonmedical work; and 16% agreed they had to perform clinical tasks for which they felt inadequately trained. Job enjoyment, rated from 1 (‘I didn’t enjoy it at all’) to 10 (‘I enjoyed it greatly’), improved from 70% of doctors in the 1999 cohort scoring 7–10 to 75% in the 2009 cohort. Satisfaction with available leisure time, rated from 1 (‘not at all satisfied’) to 10 (‘extremely satisfied’), rose from 24% scoring 7–10 in the 1999s to 49% in the 2009s. Male–female differences were small.\nConclusions: There was improvement over the decade in some aspects of work, particularly satisfaction with time off work for leisure, and overall enjoyment of the job. There was little change in doctors’ views about the training experience offered by the F1 year.","container-title":"BMJ Open","DOI":"10.1136/bmjopen-2013-002723","ISSN":"2044-6055, 2044-6055","issue":"4","journalAbbreviation":"BMJ Open","language":"en","page":"e002723","source":"DOI.org (Crossref)","title":"Views of UK-trained medical graduates of 1999–2009 about their first postgraduate year of training: national surveys","title-short":"Views of UK-trained medical graduates of 1999–2009 about their first postgraduate year of training","volume":"3","author":[{"family":"Lambert","given":"Trevor W"},{"family":"Surman","given":"Geraldine"},{"family":"Goldacre","given":"Michael J"}],"issued":{"date-parts":[["2013"]]}}}],"schema":"https://github.com/citation-style-language/schema/raw/master/csl-citation.json"}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(26,89)</w:t>
            </w:r>
            <w:r>
              <w:rPr>
                <w:rFonts w:ascii="Calibri" w:hAnsi="Calibri" w:cs="Calibri"/>
                <w:sz w:val="20"/>
                <w:szCs w:val="20"/>
              </w:rPr>
              <w:fldChar w:fldCharType="end"/>
            </w:r>
          </w:p>
        </w:tc>
        <w:tc>
          <w:tcPr>
            <w:tcW w:w="1564" w:type="dxa"/>
          </w:tcPr>
          <w:p w14:paraId="434095C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Job satisfaction</w:t>
            </w:r>
          </w:p>
        </w:tc>
        <w:tc>
          <w:tcPr>
            <w:tcW w:w="4365" w:type="dxa"/>
          </w:tcPr>
          <w:p w14:paraId="1FBFDAF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1E3F715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44CD0F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14A3F76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Anxiety about professional future</w:t>
            </w:r>
          </w:p>
        </w:tc>
        <w:tc>
          <w:tcPr>
            <w:tcW w:w="701" w:type="dxa"/>
          </w:tcPr>
          <w:p w14:paraId="7157ED3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55340E9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s50Yu4YT","properties":{"formattedCitation":"(12)","plainCitation":"(12)","noteIndex":0},"citationItems":[{"id":3290,"uris":["http://zotero.org/users/4975241/items/Z7D6CPAI"],"uri":["http://zotero.org/users/4975241/items/Z7D6CPAI"],"itemData":{"id":3290,"type":"article-journal","abstract":"OBJECTIVES: The interest is focused on today's interns who will soon become an essential part of the health care system. Obstacles they perceive at the beginning of the career may encourage them or, inversely, impede their professional development, enhance professional burnout or even lead to change of the profession. International literature, comprising publications on the situation in ten European countries, Canada and the USA, is reviewed. Numerous considerations have encouraged some attempts to measure \"anxiety about professional future\" (AAF).\nMATERIALS AND METHODS: Seven factors that induce anxiety about professional future among students and young doctors are listed and briefly discussed: 1) Difficulties in getting a job and growing anxiety for maintaining the job; 2) Low wages; 3) Negative impact of work on private and family life, in particular, a conflict between the professional role and mother's role; 4) Excessive level of organizational stress; 5) Lack of (individual) resources to cope with stress; 6) Institutional and financial limitations for professional development; and 7) Worldwide evolution of the professional role and the status of doctor. A questionnaire was developed by the author and answers were collected from a representative sample of Polish interns (about 1000) and a small sample of French interns. A scale for measuring the anxiety was built with use of factor analysis.\nRESULTS: The resulting scale called AAF has proved to have good statistical properties. The mean value of the anxiety indicator proved to be high in Poland. Interns who are familiar with the doctor's daily duties, who feel economically independent and who have good self-valuation of the practical skills are characterized by a lower level of anxiety. AAF values in a sample of French interns was dramatically lower than those characteristic of Polish interns.\nCONCLUSIONS: The values of AAF for the interns can be related to the intensity of stress-inducing factors in the professional environment. Very high AAF values can stem from an excessive professional stress that may have a negative impact on individual careers and the whole health care system in Poland. Appropriate changes in the curriculum of medical studies (accompanied by legal regulations) might reduce excessive anxiety about future in graduating doctors in Poland. Such changes could include: (a) a greater involvement of students in the examination and treatment of patients and in \"daily life\" in health care institutions; (b) making more practice (or performing medical procedures) obligatory; (c) creating better opportunities to earn living in the medical professions (by performing procedures or by assisting professionals); and (d) making efforts in the field of practical education more rewarding (e.g., introducing rating for practice and incorporating it into fellowship schemes).","container-title":"International Journal of Occupational Medicine and Environmental Health","ISSN":"1232-1087","issue":"4","journalAbbreviation":"Int J Occup Med Environ Health","language":"eng","note":"PMID: 16617853","page":"367-374","source":"PubMed","title":"Anxiety about professional future among young doctors","volume":"18","author":[{"family":"Bolanowski","given":"Wojciech"}],"issued":{"date-parts":[["2005"]]}}}],"schema":"https://github.com/citation-style-language/schema/raw/master/csl-citation.json"}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(12)</w:t>
            </w:r>
            <w:r>
              <w:rPr>
                <w:rFonts w:ascii="Calibri" w:hAnsi="Calibri" w:cs="Calibri"/>
                <w:sz w:val="20"/>
                <w:szCs w:val="20"/>
              </w:rPr>
              <w:fldChar w:fldCharType="end"/>
            </w:r>
          </w:p>
        </w:tc>
        <w:tc>
          <w:tcPr>
            <w:tcW w:w="1564" w:type="dxa"/>
          </w:tcPr>
          <w:p w14:paraId="4920153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Anxiety</w:t>
            </w:r>
          </w:p>
        </w:tc>
        <w:tc>
          <w:tcPr>
            <w:tcW w:w="4365" w:type="dxa"/>
          </w:tcPr>
          <w:p w14:paraId="6EDAA37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j1zb4Lk","properties":{"formattedCitation":"(12)","plainCitation":"(12)","noteIndex":0},"citationItems":[{"id":3290,"uris":["http://zotero.org/users/4975241/items/Z7D6CPAI"],"uri":["http://zotero.org/users/4975241/items/Z7D6CPAI"],"itemData":{"id":3290,"type":"article-journal","abstract":"OBJECTIVES: The interest is focused on today's interns who will soon become an essential part of the health care system. Obstacles they perceive at the beginning of the career may encourage them or, inversely, impede their professional development, enhance professional burnout or even lead to change of the profession. International literature, comprising publications on the situation in ten European countries, Canada and the USA, is reviewed. Numerous considerations have encouraged some attempts to measure \"anxiety about professional future\" (AAF).\nMATERIALS AND METHODS: Seven factors that induce anxiety about professional future among students and young doctors are listed and briefly discussed: 1) Difficulties in getting a job and growing anxiety for maintaining the job; 2) Low wages; 3) Negative impact of work on private and family life, in particular, a conflict between the professional role and mother's role; 4) Excessive level of organizational stress; 5) Lack of (individual) resources to cope with stress; 6) Institutional and financial limitations for professional development; and 7) Worldwide evolution of the professional role and the status of doctor. A questionnaire was developed by the author and answers were collected from a representative sample of Polish interns (about 1000) and a small sample of French interns. A scale for measuring the anxiety was built with use of factor analysis.\nRESULTS: The resulting scale called AAF has proved to have good statistical properties. The mean value of the anxiety indicator proved to be high in Poland. Interns who are familiar with the doctor's daily duties, who feel economically independent and who have good self-valuation of the practical skills are characterized by a lower level of anxiety. AAF values in a sample of French interns was dramatically lower than those characteristic of Polish interns.\nCONCLUSIONS: The values of AAF for the interns can be related to the intensity of stress-inducing factors in the professional environment. Very high AAF values can stem from an excessive professional stress that may have a negative impact on individual careers and the whole health care system in Poland. Appropriate changes in the curriculum of medical studies (accompanied by legal regulations) might reduce excessive anxiety about future in graduating doctors in Poland. Such changes could include: (a) a greater involvement of students in the examination and treatment of patients and in \"daily life\" in health care institutions; (b) making more practice (or performing medical procedures) obligatory; (c) creating better opportunities to earn living in the medical professions (by performing procedures or by assisting professionals); and (d) making efforts in the field of practical education more rewarding (e.g., introducing rating for practice and incorporating it into fellowship schemes).","container-title":"International Journal of Occupational Medicine and Environmental Health","ISSN":"1232-1087","issue":"4","journalAbbreviation":"Int J Occup Med Environ Health","language":"eng","note":"PMID: 16617853","page":"367-374","source":"PubMed","title":"Anxiety about professional future among young doctors","volume":"18","author":[{"family":"Bolanowski","given":"Wojciech"}],"issued":{"date-parts":[["2005"]]}}}],"schema":"https://github.com/citation-style-language/schema/raw/master/csl-citation.json"}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(12)</w:t>
            </w:r>
            <w:r>
              <w:rPr>
                <w:rFonts w:ascii="Calibri" w:hAnsi="Calibri" w:cs="Calibri"/>
                <w:sz w:val="20"/>
                <w:szCs w:val="20"/>
              </w:rPr>
              <w:fldChar w:fldCharType="end"/>
            </w:r>
            <w:r>
              <w:rPr>
                <w:rFonts w:ascii="Calibri" w:hAnsi="Calibri" w:cs="Calibri"/>
                <w:sz w:val="20"/>
                <w:szCs w:val="20"/>
              </w:rPr>
              <w:t xml:space="preserve"> Construct validity (one factor)</w:t>
            </w:r>
          </w:p>
        </w:tc>
        <w:tc>
          <w:tcPr>
            <w:tcW w:w="4365" w:type="dxa"/>
          </w:tcPr>
          <w:p w14:paraId="54BDE6D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CEEuhW64","properties":{"formattedCitation":"(12)","plainCitation":"(12)","noteIndex":0},"citationItems":[{"id":3290,"uris":["http://zotero.org/users/4975241/items/Z7D6CPAI"],"uri":["http://zotero.org/users/4975241/items/Z7D6CPAI"],"itemData":{"id":3290,"type":"article-journal","abstract":"OBJECTIVES: The interest is focused on today's interns who will soon become an essential part of the health care system. Obstacles they perceive at the beginning of the career may encourage them or, inversely, impede their professional development, enhance professional burnout or even lead to change of the profession. International literature, comprising publications on the situation in ten European countries, Canada and the USA, is reviewed. Numerous considerations have encouraged some attempts to measure \"anxiety about professional future\" (AAF).\nMATERIALS AND METHODS: Seven factors that induce anxiety about professional future among students and young doctors are listed and briefly discussed: 1) Difficulties in getting a job and growing anxiety for maintaining the job; 2) Low wages; 3) Negative impact of work on private and family life, in particular, a conflict between the professional role and mother's role; 4) Excessive level of organizational stress; 5) Lack of (individual) resources to cope with stress; 6) Institutional and financial limitations for professional development; and 7) Worldwide evolution of the professional role and the status of doctor. A questionnaire was developed by the author and answers were collected from a representative sample of Polish interns (about 1000) and a small sample of French interns. A scale for measuring the anxiety was built with use of factor analysis.\nRESULTS: The resulting scale called AAF has proved to have good statistical properties. The mean value of the anxiety indicator proved to be high in Poland. Interns who are familiar with the doctor's daily duties, who feel economically independent and who have good self-valuation of the practical skills are characterized by a lower level of anxiety. AAF values in a sample of French interns was dramatically lower than those characteristic of Polish interns.\nCONCLUSIONS: The values of AAF for the interns can be related to the intensity of stress-inducing factors in the professional environment. Very high AAF values can stem from an excessive professional stress that may have a negative impact on individual careers and the whole health care system in Poland. Appropriate changes in the curriculum of medical studies (accompanied by legal regulations) might reduce excessive anxiety about future in graduating doctors in Poland. Such changes could include: (a) a greater involvement of students in the examination and treatment of patients and in \"daily life\" in health care institutions; (b) making more practice (or performing medical procedures) obligatory; (c) creating better opportunities to earn living in the medical professions (by performing procedures or by assisting professionals); and (d) making efforts in the field of practical education more rewarding (e.g., introducing rating for practice and incorporating it into fellowship schemes).","container-title":"International Journal of Occupational Medicine and Environmental Health","ISSN":"1232-1087","issue":"4","journalAbbreviation":"Int J Occup Med Environ Health","language":"eng","note":"PMID: 16617853","page":"367-374","source":"PubMed","title":"Anxiety about professional future among young doctors","volume":"18","author":[{"family":"Bolanowski","given":"Wojciech"}],"issued":{"date-parts":[["2005"]]}}}],"schema":"https://github.com/citation-style-language/schema/raw/master/csl-citation.json"}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(12)</w:t>
            </w:r>
            <w:r>
              <w:rPr>
                <w:rFonts w:ascii="Calibri" w:hAnsi="Calibri" w:cs="Calibri"/>
                <w:sz w:val="20"/>
                <w:szCs w:val="20"/>
              </w:rPr>
              <w:fldChar w:fldCharType="end"/>
            </w:r>
            <w:r>
              <w:rPr>
                <w:rFonts w:ascii="Calibri" w:hAnsi="Calibri" w:cs="Calibri"/>
                <w:sz w:val="20"/>
                <w:szCs w:val="20"/>
              </w:rPr>
              <w:t xml:space="preserve"> Internal consistency (Cronbach’s alpha = 0.71)</w:t>
            </w:r>
          </w:p>
        </w:tc>
      </w:tr>
      <w:tr w:rsidR="006938E9" w:rsidRPr="00AB4BAE" w14:paraId="4AD0B689"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61FA7DC8"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Chalder Fatigue Scale</w:t>
            </w:r>
          </w:p>
        </w:tc>
        <w:tc>
          <w:tcPr>
            <w:tcW w:w="701" w:type="dxa"/>
          </w:tcPr>
          <w:p w14:paraId="61B855D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7C31B4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Ay90Toe","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p>
        </w:tc>
        <w:tc>
          <w:tcPr>
            <w:tcW w:w="1564" w:type="dxa"/>
          </w:tcPr>
          <w:p w14:paraId="12FAA01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Fatigue</w:t>
            </w:r>
          </w:p>
        </w:tc>
        <w:tc>
          <w:tcPr>
            <w:tcW w:w="4365" w:type="dxa"/>
          </w:tcPr>
          <w:p w14:paraId="33DCE48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3C37FC2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4RRMyvoA","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r>
              <w:rPr>
                <w:rFonts w:ascii="Calibri" w:hAnsi="Calibri" w:cs="Calibri"/>
                <w:sz w:val="20"/>
                <w:szCs w:val="20"/>
              </w:rPr>
              <w:t xml:space="preserve"> Internal consistency (Cronbach’s alpha = 0.95)</w:t>
            </w:r>
          </w:p>
        </w:tc>
      </w:tr>
      <w:tr w:rsidR="006938E9" w:rsidRPr="00AB4BAE" w14:paraId="43879C9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43F78E38"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Cohen Perceived Stress Scale</w:t>
            </w:r>
          </w:p>
        </w:tc>
        <w:tc>
          <w:tcPr>
            <w:tcW w:w="701" w:type="dxa"/>
          </w:tcPr>
          <w:p w14:paraId="0B17DC2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D64930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3lLi57Lu","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p>
        </w:tc>
        <w:tc>
          <w:tcPr>
            <w:tcW w:w="1564" w:type="dxa"/>
          </w:tcPr>
          <w:p w14:paraId="0669B13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1FBF4E0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09209F3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Yjve6HHC","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r>
              <w:rPr>
                <w:rFonts w:ascii="Calibri" w:hAnsi="Calibri" w:cs="Calibri"/>
                <w:sz w:val="20"/>
                <w:szCs w:val="20"/>
              </w:rPr>
              <w:t xml:space="preserve"> Internal consistency (Cronbach’s alpha = 0.68)</w:t>
            </w:r>
          </w:p>
        </w:tc>
      </w:tr>
      <w:tr w:rsidR="006938E9" w:rsidRPr="00AB4BAE" w14:paraId="69A32A36"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448F8135"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Effort–Reward Imbalance (ERI) </w:t>
            </w:r>
          </w:p>
        </w:tc>
        <w:tc>
          <w:tcPr>
            <w:tcW w:w="701" w:type="dxa"/>
          </w:tcPr>
          <w:p w14:paraId="505CB01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EDD048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TVH1Wj2P","properties":{"formattedCitation":"(20)","plainCitation":"(20)","noteIndex":0},"citationItems":[{"id":3214,"uris":["http://zotero.org/users/4975241/items/79LNUEJP"],"uri":["http://zotero.org/users/4975241/items/79LNUEJP"],"itemData":{"id":3214,"type":"article-journal","abstract":"Background We examined the impact of changes in the psychosocial work environment on depressive symptoms in a sample of junior physicians, a high risk group for stress and mental disorders.\nMethods This is a three-wave prospective study in 417 junior physicians during their residency in German hospitals. The psychosocial work environment was measured by the Effort–Reward Imbalance (ERI) Questionnaire at Waves 1 and 2, and the depressive symptoms were assessed with the State-Trait Depression Scales at all three waves. Multivariate linear regression was applied for prospective associations between ERI across Waves 1 and 2, and baseline-adjusted depressive symptoms at Wave 3.\nResults Compared with the ERI scores at Wave 1, at Wave 2, and mean scores between the two waves, the baseline-adjusted ERI change scores between the two waves showed slightly better statistical power, predicting depressive symptoms at Wave 3 (b ¼ 0.78, 95% CI ¼ 0.38–1.18 for increased ERI per SD, b ¼ 0.64, 95% CI ¼ 0.22–1.06 for increased effort per SD, b ¼ À0.65, 95% CI ¼ À1.06 to À0.24 for increased reward per SD, and b ¼ 0.68, 95% CI ¼ 0.27–1.09 for increased overcommitment per SD).\nConclusions Negative changes in the psychosocial work environment, speciﬁcally increased ERI, are associated with depressive symptoms in German junior physicians. Reducing the non-reciprocity of working life, particularly improving reward at work, may have beneﬁcial effects on prevention of mental health problems in the hospital workplace. Am. J. Ind. Med. 56:1414–1422, 2013. ß 2013 Wiley Periodicals, Inc.","container-title":"American Journal of Industrial Medicine","DOI":"10.1002/ajim.22246","ISSN":"02713586","issue":"12","journalAbbreviation":"Am. J. Ind. Med.","language":"en","page":"1414-1422","source":"DOI.org (Crossref)","title":"Changes in psychosocial work environment and depressive symptoms: A prospective study in junior physicians: Changes in ERI and Depressive Symptoms","title-short":"Changes in psychosocial work environment and depressive symptoms","volume":"56","author":[{"family":"Li","given":"Jian"},{"family":"Weigl","given":"Matthias"},{"family":"Glaser","given":"Jürgen"},{"family":"Petru","given":"Raluca"},{"family":"Siegrist","given":"Johannes"},{"family":"Angerer","given":"Peter"}],"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(20)</w:t>
            </w:r>
            <w:r>
              <w:rPr>
                <w:rFonts w:ascii="Calibri" w:hAnsi="Calibri" w:cs="Calibri"/>
                <w:sz w:val="20"/>
                <w:szCs w:val="20"/>
              </w:rPr>
              <w:fldChar w:fldCharType="end"/>
            </w:r>
          </w:p>
        </w:tc>
        <w:tc>
          <w:tcPr>
            <w:tcW w:w="1564" w:type="dxa"/>
          </w:tcPr>
          <w:p w14:paraId="5004820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57FCC9C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17D536C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UBgKweqK","properties":{"formattedCitation":"(20)","plainCitation":"(20)","noteIndex":0},"citationItems":[{"id":3214,"uris":["http://zotero.org/users/4975241/items/79LNUEJP"],"uri":["http://zotero.org/users/4975241/items/79LNUEJP"],"itemData":{"id":3214,"type":"article-journal","abstract":"Background We examined the impact of changes in the psychosocial work environment on depressive symptoms in a sample of junior physicians, a high risk group for stress and mental disorders.\nMethods This is a three-wave prospective study in 417 junior physicians during their residency in German hospitals. The psychosocial work environment was measured by the Effort–Reward Imbalance (ERI) Questionnaire at Waves 1 and 2, and the depressive symptoms were assessed with the State-Trait Depression Scales at all three waves. Multivariate linear regression was applied for prospective associations between ERI across Waves 1 and 2, and baseline-adjusted depressive symptoms at Wave 3.\nResults Compared with the ERI scores at Wave 1, at Wave 2, and mean scores between the two waves, the baseline-adjusted ERI change scores between the two waves showed slightly better statistical power, predicting depressive symptoms at Wave 3 (b ¼ 0.78, 95% CI ¼ 0.38–1.18 for increased ERI per SD, b ¼ 0.64, 95% CI ¼ 0.22–1.06 for increased effort per SD, b ¼ À0.65, 95% CI ¼ À1.06 to À0.24 for increased reward per SD, and b ¼ 0.68, 95% CI ¼ 0.27–1.09 for increased overcommitment per SD).\nConclusions Negative changes in the psychosocial work environment, speciﬁcally increased ERI, are associated with depressive symptoms in German junior physicians. Reducing the non-reciprocity of working life, particularly improving reward at work, may have beneﬁcial effects on prevention of mental health problems in the hospital workplace. Am. J. Ind. Med. 56:1414–1422, 2013. ß 2013 Wiley Periodicals, Inc.","container-title":"American Journal of Industrial Medicine","DOI":"10.1002/ajim.22246","ISSN":"02713586","issue":"12","journalAbbreviation":"Am. J. Ind. Med.","language":"en","page":"1414-1422","source":"DOI.org (Crossref)","title":"Changes in psychosocial work environment and depressive symptoms: A prospective study in junior physicians: Changes in ERI and Depressive Symptoms","title-short":"Changes in psychosocial work environment and depressive symptoms","volume":"56","author":[{"family":"Li","given":"Jian"},{"family":"Weigl","given":"Matthias"},{"family":"Glaser","given":"Jürgen"},{"family":"Petru","given":"Raluca"},{"family":"Siegrist","given":"Johannes"},{"family":"Angerer","given":"Peter"}],"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(20)</w:t>
            </w:r>
            <w:r>
              <w:rPr>
                <w:rFonts w:ascii="Calibri" w:hAnsi="Calibri" w:cs="Calibri"/>
                <w:sz w:val="20"/>
                <w:szCs w:val="20"/>
              </w:rPr>
              <w:fldChar w:fldCharType="end"/>
            </w:r>
            <w:r>
              <w:rPr>
                <w:rFonts w:ascii="Calibri" w:hAnsi="Calibri" w:cs="Calibri"/>
                <w:sz w:val="20"/>
                <w:szCs w:val="20"/>
              </w:rPr>
              <w:t xml:space="preserve"> Internal consistency (Cronbach’s alpha = 0.70-82)</w:t>
            </w:r>
          </w:p>
        </w:tc>
      </w:tr>
      <w:tr w:rsidR="006938E9" w:rsidRPr="00AB4BAE" w14:paraId="031FFEF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3397431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General stressor questionnaire</w:t>
            </w:r>
          </w:p>
        </w:tc>
        <w:tc>
          <w:tcPr>
            <w:tcW w:w="701" w:type="dxa"/>
          </w:tcPr>
          <w:p w14:paraId="4CF6A62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D50C7E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TnwrCIIx","properties":{"formattedCitation":"(75)","plainCitation":"(75)","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(75)</w:t>
            </w:r>
            <w:r>
              <w:rPr>
                <w:rFonts w:ascii="Calibri" w:hAnsi="Calibri" w:cs="Calibri"/>
                <w:sz w:val="20"/>
                <w:szCs w:val="20"/>
              </w:rPr>
              <w:fldChar w:fldCharType="end"/>
            </w:r>
          </w:p>
        </w:tc>
        <w:tc>
          <w:tcPr>
            <w:tcW w:w="1564" w:type="dxa"/>
          </w:tcPr>
          <w:p w14:paraId="0F111F4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1EE9385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742323C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2i1NK0iv","properties":{"formattedCitation":"(75)","plainCitation":"(75)","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(75)</w:t>
            </w:r>
            <w:r>
              <w:rPr>
                <w:rFonts w:ascii="Calibri" w:hAnsi="Calibri" w:cs="Calibri"/>
                <w:sz w:val="20"/>
                <w:szCs w:val="20"/>
              </w:rPr>
              <w:fldChar w:fldCharType="end"/>
            </w:r>
            <w:r>
              <w:rPr>
                <w:rFonts w:ascii="Calibri" w:hAnsi="Calibri" w:cs="Calibri"/>
                <w:sz w:val="20"/>
                <w:szCs w:val="20"/>
              </w:rPr>
              <w:t xml:space="preserve"> Internal consistency (Cronbach’s alpha = 0.94)</w:t>
            </w:r>
          </w:p>
        </w:tc>
      </w:tr>
      <w:tr w:rsidR="006938E9" w:rsidRPr="00AB4BAE" w14:paraId="07FE4CF8"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7D84AE1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Job satisfaction scale</w:t>
            </w:r>
          </w:p>
        </w:tc>
        <w:tc>
          <w:tcPr>
            <w:tcW w:w="701" w:type="dxa"/>
          </w:tcPr>
          <w:p w14:paraId="6617347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345C70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syfNxV1","properties":{"formattedCitation":"(21)","plainCitation":"(21)","noteIndex":0},"citationItems":[{"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(21)</w:t>
            </w:r>
            <w:r>
              <w:rPr>
                <w:rFonts w:ascii="Calibri" w:hAnsi="Calibri" w:cs="Calibri"/>
                <w:sz w:val="20"/>
                <w:szCs w:val="20"/>
              </w:rPr>
              <w:fldChar w:fldCharType="end"/>
            </w:r>
          </w:p>
        </w:tc>
        <w:tc>
          <w:tcPr>
            <w:tcW w:w="1564" w:type="dxa"/>
          </w:tcPr>
          <w:p w14:paraId="46F117A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6243F">
              <w:rPr>
                <w:rFonts w:ascii="Calibri" w:hAnsi="Calibri" w:cs="Calibri"/>
                <w:sz w:val="20"/>
                <w:szCs w:val="20"/>
              </w:rPr>
              <w:t>Job satisfaction</w:t>
            </w:r>
          </w:p>
        </w:tc>
        <w:tc>
          <w:tcPr>
            <w:tcW w:w="4365" w:type="dxa"/>
          </w:tcPr>
          <w:p w14:paraId="2A265AA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1C6FCC5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gvGLEISD","properties":{"formattedCitation":"(21)","plainCitation":"(21)","noteIndex":0},"citationItems":[{"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(21)</w:t>
            </w:r>
            <w:r>
              <w:rPr>
                <w:rFonts w:ascii="Calibri" w:hAnsi="Calibri" w:cs="Calibri"/>
                <w:sz w:val="20"/>
                <w:szCs w:val="20"/>
              </w:rPr>
              <w:fldChar w:fldCharType="end"/>
            </w:r>
            <w:r>
              <w:rPr>
                <w:rFonts w:ascii="Calibri" w:hAnsi="Calibri" w:cs="Calibri"/>
                <w:sz w:val="20"/>
                <w:szCs w:val="20"/>
              </w:rPr>
              <w:t xml:space="preserve"> Internal consistency (Cronbach’s alpha = 0.89)</w:t>
            </w:r>
          </w:p>
        </w:tc>
      </w:tr>
      <w:tr w:rsidR="006938E9" w:rsidRPr="00AB4BAE" w14:paraId="41D45100"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41DB7E2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lastRenderedPageBreak/>
              <w:t>Medical Outcomes Study (MOS) Sleep Scale</w:t>
            </w:r>
          </w:p>
        </w:tc>
        <w:tc>
          <w:tcPr>
            <w:tcW w:w="701" w:type="dxa"/>
          </w:tcPr>
          <w:p w14:paraId="1C82FFD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689D05D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1WMEsmhU","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p>
        </w:tc>
        <w:tc>
          <w:tcPr>
            <w:tcW w:w="1564" w:type="dxa"/>
          </w:tcPr>
          <w:p w14:paraId="6AF5C7D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Sleep</w:t>
            </w:r>
          </w:p>
        </w:tc>
        <w:tc>
          <w:tcPr>
            <w:tcW w:w="4365" w:type="dxa"/>
          </w:tcPr>
          <w:p w14:paraId="71FF9E6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766CAA7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IaBlpte0","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r>
              <w:rPr>
                <w:rFonts w:ascii="Calibri" w:hAnsi="Calibri" w:cs="Calibri"/>
                <w:sz w:val="20"/>
                <w:szCs w:val="20"/>
              </w:rPr>
              <w:t xml:space="preserve"> Internal consistency (Cronbach’s alpha = 0.73)</w:t>
            </w:r>
          </w:p>
        </w:tc>
      </w:tr>
      <w:tr w:rsidR="006938E9" w:rsidRPr="00AB4BAE" w14:paraId="3721A6F3"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93448A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Minnesota Satisfaction Questionnaire</w:t>
            </w:r>
          </w:p>
        </w:tc>
        <w:tc>
          <w:tcPr>
            <w:tcW w:w="701" w:type="dxa"/>
          </w:tcPr>
          <w:p w14:paraId="35D374A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C2FD41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w6HnzLB","properties":{"formattedCitation":"(51)","plainCitation":"(51)","noteIndex":0},"citationItems":[{"id":3101,"uris":["http://zotero.org/users/4975241/items/U4MIAPLY"],"uri":["http://zotero.org/users/4975241/items/U4MIAPLY"],"itemData":{"id":3101,"type":"article-journal","abstract":"INTRODUCTION Effective mentoring helps interns in the early stages of their medical career to reach personal and professional goals. This study investigated the mentoring experience of Korean interns during medical internship and evaluated mentoring effects to facilitate the development of future mentoring programmes.\nMETHODS Participants were interns being trained at Chonnam National University Hospital, South Korea, in 2011. Interns were asked to complete a questionnaire about their mentoring experiences and job satisfaction.\nRESULTS A total of 61 medical interns participated in the study, giving a response rate of 70.1%. Among these interns, 26 (42.6%) had mentoring experiences, with an average of 2.3 ± 1.9 mentors per mentee. Mentees usually discussed career planning and concerns regarding their personal and social lives with their mentors. Perceived quality of the mentor was signiﬁcantly more important for male mentees than for female mentees. Female interns without a mentor made signiﬁcantly less effort to seek a mentor than their male counterparts. Having and not having a mentor resulted in signiﬁcant differences in the interns’ job satisfaction.\nCONCLUSION Fewer than half of the medical interns had mentoring experiences. Results suggest that the mentoring relationship may be less satisfying and more challenging for female interns. Effective mentoring may not only help interns plan their medical career, but also increase job satisfaction. Mentoring programmes during medical internship should be expanded and supported, as it is the initial step in a medical career.","container-title":"Singapore Medical Journal","DOI":"10.11622/smedj.2014157","ISSN":"00375675","issue":"11","journalAbbreviation":"smedj","language":"en","page":"593-597","source":"DOI.org (Crossref)","title":"Mentoring experience and its effects on medical interns","volume":"55","author":[{"family":"Han","given":"Er"},{"family":"Chung","given":"Ek"},{"family":"Oh","given":"Sa"},{"family":"Woo","given":"Yj"},{"family":"Hitchcock","given":"Ma"}],"issued":{"date-parts":[["2014",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(51)</w:t>
            </w:r>
            <w:r>
              <w:rPr>
                <w:rFonts w:ascii="Calibri" w:hAnsi="Calibri" w:cs="Calibri"/>
                <w:sz w:val="20"/>
                <w:szCs w:val="20"/>
              </w:rPr>
              <w:fldChar w:fldCharType="end"/>
            </w:r>
          </w:p>
        </w:tc>
        <w:tc>
          <w:tcPr>
            <w:tcW w:w="1564" w:type="dxa"/>
          </w:tcPr>
          <w:p w14:paraId="21E71AA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Job satisfaction</w:t>
            </w:r>
          </w:p>
        </w:tc>
        <w:tc>
          <w:tcPr>
            <w:tcW w:w="4365" w:type="dxa"/>
          </w:tcPr>
          <w:p w14:paraId="39F6D61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4D7FB3C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EgtrFuXb","properties":{"formattedCitation":"(51)","plainCitation":"(51)","noteIndex":0},"citationItems":[{"id":3101,"uris":["http://zotero.org/users/4975241/items/U4MIAPLY"],"uri":["http://zotero.org/users/4975241/items/U4MIAPLY"],"itemData":{"id":3101,"type":"article-journal","abstract":"INTRODUCTION Effective mentoring helps interns in the early stages of their medical career to reach personal and professional goals. This study investigated the mentoring experience of Korean interns during medical internship and evaluated mentoring effects to facilitate the development of future mentoring programmes.\nMETHODS Participants were interns being trained at Chonnam National University Hospital, South Korea, in 2011. Interns were asked to complete a questionnaire about their mentoring experiences and job satisfaction.\nRESULTS A total of 61 medical interns participated in the study, giving a response rate of 70.1%. Among these interns, 26 (42.6%) had mentoring experiences, with an average of 2.3 ± 1.9 mentors per mentee. Mentees usually discussed career planning and concerns regarding their personal and social lives with their mentors. Perceived quality of the mentor was signiﬁcantly more important for male mentees than for female mentees. Female interns without a mentor made signiﬁcantly less effort to seek a mentor than their male counterparts. Having and not having a mentor resulted in signiﬁcant differences in the interns’ job satisfaction.\nCONCLUSION Fewer than half of the medical interns had mentoring experiences. Results suggest that the mentoring relationship may be less satisfying and more challenging for female interns. Effective mentoring may not only help interns plan their medical career, but also increase job satisfaction. Mentoring programmes during medical internship should be expanded and supported, as it is the initial step in a medical career.","container-title":"Singapore Medical Journal","DOI":"10.11622/smedj.2014157","ISSN":"00375675","issue":"11","journalAbbreviation":"smedj","language":"en","page":"593-597","source":"DOI.org (Crossref)","title":"Mentoring experience and its effects on medical interns","volume":"55","author":[{"family":"Han","given":"Er"},{"family":"Chung","given":"Ek"},{"family":"Oh","given":"Sa"},{"family":"Woo","given":"Yj"},{"family":"Hitchcock","given":"Ma"}],"issued":{"date-parts":[["2014",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(51)</w:t>
            </w:r>
            <w:r>
              <w:rPr>
                <w:rFonts w:ascii="Calibri" w:hAnsi="Calibri" w:cs="Calibri"/>
                <w:sz w:val="20"/>
                <w:szCs w:val="20"/>
              </w:rPr>
              <w:fldChar w:fldCharType="end"/>
            </w:r>
            <w:r>
              <w:rPr>
                <w:rFonts w:ascii="Calibri" w:hAnsi="Calibri" w:cs="Calibri"/>
                <w:sz w:val="20"/>
                <w:szCs w:val="20"/>
              </w:rPr>
              <w:t xml:space="preserve"> Internal consistency (Cronbach’s alpha = 0.941)</w:t>
            </w:r>
          </w:p>
        </w:tc>
      </w:tr>
      <w:tr w:rsidR="006938E9" w:rsidRPr="00AB4BAE" w14:paraId="132660F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210E8C33"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Positive and Negative Affect Schedule (PANAS) scales</w:t>
            </w:r>
          </w:p>
        </w:tc>
        <w:tc>
          <w:tcPr>
            <w:tcW w:w="701" w:type="dxa"/>
          </w:tcPr>
          <w:p w14:paraId="462544C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1ECCBF1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e7MOUpb4","properties":{"formattedCitation":"(32)","plainCitation":"(32)","noteIndex":0},"citationItems":[{"id":3019,"uris":["http://zotero.org/users/4975241/items/S54NYNES"],"uri":["http://zotero.org/users/4975241/items/S54NYNES"],"itemData":{"id":3019,"type":"article-journal","container-title":"Medical Education","DOI":"10.1111/medu.12666","ISSN":"03080110","issue":"4","journalAbbreviation":"Med Educ","language":"en","page":"436-443","source":"DOI.org (Crossref)","title":"Exploring the impact of workplace cyberbullying on trainee doctors","volume":"49","author":[{"family":"Farley","given":"Samuel"},{"family":"Coyne","given":"Iain"},{"family":"Sprigg","given":"Christine"},{"family":"Axtell","given":"Carolyn"},{"family":"Subramanian","given":"Ganesh"}],"issued":{"date-parts":[["2015",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(32)</w:t>
            </w:r>
            <w:r>
              <w:rPr>
                <w:rFonts w:ascii="Calibri" w:hAnsi="Calibri" w:cs="Calibri"/>
                <w:sz w:val="20"/>
                <w:szCs w:val="20"/>
              </w:rPr>
              <w:fldChar w:fldCharType="end"/>
            </w:r>
          </w:p>
        </w:tc>
        <w:tc>
          <w:tcPr>
            <w:tcW w:w="1564" w:type="dxa"/>
          </w:tcPr>
          <w:p w14:paraId="2FCAC62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Wellbeing</w:t>
            </w:r>
          </w:p>
        </w:tc>
        <w:tc>
          <w:tcPr>
            <w:tcW w:w="4365" w:type="dxa"/>
          </w:tcPr>
          <w:p w14:paraId="1121350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41FC9D2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u69rCV9x","properties":{"formattedCitation":"(32)","plainCitation":"(32)","noteIndex":0},"citationItems":[{"id":3019,"uris":["http://zotero.org/users/4975241/items/S54NYNES"],"uri":["http://zotero.org/users/4975241/items/S54NYNES"],"itemData":{"id":3019,"type":"article-journal","container-title":"Medical Education","DOI":"10.1111/medu.12666","ISSN":"03080110","issue":"4","journalAbbreviation":"Med Educ","language":"en","page":"436-443","source":"DOI.org (Crossref)","title":"Exploring the impact of workplace cyberbullying on trainee doctors","volume":"49","author":[{"family":"Farley","given":"Samuel"},{"family":"Coyne","given":"Iain"},{"family":"Sprigg","given":"Christine"},{"family":"Axtell","given":"Carolyn"},{"family":"Subramanian","given":"Ganesh"}],"issued":{"date-parts":[["2015",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(32)</w:t>
            </w:r>
            <w:r>
              <w:rPr>
                <w:rFonts w:ascii="Calibri" w:hAnsi="Calibri" w:cs="Calibri"/>
                <w:sz w:val="20"/>
                <w:szCs w:val="20"/>
              </w:rPr>
              <w:fldChar w:fldCharType="end"/>
            </w:r>
            <w:r>
              <w:rPr>
                <w:rFonts w:ascii="Calibri" w:hAnsi="Calibri" w:cs="Calibri"/>
                <w:sz w:val="20"/>
                <w:szCs w:val="20"/>
              </w:rPr>
              <w:t xml:space="preserve"> Internal consistency (Cronbach’s alpha = 0.88-92)</w:t>
            </w:r>
          </w:p>
        </w:tc>
      </w:tr>
      <w:tr w:rsidR="006938E9" w:rsidRPr="00AB4BAE" w14:paraId="49F20D56"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42630EF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State-Trait Anxiety Inventory </w:t>
            </w:r>
          </w:p>
        </w:tc>
        <w:tc>
          <w:tcPr>
            <w:tcW w:w="701" w:type="dxa"/>
          </w:tcPr>
          <w:p w14:paraId="6D410F4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3F363C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OwCtUzX5","properties":{"formattedCitation":"(37)","plainCitation":"(37)","noteIndex":0},"citationItems":[{"id":3058,"uris":["http://zotero.org/users/4975241/items/L6GYL63N"],"uri":["http://zotero.org/users/4975241/items/L6GYL63N"],"itemData":{"id":3058,"type":"article-journal","abstract":"Objectives: The main objectives of this study were to assess personality traits and levels of anxiety in Foundation Year 2 (F2) doctors during the foundation doctor training programme in the Northern Ireland Deanery (NIMDTA).\nMethods: A prospective survey-based study was conducted for all F2 doctors attending the mandatory generic skills programme at NIMDTA. Anxiety was measured using the State-Trait Anxiety Inventory (STAI) while personality was assessed using the IPIP-NEO questionnaire. These previously validated questionnaires were completed at the start and again at the end of the F2 year.\nResults: 147 (M=65, F=82) and 106 (M=55, F=51) F2 doctors completed questionnaires at both time points. STAI scores suggested a moderate level of anxiety amongst both male and female doctors at baseline and at the end of the academic year. There was no difference between gender for either parameter (Baseline-State: 34.0 vs. 36.0, p=0.48 and Trait: 39.0 vs. 40.5, p=0.33) (End-State: 41.0 vs. 36.0, p=0.14 and Trait: 42.0 vs. 40.5, p=0.78). IPIP-NEO scores for F2 doctors were consistently higher in the Accommodation (93.9 &amp; 92.3) and Consolidation (88.8 &amp; 87.6) personality factors and lower in the Neuroticism factor (66.3 &amp; 65.9) at both assessment time-points. Female F2 doctors scored significantly higher in the accommodation factor at the end of the academic year when compared to their male counterparts (88.0 vs. 94.0, p&lt;0.001). There was no difference between the genders for the other personality factors at the end of the year (p&gt;0.09).\nConclusions: This first cohort of F2 doctors were exposed to many emerging changes in their training which did not appear to have any detrimental effect on their anxiety levels or personality profiles and suggests that junior doctors may not be affected by external influences or changing educational environments.","container-title":"The Ulster Medical Journal","language":"en","page":"7","source":"Zotero","title":"Foundation Programme Impact on Junior Doctor Personality and Anxiety in Northern Ireland","author":[{"family":"O’Donnell","given":"Mark"},{"family":"Noad","given":"Rebecca"},{"family":"Boohan","given":"Mairead"},{"family":"Carragher","given":"Angela"}]}}],"schema":"https://github.com/citation-style-language/schema/raw/master/csl-citation.json"} </w:instrText>
            </w:r>
            <w:r>
              <w:rPr>
                <w:rFonts w:ascii="Calibri" w:hAnsi="Calibri" w:cs="Calibri"/>
                <w:color w:val="000000"/>
                <w:sz w:val="20"/>
                <w:szCs w:val="20"/>
              </w:rPr>
              <w:fldChar w:fldCharType="separate"/>
            </w:r>
            <w:r>
              <w:rPr>
                <w:rFonts w:ascii="Calibri" w:hAnsi="Calibri" w:cs="Calibri"/>
                <w:color w:val="000000"/>
                <w:sz w:val="20"/>
              </w:rPr>
              <w:t>(37)</w:t>
            </w:r>
            <w:r>
              <w:rPr>
                <w:rFonts w:ascii="Calibri" w:hAnsi="Calibri" w:cs="Calibri"/>
                <w:color w:val="000000"/>
                <w:sz w:val="20"/>
                <w:szCs w:val="20"/>
              </w:rPr>
              <w:fldChar w:fldCharType="end"/>
            </w:r>
          </w:p>
        </w:tc>
        <w:tc>
          <w:tcPr>
            <w:tcW w:w="1564" w:type="dxa"/>
          </w:tcPr>
          <w:p w14:paraId="5B473BB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Anxiety</w:t>
            </w:r>
          </w:p>
        </w:tc>
        <w:tc>
          <w:tcPr>
            <w:tcW w:w="4365" w:type="dxa"/>
          </w:tcPr>
          <w:p w14:paraId="56CB539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5151CB5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9ccZpJoQ","properties":{"formattedCitation":"(37)","plainCitation":"(37)","noteIndex":0},"citationItems":[{"id":3058,"uris":["http://zotero.org/users/4975241/items/L6GYL63N"],"uri":["http://zotero.org/users/4975241/items/L6GYL63N"],"itemData":{"id":3058,"type":"article-journal","abstract":"Objectives: The main objectives of this study were to assess personality traits and levels of anxiety in Foundation Year 2 (F2) doctors during the foundation doctor training programme in the Northern Ireland Deanery (NIMDTA).\nMethods: A prospective survey-based study was conducted for all F2 doctors attending the mandatory generic skills programme at NIMDTA. Anxiety was measured using the State-Trait Anxiety Inventory (STAI) while personality was assessed using the IPIP-NEO questionnaire. These previously validated questionnaires were completed at the start and again at the end of the F2 year.\nResults: 147 (M=65, F=82) and 106 (M=55, F=51) F2 doctors completed questionnaires at both time points. STAI scores suggested a moderate level of anxiety amongst both male and female doctors at baseline and at the end of the academic year. There was no difference between gender for either parameter (Baseline-State: 34.0 vs. 36.0, p=0.48 and Trait: 39.0 vs. 40.5, p=0.33) (End-State: 41.0 vs. 36.0, p=0.14 and Trait: 42.0 vs. 40.5, p=0.78). IPIP-NEO scores for F2 doctors were consistently higher in the Accommodation (93.9 &amp; 92.3) and Consolidation (88.8 &amp; 87.6) personality factors and lower in the Neuroticism factor (66.3 &amp; 65.9) at both assessment time-points. Female F2 doctors scored significantly higher in the accommodation factor at the end of the academic year when compared to their male counterparts (88.0 vs. 94.0, p&lt;0.001). There was no difference between the genders for the other personality factors at the end of the year (p&gt;0.09).\nConclusions: This first cohort of F2 doctors were exposed to many emerging changes in their training which did not appear to have any detrimental effect on their anxiety levels or personality profiles and suggests that junior doctors may not be affected by external influences or changing educational environments.","container-title":"The Ulster Medical Journal","language":"en","page":"7","source":"Zotero","title":"Foundation Programme Impact on Junior Doctor Personality and Anxiety in Northern Ireland","author":[{"family":"O’Donnell","given":"Mark"},{"family":"Noad","given":"Rebecca"},{"family":"Boohan","given":"Mairead"},{"family":"Carragher","given":"Angela"}]}}],"schema":"https://github.com/citation-style-language/schema/raw/master/csl-citation.json"} </w:instrText>
            </w:r>
            <w:r>
              <w:rPr>
                <w:rFonts w:ascii="Calibri" w:hAnsi="Calibri" w:cs="Calibri"/>
                <w:color w:val="000000"/>
                <w:sz w:val="20"/>
                <w:szCs w:val="20"/>
              </w:rPr>
              <w:fldChar w:fldCharType="separate"/>
            </w:r>
            <w:r>
              <w:rPr>
                <w:rFonts w:ascii="Calibri" w:hAnsi="Calibri" w:cs="Calibri"/>
                <w:color w:val="000000"/>
                <w:sz w:val="20"/>
              </w:rPr>
              <w:t>(37)</w:t>
            </w:r>
            <w:r>
              <w:rPr>
                <w:rFonts w:ascii="Calibri" w:hAnsi="Calibri" w:cs="Calibri"/>
                <w:color w:val="000000"/>
                <w:sz w:val="20"/>
                <w:szCs w:val="20"/>
              </w:rPr>
              <w:fldChar w:fldCharType="end"/>
            </w:r>
            <w:r>
              <w:rPr>
                <w:rFonts w:ascii="Calibri" w:hAnsi="Calibri" w:cs="Calibri"/>
                <w:sz w:val="20"/>
                <w:szCs w:val="20"/>
              </w:rPr>
              <w:t xml:space="preserve"> Test-retest</w:t>
            </w:r>
          </w:p>
        </w:tc>
      </w:tr>
      <w:tr w:rsidR="006938E9" w:rsidRPr="00AB4BAE" w14:paraId="3864E3A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65F6827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State-Trait Depression Scale</w:t>
            </w:r>
          </w:p>
        </w:tc>
        <w:tc>
          <w:tcPr>
            <w:tcW w:w="701" w:type="dxa"/>
          </w:tcPr>
          <w:p w14:paraId="3CF71FF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6F92045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kmXbci05","properties":{"formattedCitation":"(20)","plainCitation":"(20)","noteIndex":0},"citationItems":[{"id":3214,"uris":["http://zotero.org/users/4975241/items/79LNUEJP"],"uri":["http://zotero.org/users/4975241/items/79LNUEJP"],"itemData":{"id":3214,"type":"article-journal","abstract":"Background We examined the impact of changes in the psychosocial work environment on depressive symptoms in a sample of junior physicians, a high risk group for stress and mental disorders.\nMethods This is a three-wave prospective study in 417 junior physicians during their residency in German hospitals. The psychosocial work environment was measured by the Effort–Reward Imbalance (ERI) Questionnaire at Waves 1 and 2, and the depressive symptoms were assessed with the State-Trait Depression Scales at all three waves. Multivariate linear regression was applied for prospective associations between ERI across Waves 1 and 2, and baseline-adjusted depressive symptoms at Wave 3.\nResults Compared with the ERI scores at Wave 1, at Wave 2, and mean scores between the two waves, the baseline-adjusted ERI change scores between the two waves showed slightly better statistical power, predicting depressive symptoms at Wave 3 (b ¼ 0.78, 95% CI ¼ 0.38–1.18 for increased ERI per SD, b ¼ 0.64, 95% CI ¼ 0.22–1.06 for increased effort per SD, b ¼ À0.65, 95% CI ¼ À1.06 to À0.24 for increased reward per SD, and b ¼ 0.68, 95% CI ¼ 0.27–1.09 for increased overcommitment per SD).\nConclusions Negative changes in the psychosocial work environment, speciﬁcally increased ERI, are associated with depressive symptoms in German junior physicians. Reducing the non-reciprocity of working life, particularly improving reward at work, may have beneﬁcial effects on prevention of mental health problems in the hospital workplace. Am. J. Ind. Med. 56:1414–1422, 2013. ß 2013 Wiley Periodicals, Inc.","container-title":"American Journal of Industrial Medicine","DOI":"10.1002/ajim.22246","ISSN":"02713586","issue":"12","journalAbbreviation":"Am. J. Ind. Med.","language":"en","page":"1414-1422","source":"DOI.org (Crossref)","title":"Changes in psychosocial work environment and depressive symptoms: A prospective study in junior physicians: Changes in ERI and Depressive Symptoms","title-short":"Changes in psychosocial work environment and depressive symptoms","volume":"56","author":[{"family":"Li","given":"Jian"},{"family":"Weigl","given":"Matthias"},{"family":"Glaser","given":"Jürgen"},{"family":"Petru","given":"Raluca"},{"family":"Siegrist","given":"Johannes"},{"family":"Angerer","given":"Peter"}],"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(20)</w:t>
            </w:r>
            <w:r>
              <w:rPr>
                <w:rFonts w:ascii="Calibri" w:hAnsi="Calibri" w:cs="Calibri"/>
                <w:sz w:val="20"/>
                <w:szCs w:val="20"/>
              </w:rPr>
              <w:fldChar w:fldCharType="end"/>
            </w:r>
          </w:p>
        </w:tc>
        <w:tc>
          <w:tcPr>
            <w:tcW w:w="1564" w:type="dxa"/>
          </w:tcPr>
          <w:p w14:paraId="4FBCA37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Depression</w:t>
            </w:r>
          </w:p>
        </w:tc>
        <w:tc>
          <w:tcPr>
            <w:tcW w:w="4365" w:type="dxa"/>
          </w:tcPr>
          <w:p w14:paraId="12D7F8C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0270B1E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wdHXHGyP","properties":{"formattedCitation":"(20)","plainCitation":"(20)","noteIndex":0},"citationItems":[{"id":3214,"uris":["http://zotero.org/users/4975241/items/79LNUEJP"],"uri":["http://zotero.org/users/4975241/items/79LNUEJP"],"itemData":{"id":3214,"type":"article-journal","abstract":"Background We examined the impact of changes in the psychosocial work environment on depressive symptoms in a sample of junior physicians, a high risk group for stress and mental disorders.\nMethods This is a three-wave prospective study in 417 junior physicians during their residency in German hospitals. The psychosocial work environment was measured by the Effort–Reward Imbalance (ERI) Questionnaire at Waves 1 and 2, and the depressive symptoms were assessed with the State-Trait Depression Scales at all three waves. Multivariate linear regression was applied for prospective associations between ERI across Waves 1 and 2, and baseline-adjusted depressive symptoms at Wave 3.\nResults Compared with the ERI scores at Wave 1, at Wave 2, and mean scores between the two waves, the baseline-adjusted ERI change scores between the two waves showed slightly better statistical power, predicting depressive symptoms at Wave 3 (b ¼ 0.78, 95% CI ¼ 0.38–1.18 for increased ERI per SD, b ¼ 0.64, 95% CI ¼ 0.22–1.06 for increased effort per SD, b ¼ À0.65, 95% CI ¼ À1.06 to À0.24 for increased reward per SD, and b ¼ 0.68, 95% CI ¼ 0.27–1.09 for increased overcommitment per SD).\nConclusions Negative changes in the psychosocial work environment, speciﬁcally increased ERI, are associated with depressive symptoms in German junior physicians. Reducing the non-reciprocity of working life, particularly improving reward at work, may have beneﬁcial effects on prevention of mental health problems in the hospital workplace. Am. J. Ind. Med. 56:1414–1422, 2013. ß 2013 Wiley Periodicals, Inc.","container-title":"American Journal of Industrial Medicine","DOI":"10.1002/ajim.22246","ISSN":"02713586","issue":"12","journalAbbreviation":"Am. J. Ind. Med.","language":"en","page":"1414-1422","source":"DOI.org (Crossref)","title":"Changes in psychosocial work environment and depressive symptoms: A prospective study in junior physicians: Changes in ERI and Depressive Symptoms","title-short":"Changes in psychosocial work environment and depressive symptoms","volume":"56","author":[{"family":"Li","given":"Jian"},{"family":"Weigl","given":"Matthias"},{"family":"Glaser","given":"Jürgen"},{"family":"Petru","given":"Raluca"},{"family":"Siegrist","given":"Johannes"},{"family":"Angerer","given":"Peter"}],"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(20)</w:t>
            </w:r>
            <w:r>
              <w:rPr>
                <w:rFonts w:ascii="Calibri" w:hAnsi="Calibri" w:cs="Calibri"/>
                <w:sz w:val="20"/>
                <w:szCs w:val="20"/>
              </w:rPr>
              <w:fldChar w:fldCharType="end"/>
            </w:r>
            <w:r>
              <w:rPr>
                <w:rFonts w:ascii="Calibri" w:hAnsi="Calibri" w:cs="Calibri"/>
                <w:sz w:val="20"/>
                <w:szCs w:val="20"/>
              </w:rPr>
              <w:t xml:space="preserve"> Internal consistency (Cronbach’s alpha = 0.88-90)</w:t>
            </w:r>
          </w:p>
        </w:tc>
      </w:tr>
      <w:tr w:rsidR="006938E9" w:rsidRPr="00AB4BAE" w14:paraId="5BB24698"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117F1CA6"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A modifield questionnaire by Buckey and Harasym</w:t>
            </w:r>
          </w:p>
        </w:tc>
        <w:tc>
          <w:tcPr>
            <w:tcW w:w="701" w:type="dxa"/>
          </w:tcPr>
          <w:p w14:paraId="547ACAA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5BCFA9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dz7GM8u","properties":{"formattedCitation":"(65)","plainCitation":"(65)","noteIndex":0},"citationItems":[{"id":3256,"uris":["http://zotero.org/users/4975241/items/FT3LM8AS"],"uri":["http://zotero.org/users/4975241/items/FT3LM8AS"],"itemData":{"id":3256,"type":"article-journal","abstract":"One hundred and one interns who completed internship during the year 2000 were surveyed by questionnaire to study thefactors, manifestations and management strategies of stresses affecting them. Factors considered included personal and family, work and working conditions, training and interpersonal matters.","container-title":"Qatar Medical Journal","DOI":"10.5339/qmj.2002.1.19","ISSN":"2227-0426","issue":"1","journalAbbreviation":"Qatar Medical Journal","language":"en","page":"19","source":"DOI.org (Crossref)","title":"Professional Stress During Medical Internship","volume":"2002","author":[{"family":"Al Sultan","given":"A. I."},{"family":"Parashar","given":"S. K."},{"family":"Wahass","given":"S. H."},{"family":"Al Soweilem","given":"L. S."}],"issued":{"date-parts":[["2002",6]]}}}],"schema":"https://github.com/citation-style-language/schema/raw/master/csl-citation.json"}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(65)</w:t>
            </w:r>
            <w:r>
              <w:rPr>
                <w:rFonts w:ascii="Calibri" w:hAnsi="Calibri" w:cs="Calibri"/>
                <w:sz w:val="20"/>
                <w:szCs w:val="20"/>
              </w:rPr>
              <w:fldChar w:fldCharType="end"/>
            </w:r>
          </w:p>
        </w:tc>
        <w:tc>
          <w:tcPr>
            <w:tcW w:w="1564" w:type="dxa"/>
          </w:tcPr>
          <w:p w14:paraId="3DE5C30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3278A7E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59CE557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7200590"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614B192C"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Arora et al. 2010 questionnaire</w:t>
            </w:r>
          </w:p>
        </w:tc>
        <w:tc>
          <w:tcPr>
            <w:tcW w:w="701" w:type="dxa"/>
          </w:tcPr>
          <w:p w14:paraId="191192A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523449E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ZkrwZKRl","properties":{"formattedCitation":"(43)","plainCitation":"(43)","noteIndex":0},"citationItems":[{"id":3093,"uris":["http://zotero.org/users/4975241/items/3F62ZTJ8"],"uri":["http://zotero.org/users/4975241/items/3F62ZTJ8"],"itemData":{"id":3093,"type":"article-journal","container-title":"Journal of Graduate Medical Education","DOI":"10.4300/JGME-D-10-00049.1","ISSN":"1949-8349, 1949-8357","issue":"4","journalAbbreviation":"Journal of Graduate Medical Education","language":"en","page":"536-540","source":"DOI.org (Crossref)","title":"Incoming Interns' Perspectives on the Institute of Medicine Recommendations for Residents' Duty Hours","volume":"2","author":[{"family":"Arora","given":"Vineet M."},{"family":"Farnan","given":"Jeanne M."},{"family":"Lypson","given":"Monica L."},{"family":"Anderson","given":"R. Andy"},{"family":"Prochaska","given":"Meryl H."},{"family":"Humphrey","given":"Holly J."}],"issued":{"date-parts":[["2010",12]]}}}],"schema":"https://github.com/citation-style-language/schema/raw/master/csl-citation.json"}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(43)</w:t>
            </w:r>
            <w:r>
              <w:rPr>
                <w:rFonts w:ascii="Calibri" w:hAnsi="Calibri" w:cs="Calibri"/>
                <w:sz w:val="20"/>
                <w:szCs w:val="20"/>
              </w:rPr>
              <w:fldChar w:fldCharType="end"/>
            </w:r>
          </w:p>
        </w:tc>
        <w:tc>
          <w:tcPr>
            <w:tcW w:w="1564" w:type="dxa"/>
          </w:tcPr>
          <w:p w14:paraId="3B038A4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Fatigue</w:t>
            </w:r>
          </w:p>
        </w:tc>
        <w:tc>
          <w:tcPr>
            <w:tcW w:w="4365" w:type="dxa"/>
          </w:tcPr>
          <w:p w14:paraId="11DC35C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4807324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3B1732B"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2823B42"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Bal</w:t>
            </w:r>
            <w:r>
              <w:rPr>
                <w:rFonts w:ascii="Calibri" w:hAnsi="Calibri" w:cs="Calibri"/>
                <w:color w:val="000000"/>
                <w:sz w:val="20"/>
                <w:szCs w:val="20"/>
              </w:rPr>
              <w:t>d</w:t>
            </w:r>
            <w:r w:rsidRPr="00AB4BAE">
              <w:rPr>
                <w:rFonts w:ascii="Calibri" w:hAnsi="Calibri" w:cs="Calibri"/>
                <w:color w:val="000000"/>
                <w:sz w:val="20"/>
                <w:szCs w:val="20"/>
              </w:rPr>
              <w:t xml:space="preserve">win </w:t>
            </w:r>
            <w:r>
              <w:rPr>
                <w:rFonts w:ascii="Calibri" w:hAnsi="Calibri" w:cs="Calibri"/>
                <w:color w:val="000000"/>
                <w:sz w:val="20"/>
                <w:szCs w:val="20"/>
              </w:rPr>
              <w:t>&amp; Daugherty</w:t>
            </w:r>
            <w:r w:rsidRPr="00AB4BAE">
              <w:rPr>
                <w:rFonts w:ascii="Calibri" w:hAnsi="Calibri" w:cs="Calibri"/>
                <w:color w:val="000000"/>
                <w:sz w:val="20"/>
                <w:szCs w:val="20"/>
              </w:rPr>
              <w:t>. 2004 questionnaire</w:t>
            </w:r>
          </w:p>
        </w:tc>
        <w:tc>
          <w:tcPr>
            <w:tcW w:w="701" w:type="dxa"/>
          </w:tcPr>
          <w:p w14:paraId="5928139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1836B2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fpUxDph6","properties":{"formattedCitation":"(72)","plainCitation":"(72)","noteIndex":0},"citationItems":[{"id":3263,"uris":["http://zotero.org/users/4975241/items/B6C589NF"],"uri":["http://zotero.org/users/4975241/items/B6C589NF"],"itemData":{"id":3263,"type":"article-journal","abstract":"Study Objectives: To examine the relationship between residents’ selfreported sleep hours, work hours, and other empirical correlates. Design: Using the American Medical Association’s Graduate Medical Education database, a national, random sample of PGY (postgraduate year) 1 and PGY2 residents in the 1998-1999 training year was surveyed by mail. Measurements and Results: Residents completed a 5-page survey with 44 questions requiring 144 separate responses about their residency experience. Completed surveys were received from 3,604 of 5,616 residents contacted, a 64.2% response rate. Although work hours and sleep hours were significantly correlated (r = -.39), this relationship was less robust than is generally assumed. Total average sleep hours varied across specialties but also within specialties. Just over 20% of all residents reported sleeping an average of 5 hours or less per night, with 66% averaging 6 hours or less per night. Residents averaging 5 or fewer hours of sleep per night were more likely to report serious accidents or injuries, conflict with other professional staff, use of alcohol, use of medications to stay awake, noticeable weight change, working in an “impaired condition,” and having made significant medical errors. Conclusions: Reduced sleep hours were significantly related to a number of work-related, learning, and personal health variables. Capping residents’ work hours is unlikely to fully address the sleep deficits and resulting impairments reported by residents.","container-title":"Sleep","DOI":"10.1093/sleep/27.2.217","ISSN":"0161-8105, 1550-9109","issue":"2","language":"en","page":"217-223","source":"DOI.org (Crossref)","title":"Sleep Deprivation and Fatigue in Residency Training: Results of a National Survey of First- and Second-Year Residents","title-short":"Sleep Deprivation and Fatigue in Residency Training","volume":"27","author":[{"family":"Baldwin","given":"DeWitt C."},{"family":"Daugherty","given":"Steven R."}],"issued":{"date-parts":[["2004",3]]}}}],"schema":"https://github.com/citation-style-language/schema/raw/master/csl-citation.json"}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(72)</w:t>
            </w:r>
            <w:r>
              <w:rPr>
                <w:rFonts w:ascii="Calibri" w:hAnsi="Calibri" w:cs="Calibri"/>
                <w:sz w:val="20"/>
                <w:szCs w:val="20"/>
              </w:rPr>
              <w:fldChar w:fldCharType="end"/>
            </w:r>
          </w:p>
        </w:tc>
        <w:tc>
          <w:tcPr>
            <w:tcW w:w="1564" w:type="dxa"/>
          </w:tcPr>
          <w:p w14:paraId="59B3BBD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E40D73">
              <w:rPr>
                <w:rFonts w:ascii="Calibri" w:hAnsi="Calibri" w:cs="Calibri"/>
                <w:sz w:val="20"/>
                <w:szCs w:val="20"/>
              </w:rPr>
              <w:t>Stress, sleep</w:t>
            </w:r>
          </w:p>
        </w:tc>
        <w:tc>
          <w:tcPr>
            <w:tcW w:w="4365" w:type="dxa"/>
          </w:tcPr>
          <w:p w14:paraId="5F3947B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3381554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41663D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499BDB16"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Beck depression and anxiety inventories</w:t>
            </w:r>
          </w:p>
        </w:tc>
        <w:tc>
          <w:tcPr>
            <w:tcW w:w="701" w:type="dxa"/>
          </w:tcPr>
          <w:p w14:paraId="7B30CA1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19C67C5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Jp536IFH","properties":{"formattedCitation":"(63)","plainCitation":"(63)","noteIndex":0},"citationItems":[{"id":3319,"uris":["http://zotero.org/users/4975241/items/7B43V6QJ"],"uri":["http://zotero.org/users/4975241/items/7B43V6QJ"],"itemData":{"id":3319,"type":"article-journal","abstract":"BACKGROUND: Phantom vibration syndrome is a type of hallucination reported among mobile phone users in the general population. Another similar perception, phantom ringing syndrome, has not been previously described in the medical literature.\nMETHODS: A prospective longitudinal study of 74 medical interns (46 males, 28 females; mean age, 24.8±1.2 years) was conducted using repeated investigations of the prevalence and associated factors of phantom vibration and ringing. The accompanying symptoms of anxiety and depression were evaluated with the Beck Anxiety and Depression Inventories before the internship began, and again at the third, sixth, and twelfth internship months, and two weeks after the internship ended.\nRESULTS: The baseline prevalence of phantom vibration was 78.1%, which increased to 95.9% and 93.2% in the third and sixth internship months. The prevalence returned to 80.8% at the twelfth month and decreased to 50.0% 2 weeks after the internship ended. The baseline prevalence of phantom ringing was 27.4%, which increased to 84.9%, 87.7%, and 86.3% in the third, sixth, and twelfth internship months, respectively. This returned to 54.2% two weeks after the internship ended. The anxiety and depression scores also increased during the internship, and returned to baseline two weeks after the internship. There was no significant correlation between phantom vibration/ringing and symptoms of anxiety or depression. The incidence of both phantom vibration and ringing syndromes significantly increased during the internship, and subsequent recovery.\nCONCLUSION: This study suggests that phantom vibration and ringing might be entities that are independent of anxiety or depression during evaluation of stress-associated experiences during medical internships.","container-title":"PloS One","DOI":"10.1371/journal.pone.0065152","ISSN":"1932-6203","issue":"6","journalAbbreviation":"PLoS ONE","language":"eng","note":"PMID: 23762302\nPMCID: PMC3677878","page":"e65152","source":"PubMed","title":"Prevalent hallucinations during medical internships: phantom vibration and ringing syndromes","title-short":"Prevalent hallucinations during medical internships","volume":"8","author":[{"family":"Lin","given":"Yu-Hsuan"},{"family":"Lin","given":"Sheng-Hsuan"},{"family":"Li","given":"Peng"},{"family":"Huang","given":"Wei-Lieh"},{"family":"Chen","given":"Ching-Yen"}],"issued":{"date-parts":[["2013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(63)</w:t>
            </w:r>
            <w:r>
              <w:rPr>
                <w:rFonts w:ascii="Calibri" w:hAnsi="Calibri" w:cs="Calibri"/>
                <w:sz w:val="20"/>
                <w:szCs w:val="20"/>
              </w:rPr>
              <w:fldChar w:fldCharType="end"/>
            </w:r>
          </w:p>
        </w:tc>
        <w:tc>
          <w:tcPr>
            <w:tcW w:w="1564" w:type="dxa"/>
          </w:tcPr>
          <w:p w14:paraId="6E9C423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Depression, anxiety</w:t>
            </w:r>
          </w:p>
        </w:tc>
        <w:tc>
          <w:tcPr>
            <w:tcW w:w="4365" w:type="dxa"/>
          </w:tcPr>
          <w:p w14:paraId="7BA4E51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7FF5645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4B1D1911"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6A014F60"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Brief COPE</w:t>
            </w:r>
          </w:p>
        </w:tc>
        <w:tc>
          <w:tcPr>
            <w:tcW w:w="701" w:type="dxa"/>
          </w:tcPr>
          <w:p w14:paraId="4F4F040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55A0E1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9AhyNlo","properties":{"formattedCitation":"(75)","plainCitation":"(75)","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(75)</w:t>
            </w:r>
            <w:r>
              <w:rPr>
                <w:rFonts w:ascii="Calibri" w:hAnsi="Calibri" w:cs="Calibri"/>
                <w:sz w:val="20"/>
                <w:szCs w:val="20"/>
              </w:rPr>
              <w:fldChar w:fldCharType="end"/>
            </w:r>
          </w:p>
        </w:tc>
        <w:tc>
          <w:tcPr>
            <w:tcW w:w="1564" w:type="dxa"/>
          </w:tcPr>
          <w:p w14:paraId="0ADBF6E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339CC92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0DCA11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FA92C9D"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36578AFA"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Bu et al. 2019 questionnaire</w:t>
            </w:r>
          </w:p>
        </w:tc>
        <w:tc>
          <w:tcPr>
            <w:tcW w:w="701" w:type="dxa"/>
          </w:tcPr>
          <w:p w14:paraId="577B5E9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2E831B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JRGFJMpa","properties":{"formattedCitation":"(52)","plainCitation":"(52)","noteIndex":0},"citationItems":[{"id":3245,"uris":["http://zotero.org/users/4975241/items/2ZBRY8H6"],"uri":["http://zotero.org/users/4975241/items/2ZBRY8H6"],"itemData":{"id":3245,"type":"article-journal","abstract":"Background: Mindfulness has been shown to reduce stress and burnout in medical students and healthcare professionals. This is a quality improvement study which assessed the feasibility of conducting a full-scale evaluation of a mindfulness intervention among UK foundation doctors to reduce stress and burnout.\nMethods: This is an uncontrolled before and after study taking place in a single university teaching hospital. The RE-AIM framework which comprises of five dimensions including Reach, Adoption, Effectiveness, Implementation, and Maintenance was used to guide this assessment. The intervention was a 6-week ‘Mindfulness in the Workplace’ course. The primary measure was change in self-reported levels of stress immediately before and after the course. Additional measures explored the subjective experiences of participating doctors through the use of questionnaires handed out before and after the course.\nResults: All 20 places on the course were filled from the population of 108 foundation doctors at the trust with an equal number of foundation year 1 (n = 10) and foundation year 2 (n = 10) doctors. Sixteen participants (80%) attended one or more sessions. The median baseline stress score of the participants was 6.5 (range = 2 to 9). The median post-course stress score was 5.0 (range = 2 to 8). The Mann-Witney test indicated that the stress levels of participants were significantly lower at the end of the course compared to baseline, U = 74.50, p = .04. Additional measures suggested that the intervention may be associated with some other potential promising benefits for doctors including greater wellbeing, improved working life, and more satisfactory relationships with patients. Implementation of this intervention requires further work at the institutional level because only 35% of participants completed the full intervention, the main barrier being work commitments.\nConclusion: This is the first programme of research to evaluate the feasibility of trialling and implementing a modified ‘Mindfulness in the Workplace’ intervention for foundation junior doctors in the UK. Based on the findings from this study, we conclude that this intervention is promising but further modifications are required such as the use of validated outcome measures and improving delivery aspects before this intervention programme is trialled among foundation doctors in the UK.","container-title":"Pilot and Feasibility Studies","DOI":"10.1186/s40814-019-0449-y","ISSN":"2055-5784","issue":"1","journalAbbreviation":"Pilot Feasibility Stud","language":"en","page":"61","source":"DOI.org (Crossref)","title":"Mindfulness intervention for foundation year doctors: a feasibility study","title-short":"Mindfulness intervention for foundation year doctors","volume":"5","author":[{"family":"Bu","given":"Christopher Nyi Nyi"},{"family":"Cotzias","given":"Elizabeth"},{"family":"Panagioti","given":"Maria"}],"issued":{"date-parts":[["2019",12]]}}}],"schema":"https://github.com/citation-style-language/schema/raw/master/csl-citation.json"}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(52)</w:t>
            </w:r>
            <w:r>
              <w:rPr>
                <w:rFonts w:ascii="Calibri" w:hAnsi="Calibri" w:cs="Calibri"/>
                <w:sz w:val="20"/>
                <w:szCs w:val="20"/>
              </w:rPr>
              <w:fldChar w:fldCharType="end"/>
            </w:r>
          </w:p>
        </w:tc>
        <w:tc>
          <w:tcPr>
            <w:tcW w:w="1564" w:type="dxa"/>
          </w:tcPr>
          <w:p w14:paraId="10C87DD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 wellbeing</w:t>
            </w:r>
          </w:p>
        </w:tc>
        <w:tc>
          <w:tcPr>
            <w:tcW w:w="4365" w:type="dxa"/>
          </w:tcPr>
          <w:p w14:paraId="76918A8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487D72C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8488B04"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68214139"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Burnout measure (BM)</w:t>
            </w:r>
          </w:p>
        </w:tc>
        <w:tc>
          <w:tcPr>
            <w:tcW w:w="701" w:type="dxa"/>
          </w:tcPr>
          <w:p w14:paraId="5ED01EC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139371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f8Wonfo3","properties":{"formattedCitation":"(22)","plainCitation":"(22)","noteIndex":0},"citationItems":[{"id":2980,"uris":["http://zotero.org/users/4975241/items/88F3T9RF"],"uri":["http://zotero.org/users/4975241/items/88F3T9RF"],"itemData":{"id":2980,"type":"article-journal","abstract":"Objectives This study aims to assess the prevalence of depressive symptoms, severity of burnout, and suicidal ideation among residents in a range of specialties and to identify factors that are associated with these symptoms.\nMethods A cross-sectional study was carried out at the American University of Beirut Medical Center between August and October 2013. In total, 118 out of 311 eligible residents responded. The survey included general sociodemographic questions and standardized validated tools to measure depressive symptomatology (PHQ-9), burnout (burnout measure), anxiety (GAD-7), alcohol use (AUDIT), and drug abuse (DAST-10).\nResults Overall, 22 % of the residents qualified for major depressive symptomatology. Stressful personal life events and burnout were significantly associated with depression. Drug abuse, but neither alcohol abuse nor anxiety, was associated with depression. Twenty-seven percent of the residents met criteria for burnout. Additionally, 13 % of residents had suicidal ideation, which was significantly associated with the severity of depression and not using mental health services.\nConclusions These findings increase awareness regarding the vulnerability of residents internationally. Addressing the mental health of residents is a pressing issue, and training programs need to actively address the psychological well-being of residents.","container-title":"Academic Psychiatry","DOI":"10.1007/s40596-015-0400-3","ISSN":"1042-9670, 1545-7230","issue":"1","journalAbbreviation":"Acad Psychiatry","language":"en","page":"38-45","source":"DOI.org (Crossref)","title":"Correlates of Depression and Burnout Among Residents in a Lebanese Academic Medical Center: a Cross-Sectional Study","title-short":"Correlates of Depression and Burnout Among Residents in a Lebanese Academic Medical Center","volume":"40","author":[{"family":"Talih","given":"Farid"},{"family":"Warakian","given":"Razmig"},{"family":"Ajaltouni","given":"Jean"},{"family":"Shehab","given":"Al Amira Safa"},{"family":"Tamim","given":"Hani"}],"issued":{"date-parts":[["2016",2]]}}}],"schema":"https://github.com/citation-style-language/schema/raw/master/csl-citation.json"}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(22)</w:t>
            </w:r>
            <w:r>
              <w:rPr>
                <w:rFonts w:ascii="Calibri" w:hAnsi="Calibri" w:cs="Calibri"/>
                <w:sz w:val="20"/>
                <w:szCs w:val="20"/>
              </w:rPr>
              <w:fldChar w:fldCharType="end"/>
            </w:r>
          </w:p>
        </w:tc>
        <w:tc>
          <w:tcPr>
            <w:tcW w:w="1564" w:type="dxa"/>
          </w:tcPr>
          <w:p w14:paraId="3B03712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Burnout</w:t>
            </w:r>
          </w:p>
        </w:tc>
        <w:tc>
          <w:tcPr>
            <w:tcW w:w="4365" w:type="dxa"/>
          </w:tcPr>
          <w:p w14:paraId="0E18D27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694FDFC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03B7BE0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5209FB5C"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Cedfeldt et al. 2010 questionnaire</w:t>
            </w:r>
          </w:p>
        </w:tc>
        <w:tc>
          <w:tcPr>
            <w:tcW w:w="701" w:type="dxa"/>
          </w:tcPr>
          <w:p w14:paraId="63FCC94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3C2358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0bfBs1pQ","properties":{"formattedCitation":"(56)","plainCitation":"(56)","noteIndex":0},"citationItems":[{"id":3249,"uris":["http://zotero.org/users/4975241/items/URWWV9M4"],"uri":["http://zotero.org/users/4975241/items/URWWV9M4"],"itemData":{"id":3249,"type":"article-journal","container-title":"Medical Education","DOI":"10.1111/j.1365-2923.2010.03773.x","ISSN":"03080110","issue":"10","language":"en","page":"977-984","source":"DOI.org (Crossref)","title":"Personal time off and residents’ career satisfaction, attitudes and emotions: Time off and well-being in residents","title-short":"Personal time off and residents’ career satisfaction, attitudes and emotions","volume":"44","author":[{"family":"Cedfeldt","given":"Andrea S"},{"family":"Bower","given":"Elizabeth A"},{"family":"English","given":"Clea"},{"family":"Grady-Weliky","given":"Tana A"},{"family":"Girard","given":"Donald E"},{"family":"Choi","given":"Dongseok"}],"issued":{"date-parts":[["2010",9,30]]}}}],"schema":"https://github.com/citation-style-language/schema/raw/master/csl-citation.json"}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(56)</w:t>
            </w:r>
            <w:r>
              <w:rPr>
                <w:rFonts w:ascii="Calibri" w:hAnsi="Calibri" w:cs="Calibri"/>
                <w:sz w:val="20"/>
                <w:szCs w:val="20"/>
              </w:rPr>
              <w:fldChar w:fldCharType="end"/>
            </w:r>
          </w:p>
        </w:tc>
        <w:tc>
          <w:tcPr>
            <w:tcW w:w="1564" w:type="dxa"/>
          </w:tcPr>
          <w:p w14:paraId="7C8C779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7608E">
              <w:rPr>
                <w:rFonts w:ascii="Calibri" w:hAnsi="Calibri" w:cs="Calibri"/>
                <w:sz w:val="20"/>
                <w:szCs w:val="20"/>
              </w:rPr>
              <w:t xml:space="preserve">Stress, </w:t>
            </w:r>
            <w:r>
              <w:rPr>
                <w:rFonts w:ascii="Calibri" w:hAnsi="Calibri" w:cs="Calibri"/>
                <w:sz w:val="20"/>
                <w:szCs w:val="20"/>
              </w:rPr>
              <w:t xml:space="preserve">job </w:t>
            </w:r>
            <w:r w:rsidRPr="00A7608E">
              <w:rPr>
                <w:rFonts w:ascii="Calibri" w:hAnsi="Calibri" w:cs="Calibri"/>
                <w:sz w:val="20"/>
                <w:szCs w:val="20"/>
              </w:rPr>
              <w:t>satisfaction, wellbeing, sleep</w:t>
            </w:r>
          </w:p>
        </w:tc>
        <w:tc>
          <w:tcPr>
            <w:tcW w:w="4365" w:type="dxa"/>
          </w:tcPr>
          <w:p w14:paraId="33D516A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10D2D81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86331B8"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3B01A859"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Choi et al. 2006 questionnaire</w:t>
            </w:r>
          </w:p>
        </w:tc>
        <w:tc>
          <w:tcPr>
            <w:tcW w:w="701" w:type="dxa"/>
          </w:tcPr>
          <w:p w14:paraId="49A432B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B39EB1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ZLC5qPan","properties":{"formattedCitation":"(82)","plainCitation":"(82)","noteIndex":0},"citationItems":[{"id":3274,"uris":["http://zotero.org/users/4975241/items/S3PQSF94"],"uri":["http://zotero.org/users/4975241/items/S3PQSF94"],"itemData":{"id":3274,"type":"article-journal","abstract":"Background: To assess the impact of work hours' limitations required by the Accreditation Council for Graduate Medical Education (ACGME) on residents' career satisfaction, emotions and attitudes.\nMethods: A validated survey instrument was used to assess residents' levels of career satisfaction, emotions and attitudes before and after the ACGME duty hour requirements were implemented. The \"pre\" implementation survey was distributed in December 2002 and the \"post\" implementation one in December 2004. Only the latter included work-hour related questions.\nResults: The response rates were 56% for the 2002 and 72% for the 2004 surveys respectively. Although career satisfaction remained unchanged, numerous changes occurred in both emotions and attitudes. Compared to those residents who did not violate work-hour requirements, those who did were significantly more negative in attitudes and emotions.\nConclusion: With the implementation of the ACGME work hour limitations, the training experience became more negative for those residents who violated the work hour limits and had a small positive impact on those who did not violate them. Graduate medical education leaders must innovate to make the experiences for selected residents improved and still maintain compliance with the work hour requirements.","container-title":"BMC Medical Education","DOI":"10.1186/1472-6920-6-53","ISSN":"1472-6920","issue":"1","journalAbbreviation":"BMC Med Educ","language":"en","page":"53","source":"DOI.org (Crossref)","title":"The impact of the implementation of work hour requirements on residents' career satisfaction, attitudes and emotions","volume":"6","author":[{"family":"Choi","given":"Dongseok"},{"family":"Dickey","given":"Jamie"},{"family":"Wessel","given":"Kristen"},{"family":"Girard","given":"Donald E"}],"issued":{"date-parts":[["2006",12]]}}}],"schema":"https://github.com/citation-style-language/schema/raw/master/csl-citation.json"}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(82)</w:t>
            </w:r>
            <w:r>
              <w:rPr>
                <w:rFonts w:ascii="Calibri" w:hAnsi="Calibri" w:cs="Calibri"/>
                <w:sz w:val="20"/>
                <w:szCs w:val="20"/>
              </w:rPr>
              <w:fldChar w:fldCharType="end"/>
            </w:r>
          </w:p>
        </w:tc>
        <w:tc>
          <w:tcPr>
            <w:tcW w:w="1564" w:type="dxa"/>
          </w:tcPr>
          <w:p w14:paraId="37FCF16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Job satisfaction</w:t>
            </w:r>
          </w:p>
        </w:tc>
        <w:tc>
          <w:tcPr>
            <w:tcW w:w="4365" w:type="dxa"/>
          </w:tcPr>
          <w:p w14:paraId="7DC5D5A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9A274A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526F05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7077390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Depression, Anxiety and Stress Sc</w:t>
            </w:r>
            <w:r>
              <w:rPr>
                <w:rFonts w:ascii="Calibri" w:hAnsi="Calibri" w:cs="Calibri"/>
                <w:color w:val="000000"/>
                <w:sz w:val="20"/>
                <w:szCs w:val="20"/>
              </w:rPr>
              <w:t>a</w:t>
            </w:r>
            <w:r w:rsidRPr="00AB4BAE">
              <w:rPr>
                <w:rFonts w:ascii="Calibri" w:hAnsi="Calibri" w:cs="Calibri"/>
                <w:color w:val="000000"/>
                <w:sz w:val="20"/>
                <w:szCs w:val="20"/>
              </w:rPr>
              <w:t>les</w:t>
            </w:r>
          </w:p>
        </w:tc>
        <w:tc>
          <w:tcPr>
            <w:tcW w:w="701" w:type="dxa"/>
          </w:tcPr>
          <w:p w14:paraId="28D2E16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D1E515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h3zBe8CP","properties":{"formattedCitation":"(47)","plainCitation":"(47)","noteIndex":0},"citationItems":[{"id":3097,"uris":["http://zotero.org/users/4975241/items/3F28C6I7"],"uri":["http://zotero.org/users/4975241/items/3F28C6I7"],"itemData":{"id":3097,"type":"article-journal","container-title":"Perspectives on Medical Education","DOI":"10.1007/s40037-013-0075-y","ISSN":"2212-2761, 2212-277X","issue":"2","journalAbbreviation":"Perspect Med Educ","language":"en","page":"136-143","source":"DOI.org (Crossref)","title":"Junior doctors in their first year: mental health, quality of life, burnout and heart rate variability","title-short":"Junior doctors in their first year","volume":"3","author":[{"family":"Henning","given":"Marcus A."},{"family":"Sollers","given":"John"},{"family":"Strom","given":"Joanna M."},{"family":"Hill","given":"Andrew G."},{"family":"Lyndon","given":"Mataroria P."},{"family":"Cumin","given":"David"},{"family":"Hawken","given":"Susan J."}],"issued":{"date-parts":[["2014",4]]}}}],"schema":"https://github.com/citation-style-language/schema/raw/master/csl-citation.json"}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(47)</w:t>
            </w:r>
            <w:r>
              <w:rPr>
                <w:rFonts w:ascii="Calibri" w:hAnsi="Calibri" w:cs="Calibri"/>
                <w:sz w:val="20"/>
                <w:szCs w:val="20"/>
              </w:rPr>
              <w:fldChar w:fldCharType="end"/>
            </w:r>
          </w:p>
        </w:tc>
        <w:tc>
          <w:tcPr>
            <w:tcW w:w="1564" w:type="dxa"/>
          </w:tcPr>
          <w:p w14:paraId="4F23221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Depression, anxiety, stress</w:t>
            </w:r>
          </w:p>
        </w:tc>
        <w:tc>
          <w:tcPr>
            <w:tcW w:w="4365" w:type="dxa"/>
          </w:tcPr>
          <w:p w14:paraId="11DEA72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5BED61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500348CB"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61DE185C"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Epworth Sleepiness Scale</w:t>
            </w:r>
          </w:p>
        </w:tc>
        <w:tc>
          <w:tcPr>
            <w:tcW w:w="701" w:type="dxa"/>
          </w:tcPr>
          <w:p w14:paraId="20595F7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1FAFE3C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YWzJKjXD","properties":{"formattedCitation":"(74)","plainCitation":"(74)","noteIndex":0},"citationItems":[{"id":3322,"uris":["http://zotero.org/users/4975241/items/MUZVWV6U"],"uri":["http://zotero.org/users/4975241/items/MUZVWV6U"],"itemData":{"id":3322,"type":"article-journal","abstract":"BACKGROUND: Sleep impairment is highly prevalent among resident physicians and is associated with both adverse patient outcomes and poor resident mental and physical health. Risk factors for sleep problems during residency are less clear, and no screening model exists to identify residents at risk for sleep impairment.\nOBJECTIVE: The objective of this study was to assess change in resident sleep during training and to evaluate utility of baseline sleep screening in predicting future sleep impairment.\nDESIGN: This is a prospective observational repeated-measures survey study.\nPARTICIPANTS: The participants comprised PGY-1 residents across multiple specialties at Partners HealthCare hospitals.\nMAIN MEASURES: Main measures used for this study were demographic queries and two validated scales: the Pittsburgh Sleep Quality Index (PSQI), measuring sleep quality, and the Epworth Sleepiness Scale (ESS), measuring excessive daytime sleepiness.\nKEY RESULTS: Two hundred eighty-one PGY-1 residents completed surveys at residency orientation, and 153 (54%) completed matched surveys 9 months later. Mean nightly sleep time decreased from 7.6 to 6.5 hours (p &lt; 0.001). Mean PSQI score increased from 3.6 to 5.2 (p &lt; 0.001), and mean ESS score increased from 7.2 to 10.4 (p &lt; 0.001). The proportion of residents exceeding the scales' clinical cutoffs increased over time from 15 to 40% on the PSQI (p &lt; 0.001) and from 26 to 59% on the ESS (p &lt; 0.001). Baseline normal sleep was not protective: 68% of residents with normal scores on both scales at baseline exceeded the clinical cutoff on at least one scale at follow-up. Greater age and fewer children increased follow-up PSQI score (p &lt; 0.001) but not ESS score.\nCONCLUSIONS: During PGY-1 training, residents experience worsening sleep duration, quality of sleep, and daytime sleepiness. Residents with baseline impaired sleep tend to remain impaired. Moreover, many residents with baseline normal sleep experience sleep deterioration over time. Sleep screening at residency orientation may identify some, but not all, residents who will experience sleep impairment during training.","container-title":"Journal of General Internal Medicine","DOI":"10.1007/s11606-018-4348-3","ISSN":"1525-1497","issue":"6","journalAbbreviation":"J Gen Intern Med","language":"eng","note":"PMID: 29464473\nPMCID: PMC5975152","page":"825-830","source":"PubMed","title":"So Tired: Predictive Utility of Baseline Sleep Screening in a Longitudinal Observational Survey Cohort of First-Year Residents","title-short":"So Tired","volume":"33","author":[{"family":"Zebrowski","given":"Jonathan P."},{"family":"Pulliam","given":"Samantha J."},{"family":"Denninger","given":"John W."},{"family":"Berkowitz","given":"Lori R."}],"issued":{"date-parts":[["2018"]]}}}],"schema":"https://github.com/citation-style-language/schema/raw/master/csl-citation.json"}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(74)</w:t>
            </w:r>
            <w:r>
              <w:rPr>
                <w:rFonts w:ascii="Calibri" w:hAnsi="Calibri" w:cs="Calibri"/>
                <w:sz w:val="20"/>
                <w:szCs w:val="20"/>
              </w:rPr>
              <w:fldChar w:fldCharType="end"/>
            </w:r>
          </w:p>
        </w:tc>
        <w:tc>
          <w:tcPr>
            <w:tcW w:w="1564" w:type="dxa"/>
          </w:tcPr>
          <w:p w14:paraId="39C1D55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Sleep</w:t>
            </w:r>
          </w:p>
        </w:tc>
        <w:tc>
          <w:tcPr>
            <w:tcW w:w="4365" w:type="dxa"/>
          </w:tcPr>
          <w:p w14:paraId="5C22E74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420EE21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0C9A156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290C6A7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Eurohis quality of life</w:t>
            </w:r>
          </w:p>
        </w:tc>
        <w:tc>
          <w:tcPr>
            <w:tcW w:w="701" w:type="dxa"/>
          </w:tcPr>
          <w:p w14:paraId="5C5C2A9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56DAF63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x5ZWzGtz","properties":{"formattedCitation":"(47)","plainCitation":"(47)","noteIndex":0},"citationItems":[{"id":3097,"uris":["http://zotero.org/users/4975241/items/3F28C6I7"],"uri":["http://zotero.org/users/4975241/items/3F28C6I7"],"itemData":{"id":3097,"type":"article-journal","container-title":"Perspectives on Medical Education","DOI":"10.1007/s40037-013-0075-y","ISSN":"2212-2761, 2212-277X","issue":"2","journalAbbreviation":"Perspect Med Educ","language":"en","page":"136-143","source":"DOI.org (Crossref)","title":"Junior doctors in their first year: mental health, quality of life, burnout and heart rate variability","title-short":"Junior doctors in their first year","volume":"3","author":[{"family":"Henning","given":"Marcus A."},{"family":"Sollers","given":"John"},{"family":"Strom","given":"Joanna M."},{"family":"Hill","given":"Andrew G."},{"family":"Lyndon","given":"Mataroria P."},{"family":"Cumin","given":"David"},{"family":"Hawken","given":"Susan J."}],"issued":{"date-parts":[["2014",4]]}}}],"schema":"https://github.com/citation-style-language/schema/raw/master/csl-citation.json"}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(47)</w:t>
            </w:r>
            <w:r>
              <w:rPr>
                <w:rFonts w:ascii="Calibri" w:hAnsi="Calibri" w:cs="Calibri"/>
                <w:sz w:val="20"/>
                <w:szCs w:val="20"/>
              </w:rPr>
              <w:fldChar w:fldCharType="end"/>
            </w:r>
            <w:r>
              <w:rPr>
                <w:rFonts w:ascii="Calibri" w:hAnsi="Calibri" w:cs="Calibri"/>
                <w:sz w:val="20"/>
                <w:szCs w:val="20"/>
              </w:rPr>
              <w:t xml:space="preserve"> </w:t>
            </w:r>
          </w:p>
        </w:tc>
        <w:tc>
          <w:tcPr>
            <w:tcW w:w="1564" w:type="dxa"/>
          </w:tcPr>
          <w:p w14:paraId="2925670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Quality of life</w:t>
            </w:r>
          </w:p>
        </w:tc>
        <w:tc>
          <w:tcPr>
            <w:tcW w:w="4365" w:type="dxa"/>
          </w:tcPr>
          <w:p w14:paraId="1AEDCAA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2F8496C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55C622BD"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E3415F2"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Generalized anxiety disorder-7 (GAD-7)</w:t>
            </w:r>
          </w:p>
        </w:tc>
        <w:tc>
          <w:tcPr>
            <w:tcW w:w="701" w:type="dxa"/>
          </w:tcPr>
          <w:p w14:paraId="7F3A8C3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4235AF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fchx5BYR","properties":{"formattedCitation":"(22)","plainCitation":"(22)","noteIndex":0},"citationItems":[{"id":2980,"uris":["http://zotero.org/users/4975241/items/88F3T9RF"],"uri":["http://zotero.org/users/4975241/items/88F3T9RF"],"itemData":{"id":2980,"type":"article-journal","abstract":"Objectives This study aims to assess the prevalence of depressive symptoms, severity of burnout, and suicidal ideation among residents in a range of specialties and to identify factors that are associated with these symptoms.\nMethods A cross-sectional study was carried out at the American University of Beirut Medical Center between August and October 2013. In total, 118 out of 311 eligible residents responded. The survey included general sociodemographic questions and standardized validated tools to measure depressive symptomatology (PHQ-9), burnout (burnout measure), anxiety (GAD-7), alcohol use (AUDIT), and drug abuse (DAST-10).\nResults Overall, 22 % of the residents qualified for major depressive symptomatology. Stressful personal life events and burnout were significantly associated with depression. Drug abuse, but neither alcohol abuse nor anxiety, was associated with depression. Twenty-seven percent of the residents met criteria for burnout. Additionally, 13 % of residents had suicidal ideation, which was significantly associated with the severity of depression and not using mental health services.\nConclusions These findings increase awareness regarding the vulnerability of residents internationally. Addressing the mental health of residents is a pressing issue, and training programs need to actively address the psychological well-being of residents.","container-title":"Academic Psychiatry","DOI":"10.1007/s40596-015-0400-3","ISSN":"1042-9670, 1545-7230","issue":"1","journalAbbreviation":"Acad Psychiatry","language":"en","page":"38-45","source":"DOI.org (Crossref)","title":"Correlates of Depression and Burnout Among Residents in a Lebanese Academic Medical Center: a Cross-Sectional Study","title-short":"Correlates of Depression and Burnout Among Residents in a Lebanese Academic Medical Center","volume":"40","author":[{"family":"Talih","given":"Farid"},{"family":"Warakian","given":"Razmig"},{"family":"Ajaltouni","given":"Jean"},{"family":"Shehab","given":"Al Amira Safa"},{"family":"Tamim","given":"Hani"}],"issued":{"date-parts":[["2016",2]]}}}],"schema":"https://github.com/citation-style-language/schema/raw/master/csl-citation.json"}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(22)</w:t>
            </w:r>
            <w:r>
              <w:rPr>
                <w:rFonts w:ascii="Calibri" w:hAnsi="Calibri" w:cs="Calibri"/>
                <w:sz w:val="20"/>
                <w:szCs w:val="20"/>
              </w:rPr>
              <w:fldChar w:fldCharType="end"/>
            </w:r>
          </w:p>
        </w:tc>
        <w:tc>
          <w:tcPr>
            <w:tcW w:w="1564" w:type="dxa"/>
          </w:tcPr>
          <w:p w14:paraId="5B65051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Anxiety</w:t>
            </w:r>
          </w:p>
        </w:tc>
        <w:tc>
          <w:tcPr>
            <w:tcW w:w="4365" w:type="dxa"/>
          </w:tcPr>
          <w:p w14:paraId="4D8194B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7F32AA8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6298575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2D2F90F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Health Consultant’s Job Stress and Satisfaction questionnaire </w:t>
            </w:r>
          </w:p>
        </w:tc>
        <w:tc>
          <w:tcPr>
            <w:tcW w:w="701" w:type="dxa"/>
          </w:tcPr>
          <w:p w14:paraId="14DA1C1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E73901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3Mpa73c","properties":{"formattedCitation":"(46)","plainCitation":"(46)","noteIndex":0},"citationItems":[{"id":3096,"uris":["http://zotero.org/users/4975241/items/E59B9RTP"],"uri":["http://zotero.org/users/4975241/items/E59B9RTP"],"itemData":{"id":3096,"type":"article-journal","abstract":"Background: It has previously been demonstrated that there is a significant drop in all domains of quality of life among interns during internship. Aims: A modified version of the health consultant’s job stress and satisfaction questionnaire (HCJSSQ) was used to assess and quantify aspects of internship that were perceived as stressful and satisfying. Methods used to cope with work place stress were explored. Settings and Design: A prospective cohort study was undertaken among 93 medical interns doing a rotating internship at the Christian Medical College and Hospital, a tertiary-care hospital in southern India. Materials and Methods: After completion of 6 months of internship, the modified version of the HCJSSQ was administered to all participants. Statistical Analysis: The data were entered into Statistical Package for the Social Sciences (SPSS) Version 9 by double data entry technique. Percentages of interns reporting high levels of stress, satisfaction were calculated. Results: While 63.4% of interns reported high levels of satisfaction, 45.2% of the interns experienced high levels of stress, 17.6% coped with work stress by using alcohol and nicotine, and 37% coped through unhealthy eating habits. Conclusion: More people found internship satisfying than stressful. However, a high proportion found it stressful, and many reported unhealthy coping mechanisms.","container-title":"Indian Journal of Psychological Medicine","DOI":"10.4103/0253-7176.135387","ISSN":"0253-7176, 0975-1564","issue":"3","journalAbbreviation":"Indian Journal of Psychological Medicine","language":"en","page":"308-311","source":"DOI.org (Crossref)","title":"Job Stress, Satisfaction, and Coping Strategies Among Medical Interns in a South Indian Tertiary Hospital","volume":"36","author":[{"family":"Chandramouleeswaran","given":"Susmita"},{"family":"Edwin","given":"Natasha C"},{"family":"Braganza","given":"Deepa"}],"issued":{"date-parts":[["2014",7]]}}}],"schema":"https://github.com/citation-style-language/schema/raw/master/csl-citation.json"}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(46)</w:t>
            </w:r>
            <w:r>
              <w:rPr>
                <w:rFonts w:ascii="Calibri" w:hAnsi="Calibri" w:cs="Calibri"/>
                <w:sz w:val="20"/>
                <w:szCs w:val="20"/>
              </w:rPr>
              <w:fldChar w:fldCharType="end"/>
            </w:r>
          </w:p>
        </w:tc>
        <w:tc>
          <w:tcPr>
            <w:tcW w:w="1564" w:type="dxa"/>
          </w:tcPr>
          <w:p w14:paraId="026AB87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6243F">
              <w:rPr>
                <w:rFonts w:ascii="Calibri" w:hAnsi="Calibri" w:cs="Calibri"/>
                <w:sz w:val="20"/>
                <w:szCs w:val="20"/>
              </w:rPr>
              <w:t>Job satisfaction</w:t>
            </w:r>
          </w:p>
        </w:tc>
        <w:tc>
          <w:tcPr>
            <w:tcW w:w="4365" w:type="dxa"/>
          </w:tcPr>
          <w:p w14:paraId="533464D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1C0E106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4F89713"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95CBF7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Jagsi 2008 questionnaire</w:t>
            </w:r>
          </w:p>
        </w:tc>
        <w:tc>
          <w:tcPr>
            <w:tcW w:w="701" w:type="dxa"/>
          </w:tcPr>
          <w:p w14:paraId="4629030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E6701F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481o7cRD","properties":{"formattedCitation":"(79)","plainCitation":"(79)","noteIndex":0},"citationItems":[{"id":3270,"uris":["http://zotero.org/users/4975241/items/H4R68G7M"],"uri":["http://zotero.org/users/4975241/items/H4R68G7M"],"itemData":{"id":3270,"type":"article-journal","container-title":"Archives of Internal Medicine","DOI":"10.1001/archinternmed.2007.129","ISSN":"0003-9926","issue":"5","journalAbbreviation":"Arch Intern Med","language":"en","page":"493","source":"DOI.org (Crossref)","title":"The Accreditation Council for Graduate Medical Education's Limits on Residents' Work Hours and Patient SafetyA Study of Resident Experiences and Perceptions Before and After Hours Reductions","volume":"168","author":[{"family":"Jagsi","given":"Reshma"}],"issued":{"date-parts":[["2008",3,10]]}}}],"schema":"https://github.com/citation-style-language/schema/raw/master/csl-citation.json"}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(79)</w:t>
            </w:r>
            <w:r>
              <w:rPr>
                <w:rFonts w:ascii="Calibri" w:hAnsi="Calibri" w:cs="Calibri"/>
                <w:sz w:val="20"/>
                <w:szCs w:val="20"/>
              </w:rPr>
              <w:fldChar w:fldCharType="end"/>
            </w:r>
          </w:p>
        </w:tc>
        <w:tc>
          <w:tcPr>
            <w:tcW w:w="1564" w:type="dxa"/>
          </w:tcPr>
          <w:p w14:paraId="40C3E87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Fatigue</w:t>
            </w:r>
          </w:p>
        </w:tc>
        <w:tc>
          <w:tcPr>
            <w:tcW w:w="4365" w:type="dxa"/>
          </w:tcPr>
          <w:p w14:paraId="36BA788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2AAF5FB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476058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6FC87D5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Jefferson Physician Empathy Scale </w:t>
            </w:r>
          </w:p>
        </w:tc>
        <w:tc>
          <w:tcPr>
            <w:tcW w:w="701" w:type="dxa"/>
          </w:tcPr>
          <w:p w14:paraId="797D000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4B768713" w14:textId="77777777" w:rsidR="006938E9" w:rsidRPr="00D006B7"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qRvy6YtV","properties":{"formattedCitation":"(2)","plainCitation":"(2)","noteIndex":0},"citationItems":[{"id":3196,"uris":["http://zotero.org/users/4975241/items/EQ5LM3BM"],"uri":["http://zotero.org/users/4975241/items/EQ5LM3BM"],"itemData":{"id":3196,"type":"article-journal","abstract":"Background\n              More than half of French medical GP trainees (GPTs) suffer from burnout.\n            \n            \n              Aim\n              To define and follow the evolution of risk factors, such as empathy and coping strategies, associated with burnout in this population.\n            \n            \n              Design &amp; setting\n              Prospective longitudinal study involving volunteers of 577 Parisian university GPTs in 2012.\n            \n            \n              Method\n              Self-reported anonymous online questionnaires were sent three times every 6 months to all participants. Stress was measured using the Intern-Life scale and burnout using the Maslach Inventory, and anxiety and depression measured using the Hospital Anxiety and Depression Scale (HADS). Sociodemographic, professional, and personal data, including coping strategies and measures of empathy were also collected.\n            \n            \n              Results\n              \n                In total 343 questionnaires were fully completed at baseline (T0): 304 were usable at baseline, 169 were usable at 6 months (T1) and 174 at 1 year (T2). Stress rates decreased sharply between T1 (scores 42.96) and T2 (17.08), while scores for burnout remained relatively stable: more than 13% of GPTs had high scores in all three dimensions of burnout. Depersonalisation increased from 61% (T1) to 66% (T2). One hundred and four paired samples were analysed between T0 and T1, and between T1 and T2. Emotion-centred coping was associated with emotional exhaustion (\n                P\n                &lt;0.05), while professional support reduced it. Experiences of aggression increased depersonalisation (\n                P\n                &lt;0.05). Social support, problem-centred coping, perspective-taking empathy, and professional support improved the sense of personal accomplishment (\n                P\n                &lt;0.05).\n              \n            \n            \n              Conclusion\n              Tools to help GPTs are available but are underused. More training in doctor–patient relationships and understanding of medical hidden curricula are necessary to decrease burnout among GPTs and improve their wellbeing and patient care.","container-title":"BJGP Open","DOI":"10.3399/bjgpopen17X100773","ISSN":"2398-3795","issue":"2","journalAbbreviation":"BJGP Open","language":"en","page":"bjgpopen17X100773","source":"DOI.org (Crossref)","title":"‘Intern life’: a longitudinal study of burnout, empathy, and coping strategies used by French GPs in training","title-short":"‘Intern life’","volume":"1","author":[{"family":"Galam","given":"Eric"},{"family":"Vauloup Soupault","given":"Camille"},{"family":"Bunge","given":"Lucie"},{"family":"Buffel du Vaure","given":"Céline"},{"family":"Boujut","given":"Emilie"},{"family":"Jaury","given":"Philippe"}],"issued":{"date-parts":[["2017",7,10]]}}}],"schema":"https://github.com/citation-style-language/schema/raw/master/csl-citation.json"}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w:t>
            </w:r>
            <w:r>
              <w:rPr>
                <w:rFonts w:ascii="Calibri" w:hAnsi="Calibri" w:cs="Calibri"/>
                <w:sz w:val="20"/>
                <w:szCs w:val="20"/>
              </w:rPr>
              <w:fldChar w:fldCharType="end"/>
            </w:r>
          </w:p>
        </w:tc>
        <w:tc>
          <w:tcPr>
            <w:tcW w:w="1564" w:type="dxa"/>
          </w:tcPr>
          <w:p w14:paraId="1D28B3D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Empathy</w:t>
            </w:r>
          </w:p>
        </w:tc>
        <w:tc>
          <w:tcPr>
            <w:tcW w:w="4365" w:type="dxa"/>
          </w:tcPr>
          <w:p w14:paraId="3D8884C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395A337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2CA92F5"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4EBF9C1B"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Kalmbach et al. 2018 questionnaire</w:t>
            </w:r>
          </w:p>
        </w:tc>
        <w:tc>
          <w:tcPr>
            <w:tcW w:w="701" w:type="dxa"/>
          </w:tcPr>
          <w:p w14:paraId="27D4A64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3FADB6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juohpCw9","properties":{"formattedCitation":"(30)","plainCitation":"(30)","noteIndex":0},"citationItems":[{"id":3008,"uris":["http://zotero.org/users/4975241/items/AYZ6A4GV"],"uri":["http://zotero.org/users/4975241/items/AYZ6A4GV"],"itemData":{"id":3008,"type":"article-journal","abstract":"BACKGROUND: Although short sleep, shift work, and physical inactivity are endemic to residency, a lack of objective, real-time information has limited our understanding of how these problems impact physician mental health.\nOBJECTIVE: To understand how the residency experience affects sleep, physical activity, and mood, and to understand the directional relationships among these variables. DESIGN: A prospective longitudinal study. SUBJECTS: Thirty-three first-year residents (interns) provided data from 2 months pre-internship through the first 6 months of internship. MAIN MEASURES: Objective real-time assessment of daily sleep and physical activity was assessed through accelerometry-based wearable devices. Mood scaled from 1 to 10 was recorded daily using SMS technology. Average compliance rates prior to internship for mood, sleep, and physical activity were 77.4, 80.2, and 93.7%, and were 78.8, 53.0, and 79.9% during internship. KEY RESULTS: After beginning residency, interns lost an average of 2 h and 48 min of sleep per week (t = − 3.04, p &lt; .01). Mood and physical activity decreased by 7.5% (t = − 3.67, p &lt; .01) and 11.5% (t = − 3.15, p &lt; .01), respectively. A bidirectional relationship emerged between sleep and mood during internship wherein short sleep augured worse mood the next day (b = .12, p &lt; .001), which, in turn, presaged shorter sleep the next night (b = .06, p = .03). Importantly, the effect of short sleep on mood was twice as large as mood’s effect on sleep. Lastly, substantial shifts in sleep timing during internship (sleeping </w:instrText>
            </w:r>
            <w:r>
              <w:rPr>
                <w:rFonts w:ascii="Calibri" w:hAnsi="Calibri" w:cs="Calibri" w:hint="eastAsia"/>
                <w:sz w:val="20"/>
                <w:szCs w:val="20"/>
              </w:rPr>
              <w:instrText>≥</w:instrText>
            </w:r>
            <w:r>
              <w:rPr>
                <w:rFonts w:ascii="Calibri" w:hAnsi="Calibri" w:cs="Calibri"/>
                <w:sz w:val="20"/>
                <w:szCs w:val="20"/>
              </w:rPr>
              <w:instrText xml:space="preserve"> 3 h earlier or later than pre-internship patterns) led to shorter sleep (earlier: b = − .36, p &lt; .01; later: b = − 1.75, p &lt; .001) and poorer mood (earlier: b = − .41, p &lt; .001; later: b = − .41, p &lt; .001).\nCONCLUSIONS: Shift work, short sleep, and physical inactivity confer a challenging environment for physician mental health. Efforts to increase sleep opportunity through designing shift schedules to allow for adequate opportunity to resynchronize the circadian system and improving exercise compatibility of the work environment may improve mood in this depression-vulnerable population.","container-title":"Journal of General Internal Medicine","DOI":"10.1007/s11606-018-4373-2","ISSN":"0884-8734, 1525-1497","issue":"6","journalAbbreviation":"J GEN INTERN MED","language":"en","page":"914-920","source":"DOI.org (Crossref)","title":"Effects of Sleep, Physical Activity, and Shift Work on Daily Mood: a Prospective Mobile Monitoring Study of Medical Interns","title-short":"Effects of Sleep, Physical Activity, and Shift Work on Daily Mood","volume":"33","author":[{"family":"Kalmbach","given":"David A."},{"family":"Fang","given":"Yu"},{"family":"Arnedt","given":"J. Todd"},{"family":"Cochran","given":"Amy L."},{"family":"Deldin","given":"Patricia J."},{"family":"Kaplin","given":"Adam I."},{"family":"Sen","given":"Srijan"}],"issued":{"date-parts":[["2018",6]]}}}],"schema":"https://github.com/citation-style-language/schema/raw/master/csl-citation.json"}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(30)</w:t>
            </w:r>
            <w:r>
              <w:rPr>
                <w:rFonts w:ascii="Calibri" w:hAnsi="Calibri" w:cs="Calibri"/>
                <w:sz w:val="20"/>
                <w:szCs w:val="20"/>
              </w:rPr>
              <w:fldChar w:fldCharType="end"/>
            </w:r>
          </w:p>
        </w:tc>
        <w:tc>
          <w:tcPr>
            <w:tcW w:w="1564" w:type="dxa"/>
          </w:tcPr>
          <w:p w14:paraId="69C0362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Sleep, mood</w:t>
            </w:r>
          </w:p>
        </w:tc>
        <w:tc>
          <w:tcPr>
            <w:tcW w:w="4365" w:type="dxa"/>
          </w:tcPr>
          <w:p w14:paraId="0DE9EB9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62005BB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0BD1FF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70748BE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lastRenderedPageBreak/>
              <w:t>Kashner et al. 2010 questionnaire</w:t>
            </w:r>
          </w:p>
        </w:tc>
        <w:tc>
          <w:tcPr>
            <w:tcW w:w="701" w:type="dxa"/>
          </w:tcPr>
          <w:p w14:paraId="42291BE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E1F484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ieiBnuzC","properties":{"formattedCitation":"(77)","plainCitation":"(77)","noteIndex":0},"citationItems":[{"id":3314,"uris":["http://zotero.org/users/4975241/items/X4RP739Z"],"uri":["http://zotero.org/users/4975241/items/X4RP739Z"],"itemData":{"id":3314,"type":"article-journal","abstract":"BACKGROUND: As the Accreditation Council on Graduate Medical Education (ACGME) deliberates over further limiting duty hours of graduate medical education (GME) trainees, few large-scale studies have shown residents to be satisfied with the effect the 2003 standards have had on clinical care, education outcomes, or working environments. This study measures the effect of the 2003 duty hours limits on resident-reported satisfaction with GME training during their rotations through the Department of Veterans Affairs (VA) medical centers from 2001 through 2007.\nMETHOD: Self-reported satisfaction with clinical care and education environments were assessed by comparing responses to VA's annual Learners' Perceptions Survey administered before 2003 with responses administered after 2003. To measure duty hours effects on satisfaction, before-after differences were adjusted for covariate biases modeled after an exhaustive covariate search with 10-fold cross-validation. Because nonteaching controls are not available in satisfaction studies, we used a robust differencing variable technique to control before-after differences for trend biases in the simultaneous presence of missing data and possible model misspecification.\nRESULTS: There were 19,605 responders. Adjusting for covariate and trend biases, after the 2003 ACGME standards, 25% more residents in medicine specialties reported satisfaction with VA clinical environment and 11% more with VA preceptors and faculty. For surgery, 33% more residents reported satisfaction with VA clinical environment and 12% more with VA preceptors and faculty. Satisfaction with working environment was mixed.\nCONCLUSIONS: The 2003 ACGME duty hours standards were associated with improved satisfaction for resident clinical training and learning environments.","container-title":"Academic Medicine: Journal of the Association of American Medical Colleges","DOI":"10.1097/ACM.0b013e3181e1d7e3","ISSN":"1938-808X","issue":"7","journalAbbreviation":"Acad Med","language":"eng","note":"PMID: 20592508","page":"1130-1139","source":"PubMed","title":"Studying the effects of ACGME duty hours limits on resident satisfaction: results from VA learners' perceptions survey","title-short":"Studying the effects of ACGME duty hours limits on resident satisfaction","volume":"85","author":[{"family":"Kashner","given":"T. Michael"},{"family":"Henley","given":"Steven S."},{"family":"Golden","given":"Richard M."},{"family":"Byrne","given":"John M."},{"family":"Keitz","given":"Sheri A."},{"family":"Cannon","given":"Grant W."},{"family":"Chang","given":"Barbara K."},{"family":"Holland","given":"Gloria J."},{"family":"Aron","given":"David C."},{"family":"Muchmore","given":"Elaine A."},{"family":"Wicker","given":"Annie"},{"family":"White","given":"Halbert"}],"issued":{"date-parts":[["2010",7]]}}}],"schema":"https://github.com/citation-style-language/schema/raw/master/csl-citation.json"}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(77)</w:t>
            </w:r>
            <w:r>
              <w:rPr>
                <w:rFonts w:ascii="Calibri" w:hAnsi="Calibri" w:cs="Calibri"/>
                <w:sz w:val="20"/>
                <w:szCs w:val="20"/>
              </w:rPr>
              <w:fldChar w:fldCharType="end"/>
            </w:r>
          </w:p>
        </w:tc>
        <w:tc>
          <w:tcPr>
            <w:tcW w:w="1564" w:type="dxa"/>
          </w:tcPr>
          <w:p w14:paraId="5125895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 fatigue</w:t>
            </w:r>
          </w:p>
        </w:tc>
        <w:tc>
          <w:tcPr>
            <w:tcW w:w="4365" w:type="dxa"/>
          </w:tcPr>
          <w:p w14:paraId="2812A08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6DA43CC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E3A8859"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280606A"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Kazmi et al. 2008 questionnaire</w:t>
            </w:r>
          </w:p>
        </w:tc>
        <w:tc>
          <w:tcPr>
            <w:tcW w:w="701" w:type="dxa"/>
          </w:tcPr>
          <w:p w14:paraId="11FF648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0DC0545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nEvL52Ik","properties":{"formattedCitation":"(54)","plainCitation":"(54)","noteIndex":0},"citationItems":[{"id":3304,"uris":["http://zotero.org/users/4975241/items/C2ET4CLN"],"uri":["http://zotero.org/users/4975241/items/C2ET4CLN"],"itemData":{"id":3304,"type":"article-journal","abstract":"BACKGROUND: Doctors especially house officers are under a great deal of stress related to a variety of occupational stressors. Occupational stressors contribute to organizational inefficiency, high staff turnover, absenteeism due to sickness, decreased quality, and quantity of practice, increased costs of health care, and decreased job satisfaction. One of the organizational outcomes that affected by occupational stress is job performance. The purpose of the present study was to investigate the effect of job stress on job performance.\nMETHODS: The universe of the study is District Abbottabad and the complete population of house officers was targeted which were present at that time were 55. The data obtained through questionnaire was analyzed using the statistical methods including descriptive statistics, Spearman's correlation and multiple regression.\nRESULTS: The analysis showed strong support for the hypothesis that there is an inverse relationship between job stress and job performance indicating that there is high job stress in the house officers, resulting in low job performance.\nCONCLUSION: Correct stress management should start from improved health and good intrapersonal relationships. The prevention and management of workplace stress requires organizational level interventions, because it is the organization that creates the stress. Success in managing and preventing stress will depend on the culture in the organization. A culture of openness and understanding, rather than of criticism, is essential. Those house officers who had high level of job stress had low job performance. All the factors affected male house officers more than the female house officers.","container-title":"Journal of Ayub Medical College, Abbottabad: JAMC","ISSN":"1025-9589","issue":"3","journalAbbreviation":"J Ayub Med Coll Abbottabad","language":"eng","note":"PMID: 19610539","page":"135-139","source":"PubMed","title":"Occupational stress and its effect on job performance. A case study of medical house officers of district Abbottabad","volume":"20","author":[{"family":"Kazmi","given":"Rubina"},{"family":"Amjad","given":"Shehla"},{"family":"Khan","given":"Delawar"}],"issued":{"date-parts":[["2008",9]]}}}],"schema":"https://github.com/citation-style-language/schema/raw/master/csl-citation.json"}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(54)</w:t>
            </w:r>
            <w:r>
              <w:rPr>
                <w:rFonts w:ascii="Calibri" w:hAnsi="Calibri" w:cs="Calibri"/>
                <w:sz w:val="20"/>
                <w:szCs w:val="20"/>
              </w:rPr>
              <w:fldChar w:fldCharType="end"/>
            </w:r>
          </w:p>
        </w:tc>
        <w:tc>
          <w:tcPr>
            <w:tcW w:w="1564" w:type="dxa"/>
          </w:tcPr>
          <w:p w14:paraId="2670F23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5608E29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2DE8FCE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416D61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068DB027"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Kessler Psychological Distress Scale</w:t>
            </w:r>
          </w:p>
        </w:tc>
        <w:tc>
          <w:tcPr>
            <w:tcW w:w="701" w:type="dxa"/>
          </w:tcPr>
          <w:p w14:paraId="04AB784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4131E06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Ck9GhvE","properties":{"formattedCitation":"(62)","plainCitation":"(62)","noteIndex":0},"citationItems":[{"id":3253,"uris":["http://zotero.org/users/4975241/items/ZNSZA5XV"],"uri":["http://zotero.org/users/4975241/items/ZNSZA5XV"],"itemData":{"id":3253,"type":"article-journal","abstract":"Background/Aims: To determine the prevalence of psychological distress in Australian junior medical ofﬁcers (JMO) and investigate the determinants associated with psychological distress over a 3-year (2014–2016) period.\nMethods: JMO were surveyed using the 2014–2016 JMO Census (n = 220, 399 and 466 each year; response rate approximately 15%). Levels of psychological distress were assessed using the Kessler Psychological Di</w:instrText>
            </w:r>
            <w:r>
              <w:rPr>
                <w:rFonts w:ascii="Calibri" w:hAnsi="Calibri" w:cs="Calibri" w:hint="eastAsia"/>
                <w:sz w:val="20"/>
                <w:szCs w:val="20"/>
              </w:rPr>
              <w:instrText>stress Scale (K10). A K10 ≥ 25 was chosen to indicate high psychological distress, and this determinant was compared to various demographic and work-related factors.\nResults: Australian JMO experience a high level of psychological distress (mean: 18.1, m</w:instrText>
            </w:r>
            <w:r>
              <w:rPr>
                <w:rFonts w:ascii="Calibri" w:hAnsi="Calibri" w:cs="Calibri"/>
                <w:sz w:val="20"/>
                <w:szCs w:val="20"/>
              </w:rPr>
              <w:instrText xml:space="preserve">edian 16.0). There were no differences in demographical variables, such as age, gender, marital status, dependants and between postgraduate years 1 and 2. Increasing hours worked per week was associated with a higher K10, with every hour worked increasing odds by 3%. Attitudinal items, including feeling unwilling to study medicine again, feeling poorly trained and experiences of bullying, were related to high psychological distress. Coping strategies like exercise and spending time with friends correlated positively with lower distress, while time off work, frequent alcohol use, smoking and drug use were associated with increased distress levels. Of those with a high K10, 54.5% indicated that they did not use any form of professional support; 17.83% expressed that given their time again, they would not choose to study medicine.\nConclusion: A focused approach to JMO support and education regarding signiﬁcant risk factors identiﬁed is likely to assist health policies that aim to improve the mental well-being of Australian JMO.","container-title":"Internal Medicine Journal","DOI":"10.1111/imj.13545","ISSN":"14440903","issue":"10","journalAbbreviation":"Intern Med J","language":"en","page":"1190-1196","source":"DOI.org (Crossref)","title":"Prevalence and associations of psychological distress in Australian junior medical officers: Psychological distress in JMO","title-short":"Prevalence and associations of psychological distress in Australian junior medical officers","volume":"47","author":[{"family":"Lau","given":"Michelle W."},{"family":"Li","given":"Wenlong E."},{"family":"Llewellyn","given":"Anthony"},{"family":"Cyna","given":"Allan M."}],"issued":{"date-parts":[["2017",10]]}}}],"schema":"https://github.com/citation-style-language/schema/raw/master/csl-citation.json"}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(62)</w:t>
            </w:r>
            <w:r>
              <w:rPr>
                <w:rFonts w:ascii="Calibri" w:hAnsi="Calibri" w:cs="Calibri"/>
                <w:sz w:val="20"/>
                <w:szCs w:val="20"/>
              </w:rPr>
              <w:fldChar w:fldCharType="end"/>
            </w:r>
          </w:p>
        </w:tc>
        <w:tc>
          <w:tcPr>
            <w:tcW w:w="1564" w:type="dxa"/>
          </w:tcPr>
          <w:p w14:paraId="317BD55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Anxiety, depression</w:t>
            </w:r>
          </w:p>
        </w:tc>
        <w:tc>
          <w:tcPr>
            <w:tcW w:w="4365" w:type="dxa"/>
          </w:tcPr>
          <w:p w14:paraId="76B474B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03EDC7C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03B2C5A"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0B212427"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Marek et al. 2019 questio</w:t>
            </w:r>
            <w:r>
              <w:rPr>
                <w:rFonts w:ascii="Calibri" w:hAnsi="Calibri" w:cs="Calibri"/>
                <w:color w:val="000000"/>
                <w:sz w:val="20"/>
                <w:szCs w:val="20"/>
              </w:rPr>
              <w:t>n</w:t>
            </w:r>
            <w:r w:rsidRPr="00AB4BAE">
              <w:rPr>
                <w:rFonts w:ascii="Calibri" w:hAnsi="Calibri" w:cs="Calibri"/>
                <w:color w:val="000000"/>
                <w:sz w:val="20"/>
                <w:szCs w:val="20"/>
              </w:rPr>
              <w:t>naire</w:t>
            </w:r>
          </w:p>
        </w:tc>
        <w:tc>
          <w:tcPr>
            <w:tcW w:w="701" w:type="dxa"/>
          </w:tcPr>
          <w:p w14:paraId="1174AB3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43D7FAB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lU70FOg","properties":{"formattedCitation":"(80)","plainCitation":"(80)","noteIndex":0},"citationItems":[{"id":3271,"uris":["http://zotero.org/users/4975241/items/T5XYTJ2G"],"uri":["http://zotero.org/users/4975241/items/T5XYTJ2G"],"itemData":{"id":3271,"type":"article-journal","abstract":"Background: When compared to the general US working population, physicians are more likely to experience burnout and dissatisfaction with work-life balance. Our aim was to examine the association of objectively-measured sleep, activity, call load, and gender with reported resident burnout and wellness factors.\nMethods: Residents were recruited to wear activity tracker bands and complete interval blinded surveys.\nResults: Of the 30 residents recruited, 28 (93%) completed the study. Based on survey results, residents who reported high amounts of call reported equivalent levels of wellness factors to those who reported low call loads. There was no association between amount of call on training satisfaction, emotional exhaustion, self-reported burnout, or sleep quality. Analysis of sleep tracker data showed that there was no significant association with time in bed, time asleep, times awakened or sleep latency and call load or self-reported burnout. Female gender, however, was found to be associated with self-reported burnout. No significant associations were found between objectively-measured activity and burnout.\nConclusions: Based on the results of our study, there was no association with burnout and objectively-measured sleep, call volume, or activity. Increased call demands had no negative association with training satisfaction or professional fulfillment. This would suggest that more hours worked does not necessarily equate to increased burnout.","container-title":"BMC Medical Education","DOI":"10.1186/s12909-019-1592-0","ISSN":"1472-6920","issue":"1","journalAbbreviation":"BMC Med Educ","language":"en","page":"158","source":"DOI.org (Crossref)","title":"The association between objectively-measured activity, sleep, call responsibilities, and burnout in a resident cohort","volume":"19","author":[{"family":"Marek","given":"Ashley P."},{"family":"Nygaard","given":"Rachel M."},{"family":"Liang","given":"Ellen T."},{"family":"Roetker","given":"Nicholas S."},{"family":"DeLaquil","given":"Mary"},{"family":"Gregorich","given":"Sandy"},{"family":"Richardson","given":"Chad J."},{"family":"Van Camp","given":"Joan M."}],"issued":{"date-parts":[["2019",12]]}}}],"schema":"https://github.com/citation-style-language/schema/raw/master/csl-citation.json"}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(80)</w:t>
            </w:r>
            <w:r>
              <w:rPr>
                <w:rFonts w:ascii="Calibri" w:hAnsi="Calibri" w:cs="Calibri"/>
                <w:sz w:val="20"/>
                <w:szCs w:val="20"/>
              </w:rPr>
              <w:fldChar w:fldCharType="end"/>
            </w:r>
          </w:p>
        </w:tc>
        <w:tc>
          <w:tcPr>
            <w:tcW w:w="1564" w:type="dxa"/>
          </w:tcPr>
          <w:p w14:paraId="4FB9699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Burnout, sleep</w:t>
            </w:r>
          </w:p>
        </w:tc>
        <w:tc>
          <w:tcPr>
            <w:tcW w:w="4365" w:type="dxa"/>
          </w:tcPr>
          <w:p w14:paraId="1714810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08A7963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BFE502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19214726"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Mataya et al. 2015 questionnaire</w:t>
            </w:r>
          </w:p>
        </w:tc>
        <w:tc>
          <w:tcPr>
            <w:tcW w:w="701" w:type="dxa"/>
          </w:tcPr>
          <w:p w14:paraId="2CB3371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7255A00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eviaG1G","properties":{"formattedCitation":"(33)","plainCitation":"(33)","noteIndex":0},"citationItems":[{"id":3025,"uris":["http://zotero.org/users/4975241/items/UE9Z8BCJ"],"uri":["http://zotero.org/users/4975241/items/UE9Z8BCJ"],"itemData":{"id":3025,"type":"article-journal","abstract":"Introduction: The University of Malawi's College of Medicine produces almost all of the medical interns working at Malawi's two largest public hospitals: Queen Elizabeth Central Hospital in Blantyre, and Kamuzu Central Hospital in Lilongwe. To earn full medical council registration, new graduates must complete an 18-month internship at either site. This study attempted to determine general levels of job satisfaction and commitment among Malawian medical interns, and to rank categorical factors according to impact on intern job satisfaction and commitment. These factors were also examined in terms of influence on bringing about an intern strike in late 2010, early 2011. Methods: Sixty-one of 70 interns working during the study period completed a job satisfaction survey. Questionnaire items addressed ten \"factors\": (1) hours and pay, (2) work content, (3) working conditions, (4) relationships with senior staff, (5) workplace relationships with peers, (6) educational environment, (7) internal factors, (8) quality of life, (9) autonomy and self-worth, and (10) future career prospects. Analysis for this cross-sectional study included quantification and comparisons of overall and category-specific satisfaction levels, using ANOVA and Student's t-test. Results: Sixty-nine percent then 57% of interns identified themselves as satisfied at the beginning and end of the questionnaire, respectively; 97% of the interns indicated job commitment at both instances of asking. Factors influencing job satisfaction most strongly were those that participants were least satisfied with. Conclusion: Future research and interventions aimed at improving intern job satisfaction in Malawi should focus on assessing and improving remuneration, working hours, and physical working conditions.","container-title":"Pan African Medical Journal","DOI":"10.11604/pamj.2015.21.174.6511","ISSN":"1937-8688","journalAbbreviation":"Pan Afr Med J","language":"en","source":"DOI.org (Crossref)","title":"Factors affecting job satisfaction and commitment among medical interns in Malawi: a cross-sectional study","title-short":"Factors affecting job satisfaction and commitment among medical interns in Malawi","URL":"http://www.panafrican-med-journal.com/content/article/21/174/full/","volume":"21","author":[{"family":"Mataya","given":"Andrew Alinafe"},{"family":"Macuvele","given":"Marcia Eugenia"},{"family":"Gwitima","given":"Takudzwanashe"},{"family":"Muula","given":"Adamson Sinjani"}],"accessed":{"date-parts":[["2020",9,9]]},"issued":{"date-parts":[["2015"]]}}}],"schema":"https://github.com/citation-style-language/schema/raw/master/csl-citation.json"}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(33)</w:t>
            </w:r>
            <w:r>
              <w:rPr>
                <w:rFonts w:ascii="Calibri" w:hAnsi="Calibri" w:cs="Calibri"/>
                <w:sz w:val="20"/>
                <w:szCs w:val="20"/>
              </w:rPr>
              <w:fldChar w:fldCharType="end"/>
            </w:r>
          </w:p>
        </w:tc>
        <w:tc>
          <w:tcPr>
            <w:tcW w:w="1564" w:type="dxa"/>
          </w:tcPr>
          <w:p w14:paraId="59EA417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DC25FB">
              <w:rPr>
                <w:rFonts w:ascii="Calibri" w:hAnsi="Calibri" w:cs="Calibri"/>
                <w:sz w:val="20"/>
                <w:szCs w:val="20"/>
              </w:rPr>
              <w:t>Job satisfaction, quality of life</w:t>
            </w:r>
          </w:p>
        </w:tc>
        <w:tc>
          <w:tcPr>
            <w:tcW w:w="4365" w:type="dxa"/>
          </w:tcPr>
          <w:p w14:paraId="0ADDEF7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7F38400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7FA8DE2"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56558D68"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Modified AMA survey</w:t>
            </w:r>
          </w:p>
        </w:tc>
        <w:tc>
          <w:tcPr>
            <w:tcW w:w="701" w:type="dxa"/>
          </w:tcPr>
          <w:p w14:paraId="2B1EB33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53CCFB3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skiUCZcz","properties":{"formattedCitation":"(5)","plainCitation":"(5)","noteIndex":0},"citationItems":[{"id":3292,"uris":["http://zotero.org/users/4975241/items/PEX6STQA"],"uri":["http://zotero.org/users/4975241/items/PEX6STQA"],"itemData":{"id":3292,"type":"article-journal","abstract":"PURPOSE: To secure data from residents regarding residency work hours and correlates.\nMETHOD: A national, random sample of postgraduate year 1 (PGY1) and year 2 (PGY2) residents in the 1998-1999 training year was identified using the American Medical Association's Graduate Medical Education database. Residents completed a five-page survey with 44 questions and 144 separate data elements relating to their residency experience.\nRESULTS: Completed surveys were received from 3,604 of 5,616 (64.2%) residents contacted. PGY1 residents reported working an average of 83 hours a week versus 76.2 hours for PGY2 residents (p &lt;.0001). Total work hours were significantly correlated with reported stress and hours of sleep per week. Residents averaging more than 80 work hours per week were more likely to be involved in a personal accident or injury, a serious conflict with other staff members, and making a significant medical error. Cluster analysis revealed four different types of residency experience: high intensity, moderate intensity, low intensity, and moonlighters, suggesting that residents may have some choice in selecting a residency experience suited to their particular personal and professional needs.\nCONCLUSION: Nearly half of PGY1 and one third of PGY2 residents reported working more than 80 hours per week. These extended hours are significantly correlated with a number of patient care and personal health variables. Given the variety of program and specialty requirements and demands, it seems unlikely that an arbitrary limit or a simple decrease in work hours will provide a satisfactory solution to many resident and patient care concerns.","container-title":"Academic Medicine: Journal of the Association of American Medical Colleges","DOI":"10.1097/00001888-200311000-00018","ISSN":"1040-2446","issue":"11","journalAbbreviation":"Acad Med","language":"eng","note":"PMID: 14604880","page":"1154-1163","source":"PubMed","title":"A national survey of residents' self-reported work hours: thinking beyond specialty","title-short":"A national survey of residents' self-reported work hours","volume":"78","author":[{"family":"Baldwin","given":"DeWitt C."},{"family":"Daugherty","given":"Steven R."},{"family":"Tsai","given":"Ray"},{"family":"Scotti","given":"Michael J."}],"issued":{"date-parts":[["2003",11]]}}}],"schema":"https://github.com/citation-style-language/schema/raw/master/csl-citation.json"}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(5)</w:t>
            </w:r>
            <w:r>
              <w:rPr>
                <w:rFonts w:ascii="Calibri" w:hAnsi="Calibri" w:cs="Calibri"/>
                <w:sz w:val="20"/>
                <w:szCs w:val="20"/>
              </w:rPr>
              <w:fldChar w:fldCharType="end"/>
            </w:r>
          </w:p>
        </w:tc>
        <w:tc>
          <w:tcPr>
            <w:tcW w:w="1564" w:type="dxa"/>
          </w:tcPr>
          <w:p w14:paraId="79CDA74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 sleep, job satisfaction</w:t>
            </w:r>
          </w:p>
        </w:tc>
        <w:tc>
          <w:tcPr>
            <w:tcW w:w="4365" w:type="dxa"/>
          </w:tcPr>
          <w:p w14:paraId="6197EB4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1C2A909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3C9ACE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5221EF7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Positive states of mind</w:t>
            </w:r>
          </w:p>
        </w:tc>
        <w:tc>
          <w:tcPr>
            <w:tcW w:w="701" w:type="dxa"/>
          </w:tcPr>
          <w:p w14:paraId="7AEBA1C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CAB614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YWpfcwWO","properties":{"formattedCitation":"(49)","plainCitation":"(49)","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(49)</w:t>
            </w:r>
            <w:r>
              <w:rPr>
                <w:rFonts w:ascii="Calibri" w:hAnsi="Calibri" w:cs="Calibri"/>
                <w:sz w:val="20"/>
                <w:szCs w:val="20"/>
              </w:rPr>
              <w:fldChar w:fldCharType="end"/>
            </w:r>
          </w:p>
        </w:tc>
        <w:tc>
          <w:tcPr>
            <w:tcW w:w="1564" w:type="dxa"/>
          </w:tcPr>
          <w:p w14:paraId="15BFF45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000D06F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0ED02FE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1A7C8F70"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4AFAB2BD"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Quality of life inventory</w:t>
            </w:r>
          </w:p>
        </w:tc>
        <w:tc>
          <w:tcPr>
            <w:tcW w:w="701" w:type="dxa"/>
          </w:tcPr>
          <w:p w14:paraId="0EA7D35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5764039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ZOTERO_TEMP </w:instrText>
            </w:r>
            <w:r>
              <w:rPr>
                <w:rFonts w:ascii="Calibri" w:hAnsi="Calibri" w:cs="Calibri"/>
                <w:sz w:val="20"/>
                <w:szCs w:val="20"/>
              </w:rPr>
              <w:fldChar w:fldCharType="separate"/>
            </w:r>
            <w:r>
              <w:rPr>
                <w:rFonts w:ascii="Calibri" w:hAnsi="Calibri" w:cs="Calibri"/>
                <w:noProof/>
                <w:sz w:val="20"/>
                <w:szCs w:val="20"/>
              </w:rPr>
              <w:t>(76)</w:t>
            </w:r>
            <w:r>
              <w:rPr>
                <w:rFonts w:ascii="Calibri" w:hAnsi="Calibri" w:cs="Calibri"/>
                <w:sz w:val="20"/>
                <w:szCs w:val="20"/>
              </w:rPr>
              <w:fldChar w:fldCharType="end"/>
            </w:r>
          </w:p>
        </w:tc>
        <w:tc>
          <w:tcPr>
            <w:tcW w:w="1564" w:type="dxa"/>
          </w:tcPr>
          <w:p w14:paraId="32EB17F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Quality of life</w:t>
            </w:r>
          </w:p>
        </w:tc>
        <w:tc>
          <w:tcPr>
            <w:tcW w:w="4365" w:type="dxa"/>
          </w:tcPr>
          <w:p w14:paraId="0003439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184497B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4608F60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37978215"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 xml:space="preserve">Satisfaction with Life Scale </w:t>
            </w:r>
          </w:p>
        </w:tc>
        <w:tc>
          <w:tcPr>
            <w:tcW w:w="701" w:type="dxa"/>
          </w:tcPr>
          <w:p w14:paraId="4A663F4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4F96484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B8hf1XIH","properties":{"formattedCitation":"(17)","plainCitation":"(17)","noteIndex":0},"citationItems":[{"id":3211,"uris":["http://zotero.org/users/4975241/items/LP92RK8J"],"uri":["http://zotero.org/users/4975241/items/LP92RK8J"],"itemData":{"id":3211,"type":"article-journal","abstract":"Background: Burnout can result in a serious negative impact on a doctor's life, the quality of patient care, and the healthcare organization. This study aims to determine the prevalence of burnout and factors aﬀecting burnout among the house oﬃcers in Myanmar. Materials and methods: An exploratory cross-sectional quantitative survey study was conducted using a selfadministered, web-based survey. House oﬃcers working in any of the government hospitals in Myanmar were invited to participate in the study. The survey link was distributed online via Facebook. To measure burnout, we utilised a non-proprietary single-item measure, validated to serve as a reliable substitute for the Maslach Burnout Inventory Emotional Exhaustion (MBI:EE). To measure global life satisfaction, the validated Satisfaction with Life Scale (SWLS) was used. The questions for the scales regarding the psychosocial environment were extracted from the long version of the validated Copenhagen Psychosocial Questionnaire (COPSOQ II). The scales selected were “possibilities for the development”, “meaning of work”, “commitment to workplace”, “recognition”, “social support from colleagues” and “social support from supervisors”. Multiple logistic regression method was applied to determine the factors associated with burnout.\nResults: Regarding the prevalence of burnout, out of 159 participants, 42.8% (n = 68) of the participants had no symptoms of burnout. 57.2% (n = 91) had one or more symptoms of burnout. Multivariate analysis showed that the only signiﬁcant factor associated with burnout was “recognition” (OR 0.96, 95% CI: 0.94–0.97, P &lt; 0.001).\nConclusion: From this study, we have determined the relatively high burnout prevalence and that recognition is the only preventive factor; increase in recognition will decrease the odds of burnout. Hence, urgent interventions are recommended to prevent undesirable eﬀects on both health professionals and patients. Recognition for work done should always be in the heart of the health authorities and medical community in Myanmar.","container-title":"Annals of Medicine and Surgery","DOI":"10.1016/j.amsu.2018.07.008","ISSN":"20490801","journalAbbreviation":"Annals of Medicine and Surgery","language":"en","page":"7-12","source":"DOI.org (Crossref)","title":"Burnout among house officers in Myanmar: A cross-sectional study","title-short":"Burnout among house officers in Myanmar","volume":"33","author":[{"family":"Lin","given":"Kyaw San"},{"family":"Zaw","given":"Thant"},{"family":"Oo","given":"Win Min"},{"family":"Soe","given":"Pa Pa"}],"issued":{"date-parts":[["2018",9]]}}}],"schema":"https://github.com/citation-style-language/schema/raw/master/csl-citation.json"}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(17)</w:t>
            </w:r>
            <w:r>
              <w:rPr>
                <w:rFonts w:ascii="Calibri" w:hAnsi="Calibri" w:cs="Calibri"/>
                <w:sz w:val="20"/>
                <w:szCs w:val="20"/>
              </w:rPr>
              <w:fldChar w:fldCharType="end"/>
            </w:r>
          </w:p>
        </w:tc>
        <w:tc>
          <w:tcPr>
            <w:tcW w:w="1564" w:type="dxa"/>
          </w:tcPr>
          <w:p w14:paraId="535FC28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Life</w:t>
            </w:r>
            <w:r w:rsidRPr="0006243F">
              <w:rPr>
                <w:rFonts w:ascii="Calibri" w:hAnsi="Calibri" w:cs="Calibri"/>
                <w:sz w:val="20"/>
                <w:szCs w:val="20"/>
              </w:rPr>
              <w:t xml:space="preserve"> satisfaction</w:t>
            </w:r>
          </w:p>
        </w:tc>
        <w:tc>
          <w:tcPr>
            <w:tcW w:w="4365" w:type="dxa"/>
          </w:tcPr>
          <w:p w14:paraId="1BB7979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6D3FDCD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10DCB4F7"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60D37289"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Sources of Stress Scale</w:t>
            </w:r>
            <w:r w:rsidRPr="00AB4BAE">
              <w:rPr>
                <w:rFonts w:ascii="Calibri" w:hAnsi="Calibri" w:cs="Calibri"/>
                <w:color w:val="000000"/>
                <w:sz w:val="20"/>
                <w:szCs w:val="20"/>
              </w:rPr>
              <w:br/>
              <w:t xml:space="preserve">(SSS) </w:t>
            </w:r>
          </w:p>
        </w:tc>
        <w:tc>
          <w:tcPr>
            <w:tcW w:w="701" w:type="dxa"/>
          </w:tcPr>
          <w:p w14:paraId="2ADDE59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1DBE647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3JnZGZPC","properties":{"formattedCitation":"(85)","plainCitation":"(85)","noteIndex":0},"citationItems":[{"id":3277,"uris":["http://zotero.org/users/4975241/items/5AK5N2AL"],"uri":["http://zotero.org/users/4975241/items/5AK5N2AL"],"itemData":{"id":3277,"type":"article-journal","abstract":"Objective:  The educational climate is a key factor in medical education. The study aims to examine the relationship between trainee doctors’ perceptions of hospital educational environment, stress and social capital. A cross-sectional study among 104 trainee doctors working in a Greek public hospital was conducted. According to the main hypotheses, perceptions of clinical training are positively associated with social capital and negatively with stress. Results:  Perceptions of autonomy dimension of training quality was positively related to community participation, tolerance of diversity and total social capital. Perceptions of teaching and social support dimensions of the quality of education were positively correlated with community participation. All training quality subscales were negatively correlated with almost all working stress subscales. Analysis revealed significantly higher scores in autonomy perceptions for those who evaluated their undergraduate studies positively. Females had a significantly lower score in perceptions of teaching and social support scales.","container-title":"BMC Research Notes","DOI":"10.1186/s13104-018-3387-5","ISSN":"1756-0500","issue":"1","journalAbbreviation":"BMC Res Notes","language":"en","page":"274","source":"DOI.org (Crossref)","title":"The relationship between stress, social capital and quality of education among medical residents","volume":"11","author":[{"family":"Anastasiadis","given":"Charis"},{"family":"Tsounis","given":"Andreas"},{"family":"Sarafis","given":"Pavlos"}],"issued":{"date-parts":[["2018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(85)</w:t>
            </w:r>
            <w:r>
              <w:rPr>
                <w:rFonts w:ascii="Calibri" w:hAnsi="Calibri" w:cs="Calibri"/>
                <w:sz w:val="20"/>
                <w:szCs w:val="20"/>
              </w:rPr>
              <w:fldChar w:fldCharType="end"/>
            </w:r>
          </w:p>
        </w:tc>
        <w:tc>
          <w:tcPr>
            <w:tcW w:w="1564" w:type="dxa"/>
          </w:tcPr>
          <w:p w14:paraId="2C211E6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0D98CC0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39D73A1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79E61D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7E172013"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Spielberger's Situational Anxiety Inventory</w:t>
            </w:r>
          </w:p>
        </w:tc>
        <w:tc>
          <w:tcPr>
            <w:tcW w:w="701" w:type="dxa"/>
          </w:tcPr>
          <w:p w14:paraId="5836698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A7AED7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gCg9FzKn","properties":{"formattedCitation":"(29)","plainCitation":"(29)","noteIndex":0},"citationItems":[{"id":3296,"uris":["http://zotero.org/users/4975241/items/W65SZPID"],"uri":["http://zotero.org/users/4975241/items/W65SZPID"],"itemData":{"id":3296,"type":"article-journal","abstract":"BACKGROUND: Simulation is one of the strategies which are suggested and used to reduce stress and anxiety in clinical student education. This study aimed to determine the effect of simulation-based training method on psychological health promotion in operating room students in their educational internships.\nMATERIALS AND METHODS: This study was a clinical trial. Research population was operating room students at Semnan University of Medical Sciences. A demographic questionnaire and the Spielberger's Situational Anxiety Inventory were used as data collection tools. Students were divided into two intervention and control groups randomly. Situational anxiety was measured before the intervention and on the 1st and the last days of the internship. The data from the two groups were compared by using the Mann-Whitney and Friedman statistics at the significant level of 0.05.\nRESULTS: There was a significant difference between students' situational anxiety scores in the experimental and control groups on the 1st day of internship after education by simulation (P = 0.481). There was a significant difference between the students' anxiety scores in the two groups on the last day of the internship (P = 0.008).\nCONCLUSION: Simulation of the operating room environment before the internship cannot reduce the operating room students' situational anxiety on the 1st day of internship, but it can reduce their situational anxiety during the internship and significantly reduce it at the end of internship compared to those who are not in the simulated environment.","container-title":"Journal of Education and Health Promotion","DOI":"10.4103/jehp.jehp_106_19","ISSN":"2277-9531","journalAbbreviation":"J Educ Health Promot","language":"eng","note":"PMID: 31867357\nPMCID: PMC6796314","page":"172","source":"PubMed","title":"Effect of simulation-based training method on the psychological health promotion in operating room students during the educational internship","volume":"8","author":[{"family":"Mohammadi","given":"Gholamreza"},{"family":"Tourdeh","given":"Maedeh"},{"family":"Ebrahimian","given":"Abbasali"}],"issued":{"date-parts":[["2019"]]}}}],"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(29)</w:t>
            </w:r>
            <w:r>
              <w:rPr>
                <w:rFonts w:ascii="Calibri" w:hAnsi="Calibri" w:cs="Calibri"/>
                <w:sz w:val="20"/>
                <w:szCs w:val="20"/>
              </w:rPr>
              <w:fldChar w:fldCharType="end"/>
            </w:r>
          </w:p>
        </w:tc>
        <w:tc>
          <w:tcPr>
            <w:tcW w:w="1564" w:type="dxa"/>
          </w:tcPr>
          <w:p w14:paraId="18F468B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Anxiety</w:t>
            </w:r>
          </w:p>
        </w:tc>
        <w:tc>
          <w:tcPr>
            <w:tcW w:w="4365" w:type="dxa"/>
          </w:tcPr>
          <w:p w14:paraId="7360F0D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365" w:type="dxa"/>
          </w:tcPr>
          <w:p w14:paraId="69045E3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2D4CD767"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421BEEA9"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Stress inventory</w:t>
            </w:r>
          </w:p>
        </w:tc>
        <w:tc>
          <w:tcPr>
            <w:tcW w:w="701" w:type="dxa"/>
          </w:tcPr>
          <w:p w14:paraId="449FB1C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3D73AD6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nbYEJ14w","properties":{"formattedCitation":"(76)","plainCitation":"(76)","noteIndex":0},"citationItems":[{"id":3267,"uris":["http://zotero.org/users/4975241/items/ETWIKY4X"],"uri":["http://zotero.org/users/4975241/items/ETWIKY4X"],"itemData":{"id":3267,"type":"article-journal","abstract":"Objectives: To assess the impact of stress and workload on sexual health and quality of life (QOL) of the medical residents in training. Design and subjects: A total of 339 male and female medical residents from 11 specialties were surveyed. Level of stress, sexual health and QOL were measured using validated questionnaires. Results: Overall, 49% of the female and 11% of male residents had sexual dysfunction, and 47% and 34% respectively indicated being very to mostly dissatisﬁed with their sexual life. Both the frequency of sexual activity and quality of relationship with partner decreased during residency compared with the time immediately prior to residency. This decline was irrespective of gender, specialty or year of residency. A majority of residents (75% of women and 54% of men) were identiﬁed to be at high levels of stress using a validated questionnaire. In women, stress negatively inﬂuenced most domains of sexual health including desire, arousal and satisfaction; in men, satisfaction was signiﬁcantly affected by high levels of stress. Long hours of work (&gt; 70 h per week) impacted sexual health less profoundly than did stress. Among both male and female residents, QOL was signiﬁcantly lower among residents who experienced sexual dysfunction and dissatisfaction compared with those with normal sexual functioning. Conclusions: Our results highlight the importance of stress-management efforts in residency programmes and provide evidence that limiting work hours alone may not lead to signiﬁcant improvement in sexual health and QOL during residency.","container-title":"International Journal of Clinical Practice","DOI":"10.1111/j.1742-1241.2008.01845.x","ISSN":"13685031, 17421241","issue":"3","language":"en","page":"462-467","source":"DOI.org (Crossref)","title":"Stress, workload, sexual well-being and quality of life among physician residents in training","volume":"63","author":[{"family":"Sangi-Haghpeykar","given":"H."},{"family":"Ambani","given":"D. S."},{"family":"Carson","given":"S. A."}],"issued":{"date-parts":[["2009",3]]}}}],"schema":"https://github.com/citation-style-language/schema/raw/master/csl-citation.json"}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(76)</w:t>
            </w:r>
            <w:r>
              <w:rPr>
                <w:rFonts w:ascii="Calibri" w:hAnsi="Calibri" w:cs="Calibri"/>
                <w:sz w:val="20"/>
                <w:szCs w:val="20"/>
              </w:rPr>
              <w:fldChar w:fldCharType="end"/>
            </w:r>
          </w:p>
        </w:tc>
        <w:tc>
          <w:tcPr>
            <w:tcW w:w="1564" w:type="dxa"/>
          </w:tcPr>
          <w:p w14:paraId="19CF41C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3F1B131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0CB8EC4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10CE630"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1" w:type="dxa"/>
          </w:tcPr>
          <w:p w14:paraId="77F05711"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Stress Profile</w:t>
            </w:r>
          </w:p>
        </w:tc>
        <w:tc>
          <w:tcPr>
            <w:tcW w:w="701" w:type="dxa"/>
          </w:tcPr>
          <w:p w14:paraId="5A49206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426D321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qqraH3t","properties":{"formattedCitation":"(49)","plainCitation":"(49)","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(49)</w:t>
            </w:r>
            <w:r>
              <w:rPr>
                <w:rFonts w:ascii="Calibri" w:hAnsi="Calibri" w:cs="Calibri"/>
                <w:sz w:val="20"/>
                <w:szCs w:val="20"/>
              </w:rPr>
              <w:fldChar w:fldCharType="end"/>
            </w:r>
          </w:p>
        </w:tc>
        <w:tc>
          <w:tcPr>
            <w:tcW w:w="1564" w:type="dxa"/>
          </w:tcPr>
          <w:p w14:paraId="72275CF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Stress</w:t>
            </w:r>
          </w:p>
        </w:tc>
        <w:tc>
          <w:tcPr>
            <w:tcW w:w="4365" w:type="dxa"/>
          </w:tcPr>
          <w:p w14:paraId="6B25796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17AFDF0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5F2C5A3C" w14:textId="77777777" w:rsidTr="008C7800">
        <w:tc>
          <w:tcPr>
            <w:cnfStyle w:val="001000000000" w:firstRow="0" w:lastRow="0" w:firstColumn="1" w:lastColumn="0" w:oddVBand="0" w:evenVBand="0" w:oddHBand="0" w:evenHBand="0" w:firstRowFirstColumn="0" w:firstRowLastColumn="0" w:lastRowFirstColumn="0" w:lastRowLastColumn="0"/>
            <w:tcW w:w="2691" w:type="dxa"/>
          </w:tcPr>
          <w:p w14:paraId="76E7B1ED"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Swaid et al. 2017 questionnaire</w:t>
            </w:r>
          </w:p>
        </w:tc>
        <w:tc>
          <w:tcPr>
            <w:tcW w:w="701" w:type="dxa"/>
          </w:tcPr>
          <w:p w14:paraId="31A1BFE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702" w:type="dxa"/>
          </w:tcPr>
          <w:p w14:paraId="254C66B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nD5koTjN","properties":{"formattedCitation":"(92)","plainCitation":"(92)","noteIndex":0},"citationItems":[{"id":3284,"uris":["http://zotero.org/users/4975241/items/7L4AUUCN"],"uri":["http://zotero.org/users/4975241/items/7L4AUUCN"],"itemData":{"id":3284,"type":"article-journal","abstract":"Background: Internship training offers an important opportunity for personal development and career planning. However, there are many factors affecting the efficiency of training, and the views of interns are rarely considered. The main objective of this study was to explore the views of interns enrolled in Jazan University internship program during the year 2015. Subjects and methods: A web-based cross-sectional study was conducted in the Jazan region, Kingdom of Saudi Arabia, during the academic year 2015. To achieve the study goals, an online questionnaire was distributed to all interns (n=85) enrolled in the Jazan University internship program.\nResults: Results revealed that satisfaction with training was more evident in general surgery and pediatrics (76.1%, n=54 and 77.5%, n=55, respectively). Satisfaction was lowest for obstetrics and gynecology programs (45.1%, n=32), while in internal medicine it was 54.9% (n=39). Training in general surgery and pediatrics was rated as excellent by most of the interns (45.8% and 43.1%, respectively). The picture is reversed in obstetrics and gynecology, as 43.1% rated it as average. More than half of the study sample felt that they were well prepared to start the next step in their career at the end of internship (50.7%), while 25.4% felt that they were moderately prepared.\nConclusion: It is clear that training quality in views of interns is variable across the major specialties, and there are some problems in obstetrics and gynecology training. More studies are needed to explore in-depth dimensions of internship training program in the Kingdom of Saudi Arabia.","container-title":"Advances in Medical Education and Practice","DOI":"10.2147/AMEP.S123119","ISSN":"1179-7258","journalAbbreviation":"AMEP","language":"en","page":"121-128","source":"DOI.org (Crossref)","title":"Medical internship training in Saudi Arabia: interns' views and perceptions","title-short":"Medical internship training in Saudi Arabia","volume":"Volume 8","author":[{"family":"Swaid","given":"Ali"},{"family":"Elhilu","given":"Abdelkhalig"},{"family":"Mahfouz","given":"Mohamed"}],"issued":{"date-parts":[["2017",1]]}}}],"schema":"https://github.com/citation-style-language/schema/raw/master/csl-citation.json"}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(92)</w:t>
            </w:r>
            <w:r>
              <w:rPr>
                <w:rFonts w:ascii="Calibri" w:hAnsi="Calibri" w:cs="Calibri"/>
                <w:sz w:val="20"/>
                <w:szCs w:val="20"/>
              </w:rPr>
              <w:fldChar w:fldCharType="end"/>
            </w:r>
          </w:p>
        </w:tc>
        <w:tc>
          <w:tcPr>
            <w:tcW w:w="1564" w:type="dxa"/>
          </w:tcPr>
          <w:p w14:paraId="7F0DA49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Job satisfaction</w:t>
            </w:r>
          </w:p>
        </w:tc>
        <w:tc>
          <w:tcPr>
            <w:tcW w:w="4365" w:type="dxa"/>
          </w:tcPr>
          <w:p w14:paraId="496F34F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365" w:type="dxa"/>
          </w:tcPr>
          <w:p w14:paraId="4A4F4C3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bl>
    <w:p w14:paraId="438E91BA" w14:textId="77777777" w:rsidR="006938E9" w:rsidRDefault="006938E9" w:rsidP="006938E9">
      <w:pPr>
        <w:rPr>
          <w:rFonts w:ascii="Calibri" w:hAnsi="Calibri" w:cs="Calibri"/>
        </w:rPr>
      </w:pPr>
    </w:p>
    <w:p w14:paraId="4F7975EB" w14:textId="77777777" w:rsidR="006938E9" w:rsidRPr="00D10E16" w:rsidRDefault="006938E9" w:rsidP="006938E9">
      <w:pPr>
        <w:rPr>
          <w:rFonts w:ascii="Calibri" w:hAnsi="Calibri" w:cs="Calibri"/>
          <w:b/>
          <w:bCs/>
          <w:sz w:val="20"/>
          <w:szCs w:val="20"/>
        </w:rPr>
      </w:pPr>
      <w:r w:rsidRPr="00CF7581">
        <w:rPr>
          <w:rFonts w:ascii="Calibri" w:hAnsi="Calibri" w:cs="Calibri"/>
          <w:b/>
          <w:bCs/>
          <w:sz w:val="20"/>
          <w:szCs w:val="20"/>
        </w:rPr>
        <w:t xml:space="preserve">Theme </w:t>
      </w:r>
      <w:r>
        <w:rPr>
          <w:rFonts w:ascii="Calibri" w:hAnsi="Calibri" w:cs="Calibri"/>
          <w:b/>
          <w:bCs/>
          <w:sz w:val="20"/>
          <w:szCs w:val="20"/>
        </w:rPr>
        <w:t>2</w:t>
      </w:r>
      <w:r w:rsidRPr="00CF7581">
        <w:rPr>
          <w:rFonts w:ascii="Calibri" w:hAnsi="Calibri" w:cs="Calibri"/>
          <w:b/>
          <w:bCs/>
          <w:sz w:val="20"/>
          <w:szCs w:val="20"/>
        </w:rPr>
        <w:t xml:space="preserve">: </w:t>
      </w:r>
      <w:r>
        <w:rPr>
          <w:rFonts w:ascii="Calibri" w:hAnsi="Calibri" w:cs="Calibri"/>
          <w:b/>
          <w:bCs/>
          <w:sz w:val="20"/>
          <w:szCs w:val="20"/>
        </w:rPr>
        <w:t>Educational environment</w:t>
      </w:r>
    </w:p>
    <w:tbl>
      <w:tblPr>
        <w:tblStyle w:val="ListTable3-Accent3"/>
        <w:tblW w:w="0" w:type="auto"/>
        <w:tblLook w:val="04A0" w:firstRow="1" w:lastRow="0" w:firstColumn="1" w:lastColumn="0" w:noHBand="0" w:noVBand="1"/>
      </w:tblPr>
      <w:tblGrid>
        <w:gridCol w:w="2630"/>
        <w:gridCol w:w="838"/>
        <w:gridCol w:w="1551"/>
        <w:gridCol w:w="1694"/>
        <w:gridCol w:w="4229"/>
        <w:gridCol w:w="4260"/>
        <w:gridCol w:w="186"/>
      </w:tblGrid>
      <w:tr w:rsidR="006938E9" w:rsidRPr="008550FF" w14:paraId="0130FC5B" w14:textId="77777777" w:rsidTr="008C78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30" w:type="dxa"/>
          </w:tcPr>
          <w:p w14:paraId="01ADA10D" w14:textId="77777777" w:rsidR="006938E9" w:rsidRPr="008550FF" w:rsidRDefault="006938E9" w:rsidP="008C7800">
            <w:pPr>
              <w:rPr>
                <w:rFonts w:ascii="Calibri" w:hAnsi="Calibri" w:cs="Calibri"/>
                <w:color w:val="000000" w:themeColor="text1"/>
                <w:sz w:val="20"/>
                <w:szCs w:val="20"/>
              </w:rPr>
            </w:pPr>
            <w:r w:rsidRPr="008550FF">
              <w:rPr>
                <w:rFonts w:ascii="Calibri" w:hAnsi="Calibri" w:cs="Calibri"/>
                <w:color w:val="000000" w:themeColor="text1"/>
                <w:sz w:val="20"/>
                <w:szCs w:val="20"/>
              </w:rPr>
              <w:t>Tool name</w:t>
            </w:r>
          </w:p>
        </w:tc>
        <w:tc>
          <w:tcPr>
            <w:tcW w:w="838" w:type="dxa"/>
          </w:tcPr>
          <w:p w14:paraId="7D0819AE" w14:textId="77777777" w:rsidR="006938E9" w:rsidRPr="008550FF"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8550FF">
              <w:rPr>
                <w:rFonts w:ascii="Calibri" w:hAnsi="Calibri" w:cs="Calibri"/>
                <w:color w:val="000000" w:themeColor="text1"/>
                <w:sz w:val="20"/>
                <w:szCs w:val="20"/>
              </w:rPr>
              <w:t>Time used</w:t>
            </w:r>
          </w:p>
        </w:tc>
        <w:tc>
          <w:tcPr>
            <w:tcW w:w="1551" w:type="dxa"/>
          </w:tcPr>
          <w:p w14:paraId="3ACE1DA0" w14:textId="77777777" w:rsidR="006938E9" w:rsidRPr="008550FF"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8550FF">
              <w:rPr>
                <w:rFonts w:ascii="Calibri" w:hAnsi="Calibri" w:cs="Calibri"/>
                <w:color w:val="000000" w:themeColor="text1"/>
                <w:sz w:val="20"/>
                <w:szCs w:val="20"/>
              </w:rPr>
              <w:t>Reference</w:t>
            </w:r>
          </w:p>
        </w:tc>
        <w:tc>
          <w:tcPr>
            <w:tcW w:w="1694" w:type="dxa"/>
          </w:tcPr>
          <w:p w14:paraId="105365CF" w14:textId="77777777" w:rsidR="006938E9" w:rsidRPr="008550FF"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8550FF">
              <w:rPr>
                <w:rFonts w:ascii="Calibri" w:hAnsi="Calibri" w:cs="Calibri"/>
                <w:color w:val="000000" w:themeColor="text1"/>
                <w:sz w:val="20"/>
                <w:szCs w:val="20"/>
              </w:rPr>
              <w:t>Sub-themes</w:t>
            </w:r>
          </w:p>
        </w:tc>
        <w:tc>
          <w:tcPr>
            <w:tcW w:w="4229" w:type="dxa"/>
          </w:tcPr>
          <w:p w14:paraId="6A757224" w14:textId="77777777" w:rsidR="006938E9" w:rsidRPr="008550FF"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8550FF">
              <w:rPr>
                <w:rFonts w:ascii="Calibri" w:hAnsi="Calibri" w:cs="Calibri"/>
                <w:color w:val="000000" w:themeColor="text1"/>
                <w:sz w:val="20"/>
                <w:szCs w:val="20"/>
              </w:rPr>
              <w:t>Internal validity evidence</w:t>
            </w:r>
          </w:p>
        </w:tc>
        <w:tc>
          <w:tcPr>
            <w:tcW w:w="4446" w:type="dxa"/>
            <w:gridSpan w:val="2"/>
          </w:tcPr>
          <w:p w14:paraId="36A8B4E8" w14:textId="77777777" w:rsidR="006938E9" w:rsidRPr="008550FF"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8550FF">
              <w:rPr>
                <w:rFonts w:ascii="Calibri" w:hAnsi="Calibri" w:cs="Calibri"/>
                <w:color w:val="000000" w:themeColor="text1"/>
                <w:sz w:val="20"/>
                <w:szCs w:val="20"/>
              </w:rPr>
              <w:t>Reliability evidence</w:t>
            </w:r>
          </w:p>
        </w:tc>
      </w:tr>
      <w:tr w:rsidR="006938E9" w:rsidRPr="00AB4BAE" w14:paraId="7B869F5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4F4DDAE4" w14:textId="77777777" w:rsidR="006938E9" w:rsidRPr="00AB4BAE" w:rsidRDefault="006938E9" w:rsidP="008C7800">
            <w:pPr>
              <w:rPr>
                <w:rFonts w:ascii="Calibri" w:hAnsi="Calibri" w:cs="Calibri"/>
                <w:sz w:val="20"/>
                <w:szCs w:val="20"/>
              </w:rPr>
            </w:pPr>
            <w:r w:rsidRPr="00FA4A59">
              <w:rPr>
                <w:rFonts w:ascii="Calibri" w:hAnsi="Calibri" w:cs="Calibri"/>
                <w:sz w:val="20"/>
                <w:szCs w:val="20"/>
              </w:rPr>
              <w:t>UK Medical Career Research Group</w:t>
            </w:r>
            <w:r>
              <w:rPr>
                <w:rFonts w:ascii="Calibri" w:hAnsi="Calibri" w:cs="Calibri"/>
                <w:sz w:val="20"/>
                <w:szCs w:val="20"/>
              </w:rPr>
              <w:t xml:space="preserve"> survey</w:t>
            </w:r>
          </w:p>
        </w:tc>
        <w:tc>
          <w:tcPr>
            <w:tcW w:w="838" w:type="dxa"/>
          </w:tcPr>
          <w:p w14:paraId="78D340A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5</w:t>
            </w:r>
          </w:p>
        </w:tc>
        <w:tc>
          <w:tcPr>
            <w:tcW w:w="1551" w:type="dxa"/>
          </w:tcPr>
          <w:p w14:paraId="5B636A0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ESTt382C","properties":{"formattedCitation":"(26,53,60,81,89)","plainCitation":"(26,53,60,81,89)","noteIndex":0},"citationItems":[{"id":2984,"uris":["http://zotero.org/users/4975241/items/DCEHAHMU"],"uri":["http://zotero.org/users/4975241/items/DCEHAHMU"],"itemData":{"id":2984,"type":"article-journal","abstract":"Objective The ﬁrst year of postgraduate work for newly qualiﬁed doctors in the UK, the pre-registration year, is spent working intensively in training posts under supervision. Our aim was to report the views of preregistration doctors on these posts. Design Questionnaire survey. Subjects All medical graduates of 1999 and a 25% sample of graduates of 2000 from all UK medical schools. Main outcome measures Doctors’ views on the preregistration house ofﬁcer (PRHO) year, recorded as ratings in answers to questions and statements about the year. Results In reply to the question ÔHow much have you enjoyed the PRHO year overall?Õ, rated on a scale from 0)10 (0 ¼ no enjoyment; 10 ¼ enjoyed it greatly), 44% of respondents (1341 ⁄ 3068) gave scores of 8–10; in all, 83Æ2% of respondents gave scores in the upper half of the scale (‡6). However, there were criticisms of speciﬁc aspects of working conditions. Only a third agreed that their training during the year had been of a high standard. Posts in medicine were rated more highly than those in surgery for quality of training. Differences in views held by women and men junior doctors were few. However, where differences existed, women were slightly more positive about their work than men. Conclusion Most graduates enjoyed the pre-registration year but there is still considerable scope for improvement in working conditions and training. Men and women gave similar responses, which suggests that later divergence in their career pathways is not attributable to different views formed about work in their preregistration year.","container-title":"Medical Education","DOI":"10.1046/j.1365-2923.2003.01611.x","ISSN":"0308-0110, 1365-2923","issue":"9","journalAbbreviation":"Med Educ","language":"en","page":"802-808","source":"DOI.org (Crossref)","title":"Doctors' views of their first year of medical work and postgraduate training in the UK: questionnaire surveys","title-short":"Doctors' views of their first year of medical work and postgraduate training in the UK","volume":"37","author":[{"family":"Goldacre","given":"Michael J"},{"family":"Davidson","given":"Jean M"},{"family":"Lambert","given":"Trevor W"}],"issued":{"date-parts":[["2003",9]]}}},{"id":3246,"uris":["http://zotero.org/users/4975241/items/M8DGG3DL"],"uri":["http://zotero.org/users/4975241/items/M8DGG3DL"],"itemData":{"id":3246,"type":"article-journal","abstract":"Background: A survey of newly qualified doctors in the UK in 2000/2001 found that 42% of them felt unprepared for their first year of employment in clinical posts. We report on how UK qualifiers' preparedness has changed since then, and on the impact of course changes upon preparedness.\nMethods: Postal questionnaires were sent to all doctors who qualified from UK medical schools, in their first year of clinical work, in 2003 (n = 4257) and 2005 (n = 4784); and findings were compared with those in 2000/2001 (n = 5330). The response rates were 67% in 2000/2001, 65% in 2003, and 43% in 2005. The outcome measure was the percentage of doctors agreeing with the statement \"My experience at medical school has prepared me well for the jobs I have undertaken so far\".\nResults: In the 2000/2001 survey 36.3% strongly agreed or agreed with the statement, as did 50.3% in the 2003 survey and 58.5% in 2005 (chi-squared test for linear trend: χ2 = 259.5; df = 1; p &lt; 0.001). Substantial variation in preparedness between doctors from different medical schools, reported in the first survey, was still present in 2003 and 2005. Between 1998 and 2006 all UK medical schools updated their courses. Within each cohort a significantly higher percentage of the respondents from schools with updated courses felt well prepared.\nConclusion: UK medical schools are now training doctors who feel better prepared for work than in the past. Some of the improvement may be attributable to curricular change.","container-title":"BMC Medical Education","DOI":"10.1186/1472-6920-7-38","ISSN":"1472-6920","issue":"1","journalAbbreviation":"BMC Med Educ","language":"en","page":"38","source":"DOI.org (Crossref)","title":"Newly qualified doctors' views about whether their medical school had trained them well: questionnaire surveys","title-short":"Newly qualified doctors' views about whether their medical school had trained them well","volume":"7","author":[{"family":"Cave","given":"Judith"},{"family":"Goldacre","given":"Michael"},{"family":"Lambert","given":"Trevor"},{"family":"Woolf","given":"Kath"},{"family":"Jones","given":"Alison"},{"family":"Dacre","given":"Jane"}],"issued":{"date-parts":[["2007",12]]}}},{"id":3252,"uris":["http://zotero.org/users/4975241/items/HN5APLEI"],"uri":["http://zotero.org/users/4975241/items/HN5APLEI"],"itemData":{"id":3252,"type":"article-journal","container-title":"BMJ","DOI":"10.1136/bmj.326.7397.1011","ISSN":"09598138, 14685833","issue":"7397","language":"en","page":"1011-1012","source":"DOI.org (Crossref)","title":"Preregistration house officers' views on whether their experience at medical school prepared them well for their jobs: national questionnaire survey","title-short":"Preregistration house officers' views on whether their experience at medical school prepared them well for their jobs","volume":"326","author":[{"family":"Goldacre","given":"M. J"}],"issued":{"date-parts":[["2003",5,10]]}}},{"id":3273,"uris":["http://zotero.org/users/4975241/items/9ALUWLYY"],"uri":["http://zotero.org/users/4975241/items/9ALUWLYY"],"itemData":{"id":3273,"type":"article-journal","abstract":"OBJECTIVE To determine whether graduate and nongraduate entrants to medical school differ in their views on the ﬁrst year spent in medical practice as a pre-registration house ofﬁcer.\nMETHODS We carried out postal questionnaire surveys of medical qualiﬁers of 1999, 2000 and 2002 from all UK medical schools, 1 year after qualiﬁcation. The timing of the study slightly pre-dates the recent major expansion in graduate entry fast-track courses.\nRESULTS Differences between graduate and nongraduate entrants were few and, even when statistically signiﬁcant, were small in scale. Graduate entrants viewed their working hours, pay and living conditions at work, such as hospital accommodation and food, a little less favourably than did non-graduate entrants. Graduate entrants were also less satisﬁed than non-graduates with time available for family, social and recreational activities. However, graduate entrants were more likely than non-graduate entrants to feel positive about their future career prospects. There were no differences between graduate and non-graduate entrants in whether they felt they had been well prepared by their medical schools for the jobs they undertook as house ofﬁcers. Levels of job satisfaction expressed by graduate and non-graduate entrants were similar, as were their responses to most other statements about attitudes to clinical work.\nCONCLUSIONS ÔQuality of lifeÕ issues, a sense of being fairly rewarded, and expectations about oneÕs physical working environment seem a little more important to graduate than to non-graduate entrants.","container-title":"Medical Education","DOI":"10.1111/j.1365-2923.2007.02992.x","ISSN":"03080110, 13652923","issue":"3","language":"en","page":"286-293","source":"DOI.org (Crossref)","title":"The first house officer year: views of graduate and non-graduate entrants to medical school","title-short":"The first house officer year","volume":"42","author":[{"family":"Goldacre","given":"Michael J"},{"family":"Davidson","given":"Jean M"},{"family":"Lambert","given":"Trevor W"}],"issued":{"date-parts":[["2008",3]]}}},{"id":3281,"uris":["http://zotero.org/users/4975241/items/88EPWDWH"],"uri":["http://zotero.org/users/4975241/items/88EPWDWH"],"itemData":{"id":3281,"type":"article-journal","abstract":"Background: In the UK, doctors’ first year of medical work is also their first year of postgraduate training. It is very important that their experience of work and training is good. Design: Surveys of entire cohorts graduating in particular years. Setting: UK.\nMethod: Questionnaires sent 1 year after qualification to all UK medical graduates of 1999, 2000, 2002, 2005, 2008 and 2009.\nResults: The study comprised 17 831 respondents. Variation in views across cohorts was modest. Overall, 30% agreed their training had been of a high standard; 38% agreed educational opportunities had been good; 52% agreed they had to do too much routine nonmedical work; and 16% agreed they had to perform clinical tasks for which they felt inadequately trained. Job enjoyment, rated from 1 (‘I didn’t enjoy it at all’) to 10 (‘I enjoyed it greatly’), improved from 70% of doctors in the 1999 cohort scoring 7–10 to 75% in the 2009 cohort. Satisfaction with available leisure time, rated from 1 (‘not at all satisfied’) to 10 (‘extremely satisfied’), rose from 24% scoring 7–10 in the 1999s to 49% in the 2009s. Male–female differences were small.\nConclusions: There was improvement over the decade in some aspects of work, particularly satisfaction with time off work for leisure, and overall enjoyment of the job. There was little change in doctors’ views about the training experience offered by the F1 year.","container-title":"BMJ Open","DOI":"10.1136/bmjopen-2013-002723","ISSN":"2044-6055, 2044-6055","issue":"4","journalAbbreviation":"BMJ Open","language":"en","page":"e002723","source":"DOI.org (Crossref)","title":"Views of UK-trained medical graduates of 1999–2009 about their first postgraduate year of training: national surveys","title-short":"Views of UK-trained medical graduates of 1999–2009 about their first postgraduate year of training","volume":"3","author":[{"family":"Lambert","given":"Trevor W"},{"family":"Surman","given":"Geraldine"},{"family":"Goldacre","given":"Michael J"}],"issued":{"date-parts":[["2013"]]}}}],"schema":"https://github.com/citation-style-language/schema/raw/master/csl-citation.json"}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(26,53,60,81,89)</w:t>
            </w:r>
            <w:r>
              <w:rPr>
                <w:rFonts w:ascii="Calibri" w:hAnsi="Calibri" w:cs="Calibri"/>
                <w:sz w:val="20"/>
                <w:szCs w:val="20"/>
              </w:rPr>
              <w:fldChar w:fldCharType="end"/>
            </w:r>
          </w:p>
        </w:tc>
        <w:tc>
          <w:tcPr>
            <w:tcW w:w="1694" w:type="dxa"/>
          </w:tcPr>
          <w:p w14:paraId="0FE887CF"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7248E">
              <w:rPr>
                <w:rFonts w:ascii="Calibri" w:hAnsi="Calibri" w:cs="Calibri"/>
                <w:sz w:val="20"/>
                <w:szCs w:val="20"/>
              </w:rPr>
              <w:t>Support, handoff, induction, supervision, teaching, fee</w:t>
            </w:r>
            <w:r>
              <w:rPr>
                <w:rFonts w:ascii="Calibri" w:hAnsi="Calibri" w:cs="Calibri"/>
                <w:sz w:val="20"/>
                <w:szCs w:val="20"/>
              </w:rPr>
              <w:t>d</w:t>
            </w:r>
            <w:r w:rsidRPr="00C7248E">
              <w:rPr>
                <w:rFonts w:ascii="Calibri" w:hAnsi="Calibri" w:cs="Calibri"/>
                <w:sz w:val="20"/>
                <w:szCs w:val="20"/>
              </w:rPr>
              <w:t>back</w:t>
            </w:r>
            <w:r>
              <w:rPr>
                <w:rFonts w:ascii="Calibri" w:hAnsi="Calibri" w:cs="Calibri"/>
                <w:sz w:val="20"/>
                <w:szCs w:val="20"/>
              </w:rPr>
              <w:t>, preparedness</w:t>
            </w:r>
          </w:p>
        </w:tc>
        <w:tc>
          <w:tcPr>
            <w:tcW w:w="4229" w:type="dxa"/>
          </w:tcPr>
          <w:p w14:paraId="66AED92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CCE906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1DC797D"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769B202C" w14:textId="77777777" w:rsidR="006938E9" w:rsidRPr="00AB4BAE" w:rsidRDefault="006938E9" w:rsidP="008C7800">
            <w:pPr>
              <w:rPr>
                <w:rFonts w:ascii="Calibri" w:hAnsi="Calibri" w:cs="Calibri"/>
                <w:sz w:val="20"/>
                <w:szCs w:val="20"/>
              </w:rPr>
            </w:pPr>
            <w:r>
              <w:rPr>
                <w:rFonts w:ascii="Calibri" w:hAnsi="Calibri" w:cs="Calibri"/>
                <w:sz w:val="20"/>
                <w:szCs w:val="20"/>
              </w:rPr>
              <w:t>PHEEM</w:t>
            </w:r>
          </w:p>
        </w:tc>
        <w:tc>
          <w:tcPr>
            <w:tcW w:w="838" w:type="dxa"/>
          </w:tcPr>
          <w:p w14:paraId="382E1CE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4</w:t>
            </w:r>
          </w:p>
        </w:tc>
        <w:tc>
          <w:tcPr>
            <w:tcW w:w="1551" w:type="dxa"/>
          </w:tcPr>
          <w:p w14:paraId="5C180A4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Tcsmk8A7","properties":{"formattedCitation":"(15,24,35,85)","plainCitation":"(15,24,35,85)","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id":3042,"uris":["http://zotero.org/users/4975241/items/K6642LEG"],"uri":["http://zotero.org/users/4975241/items/K6642LEG"],"itemData":{"id":3042,"type":"article-journal","abstract":"Introduction: Increased numbers of rural hospital rotations for interns (first postgraduate year) are being created in Western Australia (WA). This study utilised the Postgraduate Hospital Educational Environment Measure (PHEEM), an internationally validated multidimensional questionnaire, to assess and compare the educational environment of five new or established rural sites and an urban teaching hospital.\nMethods: The PHEEM was modified slightly: to make language appropriate for the WA context and to collect information about intern location. It was administered at the completion of each 10-week term over the first postgraduate year in 2009.\nResults: A total of 147 completed PHEEM questionnaires were returned from 74 interns, evaluating a maximum of 210 individual 10-week terms (105 each from urban and combined rural). Average completion time was 6.4 minutes. The median score for teaching was 45.0 (interquartile range 39.0, 50.0) in rural locations and 43.0 (37.5, 46.0) in urban locations (p=0.046). The median scores for autonomy were 39.0 (35.0, 45.0) and 39.0 (36.0, 41.5) (p=0.672) and for support median scores 33.0 (28.0, 35.0) and 31.0 (28.0, 33.0) (p=0.019) in rural and urban locations respectively.\nConclusion: This study has utilised an Australian-appropriate version of the PHEEM and has provided the first confirmation that, in terms of educational environment, rural intern rotations compare favourably with those in urban settings in WA.","language":"en","page":"12","source":"Zotero","title":"Formal assessment of the educational environment experienced by interns placed in rural hospitals in Western Australia","author":[{"family":"Auret","given":"KA"},{"family":"Skinner","given":"L"},{"family":"Sinclair","given":"C"},{"family":"Evans","given":"S"}]}},{"id":3277,"uris":["http://zotero.org/users/4975241/items/5AK5N2AL"],"uri":["http://zotero.org/users/4975241/items/5AK5N2AL"],"itemData":{"id":3277,"type":"article-journal","abstract":"Objective:  The educational climate is a key factor in medical education. The study aims to examine the relationship between trainee doctors’ perceptions of hospital educational environment, stress and social capital. A cross-sectional study among 104 trainee doctors working in a Greek public hospital was conducted. According to the main hypotheses, perceptions of clinical training are positively associated with social capital and negatively with stress. Results:  Perceptions of autonomy dimension of training quality was positively related to community participation, tolerance of diversity and total social capital. Perceptions of teaching and social support dimensions of the quality of education were positively correlated with community participation. All training quality subscales were negatively correlated with almost all working stress subscales. Analysis revealed significantly higher scores in autonomy perceptions for those who evaluated their undergraduate studies positively. Females had a significantly lower score in perceptions of teaching and social support scales.","container-title":"BMC Research Notes","DOI":"10.1186/s13104-018-3387-5","ISSN":"1756-0500","issue":"1","journalAbbreviation":"BMC Res Notes","language":"en","page":"274","source":"DOI.org (Crossref)","title":"The relationship between stress, social capital and quality of education among medical residents","volume":"11","author":[{"family":"Anastasiadis","given":"Charis"},{"family":"Tsounis","given":"Andreas"},{"family":"Sarafis","given":"Pavlos"}],"issued":{"date-parts":[["2018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(15,24,35,85)</w:t>
            </w:r>
            <w:r>
              <w:rPr>
                <w:rFonts w:ascii="Calibri" w:hAnsi="Calibri" w:cs="Calibri"/>
                <w:sz w:val="20"/>
                <w:szCs w:val="20"/>
              </w:rPr>
              <w:fldChar w:fldCharType="end"/>
            </w:r>
          </w:p>
        </w:tc>
        <w:tc>
          <w:tcPr>
            <w:tcW w:w="1694" w:type="dxa"/>
          </w:tcPr>
          <w:p w14:paraId="214E6A3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F15B8">
              <w:rPr>
                <w:rFonts w:ascii="Calibri" w:hAnsi="Calibri" w:cs="Calibri"/>
                <w:sz w:val="20"/>
                <w:szCs w:val="20"/>
              </w:rPr>
              <w:t xml:space="preserve">Educational environment, supervision, induction, communication, feedback, career development, </w:t>
            </w:r>
            <w:r w:rsidRPr="00AF15B8">
              <w:rPr>
                <w:rFonts w:ascii="Calibri" w:hAnsi="Calibri" w:cs="Calibri"/>
                <w:sz w:val="20"/>
                <w:szCs w:val="20"/>
              </w:rPr>
              <w:lastRenderedPageBreak/>
              <w:t>teamwork</w:t>
            </w:r>
            <w:r>
              <w:rPr>
                <w:rFonts w:ascii="Calibri" w:hAnsi="Calibri" w:cs="Calibri"/>
                <w:sz w:val="20"/>
                <w:szCs w:val="20"/>
              </w:rPr>
              <w:t>, teaching, support</w:t>
            </w:r>
          </w:p>
        </w:tc>
        <w:tc>
          <w:tcPr>
            <w:tcW w:w="4229" w:type="dxa"/>
          </w:tcPr>
          <w:p w14:paraId="584E349F"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lastRenderedPageBreak/>
              <w:fldChar w:fldCharType="begin"/>
            </w:r>
            <w:r>
              <w:rPr>
                <w:rFonts w:ascii="Calibri" w:hAnsi="Calibri" w:cs="Calibri"/>
                <w:sz w:val="20"/>
                <w:szCs w:val="20"/>
              </w:rPr>
              <w:instrText xml:space="preserve"> ADDIN ZOTERO_ITEM CSL_CITATION {"citationID":"EyPc0MFk","properties":{"formattedCitation":"(24)","plainCitation":"(24)","noteIndex":0},"citationItems":[{"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(24)</w:t>
            </w:r>
            <w:r>
              <w:rPr>
                <w:rFonts w:ascii="Calibri" w:hAnsi="Calibri" w:cs="Calibri"/>
                <w:sz w:val="20"/>
                <w:szCs w:val="20"/>
              </w:rPr>
              <w:fldChar w:fldCharType="end"/>
            </w:r>
            <w:r>
              <w:rPr>
                <w:rFonts w:ascii="Calibri" w:hAnsi="Calibri" w:cs="Calibri"/>
                <w:sz w:val="20"/>
                <w:szCs w:val="20"/>
              </w:rPr>
              <w:t xml:space="preserve"> Face validity, construct validity (three factors)</w:t>
            </w:r>
          </w:p>
          <w:p w14:paraId="4B4593C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I0mjS7DM","properties":{"formattedCitation":"(15)","plainCitation":"(15)","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(15)</w:t>
            </w:r>
            <w:r>
              <w:rPr>
                <w:rFonts w:ascii="Calibri" w:hAnsi="Calibri" w:cs="Calibri"/>
                <w:sz w:val="20"/>
                <w:szCs w:val="20"/>
              </w:rPr>
              <w:fldChar w:fldCharType="end"/>
            </w:r>
            <w:r>
              <w:rPr>
                <w:rFonts w:ascii="Calibri" w:hAnsi="Calibri" w:cs="Calibri"/>
                <w:sz w:val="20"/>
                <w:szCs w:val="20"/>
              </w:rPr>
              <w:t xml:space="preserve"> construct validity (one factor)</w:t>
            </w:r>
          </w:p>
        </w:tc>
        <w:tc>
          <w:tcPr>
            <w:tcW w:w="4446" w:type="dxa"/>
            <w:gridSpan w:val="2"/>
          </w:tcPr>
          <w:p w14:paraId="4742EEDE"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g2cvGHiu","properties":{"formattedCitation":"(24)","plainCitation":"(24)","noteIndex":0},"citationItems":[{"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(24)</w:t>
            </w:r>
            <w:r>
              <w:rPr>
                <w:rFonts w:ascii="Calibri" w:hAnsi="Calibri" w:cs="Calibri"/>
                <w:sz w:val="20"/>
                <w:szCs w:val="20"/>
              </w:rPr>
              <w:fldChar w:fldCharType="end"/>
            </w:r>
            <w:r>
              <w:rPr>
                <w:rFonts w:ascii="Calibri" w:hAnsi="Calibri" w:cs="Calibri"/>
                <w:sz w:val="20"/>
                <w:szCs w:val="20"/>
              </w:rPr>
              <w:t xml:space="preserve"> Internal consistency (Cronbach’s alpha = 0.93)</w:t>
            </w:r>
          </w:p>
          <w:p w14:paraId="6DD28F9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a3PjDGr","properties":{"formattedCitation":"(15)","plainCitation":"(15)","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(15)</w:t>
            </w:r>
            <w:r>
              <w:rPr>
                <w:rFonts w:ascii="Calibri" w:hAnsi="Calibri" w:cs="Calibri"/>
                <w:sz w:val="20"/>
                <w:szCs w:val="20"/>
              </w:rPr>
              <w:fldChar w:fldCharType="end"/>
            </w:r>
            <w:r>
              <w:rPr>
                <w:rFonts w:ascii="Calibri" w:hAnsi="Calibri" w:cs="Calibri"/>
                <w:sz w:val="20"/>
                <w:szCs w:val="20"/>
              </w:rPr>
              <w:t xml:space="preserve"> Internal consistency (Cronbach’s alpha = 0.84)</w:t>
            </w:r>
          </w:p>
        </w:tc>
      </w:tr>
      <w:tr w:rsidR="006938E9" w:rsidRPr="00AB4BAE" w14:paraId="3AB9E63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422D8933" w14:textId="77777777" w:rsidR="006938E9" w:rsidRPr="00AB4BAE" w:rsidRDefault="006938E9" w:rsidP="008C7800">
            <w:pPr>
              <w:rPr>
                <w:rFonts w:ascii="Calibri" w:hAnsi="Calibri" w:cs="Calibri"/>
                <w:sz w:val="20"/>
                <w:szCs w:val="20"/>
              </w:rPr>
            </w:pPr>
            <w:r w:rsidRPr="00C16995">
              <w:rPr>
                <w:rFonts w:ascii="Calibri" w:hAnsi="Calibri" w:cs="Calibri"/>
                <w:sz w:val="20"/>
                <w:szCs w:val="20"/>
              </w:rPr>
              <w:t>Accreditation Council for Graduate Medical Education Resident Survey</w:t>
            </w:r>
          </w:p>
        </w:tc>
        <w:tc>
          <w:tcPr>
            <w:tcW w:w="838" w:type="dxa"/>
          </w:tcPr>
          <w:p w14:paraId="67F54CB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w:t>
            </w:r>
          </w:p>
        </w:tc>
        <w:tc>
          <w:tcPr>
            <w:tcW w:w="1551" w:type="dxa"/>
          </w:tcPr>
          <w:p w14:paraId="488D8EA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PKyAdDuL","properties":{"formattedCitation":"(16,70)","plainCitation":"(16,70)","noteIndex":0},"citationItems":[{"id":3210,"uris":["http://zotero.org/users/4975241/items/58J96YPI"],"uri":["http://zotero.org/users/4975241/items/58J96YPI"],"itemData":{"id":3210,"type":"article-journal","abstract":"Objective: Several aspects of medical training may contribute to the ultimate goal of producing excellent physicians whose patients will have the best possible outcomes. However, the relative importance of education, evaluation and feedback, duty hours, practice structure, and program culture in achieving this goal is unclear. This study assessed associations among in-training exam performance, Accreditation Council for Graduate Medical Education (ACGME) Resident Survey responses, and American Board of Medical Specialties (ABMS) national board exam performance.\nMethods: Residency training programs at a university teaching hospital were classified as having 5-year first-time ABMS pass rates above (n=12) or below (n=3) the national average for their specialty. These groups were compared by ACGME Resident Survey data and in-training exam performance.\nResults: Surveys were collected from 484/543 eligible residents (89%), including 177 surveys from programs with belowaverage board pass rates and 307 surveys from programs with aboveaverage board pass rates. In-training exam performance was similar between groups. Aboveaverage programs had stronger agreement with statements that their culture reinforced patient safety (4.72 vs. 4.30, p=0.006) and that information was not lost during transitions of care (4.14 vs. 3.63, p=0.001). Although the occurrence of interprofessional teamwork was similar between groups, above-average programs had stronger agreement with the statement that interprofessional teamwork was effective (4.60 vs. 4.17, p=0.003).\nConclusion: Residency programs emphasizing patient safety and effective interprofessional teamwork had above-average firsttime national board pass rates.","container-title":"Academic Psychiatry","DOI":"10.1007/s40596-019-01106-x","ISSN":"1042-9670, 1545-7230","issue":"6","journalAbbreviation":"Acad Psychiatry","language":"en","page":"581-584","source":"DOI.org (Crossref)","title":"Associations Between National Board Exam Performance and Residency Program Emphasis on Patient Safety and Interprofessional Teamwork","volume":"43","author":[{"family":"Loftus","given":"Tyler J."},{"family":"Hall","given":"David J."},{"family":"Malaty","given":"John Z."},{"family":"Kuruppacherry","given":"Sony B."},{"family":"Sarosi","given":"George A."},{"family":"Shaw","given":"Christiana M."},{"family":"Tan","given":"Sanda A."},{"family":"Taylor","given":"Janice"},{"family":"Morris","given":"Diana S."},{"family":"Meyer","given":"Lynne E."},{"family":"Hobbs","given":"Jacqueline A."}],"issued":{"date-parts":[["2019",12]]}}},{"id":3308,"uris":["http://zotero.org/users/4975241/items/3FSYLRXT"],"uri":["http://zotero.org/users/4975241/items/3FSYLRXT"],"itemData":{"id":3308,"type":"article-journal","abstract":"PURPOSE: Residents' assessment of their learning environment is an important element of residency accreditation and a strong predictor of resident satisfaction. The authors examined the reliability and validity of a resident/fellow survey and explored the relationship between reported duty hours noncompliance and residents' perceptions of other aspects of their learning environments.\nMETHOD: The Accreditation Council for Graduate Medical Education (ACGME) administered a 29-item Web-based survey in 2007 and 2008 to 91,073 residents in 5,610 programs. Aggregate data from the survey comprised indicators of substantial compliance or noncompliance. The authors examined relationships among duty hours and aspects of the educational environment, as well as the relationship of the survey results to citations from accreditation reviews.\nRESULTS: The survey demonstrated a high degree of internal reliability (Cronbach alpha, 0.84). Common factor analysis revealed two factors, educational environment and resident duty hours (eigenvalues of 5.49 and 2.42, respectively). Programs having resident-identified duty hours issues were more likely than those without such issues to have received duty hours citations from residency review committees (odds ratio: 2.04; 95% CI: 1.03, 3.05).\nCONCLUSIONS: The ACGME Resident/Fellow Survey is a reliable, valid, and useful tool for evaluating residency programs. There are strong relationships between duty hours noncompliance and noncompliance in other aspects of the program environment.","container-title":"Academic Medicine: Journal of the Association of American Medical Colleges","DOI":"10.1097/ACM.0b013e3181ccc1db","ISSN":"1938-808X","issue":"3","journalAbbreviation":"Acad Med","language":"eng","note":"PMID: 20182130","page":"512-518","source":"PubMed","title":"Residents' perspectives on the learning environment: data from the Accreditation Council for Graduate Medical Education resident survey","title-short":"Residents' perspectives on the learning environment","volume":"85","author":[{"family":"Holt","given":"Kathleen D."},{"family":"Miller","given":"Rebecca S."},{"family":"Philibert","given":"Ingrid"},{"family":"Heard","given":"Jeanne K."},{"family":"Nasca","given":"Thomas J."}],"issued":{"date-parts":[["2010",3]]}}}],"schema":"https://github.com/citation-style-language/schema/raw/master/csl-citation.json"}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(16,70)</w:t>
            </w:r>
            <w:r>
              <w:rPr>
                <w:rFonts w:ascii="Calibri" w:hAnsi="Calibri" w:cs="Calibri"/>
                <w:sz w:val="20"/>
                <w:szCs w:val="20"/>
              </w:rPr>
              <w:fldChar w:fldCharType="end"/>
            </w:r>
          </w:p>
        </w:tc>
        <w:tc>
          <w:tcPr>
            <w:tcW w:w="1694" w:type="dxa"/>
          </w:tcPr>
          <w:p w14:paraId="79A68C02"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205CC1">
              <w:rPr>
                <w:rFonts w:ascii="Calibri" w:hAnsi="Calibri" w:cs="Calibri"/>
                <w:sz w:val="20"/>
                <w:szCs w:val="20"/>
              </w:rPr>
              <w:t>Teamwork, educational experience, handoff</w:t>
            </w:r>
          </w:p>
        </w:tc>
        <w:tc>
          <w:tcPr>
            <w:tcW w:w="4229" w:type="dxa"/>
          </w:tcPr>
          <w:p w14:paraId="055625C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4F449A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C17B4D0"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08C139A0" w14:textId="77777777" w:rsidR="006938E9" w:rsidRPr="00AB4BAE" w:rsidRDefault="006938E9" w:rsidP="008C7800">
            <w:pPr>
              <w:rPr>
                <w:rFonts w:ascii="Calibri" w:hAnsi="Calibri" w:cs="Calibri"/>
                <w:sz w:val="20"/>
                <w:szCs w:val="20"/>
              </w:rPr>
            </w:pPr>
            <w:r>
              <w:rPr>
                <w:rFonts w:ascii="Calibri" w:hAnsi="Calibri" w:cs="Calibri"/>
                <w:sz w:val="20"/>
                <w:szCs w:val="20"/>
              </w:rPr>
              <w:t>Junior Doctor Assessment Tool</w:t>
            </w:r>
          </w:p>
        </w:tc>
        <w:tc>
          <w:tcPr>
            <w:tcW w:w="838" w:type="dxa"/>
          </w:tcPr>
          <w:p w14:paraId="77CC75B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2</w:t>
            </w:r>
          </w:p>
        </w:tc>
        <w:tc>
          <w:tcPr>
            <w:tcW w:w="1551" w:type="dxa"/>
          </w:tcPr>
          <w:p w14:paraId="79CC7EA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TYFDYWm","properties":{"formattedCitation":"(14,23)","plainCitation":"(14,23)","noteIndex":0},"citationItems":[{"id":3208,"uris":["http://zotero.org/users/4975241/items/SCIAEAKX"],"uri":["http://zotero.org/users/4975241/items/SCIAEAKX"],"itemData":{"id":3208,"type":"article-journal","abstract":"Background: In recent years, Australia has developed a National Junior Doctor Curriculum Framework that sets out the expected standards and describes areas of performance for junior doctors and through this has allowed a national approach to junior doctor assessment to develop. Given the significance of the judgments made, in terms of patient safety, development of junior doctors, and preventing progression of junior doctors moving to the next stage of training, it is essential to develop and validate assessment tools as rigorously as possible. This paper reports on a validation study of the Junior Doctor Assessment Tool as used for PGY1 doctors to evaluate the psychometric properties of the instrument and to explore the effect of length of experience as a PGY1 on assessment scores.\nMethods: This validation study of the Australian developed Junior Doctor Assessment Tool as it was used in three public and other associated hospitals in Western Australia for PGY1 across a two year period addressed two core aims, namely: (1) to evaluate the psychometric properties of the instrument; (2) to explore the effect of length of experience as a PGY1 on assessment scores.\nResults: The highest mean scores were for professional behaviours, teamwork and interpersonal skills and the lowest were for procedures. Most junior doctors were assessed three or more times and scores were not different in the first rotation compared to subsequent rotations. While statistically significant, there appeared to be little practical influence on scores obtained by the number of times they were assessed. Principal component analysis identified two principal components of junior doctor performance are being assessed rather than the commonly reported three. A Cronbach Alpha of .883 was calculated for the 10 item scale.\nConclusions: Now that the components of the tool have been analysed it will be more meaningful and potentially more influential to consider these factors on the potential educational impact of this assessment process for monitoring junior doctor development and progression.","container-title":"BMC Medical Education","DOI":"10.1186/1472-6920-13-129","ISSN":"1472-6920","issue":"1","journalAbbreviation":"BMC Med Educ","language":"en","page":"129","source":"DOI.org (Crossref)","title":"Assessment of Junior Doctor performance: a validation study","title-short":"Assessment of Junior Doctor performance","volume":"13","author":[{"family":"Carr","given":"Sandra E"},{"family":"Celenza","given":"Antonio"},{"family":"Lake","given":"Fiona"}],"issued":{"date-parts":[["2013",12]]}}},{"id":2981,"uris":["http://zotero.org/users/4975241/items/48ZDU2B2"],"uri":["http://zotero.org/users/4975241/items/48ZDU2B2"],"itemData":{"id":2981,"type":"article-journal","abstract":"Introduction: Preparing graduates for the role of the junior doctor is the aim of all medical schools. There has been limited published description of junior doctor performance in the workplace within Australia.\nMethods: This cohort study describes junior doctors’ performance in the first postgraduate year, the influence of gender, rotation type and amount of experience and explores the feedback process used for junior doctors across a two year period.\nResults: Participants obtained lower scores for performing procedures, managing emergencies and adverse event identification and highest scores for interpersonal skills, teamwork, written communication and professional behavior. There were no observed effects of the amount of experience but, were effects of the discipline in which the rotation occurred. Five juniors doctors, two female and three male, were classified as having overall borderline performance, 2.5% of the respondents. These findings were supported by content analysis of the written feedback. While feedback was documented in 94% of occasions, this was not given to the junior doctor 25% of the time.\nConclusions: The findings in this study support the claim that the tools and processes being used to monitor and assess junior doctor performance could be better. The Australian medical board appears to be looking for an assessment process that will both discriminate the poorly performing doctor and provide educational guidance for the training organization. These two intents of the assessment may be in opposition to each other.","container-title":"Medical Teacher","DOI":"10.3109/0142159X.2014.918255","ISSN":"0142-159X, 1466-187X","issue":"11","journalAbbreviation":"Medical Teacher","language":"en","page":"983-990","source":"DOI.org (Crossref)","title":"Descriptive analysis of junior doctor assessment in the first postgraduate year","volume":"36","author":[{"family":"Carr","given":"Sandra E."},{"family":"Celenza","given":"Tony"},{"family":"Lake","given":"Fiona R."}],"issued":{"date-parts":[["2014",11]]}}}],"schema":"https://github.com/citation-style-language/schema/raw/master/csl-citation.json"}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(14,23)</w:t>
            </w:r>
            <w:r>
              <w:rPr>
                <w:rFonts w:ascii="Calibri" w:hAnsi="Calibri" w:cs="Calibri"/>
                <w:sz w:val="20"/>
                <w:szCs w:val="20"/>
              </w:rPr>
              <w:fldChar w:fldCharType="end"/>
            </w:r>
          </w:p>
        </w:tc>
        <w:tc>
          <w:tcPr>
            <w:tcW w:w="1694" w:type="dxa"/>
          </w:tcPr>
          <w:p w14:paraId="352323F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655E4">
              <w:rPr>
                <w:rFonts w:ascii="Calibri" w:hAnsi="Calibri" w:cs="Calibri"/>
                <w:sz w:val="20"/>
                <w:szCs w:val="20"/>
              </w:rPr>
              <w:t>Communication, teamwork, professionalism</w:t>
            </w:r>
          </w:p>
        </w:tc>
        <w:tc>
          <w:tcPr>
            <w:tcW w:w="4229" w:type="dxa"/>
          </w:tcPr>
          <w:p w14:paraId="20283C4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TluoEUk0","properties":{"formattedCitation":"(14)","plainCitation":"(14)","noteIndex":0},"citationItems":[{"id":3208,"uris":["http://zotero.org/users/4975241/items/SCIAEAKX"],"uri":["http://zotero.org/users/4975241/items/SCIAEAKX"],"itemData":{"id":3208,"type":"article-journal","abstract":"Background: In recent years, Australia has developed a National Junior Doctor Curriculum Framework that sets out the expected standards and describes areas of performance for junior doctors and through this has allowed a national approach to junior doctor assessment to develop. Given the significance of the judgments made, in terms of patient safety, development of junior doctors, and preventing progression of junior doctors moving to the next stage of training, it is essential to develop and validate assessment tools as rigorously as possible. This paper reports on a validation study of the Junior Doctor Assessment Tool as used for PGY1 doctors to evaluate the psychometric properties of the instrument and to explore the effect of length of experience as a PGY1 on assessment scores.\nMethods: This validation study of the Australian developed Junior Doctor Assessment Tool as it was used in three public and other associated hospitals in Western Australia for PGY1 across a two year period addressed two core aims, namely: (1) to evaluate the psychometric properties of the instrument; (2) to explore the effect of length of experience as a PGY1 on assessment scores.\nResults: The highest mean scores were for professional behaviours, teamwork and interpersonal skills and the lowest were for procedures. Most junior doctors were assessed three or more times and scores were not different in the first rotation compared to subsequent rotations. While statistically significant, there appeared to be little practical influence on scores obtained by the number of times they were assessed. Principal component analysis identified two principal components of junior doctor performance are being assessed rather than the commonly reported three. A Cronbach Alpha of .883 was calculated for the 10 item scale.\nConclusions: Now that the components of the tool have been analysed it will be more meaningful and potentially more influential to consider these factors on the potential educational impact of this assessment process for monitoring junior doctor development and progression.","container-title":"BMC Medical Education","DOI":"10.1186/1472-6920-13-129","ISSN":"1472-6920","issue":"1","journalAbbreviation":"BMC Med Educ","language":"en","page":"129","source":"DOI.org (Crossref)","title":"Assessment of Junior Doctor performance: a validation study","title-short":"Assessment of Junior Doctor performance","volume":"13","author":[{"family":"Carr","given":"Sandra E"},{"family":"Celenza","given":"Antonio"},{"family":"Lake","given":"Fiona"}],"issued":{"date-parts":[["2013",12]]}}}],"schema":"https://github.com/citation-style-language/schema/raw/master/csl-citation.json"}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(14)</w:t>
            </w:r>
            <w:r>
              <w:rPr>
                <w:rFonts w:ascii="Calibri" w:hAnsi="Calibri" w:cs="Calibri"/>
                <w:sz w:val="20"/>
                <w:szCs w:val="20"/>
              </w:rPr>
              <w:fldChar w:fldCharType="end"/>
            </w:r>
            <w:r>
              <w:rPr>
                <w:rFonts w:ascii="Calibri" w:hAnsi="Calibri" w:cs="Calibri"/>
                <w:sz w:val="20"/>
                <w:szCs w:val="20"/>
              </w:rPr>
              <w:t xml:space="preserve"> </w:t>
            </w:r>
            <w:r w:rsidRPr="00C655E4">
              <w:rPr>
                <w:rFonts w:ascii="Calibri" w:hAnsi="Calibri" w:cs="Calibri"/>
                <w:sz w:val="20"/>
                <w:szCs w:val="20"/>
              </w:rPr>
              <w:t>Face validity, construct validity</w:t>
            </w:r>
            <w:r>
              <w:rPr>
                <w:rFonts w:ascii="Calibri" w:hAnsi="Calibri" w:cs="Calibri"/>
                <w:sz w:val="20"/>
                <w:szCs w:val="20"/>
              </w:rPr>
              <w:t xml:space="preserve"> (three factors)</w:t>
            </w:r>
          </w:p>
        </w:tc>
        <w:tc>
          <w:tcPr>
            <w:tcW w:w="4446" w:type="dxa"/>
            <w:gridSpan w:val="2"/>
          </w:tcPr>
          <w:p w14:paraId="429C954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y37IdPcf","properties":{"formattedCitation":"(14)","plainCitation":"(14)","noteIndex":0},"citationItems":[{"id":3208,"uris":["http://zotero.org/users/4975241/items/SCIAEAKX"],"uri":["http://zotero.org/users/4975241/items/SCIAEAKX"],"itemData":{"id":3208,"type":"article-journal","abstract":"Background: In recent years, Australia has developed a National Junior Doctor Curriculum Framework that sets out the expected standards and describes areas of performance for junior doctors and through this has allowed a national approach to junior doctor assessment to develop. Given the significance of the judgments made, in terms of patient safety, development of junior doctors, and preventing progression of junior doctors moving to the next stage of training, it is essential to develop and validate assessment tools as rigorously as possible. This paper reports on a validation study of the Junior Doctor Assessment Tool as used for PGY1 doctors to evaluate the psychometric properties of the instrument and to explore the effect of length of experience as a PGY1 on assessment scores.\nMethods: This validation study of the Australian developed Junior Doctor Assessment Tool as it was used in three public and other associated hospitals in Western Australia for PGY1 across a two year period addressed two core aims, namely: (1) to evaluate the psychometric properties of the instrument; (2) to explore the effect of length of experience as a PGY1 on assessment scores.\nResults: The highest mean scores were for professional behaviours, teamwork and interpersonal skills and the lowest were for procedures. Most junior doctors were assessed three or more times and scores were not different in the first rotation compared to subsequent rotations. While statistically significant, there appeared to be little practical influence on scores obtained by the number of times they were assessed. Principal component analysis identified two principal components of junior doctor performance are being assessed rather than the commonly reported three. A Cronbach Alpha of .883 was calculated for the 10 item scale.\nConclusions: Now that the components of the tool have been analysed it will be more meaningful and potentially more influential to consider these factors on the potential educational impact of this assessment process for monitoring junior doctor development and progression.","container-title":"BMC Medical Education","DOI":"10.1186/1472-6920-13-129","ISSN":"1472-6920","issue":"1","journalAbbreviation":"BMC Med Educ","language":"en","page":"129","source":"DOI.org (Crossref)","title":"Assessment of Junior Doctor performance: a validation study","title-short":"Assessment of Junior Doctor performance","volume":"13","author":[{"family":"Carr","given":"Sandra E"},{"family":"Celenza","given":"Antonio"},{"family":"Lake","given":"Fiona"}],"issued":{"date-parts":[["2013",12]]}}}],"schema":"https://github.com/citation-style-language/schema/raw/master/csl-citation.json"}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(14)</w:t>
            </w:r>
            <w:r>
              <w:rPr>
                <w:rFonts w:ascii="Calibri" w:hAnsi="Calibri" w:cs="Calibri"/>
                <w:sz w:val="20"/>
                <w:szCs w:val="20"/>
              </w:rPr>
              <w:fldChar w:fldCharType="end"/>
            </w:r>
            <w:r>
              <w:rPr>
                <w:rFonts w:ascii="Calibri" w:hAnsi="Calibri" w:cs="Calibri"/>
                <w:sz w:val="20"/>
                <w:szCs w:val="20"/>
              </w:rPr>
              <w:t xml:space="preserve"> Internal consistency (Cronbach’s alpha = 0.883)</w:t>
            </w:r>
          </w:p>
        </w:tc>
      </w:tr>
      <w:tr w:rsidR="006938E9" w:rsidRPr="00AB4BAE" w14:paraId="2EF9DFAD"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0480583F" w14:textId="77777777" w:rsidR="006938E9" w:rsidRPr="00AB4BAE" w:rsidRDefault="006938E9" w:rsidP="008C7800">
            <w:pPr>
              <w:rPr>
                <w:rFonts w:ascii="Calibri" w:hAnsi="Calibri" w:cs="Calibri"/>
                <w:sz w:val="20"/>
                <w:szCs w:val="20"/>
              </w:rPr>
            </w:pPr>
            <w:r w:rsidRPr="00B64525">
              <w:rPr>
                <w:rFonts w:ascii="Calibri" w:hAnsi="Calibri" w:cs="Calibri"/>
                <w:sz w:val="20"/>
                <w:szCs w:val="20"/>
              </w:rPr>
              <w:t>Climate for learning</w:t>
            </w:r>
          </w:p>
        </w:tc>
        <w:tc>
          <w:tcPr>
            <w:tcW w:w="838" w:type="dxa"/>
          </w:tcPr>
          <w:p w14:paraId="4AC623B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2E54A0C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hAZgIRxM","properties":{"formattedCitation":"(86)","plainCitation":"(86)","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(86)</w:t>
            </w:r>
            <w:r>
              <w:rPr>
                <w:rFonts w:ascii="Calibri" w:hAnsi="Calibri" w:cs="Calibri"/>
                <w:sz w:val="20"/>
                <w:szCs w:val="20"/>
              </w:rPr>
              <w:fldChar w:fldCharType="end"/>
            </w:r>
          </w:p>
        </w:tc>
        <w:tc>
          <w:tcPr>
            <w:tcW w:w="1694" w:type="dxa"/>
          </w:tcPr>
          <w:p w14:paraId="7FA9042D"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Learning environment, support</w:t>
            </w:r>
          </w:p>
        </w:tc>
        <w:tc>
          <w:tcPr>
            <w:tcW w:w="4229" w:type="dxa"/>
          </w:tcPr>
          <w:p w14:paraId="1212254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mbFSYCow","properties":{"formattedCitation":"(86)","plainCitation":"(86)","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(86)</w:t>
            </w:r>
            <w:r>
              <w:rPr>
                <w:rFonts w:ascii="Calibri" w:hAnsi="Calibri" w:cs="Calibri"/>
                <w:sz w:val="20"/>
                <w:szCs w:val="20"/>
              </w:rPr>
              <w:fldChar w:fldCharType="end"/>
            </w:r>
            <w:r>
              <w:rPr>
                <w:rFonts w:ascii="Calibri" w:hAnsi="Calibri" w:cs="Calibri"/>
                <w:sz w:val="20"/>
                <w:szCs w:val="20"/>
              </w:rPr>
              <w:t xml:space="preserve"> Construct validity (two factors)</w:t>
            </w:r>
          </w:p>
        </w:tc>
        <w:tc>
          <w:tcPr>
            <w:tcW w:w="4446" w:type="dxa"/>
            <w:gridSpan w:val="2"/>
          </w:tcPr>
          <w:p w14:paraId="5D2D53E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WaFLGcmV","properties":{"formattedCitation":"(86)","plainCitation":"(86)","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(86)</w:t>
            </w:r>
            <w:r>
              <w:rPr>
                <w:rFonts w:ascii="Calibri" w:hAnsi="Calibri" w:cs="Calibri"/>
                <w:sz w:val="20"/>
                <w:szCs w:val="20"/>
              </w:rPr>
              <w:fldChar w:fldCharType="end"/>
            </w:r>
            <w:r>
              <w:rPr>
                <w:rFonts w:ascii="Calibri" w:hAnsi="Calibri" w:cs="Calibri"/>
                <w:sz w:val="20"/>
                <w:szCs w:val="20"/>
              </w:rPr>
              <w:t xml:space="preserve"> Internal consistency (Cronbach’s alpha = 0.77)</w:t>
            </w:r>
          </w:p>
        </w:tc>
      </w:tr>
      <w:tr w:rsidR="006938E9" w:rsidRPr="00AB4BAE" w14:paraId="32E1772D"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4306C03F" w14:textId="77777777" w:rsidR="006938E9" w:rsidRPr="00AB4BAE" w:rsidRDefault="006938E9" w:rsidP="008C7800">
            <w:pPr>
              <w:rPr>
                <w:rFonts w:ascii="Calibri" w:hAnsi="Calibri" w:cs="Calibri"/>
                <w:sz w:val="20"/>
                <w:szCs w:val="20"/>
              </w:rPr>
            </w:pPr>
            <w:r w:rsidRPr="002B2C8A">
              <w:rPr>
                <w:rFonts w:ascii="Calibri" w:hAnsi="Calibri" w:cs="Calibri"/>
                <w:sz w:val="20"/>
                <w:szCs w:val="20"/>
              </w:rPr>
              <w:t>Cognitive Behaviour Survey - Residency</w:t>
            </w:r>
          </w:p>
        </w:tc>
        <w:tc>
          <w:tcPr>
            <w:tcW w:w="838" w:type="dxa"/>
          </w:tcPr>
          <w:p w14:paraId="750A06E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CB7B9D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VrQWIDZz","properties":{"formattedCitation":"(6)","plainCitation":"(6)","noteIndex":0},"citationItems":[{"id":3200,"uris":["http://zotero.org/users/4975241/items/KRXWQPGP"],"uri":["http://zotero.org/users/4975241/items/KRXWQPGP"],"itemData":{"id":3200,"type":"article-journal","abstract":"Purpose Psychometric data are presented for the Cognitive Behavior Survey: Residency Level (rCBS), a survey that profiles cognitive, metacognitive, and experiential aspects of residents’ learning.","container-title":"Academic Medicine","DOI":"10.1097/ACM.0b013e3181a85609","ISSN":"1040-2446","issue":"7","journalAbbreviation":"Academic Medicine","language":"en","page":"918-926","source":"DOI.org (Crossref)","title":"A New Measure of the Cognitive, Metacognitive, and Experiential Aspects of Residents’ Learning:","title-short":"A New Measure of the Cognitive, Metacognitive, and Experiential Aspects of Residents’ Learning","volume":"84","author":[{"family":"Mitchell","given":"Rudolph"},{"family":"Regan-Smith","given":"Martha"},{"family":"Fisher","given":"Melissa A."},{"family":"Knox","given":"Isabella"},{"family":"Lambert","given":"David R."}],"issued":{"date-parts":[["2009",7]]}}}],"schema":"https://github.com/citation-style-language/schema/raw/master/csl-citation.json"}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w:t>
            </w:r>
            <w:r>
              <w:rPr>
                <w:rFonts w:ascii="Calibri" w:hAnsi="Calibri" w:cs="Calibri"/>
                <w:sz w:val="20"/>
                <w:szCs w:val="20"/>
              </w:rPr>
              <w:fldChar w:fldCharType="end"/>
            </w:r>
          </w:p>
        </w:tc>
        <w:tc>
          <w:tcPr>
            <w:tcW w:w="1694" w:type="dxa"/>
          </w:tcPr>
          <w:p w14:paraId="4F61329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Learning environment</w:t>
            </w:r>
          </w:p>
        </w:tc>
        <w:tc>
          <w:tcPr>
            <w:tcW w:w="4229" w:type="dxa"/>
          </w:tcPr>
          <w:p w14:paraId="5EDDA6C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lXUbdkbd","properties":{"formattedCitation":"(6)","plainCitation":"(6)","noteIndex":0},"citationItems":[{"id":3200,"uris":["http://zotero.org/users/4975241/items/KRXWQPGP"],"uri":["http://zotero.org/users/4975241/items/KRXWQPGP"],"itemData":{"id":3200,"type":"article-journal","abstract":"Purpose Psychometric data are presented for the Cognitive Behavior Survey: Residency Level (rCBS), a survey that profiles cognitive, metacognitive, and experiential aspects of residents’ learning.","container-title":"Academic Medicine","DOI":"10.1097/ACM.0b013e3181a85609","ISSN":"1040-2446","issue":"7","journalAbbreviation":"Academic Medicine","language":"en","page":"918-926","source":"DOI.org (Crossref)","title":"A New Measure of the Cognitive, Metacognitive, and Experiential Aspects of Residents’ Learning:","title-short":"A New Measure of the Cognitive, Metacognitive, and Experiential Aspects of Residents’ Learning","volume":"84","author":[{"family":"Mitchell","given":"Rudolph"},{"family":"Regan-Smith","given":"Martha"},{"family":"Fisher","given":"Melissa A."},{"family":"Knox","given":"Isabella"},{"family":"Lambert","given":"David R."}],"issued":{"date-parts":[["2009",7]]}}}],"schema":"https://github.com/citation-style-language/schema/raw/master/csl-citation.json"}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w:t>
            </w:r>
            <w:r>
              <w:rPr>
                <w:rFonts w:ascii="Calibri" w:hAnsi="Calibri" w:cs="Calibri"/>
                <w:sz w:val="20"/>
                <w:szCs w:val="20"/>
              </w:rPr>
              <w:fldChar w:fldCharType="end"/>
            </w:r>
            <w:r>
              <w:rPr>
                <w:rFonts w:ascii="Calibri" w:hAnsi="Calibri" w:cs="Calibri"/>
                <w:sz w:val="20"/>
                <w:szCs w:val="20"/>
              </w:rPr>
              <w:t xml:space="preserve"> Construct validity (seven factors)</w:t>
            </w:r>
          </w:p>
        </w:tc>
        <w:tc>
          <w:tcPr>
            <w:tcW w:w="4446" w:type="dxa"/>
            <w:gridSpan w:val="2"/>
          </w:tcPr>
          <w:p w14:paraId="7853689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Kuqemr0s","properties":{"formattedCitation":"(6)","plainCitation":"(6)","noteIndex":0},"citationItems":[{"id":3200,"uris":["http://zotero.org/users/4975241/items/KRXWQPGP"],"uri":["http://zotero.org/users/4975241/items/KRXWQPGP"],"itemData":{"id":3200,"type":"article-journal","abstract":"Purpose Psychometric data are presented for the Cognitive Behavior Survey: Residency Level (rCBS), a survey that profiles cognitive, metacognitive, and experiential aspects of residents’ learning.","container-title":"Academic Medicine","DOI":"10.1097/ACM.0b013e3181a85609","ISSN":"1040-2446","issue":"7","journalAbbreviation":"Academic Medicine","language":"en","page":"918-926","source":"DOI.org (Crossref)","title":"A New Measure of the Cognitive, Metacognitive, and Experiential Aspects of Residents’ Learning:","title-short":"A New Measure of the Cognitive, Metacognitive, and Experiential Aspects of Residents’ Learning","volume":"84","author":[{"family":"Mitchell","given":"Rudolph"},{"family":"Regan-Smith","given":"Martha"},{"family":"Fisher","given":"Melissa A."},{"family":"Knox","given":"Isabella"},{"family":"Lambert","given":"David R."}],"issued":{"date-parts":[["2009",7]]}}}],"schema":"https://github.com/citation-style-language/schema/raw/master/csl-citation.json"}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(6)</w:t>
            </w:r>
            <w:r>
              <w:rPr>
                <w:rFonts w:ascii="Calibri" w:hAnsi="Calibri" w:cs="Calibri"/>
                <w:sz w:val="20"/>
                <w:szCs w:val="20"/>
              </w:rPr>
              <w:fldChar w:fldCharType="end"/>
            </w:r>
            <w:r>
              <w:rPr>
                <w:rFonts w:ascii="Calibri" w:hAnsi="Calibri" w:cs="Calibri"/>
                <w:sz w:val="20"/>
                <w:szCs w:val="20"/>
              </w:rPr>
              <w:t xml:space="preserve"> Internal consistency (Cronbach’s alpha = 0.85-89)</w:t>
            </w:r>
          </w:p>
        </w:tc>
      </w:tr>
      <w:tr w:rsidR="006938E9" w:rsidRPr="00AB4BAE" w14:paraId="3902886D"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0EA5C3E8" w14:textId="77777777" w:rsidR="006938E9" w:rsidRPr="00AB4BAE" w:rsidRDefault="006938E9" w:rsidP="008C7800">
            <w:pPr>
              <w:rPr>
                <w:rFonts w:ascii="Calibri" w:hAnsi="Calibri" w:cs="Calibri"/>
                <w:sz w:val="20"/>
                <w:szCs w:val="20"/>
              </w:rPr>
            </w:pPr>
            <w:r>
              <w:rPr>
                <w:rFonts w:ascii="Calibri" w:hAnsi="Calibri" w:cs="Calibri"/>
                <w:sz w:val="20"/>
                <w:szCs w:val="20"/>
              </w:rPr>
              <w:t>Friesen et al. 2008 questionnaire</w:t>
            </w:r>
          </w:p>
        </w:tc>
        <w:tc>
          <w:tcPr>
            <w:tcW w:w="838" w:type="dxa"/>
          </w:tcPr>
          <w:p w14:paraId="0859447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63A56BD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QClKlQ7Z","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p>
        </w:tc>
        <w:tc>
          <w:tcPr>
            <w:tcW w:w="1694" w:type="dxa"/>
          </w:tcPr>
          <w:p w14:paraId="5C27F22C"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Teamwork</w:t>
            </w:r>
          </w:p>
        </w:tc>
        <w:tc>
          <w:tcPr>
            <w:tcW w:w="4229" w:type="dxa"/>
          </w:tcPr>
          <w:p w14:paraId="0382699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D1A678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1XWjotZu","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(34)</w:t>
            </w:r>
            <w:r>
              <w:rPr>
                <w:rFonts w:ascii="Calibri" w:hAnsi="Calibri" w:cs="Calibri"/>
                <w:sz w:val="20"/>
                <w:szCs w:val="20"/>
              </w:rPr>
              <w:fldChar w:fldCharType="end"/>
            </w:r>
            <w:r>
              <w:rPr>
                <w:rFonts w:ascii="Calibri" w:hAnsi="Calibri" w:cs="Calibri"/>
                <w:sz w:val="20"/>
                <w:szCs w:val="20"/>
              </w:rPr>
              <w:t xml:space="preserve"> Internal consistency (Cronbach’s alpha = 0.89)</w:t>
            </w:r>
          </w:p>
        </w:tc>
      </w:tr>
      <w:tr w:rsidR="006938E9" w:rsidRPr="00AB4BAE" w14:paraId="5C966A2D"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31388408" w14:textId="77777777" w:rsidR="006938E9" w:rsidRPr="00AB4BAE" w:rsidRDefault="006938E9" w:rsidP="008C7800">
            <w:pPr>
              <w:rPr>
                <w:rFonts w:ascii="Calibri" w:hAnsi="Calibri" w:cs="Calibri"/>
                <w:sz w:val="20"/>
                <w:szCs w:val="20"/>
              </w:rPr>
            </w:pPr>
            <w:r w:rsidRPr="00E85481">
              <w:rPr>
                <w:rFonts w:ascii="Calibri" w:hAnsi="Calibri" w:cs="Calibri"/>
                <w:sz w:val="20"/>
                <w:szCs w:val="20"/>
              </w:rPr>
              <w:t>Graduate Medical Education Committee</w:t>
            </w:r>
            <w:r>
              <w:rPr>
                <w:rFonts w:ascii="Calibri" w:hAnsi="Calibri" w:cs="Calibri"/>
                <w:sz w:val="20"/>
                <w:szCs w:val="20"/>
              </w:rPr>
              <w:t xml:space="preserve"> annual survey</w:t>
            </w:r>
          </w:p>
        </w:tc>
        <w:tc>
          <w:tcPr>
            <w:tcW w:w="838" w:type="dxa"/>
          </w:tcPr>
          <w:p w14:paraId="602DF6D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E640221" w14:textId="6BFE26EC"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MIyXC14","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p>
        </w:tc>
        <w:tc>
          <w:tcPr>
            <w:tcW w:w="1694" w:type="dxa"/>
          </w:tcPr>
          <w:p w14:paraId="3DB28C4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E85481">
              <w:rPr>
                <w:rFonts w:ascii="Calibri" w:hAnsi="Calibri" w:cs="Calibri"/>
                <w:sz w:val="20"/>
                <w:szCs w:val="20"/>
              </w:rPr>
              <w:t>Supervision, feedback</w:t>
            </w:r>
          </w:p>
        </w:tc>
        <w:tc>
          <w:tcPr>
            <w:tcW w:w="4229" w:type="dxa"/>
          </w:tcPr>
          <w:p w14:paraId="05BC1C92" w14:textId="54D21B9E"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cOG1xUC8","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r>
              <w:rPr>
                <w:rFonts w:ascii="Calibri" w:hAnsi="Calibri" w:cs="Calibri"/>
                <w:sz w:val="20"/>
                <w:szCs w:val="20"/>
              </w:rPr>
              <w:t xml:space="preserve"> </w:t>
            </w:r>
            <w:r w:rsidRPr="00EA384E">
              <w:rPr>
                <w:rFonts w:ascii="Calibri" w:hAnsi="Calibri" w:cs="Calibri"/>
                <w:sz w:val="20"/>
                <w:szCs w:val="20"/>
              </w:rPr>
              <w:t>Construct validity, content validity, discriminate validity</w:t>
            </w:r>
          </w:p>
        </w:tc>
        <w:tc>
          <w:tcPr>
            <w:tcW w:w="4446" w:type="dxa"/>
            <w:gridSpan w:val="2"/>
          </w:tcPr>
          <w:p w14:paraId="1CA0B6ED" w14:textId="3AA32603"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2RUIMnOZ","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r>
              <w:rPr>
                <w:rFonts w:ascii="Calibri" w:hAnsi="Calibri" w:cs="Calibri"/>
                <w:sz w:val="20"/>
                <w:szCs w:val="20"/>
              </w:rPr>
              <w:t xml:space="preserve"> Internal consistency (Cronbach’s alpha = 0.83-87)</w:t>
            </w:r>
          </w:p>
        </w:tc>
      </w:tr>
      <w:tr w:rsidR="006938E9" w:rsidRPr="00AB4BAE" w14:paraId="4D04515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11743683" w14:textId="77777777" w:rsidR="006938E9" w:rsidRPr="00AB4BAE" w:rsidRDefault="006938E9" w:rsidP="008C7800">
            <w:pPr>
              <w:rPr>
                <w:rFonts w:ascii="Calibri" w:hAnsi="Calibri" w:cs="Calibri"/>
                <w:sz w:val="20"/>
                <w:szCs w:val="20"/>
              </w:rPr>
            </w:pPr>
            <w:r w:rsidRPr="00316389">
              <w:rPr>
                <w:rFonts w:ascii="Calibri" w:hAnsi="Calibri" w:cs="Calibri"/>
                <w:sz w:val="20"/>
                <w:szCs w:val="20"/>
              </w:rPr>
              <w:t>Handoff Clinical Evaluation Exercise</w:t>
            </w:r>
          </w:p>
        </w:tc>
        <w:tc>
          <w:tcPr>
            <w:tcW w:w="838" w:type="dxa"/>
          </w:tcPr>
          <w:p w14:paraId="325C043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F1AE73C" w14:textId="1827B31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oGisT07T","properties":{"formattedCitation":"[65]","plainCitation":"[65]","noteIndex":0},"citationItems":[{"id":3092,"uris":["http://zotero.org/users/4975241/items/J5SK6IQI"],"uri":["http://zotero.org/users/4975241/items/J5SK6IQI"],"itemData":{"id":3092,"type":"article-journal","container-title":"Journal of Hospital Medicine","DOI":"10.1002/jhm.2002","ISSN":"15535592","issue":"3","journalAbbreviation":"J. Hosp. Med.","language":"en","page":"132-136","source":"DOI.org (Crossref)","title":"Implementing Peer Evaluation of Handoffs: Associations With Experience and Workload: Implementing Peer Evaluation of Handoffs","title-short":"Implementing Peer Evaluation of Handoffs","volume":"8","author":[{"family":"Arora","given":"Vineet M."},{"family":"Greenstein","given":"Elizabeth A."},{"family":"Woodruff","given":"James N."},{"family":"Staisiunas","given":"Paul G."},{"family":"Farnan","given":"Jeanne M."}],"issued":{"date-parts":[["2013",3]]}}}],"schema":"https://github.com/citation-style-language/schema/raw/master/csl-citation.json"}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[65]</w:t>
            </w:r>
            <w:r>
              <w:rPr>
                <w:rFonts w:ascii="Calibri" w:hAnsi="Calibri" w:cs="Calibri"/>
                <w:sz w:val="20"/>
                <w:szCs w:val="20"/>
              </w:rPr>
              <w:fldChar w:fldCharType="end"/>
            </w:r>
          </w:p>
        </w:tc>
        <w:tc>
          <w:tcPr>
            <w:tcW w:w="1694" w:type="dxa"/>
          </w:tcPr>
          <w:p w14:paraId="1625AB30"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16389">
              <w:rPr>
                <w:rFonts w:ascii="Calibri" w:hAnsi="Calibri" w:cs="Calibri"/>
                <w:sz w:val="20"/>
                <w:szCs w:val="20"/>
              </w:rPr>
              <w:t>Professionalism, communication, feedback, handoff</w:t>
            </w:r>
          </w:p>
        </w:tc>
        <w:tc>
          <w:tcPr>
            <w:tcW w:w="4229" w:type="dxa"/>
          </w:tcPr>
          <w:p w14:paraId="3E25015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2CB23E14" w14:textId="292B9AA5"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EfvI44H","properties":{"formattedCitation":"[65]","plainCitation":"[65]","noteIndex":0},"citationItems":[{"id":3092,"uris":["http://zotero.org/users/4975241/items/J5SK6IQI"],"uri":["http://zotero.org/users/4975241/items/J5SK6IQI"],"itemData":{"id":3092,"type":"article-journal","container-title":"Journal of Hospital Medicine","DOI":"10.1002/jhm.2002","ISSN":"15535592","issue":"3","journalAbbreviation":"J. Hosp. Med.","language":"en","page":"132-136","source":"DOI.org (Crossref)","title":"Implementing Peer Evaluation of Handoffs: Associations With Experience and Workload: Implementing Peer Evaluation of Handoffs","title-short":"Implementing Peer Evaluation of Handoffs","volume":"8","author":[{"family":"Arora","given":"Vineet M."},{"family":"Greenstein","given":"Elizabeth A."},{"family":"Woodruff","given":"James N."},{"family":"Staisiunas","given":"Paul G."},{"family":"Farnan","given":"Jeanne M."}],"issued":{"date-parts":[["2013",3]]}}}],"schema":"https://github.com/citation-style-language/schema/raw/master/csl-citation.json"}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[65]</w:t>
            </w:r>
            <w:r>
              <w:rPr>
                <w:rFonts w:ascii="Calibri" w:hAnsi="Calibri" w:cs="Calibri"/>
                <w:sz w:val="20"/>
                <w:szCs w:val="20"/>
              </w:rPr>
              <w:fldChar w:fldCharType="end"/>
            </w:r>
            <w:r>
              <w:rPr>
                <w:rFonts w:ascii="Calibri" w:hAnsi="Calibri" w:cs="Calibri"/>
                <w:sz w:val="20"/>
                <w:szCs w:val="20"/>
              </w:rPr>
              <w:t xml:space="preserve"> Internal consistency (Cronbach’s alpha = 0.98); Inter-rater reliability (</w:t>
            </w:r>
            <w:r w:rsidRPr="003D0E46">
              <w:rPr>
                <w:rFonts w:ascii="Calibri" w:hAnsi="Calibri" w:cs="Calibri"/>
                <w:sz w:val="20"/>
                <w:szCs w:val="20"/>
              </w:rPr>
              <w:t xml:space="preserve">ICC overall performance </w:t>
            </w:r>
            <w:r>
              <w:rPr>
                <w:rFonts w:ascii="Calibri" w:hAnsi="Calibri" w:cs="Calibri"/>
                <w:sz w:val="20"/>
                <w:szCs w:val="20"/>
              </w:rPr>
              <w:t>(</w:t>
            </w:r>
            <w:r w:rsidRPr="003D0E46">
              <w:rPr>
                <w:rFonts w:ascii="Calibri" w:hAnsi="Calibri" w:cs="Calibri"/>
                <w:sz w:val="20"/>
                <w:szCs w:val="20"/>
              </w:rPr>
              <w:t>0.18</w:t>
            </w:r>
            <w:r>
              <w:rPr>
                <w:rFonts w:ascii="Calibri" w:hAnsi="Calibri" w:cs="Calibri"/>
                <w:sz w:val="20"/>
                <w:szCs w:val="20"/>
              </w:rPr>
              <w:t>))</w:t>
            </w:r>
          </w:p>
        </w:tc>
      </w:tr>
      <w:tr w:rsidR="006938E9" w:rsidRPr="00AB4BAE" w14:paraId="71E6C582"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39B07847" w14:textId="77777777" w:rsidR="006938E9" w:rsidRPr="00AB4BAE" w:rsidRDefault="006938E9" w:rsidP="008C7800">
            <w:pPr>
              <w:rPr>
                <w:rFonts w:ascii="Calibri" w:hAnsi="Calibri" w:cs="Calibri"/>
                <w:sz w:val="20"/>
                <w:szCs w:val="20"/>
              </w:rPr>
            </w:pPr>
            <w:r>
              <w:rPr>
                <w:rFonts w:ascii="Calibri" w:hAnsi="Calibri" w:cs="Calibri"/>
                <w:sz w:val="20"/>
                <w:szCs w:val="20"/>
              </w:rPr>
              <w:t>Hannan et al. 2017 questionnaire</w:t>
            </w:r>
          </w:p>
        </w:tc>
        <w:tc>
          <w:tcPr>
            <w:tcW w:w="838" w:type="dxa"/>
          </w:tcPr>
          <w:p w14:paraId="42030C3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9F789D2" w14:textId="7C28235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QEML4NVr","properties":{"formattedCitation":"[4]","plainCitation":"[4]","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w:t>
            </w:r>
            <w:r>
              <w:rPr>
                <w:rFonts w:ascii="Calibri" w:hAnsi="Calibri" w:cs="Calibri"/>
                <w:sz w:val="20"/>
                <w:szCs w:val="20"/>
              </w:rPr>
              <w:fldChar w:fldCharType="end"/>
            </w:r>
          </w:p>
        </w:tc>
        <w:tc>
          <w:tcPr>
            <w:tcW w:w="1694" w:type="dxa"/>
          </w:tcPr>
          <w:p w14:paraId="786F04D8"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927ABA">
              <w:rPr>
                <w:rFonts w:ascii="Calibri" w:hAnsi="Calibri" w:cs="Calibri"/>
                <w:sz w:val="20"/>
                <w:szCs w:val="20"/>
              </w:rPr>
              <w:t>Support, preparedness, teamwork</w:t>
            </w:r>
          </w:p>
        </w:tc>
        <w:tc>
          <w:tcPr>
            <w:tcW w:w="4229" w:type="dxa"/>
          </w:tcPr>
          <w:p w14:paraId="5619BE37" w14:textId="3F29359D"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x6M6bePQ","properties":{"formattedCitation":"[4]","plainCitation":"[4]","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w:t>
            </w:r>
            <w:r>
              <w:rPr>
                <w:rFonts w:ascii="Calibri" w:hAnsi="Calibri" w:cs="Calibri"/>
                <w:sz w:val="20"/>
                <w:szCs w:val="20"/>
              </w:rPr>
              <w:fldChar w:fldCharType="end"/>
            </w:r>
            <w:r>
              <w:rPr>
                <w:rFonts w:ascii="Calibri" w:hAnsi="Calibri" w:cs="Calibri"/>
                <w:sz w:val="20"/>
                <w:szCs w:val="20"/>
              </w:rPr>
              <w:t xml:space="preserve"> Face validity</w:t>
            </w:r>
          </w:p>
        </w:tc>
        <w:tc>
          <w:tcPr>
            <w:tcW w:w="4446" w:type="dxa"/>
            <w:gridSpan w:val="2"/>
          </w:tcPr>
          <w:p w14:paraId="34A3259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3EF536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3D340563" w14:textId="77777777" w:rsidR="006938E9" w:rsidRPr="00AB4BAE" w:rsidRDefault="006938E9" w:rsidP="008C7800">
            <w:pPr>
              <w:rPr>
                <w:rFonts w:ascii="Calibri" w:hAnsi="Calibri" w:cs="Calibri"/>
                <w:sz w:val="20"/>
                <w:szCs w:val="20"/>
              </w:rPr>
            </w:pPr>
            <w:r w:rsidRPr="00CF588C">
              <w:rPr>
                <w:rFonts w:ascii="Calibri" w:hAnsi="Calibri" w:cs="Calibri"/>
                <w:sz w:val="20"/>
                <w:szCs w:val="20"/>
              </w:rPr>
              <w:t>Learning enviro</w:t>
            </w:r>
            <w:r>
              <w:rPr>
                <w:rFonts w:ascii="Calibri" w:hAnsi="Calibri" w:cs="Calibri"/>
                <w:sz w:val="20"/>
                <w:szCs w:val="20"/>
              </w:rPr>
              <w:t>n</w:t>
            </w:r>
            <w:r w:rsidRPr="00CF588C">
              <w:rPr>
                <w:rFonts w:ascii="Calibri" w:hAnsi="Calibri" w:cs="Calibri"/>
                <w:sz w:val="20"/>
                <w:szCs w:val="20"/>
              </w:rPr>
              <w:t>ment professionalism survey</w:t>
            </w:r>
          </w:p>
        </w:tc>
        <w:tc>
          <w:tcPr>
            <w:tcW w:w="838" w:type="dxa"/>
          </w:tcPr>
          <w:p w14:paraId="0FBF75D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3F198364" w14:textId="2986BC61"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WZ31p5Zg","properties":{"formattedCitation":"[66]","plainCitation":"[66]","noteIndex":0},"citationItems":[{"id":3098,"uris":["http://zotero.org/users/4975241/items/8R4N7GGG"],"uri":["http://zotero.org/users/4975241/items/8R4N7GGG"],"itemData":{"id":3098,"type":"article-journal","container-title":"The Clinical Teacher","DOI":"10.1111/tct.12550","ISSN":"17434971","issue":"3","journalAbbreviation":"Clin Teach","language":"en","page":"195-199","source":"DOI.org (Crossref)","title":"Learning environment: assessing resident experience","title-short":"Learning environment","volume":"14","author":[{"family":"Byszewski","given":"Anna"},{"family":"Lochnan","given":"Heather"},{"family":"Johnston","given":"Donna"},{"family":"Seabrook","given":"Christine"},{"family":"Wood","given":"Timothy"}],"issued":{"date-parts":[["2017",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[66]</w:t>
            </w:r>
            <w:r>
              <w:rPr>
                <w:rFonts w:ascii="Calibri" w:hAnsi="Calibri" w:cs="Calibri"/>
                <w:sz w:val="20"/>
                <w:szCs w:val="20"/>
              </w:rPr>
              <w:fldChar w:fldCharType="end"/>
            </w:r>
          </w:p>
        </w:tc>
        <w:tc>
          <w:tcPr>
            <w:tcW w:w="1694" w:type="dxa"/>
          </w:tcPr>
          <w:p w14:paraId="50D2609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Learning environment</w:t>
            </w:r>
          </w:p>
        </w:tc>
        <w:tc>
          <w:tcPr>
            <w:tcW w:w="4229" w:type="dxa"/>
          </w:tcPr>
          <w:p w14:paraId="31CFF20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11848502" w14:textId="42B678A8"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hUCGI6QK","properties":{"formattedCitation":"[66]","plainCitation":"[66]","noteIndex":0},"citationItems":[{"id":3098,"uris":["http://zotero.org/users/4975241/items/8R4N7GGG"],"uri":["http://zotero.org/users/4975241/items/8R4N7GGG"],"itemData":{"id":3098,"type":"article-journal","container-title":"The Clinical Teacher","DOI":"10.1111/tct.12550","ISSN":"17434971","issue":"3","journalAbbreviation":"Clin Teach","language":"en","page":"195-199","source":"DOI.org (Crossref)","title":"Learning environment: assessing resident experience","title-short":"Learning environment","volume":"14","author":[{"family":"Byszewski","given":"Anna"},{"family":"Lochnan","given":"Heather"},{"family":"Johnston","given":"Donna"},{"family":"Seabrook","given":"Christine"},{"family":"Wood","given":"Timothy"}],"issued":{"date-parts":[["2017",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[66]</w:t>
            </w:r>
            <w:r>
              <w:rPr>
                <w:rFonts w:ascii="Calibri" w:hAnsi="Calibri" w:cs="Calibri"/>
                <w:sz w:val="20"/>
                <w:szCs w:val="20"/>
              </w:rPr>
              <w:fldChar w:fldCharType="end"/>
            </w:r>
            <w:r>
              <w:rPr>
                <w:rFonts w:ascii="Calibri" w:hAnsi="Calibri" w:cs="Calibri"/>
                <w:sz w:val="20"/>
                <w:szCs w:val="20"/>
              </w:rPr>
              <w:t xml:space="preserve"> Internal consistency (Cronbach’s alpha = 0.78-88); test-retest reliability</w:t>
            </w:r>
          </w:p>
        </w:tc>
      </w:tr>
      <w:tr w:rsidR="006938E9" w:rsidRPr="00AB4BAE" w14:paraId="15677998"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2F5E65D0" w14:textId="77777777" w:rsidR="006938E9" w:rsidRPr="00AB4BAE" w:rsidRDefault="006938E9" w:rsidP="008C7800">
            <w:pPr>
              <w:rPr>
                <w:rFonts w:ascii="Calibri" w:hAnsi="Calibri" w:cs="Calibri"/>
                <w:sz w:val="20"/>
                <w:szCs w:val="20"/>
              </w:rPr>
            </w:pPr>
            <w:r w:rsidRPr="008E3F3F">
              <w:rPr>
                <w:rFonts w:ascii="Calibri" w:hAnsi="Calibri" w:cs="Calibri"/>
                <w:sz w:val="20"/>
                <w:szCs w:val="20"/>
              </w:rPr>
              <w:t>Lubben Social Network Scale</w:t>
            </w:r>
          </w:p>
        </w:tc>
        <w:tc>
          <w:tcPr>
            <w:tcW w:w="838" w:type="dxa"/>
          </w:tcPr>
          <w:p w14:paraId="5374B18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3ECB877F" w14:textId="2DDAF3F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muEIy0E","properties":{"formattedCitation":"[22]","plainCitation":"[22]","noteIndex":0},"citationItems":[{"id":3302,"uris":["http://zotero.org/users/4975241/items/RPVAHTL7"],"uri":["http://zotero.org/users/4975241/items/RPVAHTL7"],"itemData":{"id":3302,"type":"article-journal","abstract":"OBJECTIVE: To determine how residents' relationships with their sources of social support (ie, family, friends, and colleagues) affect levels of burnout and loneliness.\nDESIGN: Cross-sectional survey.\nSETTING: Faculty of Medicine at the University of British Columbia in Vancouver.\nPARTICIPANTS: A total of 198 physician-trainees in the university's postgraduate medical education program.\nMAIN OUTCOME MEASURES: Residents' personal and work-related burnout scores (measured using items from the Copenhagen Burnout Inventory); loneliness (measured using a 3-item loneliness scale); and social support (assessed with the Lubben Social Network Scale, version 6).\nRESULTS: Of the 234 respondents who completed the Internet-based survey (a 22% response rate), 198 provided complete information on all study variables and thus constituted the analytic sample. Seemingly unrelated regression analyses indicated that loneliness was significantly (P &lt; .01) and positively associated with both personal and work-related burnout scores. Greater friend-based and colleague-based social support were both indirectly associated with lower personal and work-related burnout scores through their negative associations with loneliness.\nCONCLUSION: Social relationships might help residents mitigate the deleterious effects of burnout. By promoting interventions that stabilize and nurture social relationships, hospitals and universities can potentially help promote resident resilience and well-being and, in turn, improve patient care.","container-title":"Canadian Family Physician Medecin De Famille Canadien","ISSN":"1715-5258","issue":"11","journalAbbreviation":"Can Fam Physician","language":"eng","note":"PMID: 28661887","page":"e677-e683","source":"PubMed","title":"Getting by with a little help from friends and colleagues: Testing how residents' social support networks affect loneliness and burnout","title-short":"Getting by with a little help from friends and colleagues","volume":"62","author":[{"family":"Rogers","given":"Eamonn"},{"family":"Polonijo","given":"Andrea N."},{"family":"Carpiano","given":"Richard M."}],"issued":{"date-parts":[["2016",11]]}}}],"schema":"https://github.com/citation-style-language/schema/raw/master/csl-citation.json"}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[22]</w:t>
            </w:r>
            <w:r>
              <w:rPr>
                <w:rFonts w:ascii="Calibri" w:hAnsi="Calibri" w:cs="Calibri"/>
                <w:sz w:val="20"/>
                <w:szCs w:val="20"/>
              </w:rPr>
              <w:fldChar w:fldCharType="end"/>
            </w:r>
          </w:p>
        </w:tc>
        <w:tc>
          <w:tcPr>
            <w:tcW w:w="1694" w:type="dxa"/>
          </w:tcPr>
          <w:p w14:paraId="2119EBDB"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Support</w:t>
            </w:r>
          </w:p>
        </w:tc>
        <w:tc>
          <w:tcPr>
            <w:tcW w:w="4229" w:type="dxa"/>
          </w:tcPr>
          <w:p w14:paraId="7A79E66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189FACE" w14:textId="2D6BF13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knEUvH1p","properties":{"formattedCitation":"[22]","plainCitation":"[22]","noteIndex":0},"citationItems":[{"id":3302,"uris":["http://zotero.org/users/4975241/items/RPVAHTL7"],"uri":["http://zotero.org/users/4975241/items/RPVAHTL7"],"itemData":{"id":3302,"type":"article-journal","abstract":"OBJECTIVE: To determine how residents' relationships with their sources of social support (ie, family, friends, and colleagues) affect levels of burnout and loneliness.\nDESIGN: Cross-sectional survey.\nSETTING: Faculty of Medicine at the University of British Columbia in Vancouver.\nPARTICIPANTS: A total of 198 physician-trainees in the university's postgraduate medical education program.\nMAIN OUTCOME MEASURES: Residents' personal and work-related burnout scores (measured using items from the Copenhagen Burnout Inventory); loneliness (measured using a 3-item loneliness scale); and social support (assessed with the Lubben Social Network Scale, version 6).\nRESULTS: Of the 234 respondents who completed the Internet-based survey (a 22% response rate), 198 provided complete information on all study variables and thus constituted the analytic sample. Seemingly unrelated regression analyses indicated that loneliness was significantly (P &lt; .01) and positively associated with both personal and work-related burnout scores. Greater friend-based and colleague-based social support were both indirectly associated with lower personal and work-related burnout scores through their negative associations with loneliness.\nCONCLUSION: Social relationships might help residents mitigate the deleterious effects of burnout. By promoting interventions that stabilize and nurture social relationships, hospitals and universities can potentially help promote resident resilience and well-being and, in turn, improve patient care.","container-title":"Canadian Family Physician Medecin De Famille Canadien","ISSN":"1715-5258","issue":"11","journalAbbreviation":"Can Fam Physician","language":"eng","note":"PMID: 28661887","page":"e677-e683","source":"PubMed","title":"Getting by with a little help from friends and colleagues: Testing how residents' social support networks affect loneliness and burnout","title-short":"Getting by with a little help from friends and colleagues","volume":"62","author":[{"family":"Rogers","given":"Eamonn"},{"family":"Polonijo","given":"Andrea N."},{"family":"Carpiano","given":"Richard M."}],"issued":{"date-parts":[["2016",11]]}}}],"schema":"https://github.com/citation-style-language/schema/raw/master/csl-citation.json"}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[22]</w:t>
            </w:r>
            <w:r>
              <w:rPr>
                <w:rFonts w:ascii="Calibri" w:hAnsi="Calibri" w:cs="Calibri"/>
                <w:sz w:val="20"/>
                <w:szCs w:val="20"/>
              </w:rPr>
              <w:fldChar w:fldCharType="end"/>
            </w:r>
            <w:r>
              <w:rPr>
                <w:rFonts w:ascii="Calibri" w:hAnsi="Calibri" w:cs="Calibri"/>
                <w:sz w:val="20"/>
                <w:szCs w:val="20"/>
              </w:rPr>
              <w:t xml:space="preserve"> Internal consistency (Cronbach’s alpha = 0.75-84)</w:t>
            </w:r>
          </w:p>
        </w:tc>
      </w:tr>
      <w:tr w:rsidR="006938E9" w:rsidRPr="00AB4BAE" w14:paraId="40C3EE3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3DB07E02" w14:textId="77777777" w:rsidR="006938E9" w:rsidRPr="00AB4BAE" w:rsidRDefault="006938E9" w:rsidP="008C7800">
            <w:pPr>
              <w:rPr>
                <w:rFonts w:ascii="Calibri" w:hAnsi="Calibri" w:cs="Calibri"/>
                <w:sz w:val="20"/>
                <w:szCs w:val="20"/>
              </w:rPr>
            </w:pPr>
            <w:r w:rsidRPr="001F6A13">
              <w:rPr>
                <w:rFonts w:ascii="Calibri" w:hAnsi="Calibri" w:cs="Calibri"/>
                <w:sz w:val="20"/>
                <w:szCs w:val="20"/>
              </w:rPr>
              <w:t xml:space="preserve">Mentorship effectiveness </w:t>
            </w:r>
            <w:r>
              <w:rPr>
                <w:rFonts w:ascii="Calibri" w:hAnsi="Calibri" w:cs="Calibri"/>
                <w:sz w:val="20"/>
                <w:szCs w:val="20"/>
              </w:rPr>
              <w:t>S</w:t>
            </w:r>
            <w:r w:rsidRPr="001F6A13">
              <w:rPr>
                <w:rFonts w:ascii="Calibri" w:hAnsi="Calibri" w:cs="Calibri"/>
                <w:sz w:val="20"/>
                <w:szCs w:val="20"/>
              </w:rPr>
              <w:t>cale</w:t>
            </w:r>
          </w:p>
        </w:tc>
        <w:tc>
          <w:tcPr>
            <w:tcW w:w="838" w:type="dxa"/>
          </w:tcPr>
          <w:p w14:paraId="36DED8A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E29AAC0" w14:textId="355B8C9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GWmq8jWY","properties":{"formattedCitation":"[30]","plainCitation":"[30]","noteIndex":0},"citationItems":[{"id":3101,"uris":["http://zotero.org/users/4975241/items/U4MIAPLY"],"uri":["http://zotero.org/users/4975241/items/U4MIAPLY"],"itemData":{"id":3101,"type":"article-journal","abstract":"INTRODUCTION Effective mentoring helps interns in the early stages of their medical career to reach personal and professional goals. This study investigated the mentoring experience of Korean interns during medical internship and evaluated mentoring effects to facilitate the development of future mentoring programmes.\nMETHODS Participants were interns being trained at Chonnam National University Hospital, South Korea, in 2011. Interns were asked to complete a questionnaire about their mentoring experiences and job satisfaction.\nRESULTS A total of 61 medical interns participated in the study, giving a response rate of 70.1%. Among these interns, 26 (42.6%) had mentoring experiences, with an average of 2.3 ± 1.9 mentors per mentee. Mentees usually discussed career planning and concerns regarding their personal and social lives with their mentors. Perceived quality of the mentor was signiﬁcantly more important for male mentees than for female mentees. Female interns without a mentor made signiﬁcantly less effort to seek a mentor than their male counterparts. Having and not having a mentor resulted in signiﬁcant differences in the interns’ job satisfaction.\nCONCLUSION Fewer than half of the medical interns had mentoring experiences. Results suggest that the mentoring relationship may be less satisfying and more challenging for female interns. Effective mentoring may not only help interns plan their medical career, but also increase job satisfaction. Mentoring programmes during medical internship should be expanded and supported, as it is the initial step in a medical career.","container-title":"Singapore Medical Journal","DOI":"10.11622/smedj.2014157","ISSN":"00375675","issue":"11","journalAbbreviation":"smedj","language":"en","page":"593-597","source":"DOI.org (Crossref)","title":"Mentoring experience and its effects on medical interns","volume":"55","author":[{"family":"Han","given":"Er"},{"family":"Chung","given":"Ek"},{"family":"Oh","given":"Sa"},{"family":"Woo","given":"Yj"},{"family":"Hitchcock","given":"Ma"}],"issued":{"date-parts":[["2014",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[30]</w:t>
            </w:r>
            <w:r>
              <w:rPr>
                <w:rFonts w:ascii="Calibri" w:hAnsi="Calibri" w:cs="Calibri"/>
                <w:sz w:val="20"/>
                <w:szCs w:val="20"/>
              </w:rPr>
              <w:fldChar w:fldCharType="end"/>
            </w:r>
          </w:p>
        </w:tc>
        <w:tc>
          <w:tcPr>
            <w:tcW w:w="1694" w:type="dxa"/>
          </w:tcPr>
          <w:p w14:paraId="3F8850CE"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w:t>
            </w:r>
          </w:p>
        </w:tc>
        <w:tc>
          <w:tcPr>
            <w:tcW w:w="4229" w:type="dxa"/>
          </w:tcPr>
          <w:p w14:paraId="6B90CC7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2D01FFED" w14:textId="306B66C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u4ngymCU","properties":{"formattedCitation":"[30]","plainCitation":"[30]","noteIndex":0},"citationItems":[{"id":3101,"uris":["http://zotero.org/users/4975241/items/U4MIAPLY"],"uri":["http://zotero.org/users/4975241/items/U4MIAPLY"],"itemData":{"id":3101,"type":"article-journal","abstract":"INTRODUCTION Effective mentoring helps interns in the early stages of their medical career to reach personal and professional goals. This study investigated the mentoring experience of Korean interns during medical internship and evaluated mentoring effects to facilitate the development of future mentoring programmes.\nMETHODS Participants were interns being trained at Chonnam National University Hospital, South Korea, in 2011. Interns were asked to complete a questionnaire about their mentoring experiences and job satisfaction.\nRESULTS A total of 61 medical interns participated in the study, giving a response rate of 70.1%. Among these interns, 26 (42.6%) had mentoring experiences, with an average of 2.3 ± 1.9 mentors per mentee. Mentees usually discussed career planning and concerns regarding their personal and social lives with their mentors. Perceived quality of the mentor was signiﬁcantly more important for male mentees than for female mentees. Female interns without a mentor made signiﬁcantly less effort to seek a mentor than their male counterparts. Having and not having a mentor resulted in signiﬁcant differences in the interns’ job satisfaction.\nCONCLUSION Fewer than half of the medical interns had mentoring experiences. Results suggest that the mentoring relationship may be less satisfying and more challenging for female interns. Effective mentoring may not only help interns plan their medical career, but also increase job satisfaction. Mentoring programmes during medical internship should be expanded and supported, as it is the initial step in a medical career.","container-title":"Singapore Medical Journal","DOI":"10.11622/smedj.2014157","ISSN":"00375675","issue":"11","journalAbbreviation":"smedj","language":"en","page":"593-597","source":"DOI.org (Crossref)","title":"Mentoring experience and its effects on medical interns","volume":"55","author":[{"family":"Han","given":"Er"},{"family":"Chung","given":"Ek"},{"family":"Oh","given":"Sa"},{"family":"Woo","given":"Yj"},{"family":"Hitchcock","given":"Ma"}],"issued":{"date-parts":[["2014",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[30]</w:t>
            </w:r>
            <w:r>
              <w:rPr>
                <w:rFonts w:ascii="Calibri" w:hAnsi="Calibri" w:cs="Calibri"/>
                <w:sz w:val="20"/>
                <w:szCs w:val="20"/>
              </w:rPr>
              <w:fldChar w:fldCharType="end"/>
            </w:r>
            <w:r>
              <w:rPr>
                <w:rFonts w:ascii="Calibri" w:hAnsi="Calibri" w:cs="Calibri"/>
                <w:sz w:val="20"/>
                <w:szCs w:val="20"/>
              </w:rPr>
              <w:t xml:space="preserve"> Internal consistency (Cronbach’s alpha = 0.931)</w:t>
            </w:r>
          </w:p>
        </w:tc>
      </w:tr>
      <w:tr w:rsidR="006938E9" w:rsidRPr="00AB4BAE" w14:paraId="40FF7251"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37962931" w14:textId="77777777" w:rsidR="006938E9" w:rsidRPr="001562FC" w:rsidRDefault="006938E9" w:rsidP="008C7800">
            <w:pPr>
              <w:rPr>
                <w:rFonts w:ascii="Calibri" w:hAnsi="Calibri" w:cs="Calibri"/>
                <w:color w:val="000000"/>
                <w:sz w:val="20"/>
                <w:szCs w:val="20"/>
              </w:rPr>
            </w:pPr>
            <w:r>
              <w:rPr>
                <w:rFonts w:ascii="Calibri" w:hAnsi="Calibri" w:cs="Calibri"/>
                <w:color w:val="000000"/>
                <w:sz w:val="20"/>
                <w:szCs w:val="20"/>
              </w:rPr>
              <w:t xml:space="preserve">Modified </w:t>
            </w:r>
            <w:r w:rsidRPr="001562FC">
              <w:rPr>
                <w:rFonts w:ascii="Calibri" w:hAnsi="Calibri" w:cs="Calibri"/>
                <w:color w:val="000000"/>
                <w:sz w:val="20"/>
                <w:szCs w:val="20"/>
              </w:rPr>
              <w:t>Resident Questionnaire</w:t>
            </w:r>
          </w:p>
        </w:tc>
        <w:tc>
          <w:tcPr>
            <w:tcW w:w="838" w:type="dxa"/>
          </w:tcPr>
          <w:p w14:paraId="16B710A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8066D9A" w14:textId="30A444F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iUK4GOrf","properties":{"formattedCitation":"[67]","plainCitation":"[67]","noteIndex":0},"citationItems":[{"id":3094,"uris":["http://zotero.org/users/4975241/items/CG75NVMG"],"uri":["http://zotero.org/users/4975241/items/CG75NVMG"],"itemData":{"id":3094,"type":"article-journal","abstract":"Background—This large, multi-institutional study examines the relative contribution of residency specialty and institution to resident satisfaction with their learning environment and workload.\nMethod—Survey responses from 798 residents were linked to institution (N = 20) and specialty (N = 10) and to characteristics of individual residency programs (N = 126) derived from the FREIDA online database. Hierarchical linear modeling was used to estimate relative contributions of these factors to resident satisfaction with workload and learning environment.\nResults—Institution had greater influence than specialty on resident ratings of satisfaction with their workload and learning environment. Institution and specialty accounted for more variance in satisfaction with workload than with the learning environment. There is evidence that characteristics of a given residency program in a given institution has additional impact, beyond these main effects. However, characteristics of institutions or programs, such as program selectivity, off-duty periods, number of faculty, etc., did not explain statistically significant amounts of variance in resident satisfaction ratings.\nConclusions—This study is the first to quantify the degree to which institution and specialty contribute to differences in resident perceptions of their learning environment and workload. Although organizational and institutional cultures are presumed to influence the learning environment, estimating the size of these influences requires a multi-institutional and multispecialty dataset, such as this one. These results suggest that there is empirical justification for institutional interventions to improve the learning environment.","container-title":"Academic Medicine","DOI":"10.1097/ACM.0000000000000898","ISSN":"1040-2446","journalAbbreviation":"Academic Medicine","language":"en","page":"S77-S82","source":"DOI.org (Crossref)","title":"Institution and Specialty Contribute to Resident Satisfaction With Their Learning Environment and Workload:","title-short":"Institution and Specialty Contribute to Resident Satisfaction With Their Learning Environment and Workload","volume":"90","author":[{"family":"Gruppen","given":"Larry D."},{"family":"Stansfield","given":"R. Brent"},{"family":"Zhao","given":"Zhuo"},{"family":"Sen","given":"Srijan"}],"issued":{"date-parts":[["2015",11]]}}}],"schema":"https://github.com/citation-style-language/schema/raw/master/csl-citation.json"}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[67]</w:t>
            </w:r>
            <w:r>
              <w:rPr>
                <w:rFonts w:ascii="Calibri" w:hAnsi="Calibri" w:cs="Calibri"/>
                <w:sz w:val="20"/>
                <w:szCs w:val="20"/>
              </w:rPr>
              <w:fldChar w:fldCharType="end"/>
            </w:r>
          </w:p>
        </w:tc>
        <w:tc>
          <w:tcPr>
            <w:tcW w:w="1694" w:type="dxa"/>
          </w:tcPr>
          <w:p w14:paraId="79A75062"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Learning environment</w:t>
            </w:r>
          </w:p>
        </w:tc>
        <w:tc>
          <w:tcPr>
            <w:tcW w:w="4229" w:type="dxa"/>
          </w:tcPr>
          <w:p w14:paraId="22C3BC9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4A267912" w14:textId="2FA9781C"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PffnaufN","properties":{"formattedCitation":"[67]","plainCitation":"[67]","noteIndex":0},"citationItems":[{"id":3094,"uris":["http://zotero.org/users/4975241/items/CG75NVMG"],"uri":["http://zotero.org/users/4975241/items/CG75NVMG"],"itemData":{"id":3094,"type":"article-journal","abstract":"Background—This large, multi-institutional study examines the relative contribution of residency specialty and institution to resident satisfaction with their learning environment and workload.\nMethod—Survey responses from 798 residents were linked to institution (N = 20) and specialty (N = 10) and to characteristics of individual residency programs (N = 126) derived from the FREIDA online database. Hierarchical linear modeling was used to estimate relative contributions of these factors to resident satisfaction with workload and learning environment.\nResults—Institution had greater influence than specialty on resident ratings of satisfaction with their workload and learning environment. Institution and specialty accounted for more variance in satisfaction with workload than with the learning environment. There is evidence that characteristics of a given residency program in a given institution has additional impact, beyond these main effects. However, characteristics of institutions or programs, such as program selectivity, off-duty periods, number of faculty, etc., did not explain statistically significant amounts of variance in resident satisfaction ratings.\nConclusions—This study is the first to quantify the degree to which institution and specialty contribute to differences in resident perceptions of their learning environment and workload. Although organizational and institutional cultures are presumed to influence the learning environment, estimating the size of these influences requires a multi-institutional and multispecialty dataset, such as this one. These results suggest that there is empirical justification for institutional interventions to improve the learning environment.","container-title":"Academic Medicine","DOI":"10.1097/ACM.0000000000000898","ISSN":"1040-2446","journalAbbreviation":"Academic Medicine","language":"en","page":"S77-S82","source":"DOI.org (Crossref)","title":"Institution and Specialty Contribute to Resident Satisfaction With Their Learning Environment and Workload:","title-short":"Institution and Specialty Contribute to Resident Satisfaction With Their Learning Environment and Workload","volume":"90","author":[{"family":"Gruppen","given":"Larry D."},{"family":"Stansfield","given":"R. Brent"},{"family":"Zhao","given":"Zhuo"},{"family":"Sen","given":"Srijan"}],"issued":{"date-parts":[["2015",11]]}}}],"schema":"https://github.com/citation-style-language/schema/raw/master/csl-citation.json"}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[67]</w:t>
            </w:r>
            <w:r>
              <w:rPr>
                <w:rFonts w:ascii="Calibri" w:hAnsi="Calibri" w:cs="Calibri"/>
                <w:sz w:val="20"/>
                <w:szCs w:val="20"/>
              </w:rPr>
              <w:fldChar w:fldCharType="end"/>
            </w:r>
            <w:r>
              <w:rPr>
                <w:rFonts w:ascii="Calibri" w:hAnsi="Calibri" w:cs="Calibri"/>
                <w:sz w:val="20"/>
                <w:szCs w:val="20"/>
              </w:rPr>
              <w:t xml:space="preserve"> Internal consistency (Cronbach’s alpha = 0.84)</w:t>
            </w:r>
          </w:p>
        </w:tc>
      </w:tr>
      <w:tr w:rsidR="006938E9" w:rsidRPr="00AB4BAE" w14:paraId="5203F3D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22D171E8" w14:textId="77777777" w:rsidR="006938E9" w:rsidRPr="00AB4BAE" w:rsidRDefault="006938E9" w:rsidP="008C7800">
            <w:pPr>
              <w:rPr>
                <w:rFonts w:ascii="Calibri" w:hAnsi="Calibri" w:cs="Calibri"/>
                <w:sz w:val="20"/>
                <w:szCs w:val="20"/>
              </w:rPr>
            </w:pPr>
            <w:r>
              <w:rPr>
                <w:rFonts w:ascii="Calibri" w:hAnsi="Calibri" w:cs="Calibri"/>
                <w:sz w:val="20"/>
                <w:szCs w:val="20"/>
              </w:rPr>
              <w:t>Reynolds et al. 2019 questionnaire</w:t>
            </w:r>
          </w:p>
        </w:tc>
        <w:tc>
          <w:tcPr>
            <w:tcW w:w="838" w:type="dxa"/>
          </w:tcPr>
          <w:p w14:paraId="580B9B0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04691BD" w14:textId="38A8BA4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FDq8m5Nd","properties":{"formattedCitation":"[68]","plainCitation":"[68]","noteIndex":0},"citationItems":[{"id":3260,"uris":["http://zotero.org/users/4975241/items/CHY3R9EE"],"uri":["http://zotero.org/users/4975241/items/CHY3R9EE"],"itemData":{"id":3260,"type":"article-journal","container-title":"Current Problems in Pediatric and Adolescent Health Care","DOI":"10.1016/j.cppeds.2019.03.004","ISSN":"15385442","issue":"4","journalAbbreviation":"Current Problems in Pediatric and Adolescent Health Care","language":"en","page":"84-91","source":"DOI.org (Crossref)","title":"Residents’ perspective on professionalism in the learning environment","volume":"49","author":[{"family":"Reynolds","given":"P. Preston"},{"family":"White","given":"Casey"},{"family":"Martindale","given":"James R."}],"issued":{"date-parts":[["2019",4]]}}}],"schema":"https://github.com/citation-style-language/schema/raw/master/csl-citation.json"}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[68]</w:t>
            </w:r>
            <w:r>
              <w:rPr>
                <w:rFonts w:ascii="Calibri" w:hAnsi="Calibri" w:cs="Calibri"/>
                <w:sz w:val="20"/>
                <w:szCs w:val="20"/>
              </w:rPr>
              <w:fldChar w:fldCharType="end"/>
            </w:r>
          </w:p>
        </w:tc>
        <w:tc>
          <w:tcPr>
            <w:tcW w:w="1694" w:type="dxa"/>
          </w:tcPr>
          <w:p w14:paraId="3E51DCB9"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Professionalism</w:t>
            </w:r>
          </w:p>
        </w:tc>
        <w:tc>
          <w:tcPr>
            <w:tcW w:w="4229" w:type="dxa"/>
          </w:tcPr>
          <w:p w14:paraId="658D6F9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7DFF9BAB" w14:textId="4C11970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y6lCCvu","properties":{"formattedCitation":"[68]","plainCitation":"[68]","noteIndex":0},"citationItems":[{"id":3260,"uris":["http://zotero.org/users/4975241/items/CHY3R9EE"],"uri":["http://zotero.org/users/4975241/items/CHY3R9EE"],"itemData":{"id":3260,"type":"article-journal","container-title":"Current Problems in Pediatric and Adolescent Health Care","DOI":"10.1016/j.cppeds.2019.03.004","ISSN":"15385442","issue":"4","journalAbbreviation":"Current Problems in Pediatric and Adolescent Health Care","language":"en","page":"84-91","source":"DOI.org (Crossref)","title":"Residents’ perspective on professionalism in the learning environment","volume":"49","author":[{"family":"Reynolds","given":"P. Preston"},{"family":"White","given":"Casey"},{"family":"Martindale","given":"James R."}],"issued":{"date-parts":[["2019",4]]}}}],"schema":"https://github.com/citation-style-language/schema/raw/master/csl-citation.json"}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[68]</w:t>
            </w:r>
            <w:r>
              <w:rPr>
                <w:rFonts w:ascii="Calibri" w:hAnsi="Calibri" w:cs="Calibri"/>
                <w:sz w:val="20"/>
                <w:szCs w:val="20"/>
              </w:rPr>
              <w:fldChar w:fldCharType="end"/>
            </w:r>
            <w:r>
              <w:rPr>
                <w:rFonts w:ascii="Calibri" w:hAnsi="Calibri" w:cs="Calibri"/>
                <w:sz w:val="20"/>
                <w:szCs w:val="20"/>
              </w:rPr>
              <w:t xml:space="preserve"> Internal consistency (Cronbach’s alpha unknown)</w:t>
            </w:r>
          </w:p>
        </w:tc>
      </w:tr>
      <w:tr w:rsidR="006938E9" w:rsidRPr="00AB4BAE" w14:paraId="5FA0627E"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7CAD8D23" w14:textId="77777777" w:rsidR="006938E9" w:rsidRPr="00AB4BAE" w:rsidRDefault="006938E9" w:rsidP="008C7800">
            <w:pPr>
              <w:rPr>
                <w:rFonts w:ascii="Calibri" w:hAnsi="Calibri" w:cs="Calibri"/>
                <w:sz w:val="20"/>
                <w:szCs w:val="20"/>
              </w:rPr>
            </w:pPr>
            <w:r>
              <w:rPr>
                <w:rFonts w:ascii="Calibri" w:hAnsi="Calibri" w:cs="Calibri"/>
                <w:sz w:val="20"/>
                <w:szCs w:val="20"/>
              </w:rPr>
              <w:t>Safety Attitudes Questionnaire</w:t>
            </w:r>
          </w:p>
        </w:tc>
        <w:tc>
          <w:tcPr>
            <w:tcW w:w="838" w:type="dxa"/>
          </w:tcPr>
          <w:p w14:paraId="290C6D5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CCBF66D" w14:textId="4C79147D"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0KnWNg3h","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p>
        </w:tc>
        <w:tc>
          <w:tcPr>
            <w:tcW w:w="1694" w:type="dxa"/>
          </w:tcPr>
          <w:p w14:paraId="17B9A08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Teamwork, professionalism</w:t>
            </w:r>
          </w:p>
        </w:tc>
        <w:tc>
          <w:tcPr>
            <w:tcW w:w="4229" w:type="dxa"/>
          </w:tcPr>
          <w:p w14:paraId="4750D262" w14:textId="061537B6"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opxHI8gI","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C</w:t>
            </w:r>
            <w:r w:rsidRPr="00336DE3">
              <w:rPr>
                <w:rFonts w:ascii="Calibri" w:hAnsi="Calibri" w:cs="Calibri"/>
                <w:sz w:val="20"/>
                <w:szCs w:val="20"/>
              </w:rPr>
              <w:t>oncurrent validity</w:t>
            </w:r>
          </w:p>
        </w:tc>
        <w:tc>
          <w:tcPr>
            <w:tcW w:w="4446" w:type="dxa"/>
            <w:gridSpan w:val="2"/>
          </w:tcPr>
          <w:p w14:paraId="02A3C3E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2247829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26EF5E3C" w14:textId="77777777" w:rsidR="006938E9" w:rsidRPr="00AB4BAE" w:rsidRDefault="006938E9" w:rsidP="008C7800">
            <w:pPr>
              <w:rPr>
                <w:rFonts w:ascii="Calibri" w:hAnsi="Calibri" w:cs="Calibri"/>
                <w:sz w:val="20"/>
                <w:szCs w:val="20"/>
              </w:rPr>
            </w:pPr>
            <w:r w:rsidRPr="003E6B3B">
              <w:rPr>
                <w:rFonts w:ascii="Calibri" w:hAnsi="Calibri" w:cs="Calibri"/>
                <w:sz w:val="20"/>
                <w:szCs w:val="20"/>
              </w:rPr>
              <w:t>Short Su</w:t>
            </w:r>
            <w:r>
              <w:rPr>
                <w:rFonts w:ascii="Calibri" w:hAnsi="Calibri" w:cs="Calibri"/>
                <w:sz w:val="20"/>
                <w:szCs w:val="20"/>
              </w:rPr>
              <w:t>r</w:t>
            </w:r>
            <w:r w:rsidRPr="003E6B3B">
              <w:rPr>
                <w:rFonts w:ascii="Calibri" w:hAnsi="Calibri" w:cs="Calibri"/>
                <w:sz w:val="20"/>
                <w:szCs w:val="20"/>
              </w:rPr>
              <w:t>v</w:t>
            </w:r>
            <w:r>
              <w:rPr>
                <w:rFonts w:ascii="Calibri" w:hAnsi="Calibri" w:cs="Calibri"/>
                <w:sz w:val="20"/>
                <w:szCs w:val="20"/>
              </w:rPr>
              <w:t>e</w:t>
            </w:r>
            <w:r w:rsidRPr="003E6B3B">
              <w:rPr>
                <w:rFonts w:ascii="Calibri" w:hAnsi="Calibri" w:cs="Calibri"/>
                <w:sz w:val="20"/>
                <w:szCs w:val="20"/>
              </w:rPr>
              <w:t>y of Perceived Organizational Support</w:t>
            </w:r>
          </w:p>
        </w:tc>
        <w:tc>
          <w:tcPr>
            <w:tcW w:w="838" w:type="dxa"/>
          </w:tcPr>
          <w:p w14:paraId="47FEE1D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82AB7DF" w14:textId="0969C486"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aPZz5GPL","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p>
        </w:tc>
        <w:tc>
          <w:tcPr>
            <w:tcW w:w="1694" w:type="dxa"/>
          </w:tcPr>
          <w:p w14:paraId="39DC936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Support, learning environment</w:t>
            </w:r>
          </w:p>
        </w:tc>
        <w:tc>
          <w:tcPr>
            <w:tcW w:w="4229" w:type="dxa"/>
          </w:tcPr>
          <w:p w14:paraId="5E104C8E" w14:textId="0619DF8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FauRZxd","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r>
              <w:rPr>
                <w:rFonts w:ascii="Calibri" w:hAnsi="Calibri" w:cs="Calibri"/>
                <w:sz w:val="20"/>
                <w:szCs w:val="20"/>
              </w:rPr>
              <w:t xml:space="preserve"> Construct validity, concurrent validity</w:t>
            </w:r>
          </w:p>
        </w:tc>
        <w:tc>
          <w:tcPr>
            <w:tcW w:w="4446" w:type="dxa"/>
            <w:gridSpan w:val="2"/>
          </w:tcPr>
          <w:p w14:paraId="3255D7E0" w14:textId="5A20803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SxjVH6Zj","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r>
              <w:rPr>
                <w:rFonts w:ascii="Calibri" w:hAnsi="Calibri" w:cs="Calibri"/>
                <w:sz w:val="20"/>
                <w:szCs w:val="20"/>
              </w:rPr>
              <w:t xml:space="preserve"> Internal consistency (Cronbach’s alpha = 0.94)</w:t>
            </w:r>
          </w:p>
        </w:tc>
      </w:tr>
      <w:tr w:rsidR="006938E9" w:rsidRPr="00AB4BAE" w14:paraId="020F2681"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2C6AC3DD" w14:textId="77777777" w:rsidR="006938E9" w:rsidRPr="00AB4BAE" w:rsidRDefault="006938E9" w:rsidP="008C7800">
            <w:pPr>
              <w:rPr>
                <w:rFonts w:ascii="Calibri" w:hAnsi="Calibri" w:cs="Calibri"/>
                <w:sz w:val="20"/>
                <w:szCs w:val="20"/>
              </w:rPr>
            </w:pPr>
            <w:r>
              <w:rPr>
                <w:rFonts w:ascii="Calibri" w:hAnsi="Calibri" w:cs="Calibri"/>
                <w:sz w:val="20"/>
                <w:szCs w:val="20"/>
              </w:rPr>
              <w:t>Speaking Up Climates</w:t>
            </w:r>
          </w:p>
        </w:tc>
        <w:tc>
          <w:tcPr>
            <w:tcW w:w="838" w:type="dxa"/>
          </w:tcPr>
          <w:p w14:paraId="16E8AE4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7773C8F0" w14:textId="0B22EE14"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327PYN2M","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p>
        </w:tc>
        <w:tc>
          <w:tcPr>
            <w:tcW w:w="1694" w:type="dxa"/>
          </w:tcPr>
          <w:p w14:paraId="2FF0A0E4"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Teamwork, professionalism</w:t>
            </w:r>
          </w:p>
        </w:tc>
        <w:tc>
          <w:tcPr>
            <w:tcW w:w="4229" w:type="dxa"/>
          </w:tcPr>
          <w:p w14:paraId="3D590E7D" w14:textId="79231DEF"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TpUBoow","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w:t>
            </w:r>
            <w:r w:rsidRPr="00336DE3">
              <w:rPr>
                <w:rFonts w:ascii="Calibri" w:hAnsi="Calibri" w:cs="Calibri"/>
                <w:sz w:val="20"/>
                <w:szCs w:val="20"/>
              </w:rPr>
              <w:t>Face validity, concurrent validity, discriminate validity, construct validity</w:t>
            </w:r>
            <w:r>
              <w:rPr>
                <w:rFonts w:ascii="Calibri" w:hAnsi="Calibri" w:cs="Calibri"/>
                <w:sz w:val="20"/>
                <w:szCs w:val="20"/>
              </w:rPr>
              <w:t xml:space="preserve"> (one factor)</w:t>
            </w:r>
          </w:p>
        </w:tc>
        <w:tc>
          <w:tcPr>
            <w:tcW w:w="4446" w:type="dxa"/>
            <w:gridSpan w:val="2"/>
          </w:tcPr>
          <w:p w14:paraId="1C8DAC13" w14:textId="1DADBA2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UgERp9up","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Internal consistency (Cronbach’s alpha &gt; 0.70)</w:t>
            </w:r>
          </w:p>
        </w:tc>
      </w:tr>
      <w:tr w:rsidR="006938E9" w:rsidRPr="00AB4BAE" w14:paraId="33C19DB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1A44CEEC" w14:textId="77777777" w:rsidR="006938E9" w:rsidRPr="00AB4BAE" w:rsidRDefault="006938E9" w:rsidP="008C7800">
            <w:pPr>
              <w:rPr>
                <w:rFonts w:ascii="Calibri" w:hAnsi="Calibri" w:cs="Calibri"/>
                <w:sz w:val="20"/>
                <w:szCs w:val="20"/>
              </w:rPr>
            </w:pPr>
            <w:r>
              <w:rPr>
                <w:rFonts w:ascii="Calibri" w:hAnsi="Calibri" w:cs="Calibri"/>
                <w:sz w:val="20"/>
                <w:szCs w:val="20"/>
              </w:rPr>
              <w:lastRenderedPageBreak/>
              <w:t>Touchie et al. 2014 questionnaire</w:t>
            </w:r>
          </w:p>
        </w:tc>
        <w:tc>
          <w:tcPr>
            <w:tcW w:w="838" w:type="dxa"/>
          </w:tcPr>
          <w:p w14:paraId="5CC3061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40CD3603" w14:textId="2C56668F"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LzXx7VdD","properties":{"formattedCitation":"[71]","plainCitation":"[71]","noteIndex":0},"citationItems":[{"id":3269,"uris":["http://zotero.org/users/4975241/items/2T5BLGPB"],"uri":["http://zotero.org/users/4975241/items/2T5BLGPB"],"itemData":{"id":3269,"type":"article-journal","container-title":"Medical Education","DOI":"10.1111/medu.12503","ISSN":"03080110","issue":"9","journalAbbreviation":"Med Educ","language":"en","page":"921-929","source":"DOI.org (Crossref)","title":"Supervising incoming first-year residents: faculty expectations versus residents' experiences","title-short":"Supervising incoming first-year residents","volume":"48","author":[{"family":"Touchie","given":"Claire"},{"family":"De Champlain","given":"André"},{"family":"Pugh","given":"Debra"},{"family":"Downing","given":"Steven"},{"family":"Bordage","given":"Georges"}],"issued":{"date-parts":[["2014",9]]}}}],"schema":"https://github.com/citation-style-language/schema/raw/master/csl-citation.json"}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[71]</w:t>
            </w:r>
            <w:r>
              <w:rPr>
                <w:rFonts w:ascii="Calibri" w:hAnsi="Calibri" w:cs="Calibri"/>
                <w:sz w:val="20"/>
                <w:szCs w:val="20"/>
              </w:rPr>
              <w:fldChar w:fldCharType="end"/>
            </w:r>
          </w:p>
        </w:tc>
        <w:tc>
          <w:tcPr>
            <w:tcW w:w="1694" w:type="dxa"/>
          </w:tcPr>
          <w:p w14:paraId="1B9DD786"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w:t>
            </w:r>
          </w:p>
        </w:tc>
        <w:tc>
          <w:tcPr>
            <w:tcW w:w="4229" w:type="dxa"/>
          </w:tcPr>
          <w:p w14:paraId="1161FFA2" w14:textId="276B515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BpFigO0b","properties":{"formattedCitation":"[71]","plainCitation":"[71]","noteIndex":0},"citationItems":[{"id":3269,"uris":["http://zotero.org/users/4975241/items/2T5BLGPB"],"uri":["http://zotero.org/users/4975241/items/2T5BLGPB"],"itemData":{"id":3269,"type":"article-journal","container-title":"Medical Education","DOI":"10.1111/medu.12503","ISSN":"03080110","issue":"9","journalAbbreviation":"Med Educ","language":"en","page":"921-929","source":"DOI.org (Crossref)","title":"Supervising incoming first-year residents: faculty expectations versus residents' experiences","title-short":"Supervising incoming first-year residents","volume":"48","author":[{"family":"Touchie","given":"Claire"},{"family":"De Champlain","given":"André"},{"family":"Pugh","given":"Debra"},{"family":"Downing","given":"Steven"},{"family":"Bordage","given":"Georges"}],"issued":{"date-parts":[["2014",9]]}}}],"schema":"https://github.com/citation-style-language/schema/raw/master/csl-citation.json"}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[71]</w:t>
            </w:r>
            <w:r>
              <w:rPr>
                <w:rFonts w:ascii="Calibri" w:hAnsi="Calibri" w:cs="Calibri"/>
                <w:sz w:val="20"/>
                <w:szCs w:val="20"/>
              </w:rPr>
              <w:fldChar w:fldCharType="end"/>
            </w:r>
            <w:r>
              <w:rPr>
                <w:rFonts w:ascii="Calibri" w:hAnsi="Calibri" w:cs="Calibri"/>
                <w:sz w:val="20"/>
                <w:szCs w:val="20"/>
              </w:rPr>
              <w:t xml:space="preserve"> Face validity</w:t>
            </w:r>
          </w:p>
        </w:tc>
        <w:tc>
          <w:tcPr>
            <w:tcW w:w="4446" w:type="dxa"/>
            <w:gridSpan w:val="2"/>
          </w:tcPr>
          <w:p w14:paraId="7798960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7DA4F7C"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25CCF882" w14:textId="77777777" w:rsidR="006938E9" w:rsidRPr="00AB4BAE" w:rsidRDefault="006938E9" w:rsidP="008C7800">
            <w:pPr>
              <w:rPr>
                <w:rFonts w:ascii="Calibri" w:hAnsi="Calibri" w:cs="Calibri"/>
                <w:sz w:val="20"/>
                <w:szCs w:val="20"/>
              </w:rPr>
            </w:pPr>
            <w:r w:rsidRPr="00CD1773">
              <w:rPr>
                <w:rFonts w:ascii="Calibri" w:hAnsi="Calibri" w:cs="Calibri"/>
                <w:sz w:val="20"/>
                <w:szCs w:val="20"/>
              </w:rPr>
              <w:t>Work Analysis Instrument for Hospitals</w:t>
            </w:r>
          </w:p>
        </w:tc>
        <w:tc>
          <w:tcPr>
            <w:tcW w:w="838" w:type="dxa"/>
          </w:tcPr>
          <w:p w14:paraId="43666A7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4B0E5B60" w14:textId="24E3389F"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Ff0vflDL","properties":{"formattedCitation":"[72]","plainCitation":"[72]","noteIndex":0},"citationItems":[{"id":3275,"uris":["http://zotero.org/users/4975241/items/VUZAKUFT"],"uri":["http://zotero.org/users/4975241/items/VUZAKUFT"],"itemData":{"id":3275,"type":"article-journal","abstract":"Background: The shortage of physicians is an evolving problem throughout the world. In this study we aimed to identify to what extent junior doctors’ training and working conditions determine their intention to leave clinical practice after residency training.\nMethods: A prospective cohort study was conducted in 557 junior doctors undergoing residency training in German hospitals. Self-reported specialty training conditions, working conditions and intention to leave clinical practice were measured over three time points. Scales covering training conditions were assessed by structured residency training, professional support, and dealing with lack of knowledge; working conditions were evaluated by work overload, job autonomy and social support, based on the Demand–Control–Support model. Multivariate ordinal logistic regression analyses with random intercept for longitudinal data were applied to determine the odds ratio of having a higher level of intention to leave clinical practice.\nResults: In the models that considered training and working conditions separately to predict intention to leave clinical practice we found significant baseline effects and change effects. After modelling training and working conditions simultaneously, we found evidence that the change effect of job autonomy (OR 0.77, p = .005) was associated with intention to leave clinical practice, whereas for the training conditions, only the baseline effects of structured residency training (OR 0.74, p = .017) and dealing with lack of knowledge (OR 0.74, p = .026) predicted intention to leave clinical practice.\nConclusions: Junior doctors undergoing specialty training experience high workload in hospital practice and intense requirements in terms of specialty training. Our study indicates that simultaneously improving working conditions over time and establishing a high standard of specialty training conditions may prevent junior doctors from considering leaving clinical practice after residency training.","container-title":"BMC Medical Education","DOI":"10.1186/1472-6920-14-119","ISSN":"1472-6920","issue":"1","journalAbbreviation":"BMC Med Educ","language":"en","page":"119","source":"DOI.org (Crossref)","title":"The impact of training and working conditions on junior doctors’ intention to leave clinical practice","volume":"14","author":[{"family":"Degen","given":"Christiane"},{"family":"Weigl","given":"Matthias"},{"family":"Glaser","given":"Jürgen"},{"family":"Li","given":"Jian"},{"family":"Angerer","given":"Peter"}],"issued":{"date-parts":[["2014",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[72]</w:t>
            </w:r>
            <w:r>
              <w:rPr>
                <w:rFonts w:ascii="Calibri" w:hAnsi="Calibri" w:cs="Calibri"/>
                <w:sz w:val="20"/>
                <w:szCs w:val="20"/>
              </w:rPr>
              <w:fldChar w:fldCharType="end"/>
            </w:r>
          </w:p>
        </w:tc>
        <w:tc>
          <w:tcPr>
            <w:tcW w:w="1694" w:type="dxa"/>
          </w:tcPr>
          <w:p w14:paraId="00D4420D"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D1773">
              <w:rPr>
                <w:rFonts w:ascii="Calibri" w:hAnsi="Calibri" w:cs="Calibri"/>
                <w:sz w:val="20"/>
                <w:szCs w:val="20"/>
              </w:rPr>
              <w:t>Teaching, support</w:t>
            </w:r>
          </w:p>
        </w:tc>
        <w:tc>
          <w:tcPr>
            <w:tcW w:w="4229" w:type="dxa"/>
          </w:tcPr>
          <w:p w14:paraId="69F6ADD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3777BEAA" w14:textId="568ED22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SKj9jzsr","properties":{"formattedCitation":"[72]","plainCitation":"[72]","noteIndex":0},"citationItems":[{"id":3275,"uris":["http://zotero.org/users/4975241/items/VUZAKUFT"],"uri":["http://zotero.org/users/4975241/items/VUZAKUFT"],"itemData":{"id":3275,"type":"article-journal","abstract":"Background: The shortage of physicians is an evolving problem throughout the world. In this study we aimed to identify to what extent junior doctors’ training and working conditions determine their intention to leave clinical practice after residency training.\nMethods: A prospective cohort study was conducted in 557 junior doctors undergoing residency training in German hospitals. Self-reported specialty training conditions, working conditions and intention to leave clinical practice were measured over three time points. Scales covering training conditions were assessed by structured residency training, professional support, and dealing with lack of knowledge; working conditions were evaluated by work overload, job autonomy and social support, based on the Demand–Control–Support model. Multivariate ordinal logistic regression analyses with random intercept for longitudinal data were applied to determine the odds ratio of having a higher level of intention to leave clinical practice.\nResults: In the models that considered training and working conditions separately to predict intention to leave clinical practice we found significant baseline effects and change effects. After modelling training and working conditions simultaneously, we found evidence that the change effect of job autonomy (OR 0.77, p = .005) was associated with intention to leave clinical practice, whereas for the training conditions, only the baseline effects of structured residency training (OR 0.74, p = .017) and dealing with lack of knowledge (OR 0.74, p = .026) predicted intention to leave clinical practice.\nConclusions: Junior doctors undergoing specialty training experience high workload in hospital practice and intense requirements in terms of specialty training. Our study indicates that simultaneously improving working conditions over time and establishing a high standard of specialty training conditions may prevent junior doctors from considering leaving clinical practice after residency training.","container-title":"BMC Medical Education","DOI":"10.1186/1472-6920-14-119","ISSN":"1472-6920","issue":"1","journalAbbreviation":"BMC Med Educ","language":"en","page":"119","source":"DOI.org (Crossref)","title":"The impact of training and working conditions on junior doctors’ intention to leave clinical practice","volume":"14","author":[{"family":"Degen","given":"Christiane"},{"family":"Weigl","given":"Matthias"},{"family":"Glaser","given":"Jürgen"},{"family":"Li","given":"Jian"},{"family":"Angerer","given":"Peter"}],"issued":{"date-parts":[["2014",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[72]</w:t>
            </w:r>
            <w:r>
              <w:rPr>
                <w:rFonts w:ascii="Calibri" w:hAnsi="Calibri" w:cs="Calibri"/>
                <w:sz w:val="20"/>
                <w:szCs w:val="20"/>
              </w:rPr>
              <w:fldChar w:fldCharType="end"/>
            </w:r>
            <w:r>
              <w:rPr>
                <w:rFonts w:ascii="Calibri" w:hAnsi="Calibri" w:cs="Calibri"/>
                <w:sz w:val="20"/>
                <w:szCs w:val="20"/>
              </w:rPr>
              <w:t xml:space="preserve"> Internal consistency (Cronbach’s alpha = 0.64-87)</w:t>
            </w:r>
          </w:p>
        </w:tc>
      </w:tr>
      <w:tr w:rsidR="006938E9" w:rsidRPr="00AB4BAE" w14:paraId="18BB8D5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5D2805B6" w14:textId="77777777" w:rsidR="006938E9" w:rsidRPr="00AB4BAE" w:rsidRDefault="006938E9" w:rsidP="008C7800">
            <w:pPr>
              <w:rPr>
                <w:rFonts w:ascii="Calibri" w:hAnsi="Calibri" w:cs="Calibri"/>
                <w:sz w:val="20"/>
                <w:szCs w:val="20"/>
              </w:rPr>
            </w:pPr>
            <w:r>
              <w:rPr>
                <w:rFonts w:ascii="Calibri" w:hAnsi="Calibri" w:cs="Calibri"/>
                <w:sz w:val="20"/>
                <w:szCs w:val="20"/>
              </w:rPr>
              <w:t>Yusoff et al. 2011 questionnaire</w:t>
            </w:r>
          </w:p>
        </w:tc>
        <w:tc>
          <w:tcPr>
            <w:tcW w:w="838" w:type="dxa"/>
          </w:tcPr>
          <w:p w14:paraId="637003C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B4D3837" w14:textId="174FF3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0Qo48a8R","properties":{"formattedCitation":"[16]","plainCitation":"[16]","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[16]</w:t>
            </w:r>
            <w:r>
              <w:rPr>
                <w:rFonts w:ascii="Calibri" w:hAnsi="Calibri" w:cs="Calibri"/>
                <w:sz w:val="20"/>
                <w:szCs w:val="20"/>
              </w:rPr>
              <w:fldChar w:fldCharType="end"/>
            </w:r>
          </w:p>
        </w:tc>
        <w:tc>
          <w:tcPr>
            <w:tcW w:w="1694" w:type="dxa"/>
          </w:tcPr>
          <w:p w14:paraId="3C7270C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C32EC">
              <w:rPr>
                <w:rFonts w:ascii="Calibri" w:hAnsi="Calibri" w:cs="Calibri"/>
                <w:sz w:val="20"/>
                <w:szCs w:val="20"/>
              </w:rPr>
              <w:t>Teamwork, supervision, support</w:t>
            </w:r>
          </w:p>
        </w:tc>
        <w:tc>
          <w:tcPr>
            <w:tcW w:w="4229" w:type="dxa"/>
          </w:tcPr>
          <w:p w14:paraId="0D5DFB4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697DC355" w14:textId="72360EA0"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IPMT0Ssm","properties":{"formattedCitation":"[16]","plainCitation":"[16]","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[16]</w:t>
            </w:r>
            <w:r>
              <w:rPr>
                <w:rFonts w:ascii="Calibri" w:hAnsi="Calibri" w:cs="Calibri"/>
                <w:sz w:val="20"/>
                <w:szCs w:val="20"/>
              </w:rPr>
              <w:fldChar w:fldCharType="end"/>
            </w:r>
            <w:r>
              <w:rPr>
                <w:rFonts w:ascii="Calibri" w:hAnsi="Calibri" w:cs="Calibri"/>
                <w:sz w:val="20"/>
                <w:szCs w:val="20"/>
              </w:rPr>
              <w:t xml:space="preserve"> Internal consistency (Cronbach’s alpha for individual tools including GSQ)</w:t>
            </w:r>
          </w:p>
        </w:tc>
      </w:tr>
      <w:tr w:rsidR="006938E9" w:rsidRPr="00AB4BAE" w14:paraId="4EA6BA5D"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6E2A06F0" w14:textId="77777777" w:rsidR="006938E9" w:rsidRPr="00AB4BAE" w:rsidRDefault="006938E9" w:rsidP="008C7800">
            <w:pPr>
              <w:rPr>
                <w:rFonts w:ascii="Calibri" w:hAnsi="Calibri" w:cs="Calibri"/>
                <w:sz w:val="20"/>
                <w:szCs w:val="20"/>
              </w:rPr>
            </w:pPr>
            <w:r w:rsidRPr="008048B3">
              <w:rPr>
                <w:rFonts w:ascii="Calibri" w:hAnsi="Calibri" w:cs="Calibri"/>
                <w:sz w:val="20"/>
                <w:szCs w:val="20"/>
              </w:rPr>
              <w:t>A 60-item instrument developed by Bellini</w:t>
            </w:r>
          </w:p>
        </w:tc>
        <w:tc>
          <w:tcPr>
            <w:tcW w:w="838" w:type="dxa"/>
          </w:tcPr>
          <w:p w14:paraId="5D59183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3E0255D6" w14:textId="431C8FF6"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fZHHTsZ","properties":{"formattedCitation":"[73]","plainCitation":"[73]","noteIndex":0},"citationItems":[{"id":3288,"uris":["http://zotero.org/users/4975241/items/DZ64JLYJ"],"uri":["http://zotero.org/users/4975241/items/DZ64JLYJ"],"itemData":{"id":3288,"type":"article-journal","abstract":"This paper reports the attitudes of medical school graduates participating in the preregistration training programme in Cyprus. There were 2 independent samples, one in the year 2000 of 34 trainees and one in 2002 of 45 trainees. The trainees responded to 45 statements of attitude on a 5-point Likert scale covering 3 areas: workload, educational environment and lifestyle issues. The sample means for each statement were reported in both years and differences between the 2 years were analysed. In general, the trainees had an overall neutral to negative attitude towards the programme in both years and there was little change over the 2 years.","container-title":"Eastern Mediterranean Health Journal = La Revue De Sante De La Mediterranee Orientale = Al-Majallah Al-Sihhiyah Li-Sharq Al-Mutawassit","ISSN":"1020-3397","issue":"1","journalAbbreviation":"East. Mediterr. Health J.","language":"eng","note":"PMID: 17546915","page":"129-137","source":"PubMed","title":"Preregistration programme for medical practice: a survey of Cypriot trainees (2000 and 2002)","title-short":"Preregistration programme for medical practice","volume":"13","author":[{"family":"Charalambous","given":"A."},{"family":"Pantelas","given":"G."},{"family":"Pouloukas","given":"S."}],"issued":{"date-parts":[["2007",2]]}}}],"schema":"https://github.com/citation-style-language/schema/raw/master/csl-citation.json"}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[73]</w:t>
            </w:r>
            <w:r>
              <w:rPr>
                <w:rFonts w:ascii="Calibri" w:hAnsi="Calibri" w:cs="Calibri"/>
                <w:sz w:val="20"/>
                <w:szCs w:val="20"/>
              </w:rPr>
              <w:fldChar w:fldCharType="end"/>
            </w:r>
          </w:p>
        </w:tc>
        <w:tc>
          <w:tcPr>
            <w:tcW w:w="1694" w:type="dxa"/>
          </w:tcPr>
          <w:p w14:paraId="7AA3CF8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048B3">
              <w:rPr>
                <w:rFonts w:ascii="Calibri" w:hAnsi="Calibri" w:cs="Calibri"/>
                <w:sz w:val="20"/>
                <w:szCs w:val="20"/>
              </w:rPr>
              <w:t>Feedback, learning environment, supervision</w:t>
            </w:r>
          </w:p>
        </w:tc>
        <w:tc>
          <w:tcPr>
            <w:tcW w:w="4229" w:type="dxa"/>
          </w:tcPr>
          <w:p w14:paraId="795C5CC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675F50A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35B9C4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6D48607E" w14:textId="77777777" w:rsidR="006938E9" w:rsidRPr="00AB4BAE" w:rsidRDefault="006938E9" w:rsidP="008C7800">
            <w:pPr>
              <w:rPr>
                <w:rFonts w:ascii="Calibri" w:hAnsi="Calibri" w:cs="Calibri"/>
                <w:sz w:val="20"/>
                <w:szCs w:val="20"/>
              </w:rPr>
            </w:pPr>
            <w:r w:rsidRPr="00051E03">
              <w:rPr>
                <w:rFonts w:ascii="Calibri" w:hAnsi="Calibri" w:cs="Calibri"/>
                <w:sz w:val="20"/>
                <w:szCs w:val="20"/>
              </w:rPr>
              <w:t>Abuhusain</w:t>
            </w:r>
            <w:r>
              <w:rPr>
                <w:rFonts w:ascii="Calibri" w:hAnsi="Calibri" w:cs="Calibri"/>
                <w:sz w:val="20"/>
                <w:szCs w:val="20"/>
              </w:rPr>
              <w:t xml:space="preserve"> et al. 2009 questionnaire</w:t>
            </w:r>
          </w:p>
        </w:tc>
        <w:tc>
          <w:tcPr>
            <w:tcW w:w="838" w:type="dxa"/>
          </w:tcPr>
          <w:p w14:paraId="0CAAB26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B8A8078" w14:textId="461774E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TqiV5U6g","properties":{"formattedCitation":"[74]","plainCitation":"[74]","noteIndex":0},"citationItems":[{"id":3286,"uris":["http://zotero.org/users/4975241/items/A74PP2E2"],"uri":["http://zotero.org/users/4975241/items/A74PP2E2"],"itemData":{"id":3286,"type":"article-journal","abstract":"Preparedness of medical school graduates for the intern year is one of the emphasised objectives of undergraduate medical training. We have evaluated the perceived preparedness of graduates undertaking the intern year in the Republic of Ireland. A 9-page questionnaire was mailed to all 497 interns in Ireland following commencement of the intern year in July 2005. Data obtained included demographics, perceived preparedness and assessment of perceived clinical skills (four sub-domains: core competencies, communication, emergencies, and educational environment). Information on intern induction was also collected. 99 questionnaires were returned (19.9%). Most of the cohort were Irish and worked in large medical school teaching hospitals. The majority of interns felt 'unprepared' for the intern year. Interns perceived themselves 'poor' in all areas of clinical skills assessed. Intern induction was attended by the majority and most stated it was too short. Medical schools are actively seeking innovative methods, through early patient contact and sub-internships, to better prepare undergraduates for the intern year. The deficiencies identified in this study are significant and emphasise the need for continued reform in the undergraduate curriculum.","container-title":"Irish Medical Journal","ISSN":"0332-3102","issue":"3","journalAbbreviation":"Ir Med J","language":"eng","note":"PMID: 19489196","page":"82-84","source":"PubMed","title":"Prepared for internship?","volume":"102","author":[{"family":"Abuhusain","given":"H."},{"family":"Chotirmall","given":"S. H."},{"family":"Hamid","given":"N."},{"family":"O'Neill","given":"S. J."}],"issued":{"date-parts":[["2009",3]]}}}],"schema":"https://github.com/citation-style-language/schema/raw/master/csl-citation.json"}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[74]</w:t>
            </w:r>
            <w:r>
              <w:rPr>
                <w:rFonts w:ascii="Calibri" w:hAnsi="Calibri" w:cs="Calibri"/>
                <w:sz w:val="20"/>
                <w:szCs w:val="20"/>
              </w:rPr>
              <w:fldChar w:fldCharType="end"/>
            </w:r>
          </w:p>
        </w:tc>
        <w:tc>
          <w:tcPr>
            <w:tcW w:w="1694" w:type="dxa"/>
          </w:tcPr>
          <w:p w14:paraId="5B6F42C6"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033916">
              <w:rPr>
                <w:rFonts w:ascii="Calibri" w:hAnsi="Calibri" w:cs="Calibri"/>
                <w:sz w:val="20"/>
                <w:szCs w:val="20"/>
              </w:rPr>
              <w:t>Preparedness, induction, learning environment</w:t>
            </w:r>
          </w:p>
        </w:tc>
        <w:tc>
          <w:tcPr>
            <w:tcW w:w="4229" w:type="dxa"/>
          </w:tcPr>
          <w:p w14:paraId="5661953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78A5953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5B28EBB"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6C873C83"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Arora et al. 2010 questionnaire</w:t>
            </w:r>
          </w:p>
        </w:tc>
        <w:tc>
          <w:tcPr>
            <w:tcW w:w="838" w:type="dxa"/>
          </w:tcPr>
          <w:p w14:paraId="1B295CF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551" w:type="dxa"/>
          </w:tcPr>
          <w:p w14:paraId="1CDF13AB" w14:textId="7CF0D966"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zU6xFb5P","properties":{"formattedCitation":"[34]","plainCitation":"[34]","noteIndex":0},"citationItems":[{"id":3093,"uris":["http://zotero.org/users/4975241/items/3F62ZTJ8"],"uri":["http://zotero.org/users/4975241/items/3F62ZTJ8"],"itemData":{"id":3093,"type":"article-journal","container-title":"Journal of Graduate Medical Education","DOI":"10.4300/JGME-D-10-00049.1","ISSN":"1949-8349, 1949-8357","issue":"4","journalAbbreviation":"Journal of Graduate Medical Education","language":"en","page":"536-540","source":"DOI.org (Crossref)","title":"Incoming Interns' Perspectives on the Institute of Medicine Recommendations for Residents' Duty Hours","volume":"2","author":[{"family":"Arora","given":"Vineet M."},{"family":"Farnan","given":"Jeanne M."},{"family":"Lypson","given":"Monica L."},{"family":"Anderson","given":"R. Andy"},{"family":"Prochaska","given":"Meryl H."},{"family":"Humphrey","given":"Holly J."}],"issued":{"date-parts":[["2010",12]]}}}],"schema":"https://github.com/citation-style-language/schema/raw/master/csl-citation.json"}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[34]</w:t>
            </w:r>
            <w:r>
              <w:rPr>
                <w:rFonts w:ascii="Calibri" w:hAnsi="Calibri" w:cs="Calibri"/>
                <w:sz w:val="20"/>
                <w:szCs w:val="20"/>
              </w:rPr>
              <w:fldChar w:fldCharType="end"/>
            </w:r>
          </w:p>
        </w:tc>
        <w:tc>
          <w:tcPr>
            <w:tcW w:w="1694" w:type="dxa"/>
          </w:tcPr>
          <w:p w14:paraId="35024E9B"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w:t>
            </w:r>
          </w:p>
        </w:tc>
        <w:tc>
          <w:tcPr>
            <w:tcW w:w="4229" w:type="dxa"/>
          </w:tcPr>
          <w:p w14:paraId="348E4EB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26EF4C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498230C" w14:textId="77777777" w:rsidTr="008C7800">
        <w:trPr>
          <w:gridAfter w:val="1"/>
          <w:cnfStyle w:val="000000100000" w:firstRow="0" w:lastRow="0" w:firstColumn="0" w:lastColumn="0" w:oddVBand="0" w:evenVBand="0" w:oddHBand="1" w:evenHBand="0" w:firstRowFirstColumn="0" w:firstRowLastColumn="0" w:lastRowFirstColumn="0" w:lastRowLastColumn="0"/>
          <w:wAfter w:w="186" w:type="dxa"/>
        </w:trPr>
        <w:tc>
          <w:tcPr>
            <w:cnfStyle w:val="001000000000" w:firstRow="0" w:lastRow="0" w:firstColumn="1" w:lastColumn="0" w:oddVBand="0" w:evenVBand="0" w:oddHBand="0" w:evenHBand="0" w:firstRowFirstColumn="0" w:firstRowLastColumn="0" w:lastRowFirstColumn="0" w:lastRowLastColumn="0"/>
            <w:tcW w:w="2630" w:type="dxa"/>
          </w:tcPr>
          <w:p w14:paraId="2E1A5422"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Bal</w:t>
            </w:r>
            <w:r>
              <w:rPr>
                <w:rFonts w:ascii="Calibri" w:hAnsi="Calibri" w:cs="Calibri"/>
                <w:color w:val="000000"/>
                <w:sz w:val="20"/>
                <w:szCs w:val="20"/>
              </w:rPr>
              <w:t>d</w:t>
            </w:r>
            <w:r w:rsidRPr="00AB4BAE">
              <w:rPr>
                <w:rFonts w:ascii="Calibri" w:hAnsi="Calibri" w:cs="Calibri"/>
                <w:color w:val="000000"/>
                <w:sz w:val="20"/>
                <w:szCs w:val="20"/>
              </w:rPr>
              <w:t xml:space="preserve">win </w:t>
            </w:r>
            <w:r>
              <w:rPr>
                <w:rFonts w:ascii="Calibri" w:hAnsi="Calibri" w:cs="Calibri"/>
                <w:color w:val="000000"/>
                <w:sz w:val="20"/>
                <w:szCs w:val="20"/>
              </w:rPr>
              <w:t>&amp; Daugherty</w:t>
            </w:r>
            <w:r w:rsidRPr="00AB4BAE">
              <w:rPr>
                <w:rFonts w:ascii="Calibri" w:hAnsi="Calibri" w:cs="Calibri"/>
                <w:color w:val="000000"/>
                <w:sz w:val="20"/>
                <w:szCs w:val="20"/>
              </w:rPr>
              <w:t xml:space="preserve"> 2004 questionnaire</w:t>
            </w:r>
          </w:p>
        </w:tc>
        <w:tc>
          <w:tcPr>
            <w:tcW w:w="838" w:type="dxa"/>
          </w:tcPr>
          <w:p w14:paraId="431A58A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551" w:type="dxa"/>
          </w:tcPr>
          <w:p w14:paraId="64C87A6D" w14:textId="0683ADF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3k6DelMc","properties":{"formattedCitation":"[35]","plainCitation":"[35]","noteIndex":0},"citationItems":[{"id":3263,"uris":["http://zotero.org/users/4975241/items/B6C589NF"],"uri":["http://zotero.org/users/4975241/items/B6C589NF"],"itemData":{"id":3263,"type":"article-journal","abstract":"Study Objectives: To examine the relationship between residents’ selfreported sleep hours, work hours, and other empirical correlates. Design: Using the American Medical Association’s Graduate Medical Education database, a national, random sample of PGY (postgraduate year) 1 and PGY2 residents in the 1998-1999 training year was surveyed by mail. Measurements and Results: Residents completed a 5-page survey with 44 questions requiring 144 separate responses about their residency experience. Completed surveys were received from 3,604 of 5,616 residents contacted, a 64.2% response rate. Although work hours and sleep hours were significantly correlated (r = -.39), this relationship was less robust than is generally assumed. Total average sleep hours varied across specialties but also within specialties. Just over 20% of all residents reported sleeping an average of 5 hours or less per night, with 66% averaging 6 hours or less per night. Residents averaging 5 or fewer hours of sleep per night were more likely to report serious accidents or injuries, conflict with other professional staff, use of alcohol, use of medications to stay awake, noticeable weight change, working in an “impaired condition,” and having made significant medical errors. Conclusions: Reduced sleep hours were significantly related to a number of work-related, learning, and personal health variables. Capping residents’ work hours is unlikely to fully address the sleep deficits and resulting impairments reported by residents.","container-title":"Sleep","DOI":"10.1093/sleep/27.2.217","ISSN":"0161-8105, 1550-9109","issue":"2","language":"en","page":"217-223","source":"DOI.org (Crossref)","title":"Sleep Deprivation and Fatigue in Residency Training: Results of a National Survey of First- and Second-Year Residents","title-short":"Sleep Deprivation and Fatigue in Residency Training","volume":"27","author":[{"family":"Baldwin","given":"DeWitt C."},{"family":"Daugherty","given":"Steven R."}],"issued":{"date-parts":[["2004",3]]}}}],"schema":"https://github.com/citation-style-language/schema/raw/master/csl-citation.json"}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[35]</w:t>
            </w:r>
            <w:r>
              <w:rPr>
                <w:rFonts w:ascii="Calibri" w:hAnsi="Calibri" w:cs="Calibri"/>
                <w:sz w:val="20"/>
                <w:szCs w:val="20"/>
              </w:rPr>
              <w:fldChar w:fldCharType="end"/>
            </w:r>
          </w:p>
        </w:tc>
        <w:tc>
          <w:tcPr>
            <w:tcW w:w="1694" w:type="dxa"/>
          </w:tcPr>
          <w:p w14:paraId="7A0D8D6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72DC7">
              <w:rPr>
                <w:rFonts w:ascii="Calibri" w:hAnsi="Calibri" w:cs="Calibri"/>
                <w:sz w:val="20"/>
                <w:szCs w:val="20"/>
              </w:rPr>
              <w:t xml:space="preserve">Supervision, overall </w:t>
            </w:r>
            <w:r>
              <w:rPr>
                <w:rFonts w:ascii="Calibri" w:hAnsi="Calibri" w:cs="Calibri"/>
                <w:sz w:val="20"/>
                <w:szCs w:val="20"/>
              </w:rPr>
              <w:t>educational experience, professionalism</w:t>
            </w:r>
          </w:p>
        </w:tc>
        <w:tc>
          <w:tcPr>
            <w:tcW w:w="4229" w:type="dxa"/>
          </w:tcPr>
          <w:p w14:paraId="74F762A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260" w:type="dxa"/>
          </w:tcPr>
          <w:p w14:paraId="51910C7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46BCB47"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1B8559D4" w14:textId="77777777" w:rsidR="006938E9" w:rsidRPr="00AB4BAE" w:rsidRDefault="006938E9" w:rsidP="008C7800">
            <w:pPr>
              <w:rPr>
                <w:rFonts w:ascii="Calibri" w:hAnsi="Calibri" w:cs="Calibri"/>
                <w:sz w:val="20"/>
                <w:szCs w:val="20"/>
              </w:rPr>
            </w:pPr>
            <w:r>
              <w:rPr>
                <w:rFonts w:ascii="Calibri" w:hAnsi="Calibri" w:cs="Calibri"/>
                <w:sz w:val="20"/>
                <w:szCs w:val="20"/>
              </w:rPr>
              <w:t>Baldwin et al. 2018 questionnaire</w:t>
            </w:r>
          </w:p>
        </w:tc>
        <w:tc>
          <w:tcPr>
            <w:tcW w:w="838" w:type="dxa"/>
          </w:tcPr>
          <w:p w14:paraId="65D3E50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D05C3D7" w14:textId="2E12EA3A"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75tgBFAF","properties":{"formattedCitation":"[75]","plainCitation":"[75]","noteIndex":0},"citationItems":[{"id":3262,"uris":["http://zotero.org/users/4975241/items/FDRA2D6W"],"uri":["http://zotero.org/users/4975241/items/FDRA2D6W"],"itemData":{"id":3262,"type":"article-journal","abstract":"Background Medical errors and patient safety are major concerns for the medical and medical education communities. Improving clinical supervision for residents is important in avoiding errors, yet little is known about how residents perceive the adequacy of their supervision and how this relates to medical errors and other education outcomes, such as learning and satisfaction.\nMethods We analyzed data from a 2009 survey of residents in 4 large specialties regarding the adequacy and quality of supervision they receive as well as associations with self-reported data on medical errors and residents’ perceptions of their learning environment.\nResults Residents’ reports of working without adequate supervision were lower than data from a 1999 survey for all 4 specialties, and residents were least likely to rate ‘‘lack of supervision’’ as a problem. While few residents reported that they received inadequate supervision, problems with supervision were negatively correlated with sufficient time for clinical activities, overall ratings of the residency experience, and attending physicians as a source of learning. Problems with supervision were positively correlated with resident reports that they had made a significant medical error, had been belittled or humiliated, or had observed others falsifying medical records.\nConclusions Although working without supervision was not a pervasive problem in 2009, when it happened, it appeared to have negative consequences. The association between inadequate supervision and medical errors is of particular concern.","container-title":"Journal of Graduate Medical Education","DOI":"10.4300/JGME-D-18-00200.1","ISSN":"1949-8349, 1949-8357","issue":"2","journalAbbreviation":"Journal of Graduate Medical Education","language":"en","page":"235-241","source":"DOI.org (Crossref)","title":"Residents' Ratings of Their Clinical Supervision and Their Self-Reported Medical Errors: Analysis of Data From 2009","title-short":"Residents' Ratings of Their Clinical Supervision and Their Self-Reported Medical Errors","volume":"10","author":[{"family":"Baldwin","given":"DeWitt C."},{"family":"Daugherty","given":"Steven R."},{"family":"Ryan","given":"Patrick M."},{"family":"Yaghmour","given":"Nicholas A."},{"family":"Philibert","given":"Ingrid"}],"issued":{"date-parts":[["2018",4]]}}}],"schema":"https://github.com/citation-style-language/schema/raw/master/csl-citation.json"}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[75]</w:t>
            </w:r>
            <w:r>
              <w:rPr>
                <w:rFonts w:ascii="Calibri" w:hAnsi="Calibri" w:cs="Calibri"/>
                <w:sz w:val="20"/>
                <w:szCs w:val="20"/>
              </w:rPr>
              <w:fldChar w:fldCharType="end"/>
            </w:r>
          </w:p>
        </w:tc>
        <w:tc>
          <w:tcPr>
            <w:tcW w:w="1694" w:type="dxa"/>
          </w:tcPr>
          <w:p w14:paraId="3136CC79"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w:t>
            </w:r>
          </w:p>
        </w:tc>
        <w:tc>
          <w:tcPr>
            <w:tcW w:w="4229" w:type="dxa"/>
          </w:tcPr>
          <w:p w14:paraId="1E4F0EB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9F4EE6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8BE6DC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56622A0C" w14:textId="77777777" w:rsidR="006938E9" w:rsidRPr="00AB4BAE" w:rsidRDefault="006938E9" w:rsidP="008C7800">
            <w:pPr>
              <w:rPr>
                <w:rFonts w:ascii="Calibri" w:hAnsi="Calibri" w:cs="Calibri"/>
                <w:sz w:val="20"/>
                <w:szCs w:val="20"/>
              </w:rPr>
            </w:pPr>
            <w:r>
              <w:rPr>
                <w:rFonts w:ascii="Calibri" w:hAnsi="Calibri" w:cs="Calibri"/>
                <w:sz w:val="20"/>
                <w:szCs w:val="20"/>
              </w:rPr>
              <w:t>Bola et al. 2015 questionnaire</w:t>
            </w:r>
          </w:p>
        </w:tc>
        <w:tc>
          <w:tcPr>
            <w:tcW w:w="838" w:type="dxa"/>
          </w:tcPr>
          <w:p w14:paraId="0EF4049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42612D2F" w14:textId="71B4C33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YeXQ9GVn","properties":{"formattedCitation":"[76]","plainCitation":"[76]","noteIndex":0},"citationItems":[{"id":3279,"uris":["http://zotero.org/users/4975241/items/8QHZNR3P"],"uri":["http://zotero.org/users/4975241/items/8QHZNR3P"],"itemData":{"id":3279,"type":"article-journal","abstract":"Background. Medical internship is designed to bridge the gap between the theoretical knowledge learned as a student and the skills required as a competent medical practitioner. In South Africa (SA) it is a 2-year structured programme incorporating experience in key domains of medicine selected by the Health Professions Council of South Africa (HPCSA). HPCSA guidelines state that the clinical experience should include teaching, supervision and competency in selected logbook procedures. After concerns were raised over some accredited intern facilities, we investigated whether these guidelines were being met for interns across SA.\nMethods. An electronic survey was sent to 150 SA doctors who had completed their internship between 2010 and 2013. The questions covered supervision, workload and rest, teaching and perception of patient safety. All responses were anonymous and there was opportunity to comment at the end of each question.\nResults. The respondents (n=90) included graduates from all eight SA medical schools. Supervision was ranked as the aspect of internship that respondents would change the most, with 33.0% performing an interventional procedure for the first time without supervision and 25.6% experiencing an adverse event where senior help was not available. More than half the interns had an entire shift supervised by a medical officer with less than 3 years’ clinical training in that specialty.\nConclusions. This survey identified deficiencies of supervision as directed by the HPCSA. It also highlighted difficulties with workload and teaching opportunities. A significant proportion of interns did not feel that patients were safe under their care. A national annual HPCSA survey would highlight hospitals where closer investigation may be required.","container-title":"South African Medical Journal","DOI":"10.7196/SAMJnew.7923","ISSN":"2078-5135","issue":"7","journalAbbreviation":"S Afr Med J","language":"en","page":"535","source":"DOI.org (Crossref)","title":"The state of South African internships: A national survey against HPCSA guidelines","title-short":"The state of South African internships","volume":"105","author":[{"family":"Bola","given":"Sumrit"},{"family":"Trollip","given":"Eudiet"},{"family":"Parkinson","given":"Fran"}],"issued":{"date-parts":[["2015",9,21]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[76]</w:t>
            </w:r>
            <w:r>
              <w:rPr>
                <w:rFonts w:ascii="Calibri" w:hAnsi="Calibri" w:cs="Calibri"/>
                <w:sz w:val="20"/>
                <w:szCs w:val="20"/>
              </w:rPr>
              <w:fldChar w:fldCharType="end"/>
            </w:r>
          </w:p>
        </w:tc>
        <w:tc>
          <w:tcPr>
            <w:tcW w:w="1694" w:type="dxa"/>
          </w:tcPr>
          <w:p w14:paraId="250F487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F2441">
              <w:rPr>
                <w:rFonts w:ascii="Calibri" w:hAnsi="Calibri" w:cs="Calibri"/>
                <w:sz w:val="20"/>
                <w:szCs w:val="20"/>
              </w:rPr>
              <w:t>Supervision, teaching, handoff, induction</w:t>
            </w:r>
          </w:p>
        </w:tc>
        <w:tc>
          <w:tcPr>
            <w:tcW w:w="4229" w:type="dxa"/>
          </w:tcPr>
          <w:p w14:paraId="565C597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2FE03E2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7E0D3AE"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4C859FC4" w14:textId="77777777" w:rsidR="006938E9" w:rsidRPr="00AB4BAE" w:rsidRDefault="006938E9" w:rsidP="008C7800">
            <w:pPr>
              <w:rPr>
                <w:rFonts w:ascii="Calibri" w:hAnsi="Calibri" w:cs="Calibri"/>
                <w:sz w:val="20"/>
                <w:szCs w:val="20"/>
              </w:rPr>
            </w:pPr>
            <w:r>
              <w:rPr>
                <w:rFonts w:ascii="Calibri" w:hAnsi="Calibri" w:cs="Calibri"/>
                <w:sz w:val="20"/>
                <w:szCs w:val="20"/>
              </w:rPr>
              <w:t>Burford et al. 2014 questionnaire</w:t>
            </w:r>
          </w:p>
        </w:tc>
        <w:tc>
          <w:tcPr>
            <w:tcW w:w="838" w:type="dxa"/>
          </w:tcPr>
          <w:p w14:paraId="3D4EF87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99E09E1" w14:textId="2E9995A0"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Pf13uGr","properties":{"formattedCitation":"[77]","plainCitation":"[77]","noteIndex":0},"citationItems":[{"id":3276,"uris":["http://zotero.org/users/4975241/items/JUZLTBPF"],"uri":["http://zotero.org/users/4975241/items/JUZLTBPF"],"itemData":{"id":3276,"type":"article-journal","abstract":"Background: Alongside providing a knowledge base and practical skills, undergraduate medical education must prepare graduates to immediately begin practice as qualified doctors. A significant challenge is to provide safe learning opportunities that will optimise students’ preparedness to start work. This study examined UK graduates’ preparedness for clinical practice, and their exposure to real-life and simulated immediate care scenarios during final year placements.\nMethod: A questionnaire measuring students’ perceived preparedness, and their exposure to immediate care scenarios, was distributed to all new Foundation Year 1 doctors (F1s) attending an induction session in one region of the UK.\nResults: 356 F1s responded to the questionnaire (91% response rate; 89% of cohort) and data from 344 graduates of UK medical schools were analysed. Respondents were generally prepared for practice, but many reported few ‘hands-on’ experiences of providing immediate care during final year placements (a median of 1–2 experiences). Those who had 1–2 experiences reported no greater preparedness for acute management than those reporting no experience. Several exposures are necessary for a significant increase in perceived preparedness. Real-life experience was a better predictor of preparedness than simulated practice.\nConclusions: Gaps still remain in medical students’ acute care experience, with a direct relationship to their perceived preparedness. The format and facilitation of placements may need to be addressed in order to enhance the quality of experience during final year.","container-title":"BMC Medical Education","DOI":"10.1186/1472-6920-14-223","ISSN":"1472-6920","issue":"1","journalAbbreviation":"BMC Med Educ","language":"en","page":"223","source":"DOI.org (Crossref)","title":"The relationship between medical student learning opportunities and preparedness for practice: a questionnaire study","title-short":"The relationship between medical student learning opportunities and preparedness for practice","volume":"14","author":[{"family":"Burford","given":"Bryan"},{"family":"Whittle","given":"Victoria"},{"family":"Vance","given":"Gillian HS"}],"issued":{"date-parts":[["2014",12]]}}}],"schema":"https://github.com/citation-style-language/schema/raw/master/csl-citation.json"}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[77]</w:t>
            </w:r>
            <w:r>
              <w:rPr>
                <w:rFonts w:ascii="Calibri" w:hAnsi="Calibri" w:cs="Calibri"/>
                <w:sz w:val="20"/>
                <w:szCs w:val="20"/>
              </w:rPr>
              <w:fldChar w:fldCharType="end"/>
            </w:r>
          </w:p>
        </w:tc>
        <w:tc>
          <w:tcPr>
            <w:tcW w:w="1694" w:type="dxa"/>
          </w:tcPr>
          <w:p w14:paraId="5EEDB5C2"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Preparedness, overall educational experience</w:t>
            </w:r>
          </w:p>
        </w:tc>
        <w:tc>
          <w:tcPr>
            <w:tcW w:w="4229" w:type="dxa"/>
          </w:tcPr>
          <w:p w14:paraId="6062B61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45F01EF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430D10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77258DE7" w14:textId="77777777" w:rsidR="006938E9" w:rsidRPr="00AB4BAE" w:rsidRDefault="006938E9" w:rsidP="008C7800">
            <w:pPr>
              <w:rPr>
                <w:rFonts w:ascii="Calibri" w:hAnsi="Calibri" w:cs="Calibri"/>
                <w:sz w:val="20"/>
                <w:szCs w:val="20"/>
              </w:rPr>
            </w:pPr>
            <w:r>
              <w:rPr>
                <w:rFonts w:ascii="Calibri" w:hAnsi="Calibri" w:cs="Calibri"/>
                <w:sz w:val="20"/>
                <w:szCs w:val="20"/>
              </w:rPr>
              <w:t>Chu et al. 2009 questionnaire</w:t>
            </w:r>
          </w:p>
        </w:tc>
        <w:tc>
          <w:tcPr>
            <w:tcW w:w="838" w:type="dxa"/>
          </w:tcPr>
          <w:p w14:paraId="76C1D2F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4C8790D" w14:textId="0268FE2A"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2yvV5UCK","properties":{"formattedCitation":"[78]","plainCitation":"[78]","noteIndex":0},"citationItems":[{"id":3202,"uris":["http://zotero.org/users/4975241/items/TQ4V93J2"],"uri":["http://zotero.org/users/4975241/items/TQ4V93J2"],"itemData":{"id":3202,"type":"article-journal","abstract":"Purpose To develop, teach, and supervise a structured process for handing off patient care and to evaluate its effect on interns’ knowledge, skills, and attitudes toward handoffs.","container-title":"Academic Medicine","DOI":"10.1097/ACM.0b013e3181970829","ISSN":"1040-2446","issue":"3","journalAbbreviation":"Academic Medicine","language":"en","page":"347-352","source":"DOI.org (Crossref)","title":"A Structured Handoff Program for Interns:","title-short":"A Structured Handoff Program for Interns","volume":"84","author":[{"family":"Chu","given":"Eugene S."},{"family":"Reid","given":"Mark"},{"family":"Schulz","given":"Tara"},{"family":"Burden","given":"Marisha"},{"family":"Mancini","given":"Diana"},{"family":"Ambardekar","given":"Amrut V."},{"family":"Keniston","given":"Angela"},{"family":"Albert","given":"Richard K."}],"issued":{"date-parts":[["2009",3]]}}}],"schema":"https://github.com/citation-style-language/schema/raw/master/csl-citation.json"}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[78]</w:t>
            </w:r>
            <w:r>
              <w:rPr>
                <w:rFonts w:ascii="Calibri" w:hAnsi="Calibri" w:cs="Calibri"/>
                <w:sz w:val="20"/>
                <w:szCs w:val="20"/>
              </w:rPr>
              <w:fldChar w:fldCharType="end"/>
            </w:r>
          </w:p>
        </w:tc>
        <w:tc>
          <w:tcPr>
            <w:tcW w:w="1694" w:type="dxa"/>
          </w:tcPr>
          <w:p w14:paraId="19D8974E"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Handoff, supervision</w:t>
            </w:r>
          </w:p>
        </w:tc>
        <w:tc>
          <w:tcPr>
            <w:tcW w:w="4229" w:type="dxa"/>
          </w:tcPr>
          <w:p w14:paraId="25314BE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6F3A8C9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6A64770"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4FD0C925" w14:textId="77777777" w:rsidR="006938E9" w:rsidRPr="00AB4BAE" w:rsidRDefault="006938E9" w:rsidP="008C7800">
            <w:pPr>
              <w:rPr>
                <w:rFonts w:ascii="Calibri" w:hAnsi="Calibri" w:cs="Calibri"/>
                <w:sz w:val="20"/>
                <w:szCs w:val="20"/>
              </w:rPr>
            </w:pPr>
            <w:r w:rsidRPr="00CB774E">
              <w:rPr>
                <w:rFonts w:ascii="Calibri" w:hAnsi="Calibri" w:cs="Calibri"/>
                <w:sz w:val="20"/>
                <w:szCs w:val="20"/>
              </w:rPr>
              <w:t>Copenhagen Psychosocial Questionnaire</w:t>
            </w:r>
          </w:p>
        </w:tc>
        <w:tc>
          <w:tcPr>
            <w:tcW w:w="838" w:type="dxa"/>
          </w:tcPr>
          <w:p w14:paraId="17C1801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755B9831" w14:textId="03611BEF"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QdxCMCp5","properties":{"formattedCitation":"[3]","plainCitation":"[3]","noteIndex":0},"citationItems":[{"id":3211,"uris":["http://zotero.org/users/4975241/items/LP92RK8J"],"uri":["http://zotero.org/users/4975241/items/LP92RK8J"],"itemData":{"id":3211,"type":"article-journal","abstract":"Background: Burnout can result in a serious negative impact on a doctor's life, the quality of patient care, and the healthcare organization. This study aims to determine the prevalence of burnout and factors aﬀecting burnout among the house oﬃcers in Myanmar. Materials and methods: An exploratory cross-sectional quantitative survey study was conducted using a selfadministered, web-based survey. House oﬃcers working in any of the government hospitals in Myanmar were invited to participate in the study. The survey link was distributed online via Facebook. To measure burnout, we utilised a non-proprietary single-item measure, validated to serve as a reliable substitute for the Maslach Burnout Inventory Emotional Exhaustion (MBI:EE). To measure global life satisfaction, the validated Satisfaction with Life Scale (SWLS) was used. The questions for the scales regarding the psychosocial environment were extracted from the long version of the validated Copenhagen Psychosocial Questionnaire (COPSOQ II). The scales selected were “possibilities for the development”, “meaning of work”, “commitment to workplace”, “recognition”, “social support from colleagues” and “social support from supervisors”. Multiple logistic regression method was applied to determine the factors associated with burnout.\nResults: Regarding the prevalence of burnout, out of 159 participants, 42.8% (n = 68) of the participants had no symptoms of burnout. 57.2% (n = 91) had one or more symptoms of burnout. Multivariate analysis showed that the only signiﬁcant factor associated with burnout was “recognition” (OR 0.96, 95% CI: 0.94–0.97, P &lt; 0.001).\nConclusion: From this study, we have determined the relatively high burnout prevalence and that recognition is the only preventive factor; increase in recognition will decrease the odds of burnout. Hence, urgent interventions are recommended to prevent undesirable eﬀects on both health professionals and patients. Recognition for work done should always be in the heart of the health authorities and medical community in Myanmar.","container-title":"Annals of Medicine and Surgery","DOI":"10.1016/j.amsu.2018.07.008","ISSN":"20490801","journalAbbreviation":"Annals of Medicine and Surgery","language":"en","page":"7-12","source":"DOI.org (Crossref)","title":"Burnout among house officers in Myanmar: A cross-sectional study","title-short":"Burnout among house officers in Myanmar","volume":"33","author":[{"family":"Lin","given":"Kyaw San"},{"family":"Zaw","given":"Thant"},{"family":"Oo","given":"Win Min"},{"family":"Soe","given":"Pa Pa"}],"issued":{"date-parts":[["2018",9]]}}}],"schema":"https://github.com/citation-style-language/schema/raw/master/csl-citation.json"}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w:t>
            </w:r>
            <w:r>
              <w:rPr>
                <w:rFonts w:ascii="Calibri" w:hAnsi="Calibri" w:cs="Calibri"/>
                <w:sz w:val="20"/>
                <w:szCs w:val="20"/>
              </w:rPr>
              <w:fldChar w:fldCharType="end"/>
            </w:r>
          </w:p>
        </w:tc>
        <w:tc>
          <w:tcPr>
            <w:tcW w:w="1694" w:type="dxa"/>
          </w:tcPr>
          <w:p w14:paraId="55EA859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Support</w:t>
            </w:r>
          </w:p>
        </w:tc>
        <w:tc>
          <w:tcPr>
            <w:tcW w:w="4229" w:type="dxa"/>
          </w:tcPr>
          <w:p w14:paraId="2113BA0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0CD3DBD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241F04B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240F563A" w14:textId="77777777" w:rsidR="006938E9" w:rsidRPr="00AB4BAE" w:rsidRDefault="006938E9" w:rsidP="008C7800">
            <w:pPr>
              <w:rPr>
                <w:rFonts w:ascii="Calibri" w:hAnsi="Calibri" w:cs="Calibri"/>
                <w:sz w:val="20"/>
                <w:szCs w:val="20"/>
              </w:rPr>
            </w:pPr>
            <w:r>
              <w:rPr>
                <w:rFonts w:ascii="Calibri" w:hAnsi="Calibri" w:cs="Calibri"/>
                <w:sz w:val="20"/>
                <w:szCs w:val="20"/>
              </w:rPr>
              <w:t>Doran et al. 2007 questionnaire</w:t>
            </w:r>
          </w:p>
        </w:tc>
        <w:tc>
          <w:tcPr>
            <w:tcW w:w="838" w:type="dxa"/>
          </w:tcPr>
          <w:p w14:paraId="7B6BADE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6CFC92DF" w14:textId="0FF60AAE"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HLUByLPX","properties":{"formattedCitation":"[79]","plainCitation":"[79]","noteIndex":0},"citationItems":[{"id":3280,"uris":["http://zotero.org/users/4975241/items/48YBGFQJ"],"uri":["http://zotero.org/users/4975241/items/48YBGFQJ"],"itemData":{"id":3280,"type":"article-journal","container-title":"Medical Education","DOI":"10.1111/j.1365-2929.2007.02727.x","ISSN":"03080110, 13652923","issue":"5","language":"en","page":"487-494","source":"DOI.org (Crossref)","title":"Time to think? Questionnaire survey of pre-registration house officers' experiences of critical appraisal in the Mersey Deanery","title-short":"Time to think?","volume":"41","author":[{"family":"Doran","given":"Tim"},{"family":"Maudsley","given":"Gillian"},{"family":"Zakhour","given":"Hani"}],"issued":{"date-parts":[["2007",5]]}}}],"schema":"https://github.com/citation-style-language/schema/raw/master/csl-citation.json"}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[79]</w:t>
            </w:r>
            <w:r>
              <w:rPr>
                <w:rFonts w:ascii="Calibri" w:hAnsi="Calibri" w:cs="Calibri"/>
                <w:sz w:val="20"/>
                <w:szCs w:val="20"/>
              </w:rPr>
              <w:fldChar w:fldCharType="end"/>
            </w:r>
          </w:p>
        </w:tc>
        <w:tc>
          <w:tcPr>
            <w:tcW w:w="1694" w:type="dxa"/>
          </w:tcPr>
          <w:p w14:paraId="309B685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72493">
              <w:rPr>
                <w:rFonts w:ascii="Calibri" w:hAnsi="Calibri" w:cs="Calibri"/>
                <w:sz w:val="20"/>
                <w:szCs w:val="20"/>
              </w:rPr>
              <w:t>Preparedness, supervision</w:t>
            </w:r>
          </w:p>
        </w:tc>
        <w:tc>
          <w:tcPr>
            <w:tcW w:w="4229" w:type="dxa"/>
          </w:tcPr>
          <w:p w14:paraId="54FE26F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529EAB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3AD92D2"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5503BE56" w14:textId="77777777" w:rsidR="006938E9" w:rsidRPr="00AB4BAE" w:rsidRDefault="006938E9" w:rsidP="008C7800">
            <w:pPr>
              <w:rPr>
                <w:rFonts w:ascii="Calibri" w:hAnsi="Calibri" w:cs="Calibri"/>
                <w:sz w:val="20"/>
                <w:szCs w:val="20"/>
              </w:rPr>
            </w:pPr>
            <w:r>
              <w:rPr>
                <w:rFonts w:ascii="Calibri" w:hAnsi="Calibri" w:cs="Calibri"/>
                <w:sz w:val="20"/>
                <w:szCs w:val="20"/>
              </w:rPr>
              <w:t>Finucane &amp; O’Dowd 2005 questionnaire</w:t>
            </w:r>
          </w:p>
        </w:tc>
        <w:tc>
          <w:tcPr>
            <w:tcW w:w="838" w:type="dxa"/>
          </w:tcPr>
          <w:p w14:paraId="0BA9C063"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A4652F6" w14:textId="128C1004"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ptOClAy2","properties":{"formattedCitation":"[80]","plainCitation":"[80]","noteIndex":0},"citationItems":[{"id":3283,"uris":["http://zotero.org/users/4975241/items/JLLP24EG"],"uri":["http://zotero.org/users/4975241/items/JLLP24EG"],"itemData":{"id":3283,"type":"article-journal","abstract":"The Medical Council of Ireland recently introduced some initiatives to enhance the education and training of interns. These include the development of a generic job description, a logbook to monitor training outcomes and a national network of supervisors to plan and oversee intern training. To get feedback on the impact of these reforms, the Medical Council surveyed all interns with Irish addresses in March 2003. Three hundred (65%) of 461 interns responded. The majority provided positive feedback on many aspects of their education and training, their work environment and professional relationships. However, a majority also reported a lack of protected time for education, a lack of formal educational programmes, insufficient feedback on performance and an unnecessarily stressful work environment. Overall, 61% reported being bullied and 4% had experienced sexual harassment. While feedback on the Irish internship experience is generally positive, further work is necessary to address the problems identified.","container-title":"Medical Teacher","DOI":"10.1080/01421590400029665","ISSN":"0142-159X, 1466-187X","issue":"2","journalAbbreviation":"Medical Teacher","language":"en","page":"107-113","source":"DOI.org (Crossref)","title":"Working and training as an intern: a national survey of Irish interns","title-short":"Working and training as an intern","volume":"27","author":[{"family":"Finucane","given":"Paul"},{"family":"O’Dowd","given":"Tom"}],"issued":{"date-parts":[["2005",3]]}}}],"schema":"https://github.com/citation-style-language/schema/raw/master/csl-citation.json"} </w:instrText>
            </w:r>
            <w:r>
              <w:rPr>
                <w:rFonts w:ascii="Calibri" w:hAnsi="Calibri" w:cs="Calibri"/>
                <w:sz w:val="20"/>
                <w:szCs w:val="20"/>
              </w:rPr>
              <w:fldChar w:fldCharType="separate"/>
            </w:r>
            <w:r w:rsidR="002038AC">
              <w:rPr>
                <w:rFonts w:ascii="Calibri" w:hAnsi="Calibri" w:cs="Calibri"/>
                <w:sz w:val="20"/>
              </w:rPr>
              <w:t>[80]</w:t>
            </w:r>
            <w:r>
              <w:rPr>
                <w:rFonts w:ascii="Calibri" w:hAnsi="Calibri" w:cs="Calibri"/>
                <w:sz w:val="20"/>
                <w:szCs w:val="20"/>
              </w:rPr>
              <w:fldChar w:fldCharType="end"/>
            </w:r>
          </w:p>
        </w:tc>
        <w:tc>
          <w:tcPr>
            <w:tcW w:w="1694" w:type="dxa"/>
          </w:tcPr>
          <w:p w14:paraId="46E9554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B521BC">
              <w:rPr>
                <w:rFonts w:ascii="Calibri" w:hAnsi="Calibri" w:cs="Calibri"/>
                <w:sz w:val="20"/>
                <w:szCs w:val="20"/>
              </w:rPr>
              <w:t>Teaching, feedback, preparedness</w:t>
            </w:r>
          </w:p>
        </w:tc>
        <w:tc>
          <w:tcPr>
            <w:tcW w:w="4229" w:type="dxa"/>
          </w:tcPr>
          <w:p w14:paraId="007A2BB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69EBBC8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669725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04E62B34" w14:textId="77777777" w:rsidR="006938E9" w:rsidRPr="00AB4BAE" w:rsidRDefault="006938E9" w:rsidP="008C7800">
            <w:pPr>
              <w:rPr>
                <w:rFonts w:ascii="Calibri" w:hAnsi="Calibri" w:cs="Calibri"/>
                <w:sz w:val="20"/>
                <w:szCs w:val="20"/>
              </w:rPr>
            </w:pPr>
            <w:r>
              <w:rPr>
                <w:rFonts w:ascii="Calibri" w:hAnsi="Calibri" w:cs="Calibri"/>
                <w:sz w:val="20"/>
                <w:szCs w:val="20"/>
              </w:rPr>
              <w:lastRenderedPageBreak/>
              <w:t>Han &amp; Maxwell 2006 questionnaire</w:t>
            </w:r>
          </w:p>
        </w:tc>
        <w:tc>
          <w:tcPr>
            <w:tcW w:w="838" w:type="dxa"/>
          </w:tcPr>
          <w:p w14:paraId="0D14241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8BA252E" w14:textId="239AC61B"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n04PHTvD","properties":{"formattedCitation":"[81]","plainCitation":"[81]","noteIndex":0},"citationItems":[{"id":3207,"uris":["http://zotero.org/users/4975241/items/4B82RU5U"],"uri":["http://zotero.org/users/4975241/items/4B82RU5U"],"itemData":{"id":3207,"type":"article-journal","abstract":"Background Drugs are the major therapeutic intervention provided by most doctors throughout their careers. The General Medical Council expects all medical students to be competent to prescribe at the point of graduation. Aims The aim of this study was to assess the views of Foundation Year 1 (FY1) doctors who had recently graduated from the University of Edinburgh about their training and competence in relation to the use of drugs based on their early clinical experience.\nMethod A questionnaire was constructed based on Tomorrow's Doctors 2002 and distributed to FY1 doctors who graduated in August 2005.\nResults Responses were received from 100 (39.8%) of the doctors who graduated in 2005. Only 32% respondents considered themselves 'competent to prescribe' at the point of graduation. Less than 50% of respondents felt comfortable in providing information about possible treatments to allow patients to make informed decisions about their care. The majority of respondents complained about a lack of formal teaching and practice at basic clinical skills relating to drug therapy.\nConclusion Many graduates feel under-prepared to take on prescribing responsibilities after graduation. These findings emphasise the need to ensure that all medical curricula are able to provide sufficient learning opportunities and robust assessment in this important area of clinical practice.","container-title":"Scottish Medical Journal","DOI":"10.1258/RSMSMJ.51.4.27","ISSN":"0036-9330, 2045-6441","issue":"4","journalAbbreviation":"Scott Med J","language":"en","page":"27-32","source":"DOI.org (Crossref)","title":"Are Medical Students Adequately Trained to Prescribe at the Point of Graduation? Views of First Year Foundation Doctors","title-short":"Are Medical Students Adequately Trained to Prescribe at the Point of Graduation?","volume":"51","author":[{"family":"Han","given":"Wh"},{"family":"Maxwell","given":"Srj"}],"issued":{"date-parts":[["2006",11]]}}}],"schema":"https://github.com/citation-style-language/schema/raw/master/csl-citation.json"}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[81]</w:t>
            </w:r>
            <w:r>
              <w:rPr>
                <w:rFonts w:ascii="Calibri" w:hAnsi="Calibri" w:cs="Calibri"/>
                <w:sz w:val="20"/>
                <w:szCs w:val="20"/>
              </w:rPr>
              <w:fldChar w:fldCharType="end"/>
            </w:r>
          </w:p>
        </w:tc>
        <w:tc>
          <w:tcPr>
            <w:tcW w:w="1694" w:type="dxa"/>
          </w:tcPr>
          <w:p w14:paraId="78313BD6"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Preparedness</w:t>
            </w:r>
          </w:p>
        </w:tc>
        <w:tc>
          <w:tcPr>
            <w:tcW w:w="4229" w:type="dxa"/>
          </w:tcPr>
          <w:p w14:paraId="13D170B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64DCD1C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D497346"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1654A81C" w14:textId="77777777" w:rsidR="006938E9" w:rsidRPr="00AB4BAE" w:rsidRDefault="006938E9" w:rsidP="008C7800">
            <w:pPr>
              <w:rPr>
                <w:rFonts w:ascii="Calibri" w:hAnsi="Calibri" w:cs="Calibri"/>
                <w:sz w:val="20"/>
                <w:szCs w:val="20"/>
              </w:rPr>
            </w:pPr>
            <w:r>
              <w:rPr>
                <w:rFonts w:ascii="Calibri" w:hAnsi="Calibri" w:cs="Calibri"/>
                <w:sz w:val="20"/>
                <w:szCs w:val="20"/>
              </w:rPr>
              <w:t>Hoppe et al. 2009 questionnaire</w:t>
            </w:r>
          </w:p>
        </w:tc>
        <w:tc>
          <w:tcPr>
            <w:tcW w:w="838" w:type="dxa"/>
          </w:tcPr>
          <w:p w14:paraId="48C2039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56110515" w14:textId="1952CB23"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fj7gpE2","properties":{"formattedCitation":"[82]","plainCitation":"[82]","noteIndex":0},"citationItems":[{"id":3100,"uris":["http://zotero.org/users/4975241/items/3N9R8MRB"],"uri":["http://zotero.org/users/4975241/items/3N9R8MRB"],"itemData":{"id":3100,"type":"article-journal","abstract":"Background:An alumni study of graduates from the medical school in Uppsala, was performed to give input into an ongoing reform process. Aims: This study aimed to investigate how medical interns view their undergraduate medical education and the extent to which they felt that the curriculum prepared them for their current positions.\nMethods: A web-based questionnaire was sent out via mail in 2005 to all past graduates who had qualified in Uppsala in 2003.\nResults: Replies were obtained from 69 of 102 students (68%). The most apparent suggested change of the education was increased integration of preclinical and clinical teaching. Correlations were found between student satisfaction with the medical school and perceived teacher attitude, encouragement to reflect, and the graduates’ perception of having sufficient practical abilities. Significant gender differences were found regarding perceived clinical ability and concerning feedback and encouragement from the teachers.\nConclusions: Our results suggest more direct feedback from the teachers and more integration between basic sciences and clinical education. Female and male students may have different needs. A key question is therefore to encourage teachers to learn about gender since female and male students should equally experience respectful encounters with teachers and doctors acting as role models.","container-title":"Medical Teacher","DOI":"10.1080/01421590802216266","ISSN":"0142-159X, 1466-187X","issue":"5","journalAbbreviation":"Medical Teacher","language":"en","page":"426-432","source":"DOI.org (Crossref)","title":"Medical interns’ view of their undergraduate medical education in Uppsala: An alumnus study with clear attitude differences between women and men","title-short":"Medical interns’ view of their undergraduate medical education in Uppsala","volume":"31","author":[{"family":"Hoppe","given":"Astrid"},{"family":"Persson","given":"Elisabeth"},{"family":"Birgegård","given":"Gunnar"}],"issued":{"date-parts":[["2009",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[82]</w:t>
            </w:r>
            <w:r>
              <w:rPr>
                <w:rFonts w:ascii="Calibri" w:hAnsi="Calibri" w:cs="Calibri"/>
                <w:sz w:val="20"/>
                <w:szCs w:val="20"/>
              </w:rPr>
              <w:fldChar w:fldCharType="end"/>
            </w:r>
          </w:p>
        </w:tc>
        <w:tc>
          <w:tcPr>
            <w:tcW w:w="1694" w:type="dxa"/>
          </w:tcPr>
          <w:p w14:paraId="65FCE42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1F6A13">
              <w:rPr>
                <w:rFonts w:ascii="Calibri" w:hAnsi="Calibri" w:cs="Calibri"/>
                <w:sz w:val="20"/>
                <w:szCs w:val="20"/>
              </w:rPr>
              <w:t>Preparedness, feedback, supervision, communication, training</w:t>
            </w:r>
          </w:p>
        </w:tc>
        <w:tc>
          <w:tcPr>
            <w:tcW w:w="4229" w:type="dxa"/>
          </w:tcPr>
          <w:p w14:paraId="31CA5B4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446" w:type="dxa"/>
            <w:gridSpan w:val="2"/>
          </w:tcPr>
          <w:p w14:paraId="3B1B9C5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786AB62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75D80AB6" w14:textId="77777777" w:rsidR="006938E9" w:rsidRPr="00AB4BAE" w:rsidRDefault="006938E9" w:rsidP="008C7800">
            <w:pPr>
              <w:rPr>
                <w:rFonts w:ascii="Calibri" w:hAnsi="Calibri" w:cs="Calibri"/>
                <w:sz w:val="20"/>
                <w:szCs w:val="20"/>
              </w:rPr>
            </w:pPr>
            <w:r>
              <w:rPr>
                <w:rFonts w:ascii="Calibri" w:hAnsi="Calibri" w:cs="Calibri"/>
                <w:sz w:val="20"/>
                <w:szCs w:val="20"/>
              </w:rPr>
              <w:t>Kashner et al. 2010 questionnaire</w:t>
            </w:r>
          </w:p>
        </w:tc>
        <w:tc>
          <w:tcPr>
            <w:tcW w:w="838" w:type="dxa"/>
          </w:tcPr>
          <w:p w14:paraId="7C1FD07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6B8E4CA9" w14:textId="710F9ADF"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t7bydw5W","properties":{"formattedCitation":"[43]","plainCitation":"[43]","noteIndex":0},"citationItems":[{"id":3314,"uris":["http://zotero.org/users/4975241/items/X4RP739Z"],"uri":["http://zotero.org/users/4975241/items/X4RP739Z"],"itemData":{"id":3314,"type":"article-journal","abstract":"BACKGROUND: As the Accreditation Council on Graduate Medical Education (ACGME) deliberates over further limiting duty hours of graduate medical education (GME) trainees, few large-scale studies have shown residents to be satisfied with the effect the 2003 standards have had on clinical care, education outcomes, or working environments. This study measures the effect of the 2003 duty hours limits on resident-reported satisfaction with GME training during their rotations through the Department of Veterans Affairs (VA) medical centers from 2001 through 2007.\nMETHOD: Self-reported satisfaction with clinical care and education environments were assessed by comparing responses to VA's annual Learners' Perceptions Survey administered before 2003 with responses administered after 2003. To measure duty hours effects on satisfaction, before-after differences were adjusted for covariate biases modeled after an exhaustive covariate search with 10-fold cross-validation. Because nonteaching controls are not available in satisfaction studies, we used a robust differencing variable technique to control before-after differences for trend biases in the simultaneous presence of missing data and possible model misspecification.\nRESULTS: There were 19,605 responders. Adjusting for covariate and trend biases, after the 2003 ACGME standards, 25% more residents in medicine specialties reported satisfaction with VA clinical environment and 11% more with VA preceptors and faculty. For surgery, 33% more residents reported satisfaction with VA clinical environment and 12% more with VA preceptors and faculty. Satisfaction with working environment was mixed.\nCONCLUSIONS: The 2003 ACGME duty hours standards were associated with improved satisfaction for resident clinical training and learning environments.","container-title":"Academic Medicine: Journal of the Association of American Medical Colleges","DOI":"10.1097/ACM.0b013e3181e1d7e3","ISSN":"1938-808X","issue":"7","journalAbbreviation":"Acad Med","language":"eng","note":"PMID: 20592508","page":"1130-1139","source":"PubMed","title":"Studying the effects of ACGME duty hours limits on resident satisfaction: results from VA learners' perceptions survey","title-short":"Studying the effects of ACGME duty hours limits on resident satisfaction","volume":"85","author":[{"family":"Kashner","given":"T. Michael"},{"family":"Henley","given":"Steven S."},{"family":"Golden","given":"Richard M."},{"family":"Byrne","given":"John M."},{"family":"Keitz","given":"Sheri A."},{"family":"Cannon","given":"Grant W."},{"family":"Chang","given":"Barbara K."},{"family":"Holland","given":"Gloria J."},{"family":"Aron","given":"David C."},{"family":"Muchmore","given":"Elaine A."},{"family":"Wicker","given":"Annie"},{"family":"White","given":"Halbert"}],"issued":{"date-parts":[["2010",7]]}}}],"schema":"https://github.com/citation-style-language/schema/raw/master/csl-citation.json"}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[43]</w:t>
            </w:r>
            <w:r>
              <w:rPr>
                <w:rFonts w:ascii="Calibri" w:hAnsi="Calibri" w:cs="Calibri"/>
                <w:sz w:val="20"/>
                <w:szCs w:val="20"/>
              </w:rPr>
              <w:fldChar w:fldCharType="end"/>
            </w:r>
          </w:p>
        </w:tc>
        <w:tc>
          <w:tcPr>
            <w:tcW w:w="1694" w:type="dxa"/>
          </w:tcPr>
          <w:p w14:paraId="4D1FD5F9"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5A6FC8">
              <w:rPr>
                <w:rFonts w:ascii="Calibri" w:hAnsi="Calibri" w:cs="Calibri"/>
                <w:sz w:val="20"/>
                <w:szCs w:val="20"/>
              </w:rPr>
              <w:t>Supervision, learning environment, support, teamwork, teaching</w:t>
            </w:r>
          </w:p>
        </w:tc>
        <w:tc>
          <w:tcPr>
            <w:tcW w:w="4229" w:type="dxa"/>
          </w:tcPr>
          <w:p w14:paraId="59607E8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65E40A4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71235DA" w14:textId="77777777" w:rsidTr="008C7800">
        <w:trPr>
          <w:gridAfter w:val="1"/>
          <w:wAfter w:w="186" w:type="dxa"/>
        </w:trPr>
        <w:tc>
          <w:tcPr>
            <w:cnfStyle w:val="001000000000" w:firstRow="0" w:lastRow="0" w:firstColumn="1" w:lastColumn="0" w:oddVBand="0" w:evenVBand="0" w:oddHBand="0" w:evenHBand="0" w:firstRowFirstColumn="0" w:firstRowLastColumn="0" w:lastRowFirstColumn="0" w:lastRowLastColumn="0"/>
            <w:tcW w:w="2630" w:type="dxa"/>
          </w:tcPr>
          <w:p w14:paraId="30DA119E"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Kazmi et al. 2008 questionnaire</w:t>
            </w:r>
          </w:p>
        </w:tc>
        <w:tc>
          <w:tcPr>
            <w:tcW w:w="838" w:type="dxa"/>
          </w:tcPr>
          <w:p w14:paraId="38E2972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551" w:type="dxa"/>
          </w:tcPr>
          <w:p w14:paraId="67CE0C02" w14:textId="65CEC436"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Dgrbrvr","properties":{"formattedCitation":"[44]","plainCitation":"[44]","noteIndex":0},"citationItems":[{"id":3304,"uris":["http://zotero.org/users/4975241/items/C2ET4CLN"],"uri":["http://zotero.org/users/4975241/items/C2ET4CLN"],"itemData":{"id":3304,"type":"article-journal","abstract":"BACKGROUND: Doctors especially house officers are under a great deal of stress related to a variety of occupational stressors. Occupational stressors contribute to organizational inefficiency, high staff turnover, absenteeism due to sickness, decreased quality, and quantity of practice, increased costs of health care, and decreased job satisfaction. One of the organizational outcomes that affected by occupational stress is job performance. The purpose of the present study was to investigate the effect of job stress on job performance.\nMETHODS: The universe of the study is District Abbottabad and the complete population of house officers was targeted which were present at that time were 55. The data obtained through questionnaire was analyzed using the statistical methods including descriptive statistics, Spearman's correlation and multiple regression.\nRESULTS: The analysis showed strong support for the hypothesis that there is an inverse relationship between job stress and job performance indicating that there is high job stress in the house officers, resulting in low job performance.\nCONCLUSION: Correct stress management should start from improved health and good intrapersonal relationships. The prevention and management of workplace stress requires organizational level interventions, because it is the organization that creates the stress. Success in managing and preventing stress will depend on the culture in the organization. A culture of openness and understanding, rather than of criticism, is essential. Those house officers who had high level of job stress had low job performance. All the factors affected male house officers more than the female house officers.","container-title":"Journal of Ayub Medical College, Abbottabad: JAMC","ISSN":"1025-9589","issue":"3","journalAbbreviation":"J Ayub Med Coll Abbottabad","language":"eng","note":"PMID: 19610539","page":"135-139","source":"PubMed","title":"Occupational stress and its effect on job performance. A case study of medical house officers of district Abbottabad","volume":"20","author":[{"family":"Kazmi","given":"Rubina"},{"family":"Amjad","given":"Shehla"},{"family":"Khan","given":"Delawar"}],"issued":{"date-parts":[["2008",9]]}}}],"schema":"https://github.com/citation-style-language/schema/raw/master/csl-citation.json"}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[44]</w:t>
            </w:r>
            <w:r>
              <w:rPr>
                <w:rFonts w:ascii="Calibri" w:hAnsi="Calibri" w:cs="Calibri"/>
                <w:sz w:val="20"/>
                <w:szCs w:val="20"/>
              </w:rPr>
              <w:fldChar w:fldCharType="end"/>
            </w:r>
          </w:p>
        </w:tc>
        <w:tc>
          <w:tcPr>
            <w:tcW w:w="1694" w:type="dxa"/>
          </w:tcPr>
          <w:p w14:paraId="66AF9C3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51E03">
              <w:rPr>
                <w:rFonts w:ascii="Calibri" w:hAnsi="Calibri" w:cs="Calibri"/>
                <w:sz w:val="20"/>
                <w:szCs w:val="20"/>
              </w:rPr>
              <w:t>Communication, supervision</w:t>
            </w:r>
          </w:p>
        </w:tc>
        <w:tc>
          <w:tcPr>
            <w:tcW w:w="4229" w:type="dxa"/>
          </w:tcPr>
          <w:p w14:paraId="7A07DA1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260" w:type="dxa"/>
          </w:tcPr>
          <w:p w14:paraId="1A47945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A50105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20A8D625" w14:textId="77777777" w:rsidR="006938E9" w:rsidRPr="00AB4BAE" w:rsidRDefault="006938E9" w:rsidP="008C7800">
            <w:pPr>
              <w:rPr>
                <w:rFonts w:ascii="Calibri" w:hAnsi="Calibri" w:cs="Calibri"/>
                <w:sz w:val="20"/>
                <w:szCs w:val="20"/>
              </w:rPr>
            </w:pPr>
            <w:r>
              <w:rPr>
                <w:rFonts w:ascii="Calibri" w:hAnsi="Calibri" w:cs="Calibri"/>
                <w:sz w:val="20"/>
                <w:szCs w:val="20"/>
              </w:rPr>
              <w:t>Kelly et al. 2011 questionnaire</w:t>
            </w:r>
          </w:p>
        </w:tc>
        <w:tc>
          <w:tcPr>
            <w:tcW w:w="838" w:type="dxa"/>
          </w:tcPr>
          <w:p w14:paraId="082C1D2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F669D6F" w14:textId="01DBFF7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4iJR5DIx","properties":{"formattedCitation":"[83]","plainCitation":"[83]","noteIndex":0},"citationItems":[{"id":3251,"uris":["http://zotero.org/users/4975241/items/KSMS9AFJ"],"uri":["http://zotero.org/users/4975241/items/KSMS9AFJ"],"itemData":{"id":3251,"type":"article-journal","abstract":"Objective. To gain better understanding of the work-preparedness of new interns and identify areas where further training and education should be provided. Design. Surveys of new interns assessing self-reported conﬁdence and preparedness for tasks commonly undertaken without direct supervision. The ﬁrst survey was undertaken before the cohort had started work, the second once they had completed their second intern rotation. Setting. A large metropolitan Victorian health service. Participants. All interns starting in 2009 at Southern Health. Of the total 66 interns, 52 (84%) completed the ﬁrst survey and 37 (56%) completed the second. Main outcome measure(s). Self-reported conﬁdence and preparedness for common intern tasks.\nResults. The surveys identiﬁed tasks that interns undertake frequently, their preparedness for these and their conﬁdence in completing them. Although most felt reasonably well prepared by their university training for many tasks they commonly undertake as interns, this was not the case for all tasks. In particular, they did not feel well prepared for the following: preoperative patient review, handover, ﬂuid and medication management, patient admissions, assessment of unstable patients, communication with patients and families, and pain management.\nConclusions. There are particular domains of work-readiness for interns that could be improved. For best results, the training of interns in these common tasks should be undertaken jointly by hospitals and universities to ensure smooth transition from medical student to intern.","container-title":"Australian Health Review","DOI":"10.1071/AH10885","ISSN":"0156-5788","issue":"2","journalAbbreviation":"Aust. Health Review","language":"en","page":"146","source":"DOI.org (Crossref)","title":"Preparedness for internship: a survey of new interns in a large Victorian Health Service","title-short":"Preparedness for internship","volume":"35","author":[{"family":"Kelly","given":"Cate"},{"family":"Noonan","given":"Craig L. F."},{"family":"Monagle","given":"John P."}],"issued":{"date-parts":[["2011"]]}}}],"schema":"https://github.com/citation-style-language/schema/raw/master/csl-citation.json"}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[83]</w:t>
            </w:r>
            <w:r>
              <w:rPr>
                <w:rFonts w:ascii="Calibri" w:hAnsi="Calibri" w:cs="Calibri"/>
                <w:sz w:val="20"/>
                <w:szCs w:val="20"/>
              </w:rPr>
              <w:fldChar w:fldCharType="end"/>
            </w:r>
          </w:p>
        </w:tc>
        <w:tc>
          <w:tcPr>
            <w:tcW w:w="1694" w:type="dxa"/>
          </w:tcPr>
          <w:p w14:paraId="3EB27D5F"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Preparedness</w:t>
            </w:r>
          </w:p>
        </w:tc>
        <w:tc>
          <w:tcPr>
            <w:tcW w:w="4229" w:type="dxa"/>
          </w:tcPr>
          <w:p w14:paraId="60807B6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C0A183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2569E93"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1C8F6D9D" w14:textId="77777777" w:rsidR="006938E9" w:rsidRPr="00AB4BAE" w:rsidRDefault="006938E9" w:rsidP="008C7800">
            <w:pPr>
              <w:rPr>
                <w:rFonts w:ascii="Calibri" w:hAnsi="Calibri" w:cs="Calibri"/>
                <w:sz w:val="20"/>
                <w:szCs w:val="20"/>
              </w:rPr>
            </w:pPr>
            <w:r>
              <w:rPr>
                <w:rFonts w:ascii="Calibri" w:hAnsi="Calibri" w:cs="Calibri"/>
                <w:sz w:val="20"/>
                <w:szCs w:val="20"/>
              </w:rPr>
              <w:t>Linklater 2010 questionnaire</w:t>
            </w:r>
          </w:p>
        </w:tc>
        <w:tc>
          <w:tcPr>
            <w:tcW w:w="838" w:type="dxa"/>
          </w:tcPr>
          <w:p w14:paraId="456CE69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7DD81948" w14:textId="1A6D22A8"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YWxhN0GG","properties":{"formattedCitation":"[84]","plainCitation":"[84]","noteIndex":0},"citationItems":[{"id":2989,"uris":["http://zotero.org/users/4975241/items/S85PJI5B"],"uri":["http://zotero.org/users/4975241/items/S85PJI5B"],"itemData":{"id":2989,"type":"article-journal","abstract":"The aim of this study was to identify the educational needs of year one North of Scotland foundation doctors caring for dying patients. A postal questionnaire approach was used. The results from the questionnaire (79/132 respondents) confirmed that year one foundation doctors are frequently exposed to patient death, with 61% finding their most memorable patient death to be emotionally distressing. A quarter (26%) of respondents had recent experience of significant personal bereavement. Communicating with patients and relatives at the end of life, concerns about overtreatment and lack of senior support were highlighted as particularly difficult issues. Educational needs of the foundation doctors were identified, emphasising the importance of emotional, analytical and personal competencies.","container-title":"The Journal of the Royal College of Physicians of Edinburgh","DOI":"10.4997/JRCPE.2010.104","ISSN":"14782715","issue":"1","journalAbbreviation":"JRCPE","language":"en","page":"13-18","source":"DOI.org (Crossref)","title":"Educational needs of foundation doctors caring for dying patients","volume":"40","author":[{"family":"Linklater","given":"Gt"}],"issued":{"date-parts":[["2010",3,15]]}}}],"schema":"https://github.com/citation-style-language/schema/raw/master/csl-citation.json"}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[84]</w:t>
            </w:r>
            <w:r>
              <w:rPr>
                <w:rFonts w:ascii="Calibri" w:hAnsi="Calibri" w:cs="Calibri"/>
                <w:sz w:val="20"/>
                <w:szCs w:val="20"/>
              </w:rPr>
              <w:fldChar w:fldCharType="end"/>
            </w:r>
          </w:p>
        </w:tc>
        <w:tc>
          <w:tcPr>
            <w:tcW w:w="1694" w:type="dxa"/>
          </w:tcPr>
          <w:p w14:paraId="664ECFD9"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Preparedness, support</w:t>
            </w:r>
          </w:p>
        </w:tc>
        <w:tc>
          <w:tcPr>
            <w:tcW w:w="4229" w:type="dxa"/>
          </w:tcPr>
          <w:p w14:paraId="788898D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2B5D38B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773B9D3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400E472B"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Mataya et al. 2015 questionnaire</w:t>
            </w:r>
          </w:p>
        </w:tc>
        <w:tc>
          <w:tcPr>
            <w:tcW w:w="838" w:type="dxa"/>
          </w:tcPr>
          <w:p w14:paraId="7ECD075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551" w:type="dxa"/>
          </w:tcPr>
          <w:p w14:paraId="1A9ED8AA" w14:textId="1E6F92F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HG5oouHM","properties":{"formattedCitation":"[47]","plainCitation":"[47]","noteIndex":0},"citationItems":[{"id":3025,"uris":["http://zotero.org/users/4975241/items/UE9Z8BCJ"],"uri":["http://zotero.org/users/4975241/items/UE9Z8BCJ"],"itemData":{"id":3025,"type":"article-journal","abstract":"Introduction: The University of Malawi's College of Medicine produces almost all of the medical interns working at Malawi's two largest public hospitals: Queen Elizabeth Central Hospital in Blantyre, and Kamuzu Central Hospital in Lilongwe. To earn full medical council registration, new graduates must complete an 18-month internship at either site. This study attempted to determine general levels of job satisfaction and commitment among Malawian medical interns, and to rank categorical factors according to impact on intern job satisfaction and commitment. These factors were also examined in terms of influence on bringing about an intern strike in late 2010, early 2011. Methods: Sixty-one of 70 interns working during the study period completed a job satisfaction survey. Questionnaire items addressed ten \"factors\": (1) hours and pay, (2) work content, (3) working conditions, (4) relationships with senior staff, (5) workplace relationships with peers, (6) educational environment, (7) internal factors, (8) quality of life, (9) autonomy and self-worth, and (10) future career prospects. Analysis for this cross-sectional study included quantification and comparisons of overall and category-specific satisfaction levels, using ANOVA and Student's t-test. Results: Sixty-nine percent then 57% of interns identified themselves as satisfied at the beginning and end of the questionnaire, respectively; 97% of the interns indicated job commitment at both instances of asking. Factors influencing job satisfaction most strongly were those that participants were least satisfied with. Conclusion: Future research and interventions aimed at improving intern job satisfaction in Malawi should focus on assessing and improving remuneration, working hours, and physical working conditions.","container-title":"Pan African Medical Journal","DOI":"10.11604/pamj.2015.21.174.6511","ISSN":"1937-8688","journalAbbreviation":"Pan Afr Med J","language":"en","source":"DOI.org (Crossref)","title":"Factors affecting job satisfaction and commitment among medical interns in Malawi: a cross-sectional study","title-short":"Factors affecting job satisfaction and commitment among medical interns in Malawi","URL":"http://www.panafrican-med-journal.com/content/article/21/174/full/","volume":"21","author":[{"family":"Mataya","given":"Andrew Alinafe"},{"family":"Macuvele","given":"Marcia Eugenia"},{"family":"Gwitima","given":"Takudzwanashe"},{"family":"Muula","given":"Adamson Sinjani"}],"accessed":{"date-parts":[["2020",9,9]]},"issued":{"date-parts":[["2015"]]}}}],"schema":"https://github.com/citation-style-language/schema/raw/master/csl-citation.json"}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[47]</w:t>
            </w:r>
            <w:r>
              <w:rPr>
                <w:rFonts w:ascii="Calibri" w:hAnsi="Calibri" w:cs="Calibri"/>
                <w:sz w:val="20"/>
                <w:szCs w:val="20"/>
              </w:rPr>
              <w:fldChar w:fldCharType="end"/>
            </w:r>
          </w:p>
        </w:tc>
        <w:tc>
          <w:tcPr>
            <w:tcW w:w="1694" w:type="dxa"/>
          </w:tcPr>
          <w:p w14:paraId="5AEABF9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55D9C">
              <w:rPr>
                <w:rFonts w:ascii="Calibri" w:hAnsi="Calibri" w:cs="Calibri"/>
                <w:sz w:val="20"/>
                <w:szCs w:val="20"/>
              </w:rPr>
              <w:t>Learning environment, supervision, career development</w:t>
            </w:r>
          </w:p>
        </w:tc>
        <w:tc>
          <w:tcPr>
            <w:tcW w:w="4229" w:type="dxa"/>
          </w:tcPr>
          <w:p w14:paraId="7AC592F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08A32E8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3031389"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450B5A70" w14:textId="77777777" w:rsidR="006938E9" w:rsidRPr="00AB4BAE" w:rsidRDefault="006938E9" w:rsidP="008C7800">
            <w:pPr>
              <w:rPr>
                <w:rFonts w:ascii="Calibri" w:hAnsi="Calibri" w:cs="Calibri"/>
                <w:sz w:val="20"/>
                <w:szCs w:val="20"/>
              </w:rPr>
            </w:pPr>
            <w:r w:rsidRPr="00766542">
              <w:rPr>
                <w:rFonts w:ascii="Calibri" w:hAnsi="Calibri" w:cs="Calibri"/>
                <w:sz w:val="20"/>
                <w:szCs w:val="20"/>
              </w:rPr>
              <w:t>McKavanagh</w:t>
            </w:r>
            <w:r>
              <w:rPr>
                <w:rFonts w:ascii="Calibri" w:hAnsi="Calibri" w:cs="Calibri"/>
                <w:sz w:val="20"/>
                <w:szCs w:val="20"/>
              </w:rPr>
              <w:t xml:space="preserve"> et al. 2012 questionnaire</w:t>
            </w:r>
          </w:p>
        </w:tc>
        <w:tc>
          <w:tcPr>
            <w:tcW w:w="838" w:type="dxa"/>
          </w:tcPr>
          <w:p w14:paraId="5F99668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1AFE71AE" w14:textId="17F5F679"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dH73G4o3","properties":{"formattedCitation":"[85]","plainCitation":"[85]","noteIndex":0},"citationItems":[{"id":3085,"uris":["http://zotero.org/users/4975241/items/6Q8S7REE"],"uri":["http://zotero.org/users/4975241/items/6Q8S7REE"],"itemData":{"id":3085,"type":"article-journal","abstract":"Aim To determine how foundation year 2 (F2) doctors view the input of hospital consultants into their workplace based assessments (WPBAs). Study design F2 doctors in Northern Ireland participated in an electronic survey to evaluate their experiences of foundation programme WPBAs. The opportunity to participate was available to all F2 doctors. The survey was performed using questions displayed electronically and the responses were collated using Turning Point technology. Two weeks later a focus group was convened to assess the issues raised by the electronic survey. Results Consultant input into foundation doctor’s WPBAs was an infrequent occurrence. The F2 doctors expressed a clear view that they valued consultant input, when this occurred. The WPBAs gave the foundation doctors an opportunity to have a one to one learning opportunity with their supervising consultants. However, many of the WPBAs were completed by other doctors in training, in the grades immediately above the foundation doctors. It was suggested that friendship could inﬂuence these assessments.","container-title":"Postgraduate Medical Journal","DOI":"10.1136/postgradmedj-2011-130121","ISSN":"0032-5473, 1469-0756","issue":"1037","journalAbbreviation":"Postgrad Med J","language":"en","page":"119-124","source":"DOI.org (Crossref)","title":"Hospital consultants and workplace based assessments: how foundation doctors view these educational interactions?","title-short":"Hospital consultants and workplace based assessments","volume":"88","author":[{"family":"McKavanagh","given":"P"},{"family":"Smyth","given":"A"},{"family":"Carragher","given":"A"}],"issued":{"date-parts":[["2012",3]]}}}],"schema":"https://github.com/citation-style-language/schema/raw/master/csl-citation.json"}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[85]</w:t>
            </w:r>
            <w:r>
              <w:rPr>
                <w:rFonts w:ascii="Calibri" w:hAnsi="Calibri" w:cs="Calibri"/>
                <w:sz w:val="20"/>
                <w:szCs w:val="20"/>
              </w:rPr>
              <w:fldChar w:fldCharType="end"/>
            </w:r>
          </w:p>
        </w:tc>
        <w:tc>
          <w:tcPr>
            <w:tcW w:w="1694" w:type="dxa"/>
          </w:tcPr>
          <w:p w14:paraId="2E5BDBA1"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 feedback</w:t>
            </w:r>
          </w:p>
        </w:tc>
        <w:tc>
          <w:tcPr>
            <w:tcW w:w="4229" w:type="dxa"/>
          </w:tcPr>
          <w:p w14:paraId="15058AE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10AE8A7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28CDC7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78111E7F" w14:textId="77777777" w:rsidR="006938E9" w:rsidRPr="00AB4BAE" w:rsidRDefault="006938E9" w:rsidP="008C7800">
            <w:pPr>
              <w:rPr>
                <w:rFonts w:ascii="Calibri" w:hAnsi="Calibri" w:cs="Calibri"/>
                <w:sz w:val="20"/>
                <w:szCs w:val="20"/>
              </w:rPr>
            </w:pPr>
            <w:r>
              <w:rPr>
                <w:rFonts w:ascii="Calibri" w:hAnsi="Calibri" w:cs="Calibri"/>
                <w:sz w:val="20"/>
                <w:szCs w:val="20"/>
              </w:rPr>
              <w:t>Miles et al. 2015 questionnaire</w:t>
            </w:r>
          </w:p>
        </w:tc>
        <w:tc>
          <w:tcPr>
            <w:tcW w:w="838" w:type="dxa"/>
          </w:tcPr>
          <w:p w14:paraId="43CBE30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7FD144CD" w14:textId="3E444ED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si8zpkb8","properties":{"formattedCitation":"[86]","plainCitation":"[86]","noteIndex":0},"citationItems":[{"id":3049,"uris":["http://zotero.org/users/4975241/items/95WGW5UH"],"uri":["http://zotero.org/users/4975241/items/95WGW5UH"],"itemData":{"id":3049,"type":"article-journal","abstract":"Background: It is well established that trainee doctors struggle with the transition from medical school to starting work and feel unprepared for many aspects of their new role. There is evidence that suitable induction experiences improve competence and confidence, but available data indicate that trainee doctors on the UK Foundation Programme are commonly not experiencing useful inductions. The aim of the reported research was to explore trainee doctors’ experiences with induction during their first year of the Foundation Programme to identify the most useful characteristics.\nMethods: A questionnaire was designed to explore trainee doctors’ experiences with induction at two points during their first Foundation year, during the first and third of three rotations, to enable all induction experiences on offer during the year to be surveyed. Data were collected using an anonymous questionnaire distributed during a teaching session, with an online version available for those trainees not present. Questions gathered information about characteristics of the inductions, usefulness of components of the inductions and what gaps exist.\nResults: 192 Foundation trainee doctors completed the questionnaire during Rotation 1 and 165 during Rotation 3. The findings indicated that induction experiences at the beginning of the year, including the local Preparation for Professional Practice week, were more useful than those received for later rotations. Longer inductions were more useful than shorter. Departmental inductions were generally only moderately helpful and they missed many important characteristics. Gaps in their inductions identified by many trainees matched those aspects judged to be most useful by those trainees who had experienced these characteristics.\nConclusions: Many Foundation trainee doctors are experiencing inadequate inductions, notably at the department level. Trainees are starting rotations in new departments without rudimentary knowledge about their role and responsibilities in that department, where to find equipment and documentation, who to contact and how to contact them, local preferences, policies and procedures. Unsurprisingly, trainees who do receive such information in their inductions regard it as highly useful. Action is urgently needed to improve departmental inductions so that all trainees have the information they require to work confidently and competently in each new department they rotate into.","container-title":"BMC Medical Education","DOI":"10.1186/s12909-015-0395-1","ISSN":"1472-6920","issue":"1","journalAbbreviation":"BMC Med Educ","language":"en","page":"118","source":"DOI.org (Crossref)","title":"Foundation doctors’ induction experiences","volume":"15","author":[{"family":"Miles","given":"Susan"},{"family":"Kellett","given":"Joanne"},{"family":"Leinster","given":"Sam J."}],"issued":{"date-parts":[["2015",12]]}}}],"schema":"https://github.com/citation-style-language/schema/raw/master/csl-citation.json"}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[86]</w:t>
            </w:r>
            <w:r>
              <w:rPr>
                <w:rFonts w:ascii="Calibri" w:hAnsi="Calibri" w:cs="Calibri"/>
                <w:sz w:val="20"/>
                <w:szCs w:val="20"/>
              </w:rPr>
              <w:fldChar w:fldCharType="end"/>
            </w:r>
          </w:p>
        </w:tc>
        <w:tc>
          <w:tcPr>
            <w:tcW w:w="1694" w:type="dxa"/>
          </w:tcPr>
          <w:p w14:paraId="1A4974B2"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Induction</w:t>
            </w:r>
          </w:p>
        </w:tc>
        <w:tc>
          <w:tcPr>
            <w:tcW w:w="4229" w:type="dxa"/>
          </w:tcPr>
          <w:p w14:paraId="0F0E8CD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C3D9BC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2CEE167"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10F247D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Modified AMA survey</w:t>
            </w:r>
          </w:p>
        </w:tc>
        <w:tc>
          <w:tcPr>
            <w:tcW w:w="838" w:type="dxa"/>
          </w:tcPr>
          <w:p w14:paraId="39BA42E5"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39A50B7B" w14:textId="6214B71E"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kpCbPPA","properties":{"formattedCitation":"[48]","plainCitation":"[48]","noteIndex":0},"citationItems":[{"id":3292,"uris":["http://zotero.org/users/4975241/items/PEX6STQA"],"uri":["http://zotero.org/users/4975241/items/PEX6STQA"],"itemData":{"id":3292,"type":"article-journal","abstract":"PURPOSE: To secure data from residents regarding residency work hours and correlates.\nMETHOD: A national, random sample of postgraduate year 1 (PGY1) and year 2 (PGY2) residents in the 1998-1999 training year was identified using the American Medical Association's Graduate Medical Education database. Residents completed a five-page survey with 44 questions and 144 separate data elements relating to their residency experience.\nRESULTS: Completed surveys were received from 3,604 of 5,616 (64.2%) residents contacted. PGY1 residents reported working an average of 83 hours a week versus 76.2 hours for PGY2 residents (p &lt;.0001). Total work hours were significantly correlated with reported stress and hours of sleep per week. Residents averaging more than 80 work hours per week were more likely to be involved in a personal accident or injury, a serious conflict with other staff members, and making a significant medical error. Cluster analysis revealed four different types of residency experience: high intensity, moderate intensity, low intensity, and moonlighters, suggesting that residents may have some choice in selecting a residency experience suited to their particular personal and professional needs.\nCONCLUSION: Nearly half of PGY1 and one third of PGY2 residents reported working more than 80 hours per week. These extended hours are significantly correlated with a number of patient care and personal health variables. Given the variety of program and specialty requirements and demands, it seems unlikely that an arbitrary limit or a simple decrease in work hours will provide a satisfactory solution to many resident and patient care concerns.","container-title":"Academic Medicine: Journal of the Association of American Medical Colleges","DOI":"10.1097/00001888-200311000-00018","ISSN":"1040-2446","issue":"11","journalAbbreviation":"Acad Med","language":"eng","note":"PMID: 14604880","page":"1154-1163","source":"PubMed","title":"A national survey of residents' self-reported work hours: thinking beyond specialty","title-short":"A national survey of residents' self-reported work hours","volume":"78","author":[{"family":"Baldwin","given":"DeWitt C."},{"family":"Daugherty","given":"Steven R."},{"family":"Tsai","given":"Ray"},{"family":"Scotti","given":"Michael J."}],"issued":{"date-parts":[["2003",11]]}}}],"schema":"https://github.com/citation-style-language/schema/raw/master/csl-citation.json"}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[48]</w:t>
            </w:r>
            <w:r>
              <w:rPr>
                <w:rFonts w:ascii="Calibri" w:hAnsi="Calibri" w:cs="Calibri"/>
                <w:sz w:val="20"/>
                <w:szCs w:val="20"/>
              </w:rPr>
              <w:fldChar w:fldCharType="end"/>
            </w:r>
          </w:p>
        </w:tc>
        <w:tc>
          <w:tcPr>
            <w:tcW w:w="1694" w:type="dxa"/>
          </w:tcPr>
          <w:p w14:paraId="0BB641AF"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34034">
              <w:rPr>
                <w:rFonts w:ascii="Calibri" w:hAnsi="Calibri" w:cs="Calibri"/>
                <w:sz w:val="20"/>
                <w:szCs w:val="20"/>
              </w:rPr>
              <w:t>Supervision, professionali</w:t>
            </w:r>
            <w:r>
              <w:rPr>
                <w:rFonts w:ascii="Calibri" w:hAnsi="Calibri" w:cs="Calibri"/>
                <w:sz w:val="20"/>
                <w:szCs w:val="20"/>
              </w:rPr>
              <w:t>s</w:t>
            </w:r>
            <w:r w:rsidRPr="00034034">
              <w:rPr>
                <w:rFonts w:ascii="Calibri" w:hAnsi="Calibri" w:cs="Calibri"/>
                <w:sz w:val="20"/>
                <w:szCs w:val="20"/>
              </w:rPr>
              <w:t>m</w:t>
            </w:r>
          </w:p>
        </w:tc>
        <w:tc>
          <w:tcPr>
            <w:tcW w:w="4229" w:type="dxa"/>
          </w:tcPr>
          <w:p w14:paraId="6A027B7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7C465F9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7662147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45A9FE77" w14:textId="77777777" w:rsidR="006938E9" w:rsidRPr="00AB4BAE" w:rsidRDefault="006938E9" w:rsidP="008C7800">
            <w:pPr>
              <w:rPr>
                <w:rFonts w:ascii="Calibri" w:hAnsi="Calibri" w:cs="Calibri"/>
                <w:sz w:val="20"/>
                <w:szCs w:val="20"/>
              </w:rPr>
            </w:pPr>
            <w:r>
              <w:rPr>
                <w:rFonts w:ascii="Calibri" w:hAnsi="Calibri" w:cs="Calibri"/>
                <w:sz w:val="20"/>
                <w:szCs w:val="20"/>
              </w:rPr>
              <w:t>Modified Manchester Questionnaire</w:t>
            </w:r>
          </w:p>
        </w:tc>
        <w:tc>
          <w:tcPr>
            <w:tcW w:w="838" w:type="dxa"/>
          </w:tcPr>
          <w:p w14:paraId="2593F11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37952C11" w14:textId="6EED12DC"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wrucGNEi","properties":{"formattedCitation":"[87]","plainCitation":"[87]","noteIndex":0},"citationItems":[{"id":2985,"uris":["http://zotero.org/users/4975241/items/RHISIDLV"],"uri":["http://zotero.org/users/4975241/items/RHISIDLV"],"itemData":{"id":2985,"type":"article-journal","abstract":"Background: Undergraduate medicine curricula can be designed to enable smoother transition to work as a junior doctor. Evaluations should improve curriculum design. Aim: To compare a graduate cohort from one medical school with a cohort from other medical schools in the same Foundation Year 1 (FY1) programme in terms of retrospective perceptions of readiness for practice.\nMethod: A Likert-scale questionnaire measured self-perception of readiness to practice, including general capabilities and specific clinical skills.\nResults: Response rate was 74% (n ¼ 146). The Peninsula Medical School cohort reported readiness for practice at a significantly higher level than the comparison cohort in 14 out of 58 items (24%), particularly for ‘coping with uncertainty’. In only one item (2%) does the comparison cohort report at a significantly higher level.\nConclusions: Significant differences between cohorts may be explained by undergraduate curriculum design, where the opportunity for early, structured work-based, experiential learning as students, with patient contact at the core of the experience, may promote smoother transition to work as a junior doctor. Evaluation informs continuous quality improvement of the curriculum.","container-title":"Medical Teacher","DOI":"10.3109/0142159X.2010.540267","ISSN":"0142-159X, 1466-187X","issue":"6","journalAbbreviation":"Medical Teacher","language":"en","page":"459-467","source":"DOI.org (Crossref)","title":"Does undergraduate curriculum design make a difference to readiness to practice as a junior doctor?","volume":"33","author":[{"family":"Bleakley","given":"Alan"},{"family":"Brennan","given":"Nicola"}],"issued":{"date-parts":[["2011",6]]}}}],"schema":"https://github.com/citation-style-language/schema/raw/master/csl-citation.json"}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[87]</w:t>
            </w:r>
            <w:r>
              <w:rPr>
                <w:rFonts w:ascii="Calibri" w:hAnsi="Calibri" w:cs="Calibri"/>
                <w:sz w:val="20"/>
                <w:szCs w:val="20"/>
              </w:rPr>
              <w:fldChar w:fldCharType="end"/>
            </w:r>
          </w:p>
        </w:tc>
        <w:tc>
          <w:tcPr>
            <w:tcW w:w="1694" w:type="dxa"/>
          </w:tcPr>
          <w:p w14:paraId="70C855CD"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Preparedness</w:t>
            </w:r>
          </w:p>
        </w:tc>
        <w:tc>
          <w:tcPr>
            <w:tcW w:w="4229" w:type="dxa"/>
          </w:tcPr>
          <w:p w14:paraId="50907A3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1AD09E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D4EDE2F"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2BB938B6" w14:textId="77777777" w:rsidR="006938E9" w:rsidRPr="00AB4BAE" w:rsidRDefault="006938E9" w:rsidP="008C7800">
            <w:pPr>
              <w:rPr>
                <w:rFonts w:ascii="Calibri" w:hAnsi="Calibri" w:cs="Calibri"/>
                <w:sz w:val="20"/>
                <w:szCs w:val="20"/>
              </w:rPr>
            </w:pPr>
            <w:r w:rsidRPr="00DC0E5D">
              <w:rPr>
                <w:rFonts w:ascii="Calibri" w:hAnsi="Calibri" w:cs="Calibri"/>
                <w:sz w:val="20"/>
                <w:szCs w:val="20"/>
              </w:rPr>
              <w:t>Modified questionnaire by Buckey and Harasym</w:t>
            </w:r>
          </w:p>
        </w:tc>
        <w:tc>
          <w:tcPr>
            <w:tcW w:w="838" w:type="dxa"/>
          </w:tcPr>
          <w:p w14:paraId="7BC1593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438938B3" w14:textId="06A1EB00"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DBgPgdRC","properties":{"formattedCitation":"[33]","plainCitation":"[33]","noteIndex":0},"citationItems":[{"id":3256,"uris":["http://zotero.org/users/4975241/items/FT3LM8AS"],"uri":["http://zotero.org/users/4975241/items/FT3LM8AS"],"itemData":{"id":3256,"type":"article-journal","abstract":"One hundred and one interns who completed internship during the year 2000 were surveyed by questionnaire to study thefactors, manifestations and management strategies of stresses affecting them. Factors considered included personal and family, work and working conditions, training and interpersonal matters.","container-title":"Qatar Medical Journal","DOI":"10.5339/qmj.2002.1.19","ISSN":"2227-0426","issue":"1","journalAbbreviation":"Qatar Medical Journal","language":"en","page":"19","source":"DOI.org (Crossref)","title":"Professional Stress During Medical Internship","volume":"2002","author":[{"family":"Al Sultan","given":"A. I."},{"family":"Parashar","given":"S. K."},{"family":"Wahass","given":"S. H."},{"family":"Al Soweilem","given":"L. S."}],"issued":{"date-parts":[["2002",6]]}}}],"schema":"https://github.com/citation-style-language/schema/raw/master/csl-citation.json"}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[33]</w:t>
            </w:r>
            <w:r>
              <w:rPr>
                <w:rFonts w:ascii="Calibri" w:hAnsi="Calibri" w:cs="Calibri"/>
                <w:sz w:val="20"/>
                <w:szCs w:val="20"/>
              </w:rPr>
              <w:fldChar w:fldCharType="end"/>
            </w:r>
          </w:p>
        </w:tc>
        <w:tc>
          <w:tcPr>
            <w:tcW w:w="1694" w:type="dxa"/>
          </w:tcPr>
          <w:p w14:paraId="02510612"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3E6B3B">
              <w:rPr>
                <w:rFonts w:ascii="Calibri" w:hAnsi="Calibri" w:cs="Calibri"/>
                <w:sz w:val="20"/>
                <w:szCs w:val="20"/>
              </w:rPr>
              <w:t>Supervision, feedback, communication</w:t>
            </w:r>
          </w:p>
        </w:tc>
        <w:tc>
          <w:tcPr>
            <w:tcW w:w="4229" w:type="dxa"/>
          </w:tcPr>
          <w:p w14:paraId="7962883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411E36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44EF36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65AE8824" w14:textId="77777777" w:rsidR="006938E9" w:rsidRPr="00AB4BAE" w:rsidRDefault="006938E9" w:rsidP="008C7800">
            <w:pPr>
              <w:rPr>
                <w:rFonts w:ascii="Calibri" w:hAnsi="Calibri" w:cs="Calibri"/>
                <w:sz w:val="20"/>
                <w:szCs w:val="20"/>
              </w:rPr>
            </w:pPr>
            <w:r w:rsidRPr="001E0327">
              <w:rPr>
                <w:rFonts w:ascii="Calibri" w:hAnsi="Calibri" w:cs="Calibri"/>
                <w:sz w:val="20"/>
                <w:szCs w:val="20"/>
              </w:rPr>
              <w:t>Operating Team Resource Management Survey</w:t>
            </w:r>
          </w:p>
        </w:tc>
        <w:tc>
          <w:tcPr>
            <w:tcW w:w="838" w:type="dxa"/>
          </w:tcPr>
          <w:p w14:paraId="73A9A97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4ED712A5" w14:textId="5212D29C"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6nx1Fiyb","properties":{"formattedCitation":"[88]","plainCitation":"[88]","noteIndex":0},"citationItems":[{"id":3198,"uris":["http://zotero.org/users/4975241/items/7ZSB8MQJ"],"uri":["http://zotero.org/users/4975241/items/7ZSB8MQJ"],"itemData":{"id":3198,"type":"article-journal","abstract":"Objectives: To identify perceived barriers to residents’ questioning or challenging their seniors, to determine how these barriers affect decisions, and to assess how these barriers differ across cultures.\nMethod: A written questionnaire was administered to residents in teaching hospitals in the US and Japan to assess factors affecting residents’ willingness to question or challenge their superiors. The responses were analyzed for statistical significance of differences between the two cultures and to determine the importance of issues affecting decisions.\nResults: Questionnaires were completed by 175 US and 65 Japanese residents, with an overall response rate of 71%. Trainees from both countries believe that questioning and challenging contribute to safety. The perceived importance of specific beliefs about the workplace differed across cultures in seven out of 22 questions. Residents’ decisions to make a challenge were related to the relationships and perceived response of the superiors. There was no statistical difference between the US and Japanese residents in terms of the threshold for challenging their seniors.\nConclusion: We have identified attributes of residents’ beliefs of communication, including several crosscultural differences in the importance of values and issues affecting one’s decision to question or challenge. In contrast, there was no difference in the threshold for challenging seniors by the Japanese and US residents studied. Changes in organizational and professional culture may be as important, if not more so, than national culture to encourage ‘‘speaking up’’. Residents should be encouraged to overcome barriers to challenging, and training programs should foster improved relationships and communication between trainers and trainees.","container-title":"Quality and Safety in Health Care","DOI":"10.1136/qshc.2005.017368","ISSN":"1475-3898, 1475-3901","issue":"4","journalAbbreviation":"Quality and Safety in Health Care","language":"en","page":"277-283","source":"DOI.org (Crossref)","title":"A cross-cultural survey of residents' perceived barriers in questioning/challenging authority","volume":"15","author":[{"family":"Kobayashi","given":"H"}],"issued":{"date-parts":[["2006",8,1]]}}}],"schema":"https://github.com/citation-style-language/schema/raw/master/csl-citation.json"}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[88]</w:t>
            </w:r>
            <w:r>
              <w:rPr>
                <w:rFonts w:ascii="Calibri" w:hAnsi="Calibri" w:cs="Calibri"/>
                <w:sz w:val="20"/>
                <w:szCs w:val="20"/>
              </w:rPr>
              <w:fldChar w:fldCharType="end"/>
            </w:r>
          </w:p>
        </w:tc>
        <w:tc>
          <w:tcPr>
            <w:tcW w:w="1694" w:type="dxa"/>
          </w:tcPr>
          <w:p w14:paraId="2BF32AA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Teamwork, professionalism</w:t>
            </w:r>
          </w:p>
        </w:tc>
        <w:tc>
          <w:tcPr>
            <w:tcW w:w="4229" w:type="dxa"/>
          </w:tcPr>
          <w:p w14:paraId="2AB8BD1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0C3ABC1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5DF26ED" w14:textId="77777777" w:rsidTr="008C7800">
        <w:tc>
          <w:tcPr>
            <w:cnfStyle w:val="001000000000" w:firstRow="0" w:lastRow="0" w:firstColumn="1" w:lastColumn="0" w:oddVBand="0" w:evenVBand="0" w:oddHBand="0" w:evenHBand="0" w:firstRowFirstColumn="0" w:firstRowLastColumn="0" w:lastRowFirstColumn="0" w:lastRowLastColumn="0"/>
            <w:tcW w:w="2630" w:type="dxa"/>
          </w:tcPr>
          <w:p w14:paraId="23DBCA73" w14:textId="77777777" w:rsidR="006938E9" w:rsidRPr="00AB4BAE" w:rsidRDefault="006938E9" w:rsidP="008C7800">
            <w:pPr>
              <w:rPr>
                <w:rFonts w:ascii="Calibri" w:hAnsi="Calibri" w:cs="Calibri"/>
                <w:sz w:val="20"/>
                <w:szCs w:val="20"/>
              </w:rPr>
            </w:pPr>
            <w:r>
              <w:rPr>
                <w:rFonts w:ascii="Calibri" w:hAnsi="Calibri" w:cs="Calibri"/>
                <w:sz w:val="20"/>
                <w:szCs w:val="20"/>
              </w:rPr>
              <w:t>Rodger et al. 2002 questionnaire</w:t>
            </w:r>
          </w:p>
        </w:tc>
        <w:tc>
          <w:tcPr>
            <w:tcW w:w="838" w:type="dxa"/>
          </w:tcPr>
          <w:p w14:paraId="41F25B1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099C8B59" w14:textId="70E7224E"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uYYHsAIR","properties":{"formattedCitation":"[14]","plainCitation":"[14]","noteIndex":0},"citationItems":[{"id":3306,"uris":["http://zotero.org/users/4975241/items/BZH7HNGT"],"uri":["http://zotero.org/users/4975241/items/BZH7HNGT"],"itemData":{"id":3306,"type":"article-journal","abstract":"There has been little work examining the longer term occupational and psychological outcomes of problem-based learn-ing (PBL). The authors aimed to investigate the relationship between psychological distress, occupational factors and experience of PBL in the first cohort of UK pre-registration house officers to be trained exclusively using problem-based methods. Questionnaires were sent to al pre-registration house officers working in the three teaching hospitals in the Manchester area. Measures included demographic items, hours of actual work and the GHQ-12 as a measure of psychological distress, as well as validated Likert scales of job satisfaction, perceived work demands, support from superior,and experience and attitudes towards PBL. The response rate was 87% (66/76). Almost one-third of respondents (20/66) worked more than 72 hours a week. The occupational and psychological measures were significantly interrelated. The multiple regression analysis revealed that work demands and job satisfaction together accounted for over 45% of the variance in psychological distress. The other demographic, occupational and PBL-related factors did not make an independent contribution to distress. Scores were similar for respondents with high and low levels of exposure to PBL, and similar to scores obtained from a previous cohort of house officers graduating from a traditional course. These findings should be interpreted cautiously because of the small size of the current study and the setting. It is possible that as staff and students grow accustomed to new styles of teaching, and work intensity for junior doctors reduces, the effect of PBL will become more evident. Further research is needed examining the occupational and psychological outcomes of medical students taught by problem-based methods indifferent settings.","container-title":"Medical Teacher","ISSN":"0142-159X","issue":"3","journalAbbreviation":"Med Teach","language":"eng","note":"PMID: 12109458","page":"334-336","source":"PubMed","title":"Problem-based learning, work demands and psychological distress in pre-registration house officers: a preliminary study","title-short":"Problem-based learning, work demands and psychological distress in pre-registration house officers","volume":"24","author":[{"family":"Rodger","given":"Mike"},{"family":"Lavender","given":"Tom"},{"family":"Kapur","given":"Navneet"}],"issued":{"date-parts":[["2002",5]]}}}],"schema":"https://github.com/citation-style-language/schema/raw/master/csl-citation.json"}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[14]</w:t>
            </w:r>
            <w:r>
              <w:rPr>
                <w:rFonts w:ascii="Calibri" w:hAnsi="Calibri" w:cs="Calibri"/>
                <w:sz w:val="20"/>
                <w:szCs w:val="20"/>
              </w:rPr>
              <w:fldChar w:fldCharType="end"/>
            </w:r>
          </w:p>
        </w:tc>
        <w:tc>
          <w:tcPr>
            <w:tcW w:w="1694" w:type="dxa"/>
          </w:tcPr>
          <w:p w14:paraId="559A859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Support, supervision</w:t>
            </w:r>
          </w:p>
        </w:tc>
        <w:tc>
          <w:tcPr>
            <w:tcW w:w="4229" w:type="dxa"/>
          </w:tcPr>
          <w:p w14:paraId="2403A46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AC8011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4E7806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7CE51BD3" w14:textId="77777777" w:rsidR="006938E9" w:rsidRPr="00AB4BAE" w:rsidRDefault="006938E9" w:rsidP="008C7800">
            <w:pPr>
              <w:rPr>
                <w:rFonts w:ascii="Calibri" w:hAnsi="Calibri" w:cs="Calibri"/>
                <w:sz w:val="20"/>
                <w:szCs w:val="20"/>
              </w:rPr>
            </w:pPr>
            <w:r>
              <w:rPr>
                <w:rFonts w:ascii="Calibri" w:hAnsi="Calibri" w:cs="Calibri"/>
                <w:sz w:val="20"/>
                <w:szCs w:val="20"/>
              </w:rPr>
              <w:t>Ross et al. 2018 questionnaire</w:t>
            </w:r>
          </w:p>
        </w:tc>
        <w:tc>
          <w:tcPr>
            <w:tcW w:w="838" w:type="dxa"/>
          </w:tcPr>
          <w:p w14:paraId="7C6963A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72214DE4" w14:textId="139C4598"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N45JrPFX","properties":{"formattedCitation":"[89]","plainCitation":"[89]","noteIndex":0},"citationItems":[{"id":3203,"uris":["http://zotero.org/users/4975241/items/4A9PVS7D"],"uri":["http://zotero.org/users/4975241/items/4A9PVS7D"],"itemData":{"id":3203,"type":"article-journal","abstract":"Background: In 2005, the Health Professions Council of South Africa (HPCSA) extended the duration of the internship programme to ensure that all young medical graduates are adequately prepared to work at a district hospital during their year of community service. King Edward VIII hospital (KEH) is an HPCSA accredited training hospital, which has been training interns for many years. The aim of this study was to assess intern perceptions of their training at the hospital. Methods: This cross-sectional, descriptive study was conducted at KEH in November 2016. A questionnaire was used to collect data, which were analysed descriptively. Results: Only 53% of interns completed the questionnaire. Although teaching and supervision were provided in all domains, perceptions of the quality ranged from excellent to poor. The majority of interns worked the 64–80 hours per month commuted overtime as required by the HPCSA. However, less than 10% expressed positive views regarding the condition of the facilities and infrastructure. Discussion and conclusions: The findings of this study were generally positive with regard to teaching, supervision and hours worked, mostly in accordance with the requirements of the HPCSA. However, a response rate of 53% as well as the single location of the study may limit generalisability and a larger study involving interns across the country is recommended.","container-title":"South African Family Practice","DOI":"10.1080/20786190.2018.1504866","ISSN":"2078-6190, 2078-6204","issue":"6","journalAbbreviation":"South African Family Practice","language":"en","page":"187-191","source":"DOI.org (Crossref)","title":"An evaluation of the medical internship programme at King Edward VIII hospital, South Africa in 2016","volume":"60","author":[{"family":"Ross","given":"Andrew"},{"family":"Naidoo","given":"SS (Cyril)"},{"family":"Dlamini","given":"Siyabonga"}],"issued":{"date-parts":[["2018",11,2]]}}}],"schema":"https://github.com/citation-style-language/schema/raw/master/csl-citation.json"}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[89]</w:t>
            </w:r>
            <w:r>
              <w:rPr>
                <w:rFonts w:ascii="Calibri" w:hAnsi="Calibri" w:cs="Calibri"/>
                <w:sz w:val="20"/>
                <w:szCs w:val="20"/>
              </w:rPr>
              <w:fldChar w:fldCharType="end"/>
            </w:r>
          </w:p>
        </w:tc>
        <w:tc>
          <w:tcPr>
            <w:tcW w:w="1694" w:type="dxa"/>
          </w:tcPr>
          <w:p w14:paraId="02B61BA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Supervision, teaching</w:t>
            </w:r>
          </w:p>
        </w:tc>
        <w:tc>
          <w:tcPr>
            <w:tcW w:w="4229" w:type="dxa"/>
          </w:tcPr>
          <w:p w14:paraId="1F4F272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3A9D4B46"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p w14:paraId="3F5D99F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6938E9" w:rsidRPr="00AB4BAE" w14:paraId="017579EB" w14:textId="77777777" w:rsidTr="008C7800">
        <w:trPr>
          <w:gridAfter w:val="1"/>
          <w:wAfter w:w="186" w:type="dxa"/>
        </w:trPr>
        <w:tc>
          <w:tcPr>
            <w:cnfStyle w:val="001000000000" w:firstRow="0" w:lastRow="0" w:firstColumn="1" w:lastColumn="0" w:oddVBand="0" w:evenVBand="0" w:oddHBand="0" w:evenHBand="0" w:firstRowFirstColumn="0" w:firstRowLastColumn="0" w:lastRowFirstColumn="0" w:lastRowLastColumn="0"/>
            <w:tcW w:w="2630" w:type="dxa"/>
          </w:tcPr>
          <w:p w14:paraId="4035BEB1" w14:textId="77777777" w:rsidR="006938E9" w:rsidRPr="00AB4BAE" w:rsidRDefault="006938E9" w:rsidP="008C7800">
            <w:pPr>
              <w:rPr>
                <w:rFonts w:ascii="Calibri" w:hAnsi="Calibri" w:cs="Calibri"/>
                <w:color w:val="000000"/>
                <w:sz w:val="20"/>
                <w:szCs w:val="20"/>
              </w:rPr>
            </w:pPr>
            <w:r w:rsidRPr="003D6D07">
              <w:rPr>
                <w:rFonts w:ascii="Calibri" w:hAnsi="Calibri" w:cs="Calibri"/>
                <w:color w:val="000000"/>
                <w:sz w:val="20"/>
                <w:szCs w:val="20"/>
              </w:rPr>
              <w:lastRenderedPageBreak/>
              <w:t>Sarason Social Support Questionnaire</w:t>
            </w:r>
          </w:p>
        </w:tc>
        <w:tc>
          <w:tcPr>
            <w:tcW w:w="838" w:type="dxa"/>
          </w:tcPr>
          <w:p w14:paraId="68E16CE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szCs w:val="20"/>
              </w:rPr>
            </w:pPr>
            <w:r>
              <w:rPr>
                <w:rFonts w:ascii="Calibri" w:hAnsi="Calibri" w:cs="Calibri"/>
                <w:color w:val="000000"/>
                <w:sz w:val="20"/>
                <w:szCs w:val="20"/>
              </w:rPr>
              <w:t>1</w:t>
            </w:r>
          </w:p>
        </w:tc>
        <w:tc>
          <w:tcPr>
            <w:tcW w:w="1551" w:type="dxa"/>
          </w:tcPr>
          <w:p w14:paraId="2B1AF91D"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eb1uL0bH","properties":{"formattedCitation":"[7]","plainCitation":"[7]","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w:t>
            </w:r>
            <w:r>
              <w:rPr>
                <w:rFonts w:ascii="Calibri" w:hAnsi="Calibri" w:cs="Calibri"/>
                <w:sz w:val="20"/>
                <w:szCs w:val="20"/>
              </w:rPr>
              <w:fldChar w:fldCharType="end"/>
            </w:r>
          </w:p>
        </w:tc>
        <w:tc>
          <w:tcPr>
            <w:tcW w:w="1694" w:type="dxa"/>
          </w:tcPr>
          <w:p w14:paraId="44D38D4D"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Support</w:t>
            </w:r>
          </w:p>
        </w:tc>
        <w:tc>
          <w:tcPr>
            <w:tcW w:w="4229" w:type="dxa"/>
          </w:tcPr>
          <w:p w14:paraId="02E08C8E"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260" w:type="dxa"/>
          </w:tcPr>
          <w:p w14:paraId="7B7CE54B"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6948DE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30" w:type="dxa"/>
          </w:tcPr>
          <w:p w14:paraId="12D2E6BE" w14:textId="77777777" w:rsidR="006938E9" w:rsidRPr="00AB4BAE" w:rsidRDefault="006938E9" w:rsidP="008C7800">
            <w:pPr>
              <w:rPr>
                <w:rFonts w:ascii="Calibri" w:hAnsi="Calibri" w:cs="Calibri"/>
                <w:sz w:val="20"/>
                <w:szCs w:val="20"/>
              </w:rPr>
            </w:pPr>
            <w:r>
              <w:rPr>
                <w:rFonts w:ascii="Calibri" w:hAnsi="Calibri" w:cs="Calibri"/>
                <w:sz w:val="20"/>
                <w:szCs w:val="20"/>
              </w:rPr>
              <w:t>Swaid et al. 2017 questionnaire</w:t>
            </w:r>
          </w:p>
        </w:tc>
        <w:tc>
          <w:tcPr>
            <w:tcW w:w="838" w:type="dxa"/>
          </w:tcPr>
          <w:p w14:paraId="3FEACD9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551" w:type="dxa"/>
          </w:tcPr>
          <w:p w14:paraId="2DDE9CB2" w14:textId="0DA38880"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aHw90Ula","properties":{"formattedCitation":"[52]","plainCitation":"[52]","noteIndex":0},"citationItems":[{"id":3284,"uris":["http://zotero.org/users/4975241/items/7L4AUUCN"],"uri":["http://zotero.org/users/4975241/items/7L4AUUCN"],"itemData":{"id":3284,"type":"article-journal","abstract":"Background: Internship training offers an important opportunity for personal development and career planning. However, there are many factors affecting the efficiency of training, and the views of interns are rarely considered. The main objective of this study was to explore the views of interns enrolled in Jazan University internship program during the year 2015. Subjects and methods: A web-based cross-sectional study was conducted in the Jazan region, Kingdom of Saudi Arabia, during the academic year 2015. To achieve the study goals, an online questionnaire was distributed to all interns (n=85) enrolled in the Jazan University internship program.\nResults: Results revealed that satisfaction with training was more evident in general surgery and pediatrics (76.1%, n=54 and 77.5%, n=55, respectively). Satisfaction was lowest for obstetrics and gynecology programs (45.1%, n=32), while in internal medicine it was 54.9% (n=39). Training in general surgery and pediatrics was rated as excellent by most of the interns (45.8% and 43.1%, respectively). The picture is reversed in obstetrics and gynecology, as 43.1% rated it as average. More than half of the study sample felt that they were well prepared to start the next step in their career at the end of internship (50.7%), while 25.4% felt that they were moderately prepared.\nConclusion: It is clear that training quality in views of interns is variable across the major specialties, and there are some problems in obstetrics and gynecology training. More studies are needed to explore in-depth dimensions of internship training program in the Kingdom of Saudi Arabia.","container-title":"Advances in Medical Education and Practice","DOI":"10.2147/AMEP.S123119","ISSN":"1179-7258","journalAbbreviation":"AMEP","language":"en","page":"121-128","source":"DOI.org (Crossref)","title":"Medical internship training in Saudi Arabia: interns' views and perceptions","title-short":"Medical internship training in Saudi Arabia","volume":"Volume 8","author":[{"family":"Swaid","given":"Ali"},{"family":"Elhilu","given":"Abdelkhalig"},{"family":"Mahfouz","given":"Mohamed"}],"issued":{"date-parts":[["2017",1]]}}}],"schema":"https://github.com/citation-style-language/schema/raw/master/csl-citation.json"}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[52]</w:t>
            </w:r>
            <w:r>
              <w:rPr>
                <w:rFonts w:ascii="Calibri" w:hAnsi="Calibri" w:cs="Calibri"/>
                <w:sz w:val="20"/>
                <w:szCs w:val="20"/>
              </w:rPr>
              <w:fldChar w:fldCharType="end"/>
            </w:r>
          </w:p>
        </w:tc>
        <w:tc>
          <w:tcPr>
            <w:tcW w:w="1694" w:type="dxa"/>
          </w:tcPr>
          <w:p w14:paraId="502E31AE"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CF3F9D">
              <w:rPr>
                <w:rFonts w:ascii="Calibri" w:hAnsi="Calibri" w:cs="Calibri"/>
                <w:sz w:val="20"/>
                <w:szCs w:val="20"/>
              </w:rPr>
              <w:t>Induction, preparedness, teaching</w:t>
            </w:r>
          </w:p>
        </w:tc>
        <w:tc>
          <w:tcPr>
            <w:tcW w:w="4229" w:type="dxa"/>
          </w:tcPr>
          <w:p w14:paraId="1734B1F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446" w:type="dxa"/>
            <w:gridSpan w:val="2"/>
          </w:tcPr>
          <w:p w14:paraId="5B9BE45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bl>
    <w:p w14:paraId="0C142FF5" w14:textId="77777777" w:rsidR="006938E9" w:rsidRDefault="006938E9" w:rsidP="006938E9">
      <w:pPr>
        <w:rPr>
          <w:rFonts w:ascii="Calibri" w:hAnsi="Calibri" w:cs="Calibri"/>
        </w:rPr>
      </w:pPr>
    </w:p>
    <w:p w14:paraId="7D809275" w14:textId="77777777" w:rsidR="006938E9" w:rsidRPr="00D10E16" w:rsidRDefault="006938E9" w:rsidP="006938E9">
      <w:pPr>
        <w:rPr>
          <w:rFonts w:ascii="Calibri" w:hAnsi="Calibri" w:cs="Calibri"/>
          <w:b/>
          <w:bCs/>
          <w:sz w:val="20"/>
          <w:szCs w:val="20"/>
        </w:rPr>
      </w:pPr>
      <w:r w:rsidRPr="00CF7581">
        <w:rPr>
          <w:rFonts w:ascii="Calibri" w:hAnsi="Calibri" w:cs="Calibri"/>
          <w:b/>
          <w:bCs/>
          <w:sz w:val="20"/>
          <w:szCs w:val="20"/>
        </w:rPr>
        <w:t xml:space="preserve">Theme </w:t>
      </w:r>
      <w:r>
        <w:rPr>
          <w:rFonts w:ascii="Calibri" w:hAnsi="Calibri" w:cs="Calibri"/>
          <w:b/>
          <w:bCs/>
          <w:sz w:val="20"/>
          <w:szCs w:val="20"/>
        </w:rPr>
        <w:t>3</w:t>
      </w:r>
      <w:r w:rsidRPr="00CF7581">
        <w:rPr>
          <w:rFonts w:ascii="Calibri" w:hAnsi="Calibri" w:cs="Calibri"/>
          <w:b/>
          <w:bCs/>
          <w:sz w:val="20"/>
          <w:szCs w:val="20"/>
        </w:rPr>
        <w:t xml:space="preserve">: </w:t>
      </w:r>
      <w:r>
        <w:rPr>
          <w:rFonts w:ascii="Calibri" w:hAnsi="Calibri" w:cs="Calibri"/>
          <w:b/>
          <w:bCs/>
          <w:sz w:val="20"/>
          <w:szCs w:val="20"/>
        </w:rPr>
        <w:t>Work condition and environment</w:t>
      </w:r>
    </w:p>
    <w:tbl>
      <w:tblPr>
        <w:tblStyle w:val="ListTable3-Accent3"/>
        <w:tblW w:w="15446" w:type="dxa"/>
        <w:tblLook w:val="04A0" w:firstRow="1" w:lastRow="0" w:firstColumn="1" w:lastColumn="0" w:noHBand="0" w:noVBand="1"/>
      </w:tblPr>
      <w:tblGrid>
        <w:gridCol w:w="2663"/>
        <w:gridCol w:w="846"/>
        <w:gridCol w:w="1298"/>
        <w:gridCol w:w="1699"/>
        <w:gridCol w:w="4331"/>
        <w:gridCol w:w="4552"/>
        <w:gridCol w:w="57"/>
      </w:tblGrid>
      <w:tr w:rsidR="006938E9" w:rsidRPr="00F37BF4" w14:paraId="54EB7FAB" w14:textId="77777777" w:rsidTr="008C78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63" w:type="dxa"/>
          </w:tcPr>
          <w:p w14:paraId="487F8525" w14:textId="77777777" w:rsidR="006938E9" w:rsidRPr="00F37BF4" w:rsidRDefault="006938E9" w:rsidP="008C7800">
            <w:pPr>
              <w:rPr>
                <w:rFonts w:ascii="Calibri" w:hAnsi="Calibri" w:cs="Calibri"/>
                <w:color w:val="000000" w:themeColor="text1"/>
                <w:sz w:val="20"/>
                <w:szCs w:val="20"/>
              </w:rPr>
            </w:pPr>
            <w:r w:rsidRPr="00F37BF4">
              <w:rPr>
                <w:rFonts w:ascii="Calibri" w:hAnsi="Calibri" w:cs="Calibri"/>
                <w:color w:val="000000" w:themeColor="text1"/>
                <w:sz w:val="20"/>
                <w:szCs w:val="20"/>
              </w:rPr>
              <w:t>Tool name</w:t>
            </w:r>
          </w:p>
        </w:tc>
        <w:tc>
          <w:tcPr>
            <w:tcW w:w="846" w:type="dxa"/>
          </w:tcPr>
          <w:p w14:paraId="5F23B2FB" w14:textId="77777777" w:rsidR="006938E9" w:rsidRPr="00F37BF4"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37BF4">
              <w:rPr>
                <w:rFonts w:ascii="Calibri" w:hAnsi="Calibri" w:cs="Calibri"/>
                <w:color w:val="000000" w:themeColor="text1"/>
                <w:sz w:val="20"/>
                <w:szCs w:val="20"/>
              </w:rPr>
              <w:t>Time used</w:t>
            </w:r>
          </w:p>
        </w:tc>
        <w:tc>
          <w:tcPr>
            <w:tcW w:w="1298" w:type="dxa"/>
          </w:tcPr>
          <w:p w14:paraId="77963F84" w14:textId="77777777" w:rsidR="006938E9" w:rsidRPr="00F37BF4"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37BF4">
              <w:rPr>
                <w:rFonts w:ascii="Calibri" w:hAnsi="Calibri" w:cs="Calibri"/>
                <w:color w:val="000000" w:themeColor="text1"/>
                <w:sz w:val="20"/>
                <w:szCs w:val="20"/>
              </w:rPr>
              <w:t>Reference</w:t>
            </w:r>
          </w:p>
        </w:tc>
        <w:tc>
          <w:tcPr>
            <w:tcW w:w="1699" w:type="dxa"/>
          </w:tcPr>
          <w:p w14:paraId="5A0FA037" w14:textId="77777777" w:rsidR="006938E9" w:rsidRPr="00F37BF4"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37BF4">
              <w:rPr>
                <w:rFonts w:ascii="Calibri" w:hAnsi="Calibri" w:cs="Calibri"/>
                <w:color w:val="000000" w:themeColor="text1"/>
                <w:sz w:val="20"/>
                <w:szCs w:val="20"/>
              </w:rPr>
              <w:t>Sub-themes</w:t>
            </w:r>
          </w:p>
        </w:tc>
        <w:tc>
          <w:tcPr>
            <w:tcW w:w="4331" w:type="dxa"/>
          </w:tcPr>
          <w:p w14:paraId="24824229" w14:textId="77777777" w:rsidR="006938E9" w:rsidRPr="00F37BF4"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37BF4">
              <w:rPr>
                <w:rFonts w:ascii="Calibri" w:hAnsi="Calibri" w:cs="Calibri"/>
                <w:color w:val="000000" w:themeColor="text1"/>
                <w:sz w:val="20"/>
                <w:szCs w:val="20"/>
              </w:rPr>
              <w:t>Internal validity evidence</w:t>
            </w:r>
          </w:p>
        </w:tc>
        <w:tc>
          <w:tcPr>
            <w:tcW w:w="4609" w:type="dxa"/>
            <w:gridSpan w:val="2"/>
          </w:tcPr>
          <w:p w14:paraId="3430F31D" w14:textId="77777777" w:rsidR="006938E9" w:rsidRPr="00F37BF4" w:rsidRDefault="006938E9"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37BF4">
              <w:rPr>
                <w:rFonts w:ascii="Calibri" w:hAnsi="Calibri" w:cs="Calibri"/>
                <w:color w:val="000000" w:themeColor="text1"/>
                <w:sz w:val="20"/>
                <w:szCs w:val="20"/>
              </w:rPr>
              <w:t>Reliability evidence</w:t>
            </w:r>
          </w:p>
        </w:tc>
      </w:tr>
      <w:tr w:rsidR="006938E9" w:rsidRPr="00AB4BAE" w14:paraId="5868B07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698D9EAE" w14:textId="77777777" w:rsidR="006938E9" w:rsidRPr="00AB4BAE" w:rsidRDefault="006938E9" w:rsidP="008C7800">
            <w:pPr>
              <w:rPr>
                <w:rFonts w:ascii="Calibri" w:hAnsi="Calibri" w:cs="Calibri"/>
                <w:sz w:val="20"/>
                <w:szCs w:val="20"/>
              </w:rPr>
            </w:pPr>
            <w:r>
              <w:rPr>
                <w:rFonts w:ascii="Calibri" w:hAnsi="Calibri" w:cs="Calibri"/>
                <w:sz w:val="20"/>
                <w:szCs w:val="20"/>
              </w:rPr>
              <w:t>PHEEM</w:t>
            </w:r>
          </w:p>
        </w:tc>
        <w:tc>
          <w:tcPr>
            <w:tcW w:w="846" w:type="dxa"/>
          </w:tcPr>
          <w:p w14:paraId="790D781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4</w:t>
            </w:r>
          </w:p>
        </w:tc>
        <w:tc>
          <w:tcPr>
            <w:tcW w:w="1298" w:type="dxa"/>
          </w:tcPr>
          <w:p w14:paraId="14C3EB83" w14:textId="7875E00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CzGofp8w","properties":{"formattedCitation":"[49,56\\uc0\\u8211{}58]","plainCitation":"[49,56–58]","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id":3042,"uris":["http://zotero.org/users/4975241/items/K6642LEG"],"uri":["http://zotero.org/users/4975241/items/K6642LEG"],"itemData":{"id":3042,"type":"article-journal","abstract":"Introduction: Increased numbers of rural hospital rotations for interns (first postgraduate year) are being created in Western Australia (WA). This study utilised the Postgraduate Hospital Educational Environment Measure (PHEEM), an internationally validated multidimensional questionnaire, to assess and compare the educational environment of five new or established rural sites and an urban teaching hospital.\nMethods: The PHEEM was modified slightly: to make language appropriate for the WA context and to collect information about intern location. It was administered at the completion of each 10-week term over the first postgraduate year in 2009.\nResults: A total of 147 completed PHEEM questionnaires were returned from 74 interns, evaluating a maximum of 210 individual 10-week terms (105 each from urban and combined rural). Average completion time was 6.4 minutes. The median score for teaching was 45.0 (interquartile range 39.0, 50.0) in rural locations and 43.0 (37.5, 46.0) in urban locations (p=0.046). The median scores for autonomy were 39.0 (35.0, 45.0) and 39.0 (36.0, 41.5) (p=0.672) and for support median scores 33.0 (28.0, 35.0) and 31.0 (28.0, 33.0) (p=0.019) in rural and urban locations respectively.\nConclusion: This study has utilised an Australian-appropriate version of the PHEEM and has provided the first confirmation that, in terms of educational environment, rural intern rotations compare favourably with those in urban settings in WA.","language":"en","page":"12","source":"Zotero","title":"Formal assessment of the educational environment experienced by interns placed in rural hospitals in Western Australia","author":[{"family":"Auret","given":"KA"},{"family":"Skinner","given":"L"},{"family":"Sinclair","given":"C"},{"family":"Evans","given":"S"}]}},{"id":3277,"uris":["http://zotero.org/users/4975241/items/5AK5N2AL"],"uri":["http://zotero.org/users/4975241/items/5AK5N2AL"],"itemData":{"id":3277,"type":"article-journal","abstract":"Objective:  The educational climate is a key factor in medical education. The study aims to examine the relationship between trainee doctors’ perceptions of hospital educational environment, stress and social capital. A cross-sectional study among 104 trainee doctors working in a Greek public hospital was conducted. According to the main hypotheses, perceptions of clinical training are positively associated with social capital and negatively with stress. Results:  Perceptions of autonomy dimension of training quality was positively related to community participation, tolerance of diversity and total social capital. Perceptions of teaching and social support dimensions of the quality of education were positively correlated with community participation. All training quality subscales were negatively correlated with almost all working stress subscales. Analysis revealed significantly higher scores in autonomy perceptions for those who evaluated their undergraduate studies positively. Females had a significantly lower score in perceptions of teaching and social support scales.","container-title":"BMC Research Notes","DOI":"10.1186/s13104-018-3387-5","ISSN":"1756-0500","issue":"1","journalAbbreviation":"BMC Res Notes","language":"en","page":"274","source":"DOI.org (Crossref)","title":"The relationship between stress, social capital and quality of education among medical residents","volume":"11","author":[{"family":"Anastasiadis","given":"Charis"},{"family":"Tsounis","given":"Andreas"},{"family":"Sarafis","given":"Pavlos"}],"issued":{"date-parts":[["2018",12]]}}}],"schema":"https://github.com/citation-style-language/schema/raw/master/csl-citation.json"} </w:instrText>
            </w:r>
            <w:r>
              <w:rPr>
                <w:rFonts w:ascii="Calibri" w:hAnsi="Calibri" w:cs="Calibri"/>
                <w:sz w:val="20"/>
                <w:szCs w:val="20"/>
              </w:rPr>
              <w:fldChar w:fldCharType="separate"/>
            </w:r>
            <w:r w:rsidR="002038AC" w:rsidRPr="002038AC">
              <w:rPr>
                <w:rFonts w:ascii="Calibri" w:hAnsi="Calibri" w:cs="Calibri"/>
                <w:sz w:val="20"/>
              </w:rPr>
              <w:t>[49,56–58]</w:t>
            </w:r>
            <w:r>
              <w:rPr>
                <w:rFonts w:ascii="Calibri" w:hAnsi="Calibri" w:cs="Calibri"/>
                <w:sz w:val="20"/>
                <w:szCs w:val="20"/>
              </w:rPr>
              <w:fldChar w:fldCharType="end"/>
            </w:r>
          </w:p>
        </w:tc>
        <w:tc>
          <w:tcPr>
            <w:tcW w:w="1699" w:type="dxa"/>
          </w:tcPr>
          <w:p w14:paraId="3B2EB112"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11641">
              <w:rPr>
                <w:rFonts w:ascii="Calibri" w:hAnsi="Calibri" w:cs="Calibri"/>
                <w:sz w:val="20"/>
                <w:szCs w:val="20"/>
              </w:rPr>
              <w:t>Work hour, harassment</w:t>
            </w:r>
            <w:r>
              <w:rPr>
                <w:rFonts w:ascii="Calibri" w:hAnsi="Calibri" w:cs="Calibri"/>
                <w:sz w:val="20"/>
                <w:szCs w:val="20"/>
              </w:rPr>
              <w:t xml:space="preserve"> or bullying</w:t>
            </w:r>
            <w:r w:rsidRPr="00A11641">
              <w:rPr>
                <w:rFonts w:ascii="Calibri" w:hAnsi="Calibri" w:cs="Calibri"/>
                <w:sz w:val="20"/>
                <w:szCs w:val="20"/>
              </w:rPr>
              <w:t>, safety, food and accommodation</w:t>
            </w:r>
          </w:p>
        </w:tc>
        <w:tc>
          <w:tcPr>
            <w:tcW w:w="4331" w:type="dxa"/>
          </w:tcPr>
          <w:p w14:paraId="094BC706" w14:textId="091D4BC2"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ImnM3k5t","properties":{"formattedCitation":"[57]","plainCitation":"[57]","noteIndex":0},"citationItems":[{"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[57]</w:t>
            </w:r>
            <w:r>
              <w:rPr>
                <w:rFonts w:ascii="Calibri" w:hAnsi="Calibri" w:cs="Calibri"/>
                <w:sz w:val="20"/>
                <w:szCs w:val="20"/>
              </w:rPr>
              <w:fldChar w:fldCharType="end"/>
            </w:r>
            <w:r>
              <w:rPr>
                <w:rFonts w:ascii="Calibri" w:hAnsi="Calibri" w:cs="Calibri"/>
                <w:sz w:val="20"/>
                <w:szCs w:val="20"/>
              </w:rPr>
              <w:t xml:space="preserve"> Face validity, construct validity (three factors)</w:t>
            </w:r>
          </w:p>
          <w:p w14:paraId="3B1EEF98" w14:textId="48EDDF3B"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H8uByqk2","properties":{"formattedCitation":"[56]","plainCitation":"[56]","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[56]</w:t>
            </w:r>
            <w:r>
              <w:rPr>
                <w:rFonts w:ascii="Calibri" w:hAnsi="Calibri" w:cs="Calibri"/>
                <w:sz w:val="20"/>
                <w:szCs w:val="20"/>
              </w:rPr>
              <w:fldChar w:fldCharType="end"/>
            </w:r>
            <w:r>
              <w:rPr>
                <w:rFonts w:ascii="Calibri" w:hAnsi="Calibri" w:cs="Calibri"/>
                <w:sz w:val="20"/>
                <w:szCs w:val="20"/>
              </w:rPr>
              <w:t xml:space="preserve"> construct validity (one factor)</w:t>
            </w:r>
          </w:p>
        </w:tc>
        <w:tc>
          <w:tcPr>
            <w:tcW w:w="4609" w:type="dxa"/>
            <w:gridSpan w:val="2"/>
          </w:tcPr>
          <w:p w14:paraId="2CDA7FD3" w14:textId="79473548"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same5pPl","properties":{"formattedCitation":"[57]","plainCitation":"[57]","noteIndex":0},"citationItems":[{"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[57]</w:t>
            </w:r>
            <w:r>
              <w:rPr>
                <w:rFonts w:ascii="Calibri" w:hAnsi="Calibri" w:cs="Calibri"/>
                <w:sz w:val="20"/>
                <w:szCs w:val="20"/>
              </w:rPr>
              <w:fldChar w:fldCharType="end"/>
            </w:r>
            <w:r>
              <w:rPr>
                <w:rFonts w:ascii="Calibri" w:hAnsi="Calibri" w:cs="Calibri"/>
                <w:sz w:val="20"/>
                <w:szCs w:val="20"/>
              </w:rPr>
              <w:t xml:space="preserve"> Internal consistency (Cronbach’s alpha = 0.93)</w:t>
            </w:r>
          </w:p>
          <w:p w14:paraId="556680D1" w14:textId="2C4BAF68"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xs1YsPbq","properties":{"formattedCitation":"[56]","plainCitation":"[56]","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[56]</w:t>
            </w:r>
            <w:r>
              <w:rPr>
                <w:rFonts w:ascii="Calibri" w:hAnsi="Calibri" w:cs="Calibri"/>
                <w:sz w:val="20"/>
                <w:szCs w:val="20"/>
              </w:rPr>
              <w:fldChar w:fldCharType="end"/>
            </w:r>
            <w:r>
              <w:rPr>
                <w:rFonts w:ascii="Calibri" w:hAnsi="Calibri" w:cs="Calibri"/>
                <w:sz w:val="20"/>
                <w:szCs w:val="20"/>
              </w:rPr>
              <w:t xml:space="preserve"> Internal consistency (Cronbach’s alpha = 0.84)</w:t>
            </w:r>
          </w:p>
        </w:tc>
      </w:tr>
      <w:tr w:rsidR="006938E9" w:rsidRPr="00AB4BAE" w14:paraId="26634EA4"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434767BA" w14:textId="77777777" w:rsidR="006938E9" w:rsidRPr="00AB4BAE" w:rsidRDefault="006938E9" w:rsidP="008C7800">
            <w:pPr>
              <w:rPr>
                <w:rFonts w:ascii="Calibri" w:hAnsi="Calibri" w:cs="Calibri"/>
                <w:sz w:val="20"/>
                <w:szCs w:val="20"/>
              </w:rPr>
            </w:pPr>
            <w:r w:rsidRPr="00FA4A59">
              <w:rPr>
                <w:rFonts w:ascii="Calibri" w:hAnsi="Calibri" w:cs="Calibri"/>
                <w:sz w:val="20"/>
                <w:szCs w:val="20"/>
              </w:rPr>
              <w:t>UK Medical Career Research Group</w:t>
            </w:r>
            <w:r>
              <w:rPr>
                <w:rFonts w:ascii="Calibri" w:hAnsi="Calibri" w:cs="Calibri"/>
                <w:sz w:val="20"/>
                <w:szCs w:val="20"/>
              </w:rPr>
              <w:t xml:space="preserve"> survey</w:t>
            </w:r>
          </w:p>
        </w:tc>
        <w:tc>
          <w:tcPr>
            <w:tcW w:w="846" w:type="dxa"/>
          </w:tcPr>
          <w:p w14:paraId="25632CE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3</w:t>
            </w:r>
          </w:p>
        </w:tc>
        <w:tc>
          <w:tcPr>
            <w:tcW w:w="1298" w:type="dxa"/>
          </w:tcPr>
          <w:p w14:paraId="68BD7333" w14:textId="29B12572"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LDPDmfc","properties":{"formattedCitation":"[25,26,55]","plainCitation":"[25,26,55]","noteIndex":0},"citationItems":[{"id":2984,"uris":["http://zotero.org/users/4975241/items/DCEHAHMU"],"uri":["http://zotero.org/users/4975241/items/DCEHAHMU"],"itemData":{"id":2984,"type":"article-journal","abstract":"Objective The ﬁrst year of postgraduate work for newly qualiﬁed doctors in the UK, the pre-registration year, is spent working intensively in training posts under supervision. Our aim was to report the views of preregistration doctors on these posts. Design Questionnaire survey. Subjects All medical graduates of 1999 and a 25% sample of graduates of 2000 from all UK medical schools. Main outcome measures Doctors’ views on the preregistration house ofﬁcer (PRHO) year, recorded as ratings in answers to questions and statements about the year. Results In reply to the question ÔHow much have you enjoyed the PRHO year overall?Õ, rated on a scale from 0)10 (0 ¼ no enjoyment; 10 ¼ enjoyed it greatly), 44% of respondents (1341 ⁄ 3068) gave scores of 8–10; in all, 83Æ2% of respondents gave scores in the upper half of the scale (‡6). However, there were criticisms of speciﬁc aspects of working conditions. Only a third agreed that their training during the year had been of a high standard. Posts in medicine were rated more highly than those in surgery for quality of training. Differences in views held by women and men junior doctors were few. However, where differences existed, women were slightly more positive about their work than men. Conclusion Most graduates enjoyed the pre-registration year but there is still considerable scope for improvement in working conditions and training. Men and women gave similar responses, which suggests that later divergence in their career pathways is not attributable to different views formed about work in their preregistration year.","container-title":"Medical Education","DOI":"10.1046/j.1365-2923.2003.01611.x","ISSN":"0308-0110, 1365-2923","issue":"9","journalAbbreviation":"Med Educ","language":"en","page":"802-808","source":"DOI.org (Crossref)","title":"Doctors' views of their first year of medical work and postgraduate training in the UK: questionnaire surveys","title-short":"Doctors' views of their first year of medical work and postgraduate training in the UK","volume":"37","author":[{"family":"Goldacre","given":"Michael J"},{"family":"Davidson","given":"Jean M"},{"family":"Lambert","given":"Trevor W"}],"issued":{"date-parts":[["2003",9]]}}},{"id":3273,"uris":["http://zotero.org/users/4975241/items/9ALUWLYY"],"uri":["http://zotero.org/users/4975241/items/9ALUWLYY"],"itemData":{"id":3273,"type":"article-journal","abstract":"OBJECTIVE To determine whether graduate and nongraduate entrants to medical school differ in their views on the ﬁrst year spent in medical practice as a pre-registration house ofﬁcer.\nMETHODS We carried out postal questionnaire surveys of medical qualiﬁers of 1999, 2000 and 2002 from all UK medical schools, 1 year after qualiﬁcation. The timing of the study slightly pre-dates the recent major expansion in graduate entry fast-track courses.\nRESULTS Differences between graduate and nongraduate entrants were few and, even when statistically signiﬁcant, were small in scale. Graduate entrants viewed their working hours, pay and living conditions at work, such as hospital accommodation and food, a little less favourably than did non-graduate entrants. Graduate entrants were also less satisﬁed than non-graduates with time available for family, social and recreational activities. However, graduate entrants were more likely than non-graduate entrants to feel positive about their future career prospects. There were no differences between graduate and non-graduate entrants in whether they felt they had been well prepared by their medical schools for the jobs they undertook as house ofﬁcers. Levels of job satisfaction expressed by graduate and non-graduate entrants were similar, as were their responses to most other statements about attitudes to clinical work.\nCONCLUSIONS ÔQuality of lifeÕ issues, a sense of being fairly rewarded, and expectations about oneÕs physical working environment seem a little more important to graduate than to non-graduate entrants.","container-title":"Medical Education","DOI":"10.1111/j.1365-2923.2007.02992.x","ISSN":"03080110, 13652923","issue":"3","language":"en","page":"286-293","source":"DOI.org (Crossref)","title":"The first house officer year: views of graduate and non-graduate entrants to medical school","title-short":"The first house officer year","volume":"42","author":[{"family":"Goldacre","given":"Michael J"},{"family":"Davidson","given":"Jean M"},{"family":"Lambert","given":"Trevor W"}],"issued":{"date-parts":[["2008",3]]}}},{"id":3281,"uris":["http://zotero.org/users/4975241/items/88EPWDWH"],"uri":["http://zotero.org/users/4975241/items/88EPWDWH"],"itemData":{"id":3281,"type":"article-journal","abstract":"Background: In the UK, doctors’ first year of medical work is also their first year of postgraduate training. It is very important that their experience of work and training is good. Design: Surveys of entire cohorts graduating in particular years. Setting: UK.\nMethod: Questionnaires sent 1 year after qualification to all UK medical graduates of 1999, 2000, 2002, 2005, 2008 and 2009.\nResults: The study comprised 17 831 respondents. Variation in views across cohorts was modest. Overall, 30% agreed their training had been of a high standard; 38% agreed educational opportunities had been good; 52% agreed they had to do too much routine nonmedical work; and 16% agreed they had to perform clinical tasks for which they felt inadequately trained. Job enjoyment, rated from 1 (‘I didn’t enjoy it at all’) to 10 (‘I enjoyed it greatly’), improved from 70% of doctors in the 1999 cohort scoring 7–10 to 75% in the 2009 cohort. Satisfaction with available leisure time, rated from 1 (‘not at all satisfied’) to 10 (‘extremely satisfied’), rose from 24% scoring 7–10 in the 1999s to 49% in the 2009s. Male–female differences were small.\nConclusions: There was improvement over the decade in some aspects of work, particularly satisfaction with time off work for leisure, and overall enjoyment of the job. There was little change in doctors’ views about the training experience offered by the F1 year.","container-title":"BMJ Open","DOI":"10.1136/bmjopen-2013-002723","ISSN":"2044-6055, 2044-6055","issue":"4","journalAbbreviation":"BMJ Open","language":"en","page":"e002723","source":"DOI.org (Crossref)","title":"Views of UK-trained medical graduates of 1999–2009 about their first postgraduate year of training: national surveys","title-short":"Views of UK-trained medical graduates of 1999–2009 about their first postgraduate year of training","volume":"3","author":[{"family":"Lambert","given":"Trevor W"},{"family":"Surman","given":"Geraldine"},{"family":"Goldacre","given":"Michael J"}],"issued":{"date-parts":[["2013"]]}}}],"schema":"https://github.com/citation-style-language/schema/raw/master/csl-citation.json"}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[25,26,55]</w:t>
            </w:r>
            <w:r>
              <w:rPr>
                <w:rFonts w:ascii="Calibri" w:hAnsi="Calibri" w:cs="Calibri"/>
                <w:sz w:val="20"/>
                <w:szCs w:val="20"/>
              </w:rPr>
              <w:fldChar w:fldCharType="end"/>
            </w:r>
          </w:p>
        </w:tc>
        <w:tc>
          <w:tcPr>
            <w:tcW w:w="1699" w:type="dxa"/>
          </w:tcPr>
          <w:p w14:paraId="46F965F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C9747E">
              <w:rPr>
                <w:rFonts w:ascii="Calibri" w:hAnsi="Calibri" w:cs="Calibri"/>
                <w:sz w:val="20"/>
                <w:szCs w:val="20"/>
              </w:rPr>
              <w:t>Workload, food and acco</w:t>
            </w:r>
            <w:r>
              <w:rPr>
                <w:rFonts w:ascii="Calibri" w:hAnsi="Calibri" w:cs="Calibri"/>
                <w:sz w:val="20"/>
                <w:szCs w:val="20"/>
              </w:rPr>
              <w:t>m</w:t>
            </w:r>
            <w:r w:rsidRPr="00C9747E">
              <w:rPr>
                <w:rFonts w:ascii="Calibri" w:hAnsi="Calibri" w:cs="Calibri"/>
                <w:sz w:val="20"/>
                <w:szCs w:val="20"/>
              </w:rPr>
              <w:t>modation</w:t>
            </w:r>
            <w:r>
              <w:rPr>
                <w:rFonts w:ascii="Calibri" w:hAnsi="Calibri" w:cs="Calibri"/>
                <w:sz w:val="20"/>
                <w:szCs w:val="20"/>
              </w:rPr>
              <w:t xml:space="preserve">, </w:t>
            </w:r>
            <w:r w:rsidRPr="00C9747E">
              <w:rPr>
                <w:rFonts w:ascii="Calibri" w:hAnsi="Calibri" w:cs="Calibri"/>
                <w:sz w:val="20"/>
                <w:szCs w:val="20"/>
              </w:rPr>
              <w:t>remuneration</w:t>
            </w:r>
          </w:p>
        </w:tc>
        <w:tc>
          <w:tcPr>
            <w:tcW w:w="4331" w:type="dxa"/>
          </w:tcPr>
          <w:p w14:paraId="68C9609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108A581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3C9361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4ACCB7F4" w14:textId="77777777" w:rsidR="006938E9" w:rsidRPr="00AB4BAE" w:rsidRDefault="006938E9" w:rsidP="008C7800">
            <w:pPr>
              <w:rPr>
                <w:rFonts w:ascii="Calibri" w:hAnsi="Calibri" w:cs="Calibri"/>
                <w:sz w:val="20"/>
                <w:szCs w:val="20"/>
              </w:rPr>
            </w:pPr>
            <w:r w:rsidRPr="00C16995">
              <w:rPr>
                <w:rFonts w:ascii="Calibri" w:hAnsi="Calibri" w:cs="Calibri"/>
                <w:sz w:val="20"/>
                <w:szCs w:val="20"/>
              </w:rPr>
              <w:t>Accreditation Council for Graduate Medical Education Resident Survey</w:t>
            </w:r>
          </w:p>
        </w:tc>
        <w:tc>
          <w:tcPr>
            <w:tcW w:w="846" w:type="dxa"/>
          </w:tcPr>
          <w:p w14:paraId="2AB9E55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2</w:t>
            </w:r>
          </w:p>
        </w:tc>
        <w:tc>
          <w:tcPr>
            <w:tcW w:w="1298" w:type="dxa"/>
          </w:tcPr>
          <w:p w14:paraId="389FB19D" w14:textId="75AF027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LT9xQEmn","properties":{"formattedCitation":"[59,60]","plainCitation":"[59,60]","noteIndex":0},"citationItems":[{"id":3210,"uris":["http://zotero.org/users/4975241/items/58J96YPI"],"uri":["http://zotero.org/users/4975241/items/58J96YPI"],"itemData":{"id":3210,"type":"article-journal","abstract":"Objective: Several aspects of medical training may contribute to the ultimate goal of producing excellent physicians whose patients will have the best possible outcomes. However, the relative importance of education, evaluation and feedback, duty hours, practice structure, and program culture in achieving this goal is unclear. This study assessed associations among in-training exam performance, Accreditation Council for Graduate Medical Education (ACGME) Resident Survey responses, and American Board of Medical Specialties (ABMS) national board exam performance.\nMethods: Residency training programs at a university teaching hospital were classified as having 5-year first-time ABMS pass rates above (n=12) or below (n=3) the national average for their specialty. These groups were compared by ACGME Resident Survey data and in-training exam performance.\nResults: Surveys were collected from 484/543 eligible residents (89%), including 177 surveys from programs with belowaverage board pass rates and 307 surveys from programs with aboveaverage board pass rates. In-training exam performance was similar between groups. Aboveaverage programs had stronger agreement with statements that their culture reinforced patient safety (4.72 vs. 4.30, p=0.006) and that information was not lost during transitions of care (4.14 vs. 3.63, p=0.001). Although the occurrence of interprofessional teamwork was similar between groups, above-average programs had stronger agreement with the statement that interprofessional teamwork was effective (4.60 vs. 4.17, p=0.003).\nConclusion: Residency programs emphasizing patient safety and effective interprofessional teamwork had above-average firsttime national board pass rates.","container-title":"Academic Psychiatry","DOI":"10.1007/s40596-019-01106-x","ISSN":"1042-9670, 1545-7230","issue":"6","journalAbbreviation":"Acad Psychiatry","language":"en","page":"581-584","source":"DOI.org (Crossref)","title":"Associations Between National Board Exam Performance and Residency Program Emphasis on Patient Safety and Interprofessional Teamwork","volume":"43","author":[{"family":"Loftus","given":"Tyler J."},{"family":"Hall","given":"David J."},{"family":"Malaty","given":"John Z."},{"family":"Kuruppacherry","given":"Sony B."},{"family":"Sarosi","given":"George A."},{"family":"Shaw","given":"Christiana M."},{"family":"Tan","given":"Sanda A."},{"family":"Taylor","given":"Janice"},{"family":"Morris","given":"Diana S."},{"family":"Meyer","given":"Lynne E."},{"family":"Hobbs","given":"Jacqueline A."}],"issued":{"date-parts":[["2019",12]]}}},{"id":3308,"uris":["http://zotero.org/users/4975241/items/3FSYLRXT"],"uri":["http://zotero.org/users/4975241/items/3FSYLRXT"],"itemData":{"id":3308,"type":"article-journal","abstract":"PURPOSE: Residents' assessment of their learning environment is an important element of residency accreditation and a strong predictor of resident satisfaction. The authors examined the reliability and validity of a resident/fellow survey and explored the relationship between reported duty hours noncompliance and residents' perceptions of other aspects of their learning environments.\nMETHOD: The Accreditation Council for Graduate Medical Education (ACGME) administered a 29-item Web-based survey in 2007 and 2008 to 91,073 residents in 5,610 programs. Aggregate data from the survey comprised indicators of substantial compliance or noncompliance. The authors examined relationships among duty hours and aspects of the educational environment, as well as the relationship of the survey results to citations from accreditation reviews.\nRESULTS: The survey demonstrated a high degree of internal reliability (Cronbach alpha, 0.84). Common factor analysis revealed two factors, educational environment and resident duty hours (eigenvalues of 5.49 and 2.42, respectively). Programs having resident-identified duty hours issues were more likely than those without such issues to have received duty hours citations from residency review committees (odds ratio: 2.04; 95% CI: 1.03, 3.05).\nCONCLUSIONS: The ACGME Resident/Fellow Survey is a reliable, valid, and useful tool for evaluating residency programs. There are strong relationships between duty hours noncompliance and noncompliance in other aspects of the program environment.","container-title":"Academic Medicine: Journal of the Association of American Medical Colleges","DOI":"10.1097/ACM.0b013e3181ccc1db","ISSN":"1938-808X","issue":"3","journalAbbreviation":"Acad Med","language":"eng","note":"PMID: 20182130","page":"512-518","source":"PubMed","title":"Residents' perspectives on the learning environment: data from the Accreditation Council for Graduate Medical Education resident survey","title-short":"Residents' perspectives on the learning environment","volume":"85","author":[{"family":"Holt","given":"Kathleen D."},{"family":"Miller","given":"Rebecca S."},{"family":"Philibert","given":"Ingrid"},{"family":"Heard","given":"Jeanne K."},{"family":"Nasca","given":"Thomas J."}],"issued":{"date-parts":[["2010",3]]}}}],"schema":"https://github.com/citation-style-language/schema/raw/master/csl-citation.json"}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[59,60]</w:t>
            </w:r>
            <w:r>
              <w:rPr>
                <w:rFonts w:ascii="Calibri" w:hAnsi="Calibri" w:cs="Calibri"/>
                <w:sz w:val="20"/>
                <w:szCs w:val="20"/>
              </w:rPr>
              <w:fldChar w:fldCharType="end"/>
            </w:r>
          </w:p>
        </w:tc>
        <w:tc>
          <w:tcPr>
            <w:tcW w:w="1699" w:type="dxa"/>
          </w:tcPr>
          <w:p w14:paraId="616DB5AA"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Workload, safety</w:t>
            </w:r>
          </w:p>
        </w:tc>
        <w:tc>
          <w:tcPr>
            <w:tcW w:w="4331" w:type="dxa"/>
          </w:tcPr>
          <w:p w14:paraId="48DF2E9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350B766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88A4439"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292BE0F3" w14:textId="77777777" w:rsidR="006938E9" w:rsidRPr="00E85481" w:rsidRDefault="006938E9" w:rsidP="008C7800">
            <w:pPr>
              <w:rPr>
                <w:rFonts w:ascii="Calibri" w:hAnsi="Calibri" w:cs="Calibri"/>
                <w:sz w:val="20"/>
                <w:szCs w:val="20"/>
              </w:rPr>
            </w:pPr>
            <w:r w:rsidRPr="00CB5620">
              <w:rPr>
                <w:rFonts w:ascii="Calibri" w:hAnsi="Calibri" w:cs="Calibri"/>
                <w:sz w:val="20"/>
                <w:szCs w:val="20"/>
              </w:rPr>
              <w:t>Cyber Negative Acts Questionnaire</w:t>
            </w:r>
          </w:p>
        </w:tc>
        <w:tc>
          <w:tcPr>
            <w:tcW w:w="846" w:type="dxa"/>
          </w:tcPr>
          <w:p w14:paraId="13619BA7"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229D1330" w14:textId="2A002C8A"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MxCzz5Wf","properties":{"formattedCitation":"[31]","plainCitation":"[31]","noteIndex":0},"citationItems":[{"id":3019,"uris":["http://zotero.org/users/4975241/items/S54NYNES"],"uri":["http://zotero.org/users/4975241/items/S54NYNES"],"itemData":{"id":3019,"type":"article-journal","container-title":"Medical Education","DOI":"10.1111/medu.12666","ISSN":"03080110","issue":"4","journalAbbreviation":"Med Educ","language":"en","page":"436-443","source":"DOI.org (Crossref)","title":"Exploring the impact of workplace cyberbullying on trainee doctors","volume":"49","author":[{"family":"Farley","given":"Samuel"},{"family":"Coyne","given":"Iain"},{"family":"Sprigg","given":"Christine"},{"family":"Axtell","given":"Carolyn"},{"family":"Subramanian","given":"Ganesh"}],"issued":{"date-parts":[["2015",4]]}}}],"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[31]</w:t>
            </w:r>
            <w:r>
              <w:rPr>
                <w:rFonts w:ascii="Calibri" w:hAnsi="Calibri" w:cs="Calibri"/>
                <w:sz w:val="20"/>
                <w:szCs w:val="20"/>
              </w:rPr>
              <w:fldChar w:fldCharType="end"/>
            </w:r>
          </w:p>
        </w:tc>
        <w:tc>
          <w:tcPr>
            <w:tcW w:w="1699" w:type="dxa"/>
          </w:tcPr>
          <w:p w14:paraId="7EF5D0C8"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Bullying</w:t>
            </w:r>
          </w:p>
        </w:tc>
        <w:tc>
          <w:tcPr>
            <w:tcW w:w="4331" w:type="dxa"/>
          </w:tcPr>
          <w:p w14:paraId="3757794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609" w:type="dxa"/>
            <w:gridSpan w:val="2"/>
          </w:tcPr>
          <w:p w14:paraId="31D44C92" w14:textId="764A992D"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c9D5youa","properties":{"formattedCitation":"[31]","plainCitation":"[31]","noteIndex":0},"citationItems":[{"id":3019,"uris":["http://zotero.org/users/4975241/items/S54NYNES"],"uri":["http://zotero.org/users/4975241/items/S54NYNES"],"itemData":{"id":3019,"type":"article-journal","container-title":"Medical Education","DOI":"10.1111/medu.12666","ISSN":"03080110","issue":"4","journalAbbreviation":"Med Educ","language":"en","page":"436-443","source":"DOI.org (Crossref)","title":"Exploring the impact of workplace cyberbullying on trainee doctors","volume":"49","author":[{"family":"Farley","given":"Samuel"},{"family":"Coyne","given":"Iain"},{"family":"Sprigg","given":"Christine"},{"family":"Axtell","given":"Carolyn"},{"family":"Subramanian","given":"Ganesh"}],"issued":{"date-parts":[["2015",4]]}}}],"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[31]</w:t>
            </w:r>
            <w:r>
              <w:rPr>
                <w:rFonts w:ascii="Calibri" w:hAnsi="Calibri" w:cs="Calibri"/>
                <w:sz w:val="20"/>
                <w:szCs w:val="20"/>
              </w:rPr>
              <w:fldChar w:fldCharType="end"/>
            </w:r>
            <w:r>
              <w:rPr>
                <w:rFonts w:ascii="Calibri" w:hAnsi="Calibri" w:cs="Calibri"/>
                <w:sz w:val="20"/>
                <w:szCs w:val="20"/>
              </w:rPr>
              <w:t xml:space="preserve"> Internal consistency (Cronbach’s alpha = 0.85)</w:t>
            </w:r>
          </w:p>
        </w:tc>
      </w:tr>
      <w:tr w:rsidR="006938E9" w:rsidRPr="00AB4BAE" w14:paraId="01E65EC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2B68079D" w14:textId="77777777" w:rsidR="006938E9" w:rsidRPr="00AB4BAE" w:rsidRDefault="006938E9" w:rsidP="008C7800">
            <w:pPr>
              <w:rPr>
                <w:rFonts w:ascii="Calibri" w:hAnsi="Calibri" w:cs="Calibri"/>
                <w:sz w:val="20"/>
                <w:szCs w:val="20"/>
              </w:rPr>
            </w:pPr>
            <w:r w:rsidRPr="00E85481">
              <w:rPr>
                <w:rFonts w:ascii="Calibri" w:hAnsi="Calibri" w:cs="Calibri"/>
                <w:sz w:val="20"/>
                <w:szCs w:val="20"/>
              </w:rPr>
              <w:t>Graduate Medical Education Committee</w:t>
            </w:r>
            <w:r>
              <w:rPr>
                <w:rFonts w:ascii="Calibri" w:hAnsi="Calibri" w:cs="Calibri"/>
                <w:sz w:val="20"/>
                <w:szCs w:val="20"/>
              </w:rPr>
              <w:t xml:space="preserve"> annual survey</w:t>
            </w:r>
          </w:p>
        </w:tc>
        <w:tc>
          <w:tcPr>
            <w:tcW w:w="846" w:type="dxa"/>
          </w:tcPr>
          <w:p w14:paraId="50F8E1C2"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6F9B381" w14:textId="0306B880"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WMPskr9","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p>
        </w:tc>
        <w:tc>
          <w:tcPr>
            <w:tcW w:w="1699" w:type="dxa"/>
          </w:tcPr>
          <w:p w14:paraId="64684882"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0FB28BC1" w14:textId="78CBBDAC"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AoKAerDr","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r>
              <w:rPr>
                <w:rFonts w:ascii="Calibri" w:hAnsi="Calibri" w:cs="Calibri"/>
                <w:sz w:val="20"/>
                <w:szCs w:val="20"/>
              </w:rPr>
              <w:t xml:space="preserve"> </w:t>
            </w:r>
            <w:r w:rsidRPr="00EA384E">
              <w:rPr>
                <w:rFonts w:ascii="Calibri" w:hAnsi="Calibri" w:cs="Calibri"/>
                <w:sz w:val="20"/>
                <w:szCs w:val="20"/>
              </w:rPr>
              <w:t>Construct validity, content validity, discriminate validity</w:t>
            </w:r>
          </w:p>
        </w:tc>
        <w:tc>
          <w:tcPr>
            <w:tcW w:w="4609" w:type="dxa"/>
            <w:gridSpan w:val="2"/>
          </w:tcPr>
          <w:p w14:paraId="4FA82D80" w14:textId="3E53BF31"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Mj2jWELW","properties":{"formattedCitation":"[64]","plainCitation":"[64]","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[64]</w:t>
            </w:r>
            <w:r>
              <w:rPr>
                <w:rFonts w:ascii="Calibri" w:hAnsi="Calibri" w:cs="Calibri"/>
                <w:sz w:val="20"/>
                <w:szCs w:val="20"/>
              </w:rPr>
              <w:fldChar w:fldCharType="end"/>
            </w:r>
            <w:r>
              <w:rPr>
                <w:rFonts w:ascii="Calibri" w:hAnsi="Calibri" w:cs="Calibri"/>
                <w:sz w:val="20"/>
                <w:szCs w:val="20"/>
              </w:rPr>
              <w:t xml:space="preserve"> Internal consistency (Cronbach’s alpha = 0.83-87)</w:t>
            </w:r>
          </w:p>
        </w:tc>
      </w:tr>
      <w:tr w:rsidR="006938E9" w:rsidRPr="00AB4BAE" w14:paraId="2F303150"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7DCF5CAC" w14:textId="77777777" w:rsidR="006938E9" w:rsidRPr="00AB4BAE" w:rsidRDefault="006938E9" w:rsidP="008C7800">
            <w:pPr>
              <w:rPr>
                <w:rFonts w:ascii="Calibri" w:hAnsi="Calibri" w:cs="Calibri"/>
                <w:sz w:val="20"/>
                <w:szCs w:val="20"/>
              </w:rPr>
            </w:pPr>
            <w:r>
              <w:rPr>
                <w:rFonts w:ascii="Calibri" w:hAnsi="Calibri" w:cs="Calibri"/>
                <w:sz w:val="20"/>
                <w:szCs w:val="20"/>
              </w:rPr>
              <w:t>Hannan et al. 2017 questionnaire</w:t>
            </w:r>
          </w:p>
        </w:tc>
        <w:tc>
          <w:tcPr>
            <w:tcW w:w="846" w:type="dxa"/>
          </w:tcPr>
          <w:p w14:paraId="172324E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3A4B8A69" w14:textId="27F3F77F"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7RKjjZRd","properties":{"formattedCitation":"[4]","plainCitation":"[4]","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w:t>
            </w:r>
            <w:r>
              <w:rPr>
                <w:rFonts w:ascii="Calibri" w:hAnsi="Calibri" w:cs="Calibri"/>
                <w:sz w:val="20"/>
                <w:szCs w:val="20"/>
              </w:rPr>
              <w:fldChar w:fldCharType="end"/>
            </w:r>
          </w:p>
        </w:tc>
        <w:tc>
          <w:tcPr>
            <w:tcW w:w="1699" w:type="dxa"/>
          </w:tcPr>
          <w:p w14:paraId="7F09A579"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301E102A" w14:textId="4126B61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4aXXQph","properties":{"formattedCitation":"[4]","plainCitation":"[4]","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w:t>
            </w:r>
            <w:r>
              <w:rPr>
                <w:rFonts w:ascii="Calibri" w:hAnsi="Calibri" w:cs="Calibri"/>
                <w:sz w:val="20"/>
                <w:szCs w:val="20"/>
              </w:rPr>
              <w:fldChar w:fldCharType="end"/>
            </w:r>
            <w:r>
              <w:rPr>
                <w:rFonts w:ascii="Calibri" w:hAnsi="Calibri" w:cs="Calibri"/>
                <w:sz w:val="20"/>
                <w:szCs w:val="20"/>
              </w:rPr>
              <w:t xml:space="preserve"> Face validity</w:t>
            </w:r>
          </w:p>
        </w:tc>
        <w:tc>
          <w:tcPr>
            <w:tcW w:w="4609" w:type="dxa"/>
            <w:gridSpan w:val="2"/>
          </w:tcPr>
          <w:p w14:paraId="0C5EE2D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8B8DA6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66E0852E" w14:textId="77777777" w:rsidR="006938E9" w:rsidRPr="001562FC" w:rsidRDefault="006938E9" w:rsidP="008C7800">
            <w:pPr>
              <w:rPr>
                <w:rFonts w:ascii="Calibri" w:hAnsi="Calibri" w:cs="Calibri"/>
                <w:color w:val="000000"/>
                <w:sz w:val="20"/>
                <w:szCs w:val="20"/>
              </w:rPr>
            </w:pPr>
            <w:r>
              <w:rPr>
                <w:rFonts w:ascii="Calibri" w:hAnsi="Calibri" w:cs="Calibri"/>
                <w:color w:val="000000"/>
                <w:sz w:val="20"/>
                <w:szCs w:val="20"/>
              </w:rPr>
              <w:t xml:space="preserve">Modified </w:t>
            </w:r>
            <w:r w:rsidRPr="001562FC">
              <w:rPr>
                <w:rFonts w:ascii="Calibri" w:hAnsi="Calibri" w:cs="Calibri"/>
                <w:color w:val="000000"/>
                <w:sz w:val="20"/>
                <w:szCs w:val="20"/>
              </w:rPr>
              <w:t>Resident Questionnaire</w:t>
            </w:r>
          </w:p>
        </w:tc>
        <w:tc>
          <w:tcPr>
            <w:tcW w:w="846" w:type="dxa"/>
          </w:tcPr>
          <w:p w14:paraId="4E621B9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24CA3113" w14:textId="7B85F911"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LU5J6wx","properties":{"formattedCitation":"[67]","plainCitation":"[67]","noteIndex":0},"citationItems":[{"id":3094,"uris":["http://zotero.org/users/4975241/items/CG75NVMG"],"uri":["http://zotero.org/users/4975241/items/CG75NVMG"],"itemData":{"id":3094,"type":"article-journal","abstract":"Background—This large, multi-institutional study examines the relative contribution of residency specialty and institution to resident satisfaction with their learning environment and workload.\nMethod—Survey responses from 798 residents were linked to institution (N = 20) and specialty (N = 10) and to characteristics of individual residency programs (N = 126) derived from the FREIDA online database. Hierarchical linear modeling was used to estimate relative contributions of these factors to resident satisfaction with workload and learning environment.\nResults—Institution had greater influence than specialty on resident ratings of satisfaction with their workload and learning environment. Institution and specialty accounted for more variance in satisfaction with workload than with the learning environment. There is evidence that characteristics of a given residency program in a given institution has additional impact, beyond these main effects. However, characteristics of institutions or programs, such as program selectivity, off-duty periods, number of faculty, etc., did not explain statistically significant amounts of variance in resident satisfaction ratings.\nConclusions—This study is the first to quantify the degree to which institution and specialty contribute to differences in resident perceptions of their learning environment and workload. Although organizational and institutional cultures are presumed to influence the learning environment, estimating the size of these influences requires a multi-institutional and multispecialty dataset, such as this one. These results suggest that there is empirical justification for institutional interventions to improve the learning environment.","container-title":"Academic Medicine","DOI":"10.1097/ACM.0000000000000898","ISSN":"1040-2446","journalAbbreviation":"Academic Medicine","language":"en","page":"S77-S82","source":"DOI.org (Crossref)","title":"Institution and Specialty Contribute to Resident Satisfaction With Their Learning Environment and Workload:","title-short":"Institution and Specialty Contribute to Resident Satisfaction With Their Learning Environment and Workload","volume":"90","author":[{"family":"Gruppen","given":"Larry D."},{"family":"Stansfield","given":"R. Brent"},{"family":"Zhao","given":"Zhuo"},{"family":"Sen","given":"Srijan"}],"issued":{"date-parts":[["2015",11]]}}}],"schema":"https://github.com/citation-style-language/schema/raw/master/csl-citation.json"}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[67]</w:t>
            </w:r>
            <w:r>
              <w:rPr>
                <w:rFonts w:ascii="Calibri" w:hAnsi="Calibri" w:cs="Calibri"/>
                <w:sz w:val="20"/>
                <w:szCs w:val="20"/>
              </w:rPr>
              <w:fldChar w:fldCharType="end"/>
            </w:r>
          </w:p>
        </w:tc>
        <w:tc>
          <w:tcPr>
            <w:tcW w:w="1699" w:type="dxa"/>
          </w:tcPr>
          <w:p w14:paraId="7BC973F9"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7A7321F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2DEC2E4C" w14:textId="4B9729E3"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03jLcqzx","properties":{"formattedCitation":"[67]","plainCitation":"[67]","noteIndex":0},"citationItems":[{"id":3094,"uris":["http://zotero.org/users/4975241/items/CG75NVMG"],"uri":["http://zotero.org/users/4975241/items/CG75NVMG"],"itemData":{"id":3094,"type":"article-journal","abstract":"Background—This large, multi-institutional study examines the relative contribution of residency specialty and institution to resident satisfaction with their learning environment and workload.\nMethod—Survey responses from 798 residents were linked to institution (N = 20) and specialty (N = 10) and to characteristics of individual residency programs (N = 126) derived from the FREIDA online database. Hierarchical linear modeling was used to estimate relative contributions of these factors to resident satisfaction with workload and learning environment.\nResults—Institution had greater influence than specialty on resident ratings of satisfaction with their workload and learning environment. Institution and specialty accounted for more variance in satisfaction with workload than with the learning environment. There is evidence that characteristics of a given residency program in a given institution has additional impact, beyond these main effects. However, characteristics of institutions or programs, such as program selectivity, off-duty periods, number of faculty, etc., did not explain statistically significant amounts of variance in resident satisfaction ratings.\nConclusions—This study is the first to quantify the degree to which institution and specialty contribute to differences in resident perceptions of their learning environment and workload. Although organizational and institutional cultures are presumed to influence the learning environment, estimating the size of these influences requires a multi-institutional and multispecialty dataset, such as this one. These results suggest that there is empirical justification for institutional interventions to improve the learning environment.","container-title":"Academic Medicine","DOI":"10.1097/ACM.0000000000000898","ISSN":"1040-2446","journalAbbreviation":"Academic Medicine","language":"en","page":"S77-S82","source":"DOI.org (Crossref)","title":"Institution and Specialty Contribute to Resident Satisfaction With Their Learning Environment and Workload:","title-short":"Institution and Specialty Contribute to Resident Satisfaction With Their Learning Environment and Workload","volume":"90","author":[{"family":"Gruppen","given":"Larry D."},{"family":"Stansfield","given":"R. Brent"},{"family":"Zhao","given":"Zhuo"},{"family":"Sen","given":"Srijan"}],"issued":{"date-parts":[["2015",11]]}}}],"schema":"https://github.com/citation-style-language/schema/raw/master/csl-citation.json"}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[67]</w:t>
            </w:r>
            <w:r>
              <w:rPr>
                <w:rFonts w:ascii="Calibri" w:hAnsi="Calibri" w:cs="Calibri"/>
                <w:sz w:val="20"/>
                <w:szCs w:val="20"/>
              </w:rPr>
              <w:fldChar w:fldCharType="end"/>
            </w:r>
            <w:r>
              <w:rPr>
                <w:rFonts w:ascii="Calibri" w:hAnsi="Calibri" w:cs="Calibri"/>
                <w:sz w:val="20"/>
                <w:szCs w:val="20"/>
              </w:rPr>
              <w:t xml:space="preserve"> Internal consistency (Cronbach’s alpha = 0.85)</w:t>
            </w:r>
          </w:p>
        </w:tc>
      </w:tr>
      <w:tr w:rsidR="006938E9" w:rsidRPr="00AB4BAE" w14:paraId="6A490685"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46A03FA5" w14:textId="77777777" w:rsidR="006938E9" w:rsidRDefault="006938E9" w:rsidP="008C7800">
            <w:pPr>
              <w:rPr>
                <w:rFonts w:ascii="Calibri" w:hAnsi="Calibri" w:cs="Calibri"/>
                <w:sz w:val="20"/>
                <w:szCs w:val="20"/>
              </w:rPr>
            </w:pPr>
            <w:r w:rsidRPr="00FC4139">
              <w:rPr>
                <w:rFonts w:ascii="Calibri" w:hAnsi="Calibri" w:cs="Calibri"/>
                <w:sz w:val="20"/>
                <w:szCs w:val="20"/>
              </w:rPr>
              <w:t>Psychological Safety Scale</w:t>
            </w:r>
          </w:p>
        </w:tc>
        <w:tc>
          <w:tcPr>
            <w:tcW w:w="846" w:type="dxa"/>
          </w:tcPr>
          <w:p w14:paraId="0CB671B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4E34311F" w14:textId="053F79CA"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O4Voc5j","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p>
        </w:tc>
        <w:tc>
          <w:tcPr>
            <w:tcW w:w="1699" w:type="dxa"/>
          </w:tcPr>
          <w:p w14:paraId="434D5757"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Safety</w:t>
            </w:r>
          </w:p>
        </w:tc>
        <w:tc>
          <w:tcPr>
            <w:tcW w:w="4331" w:type="dxa"/>
          </w:tcPr>
          <w:p w14:paraId="091C7FB9" w14:textId="3DB4C636"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wgHE0R9","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r>
              <w:rPr>
                <w:rFonts w:ascii="Calibri" w:hAnsi="Calibri" w:cs="Calibri"/>
                <w:sz w:val="20"/>
                <w:szCs w:val="20"/>
              </w:rPr>
              <w:t xml:space="preserve"> Concurrent validity</w:t>
            </w:r>
          </w:p>
        </w:tc>
        <w:tc>
          <w:tcPr>
            <w:tcW w:w="4609" w:type="dxa"/>
            <w:gridSpan w:val="2"/>
          </w:tcPr>
          <w:p w14:paraId="255C8AE4" w14:textId="7CAC1691"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DWd5UX8Q","properties":{"formattedCitation":"[70]","plainCitation":"[70]","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[70]</w:t>
            </w:r>
            <w:r>
              <w:rPr>
                <w:rFonts w:ascii="Calibri" w:hAnsi="Calibri" w:cs="Calibri"/>
                <w:sz w:val="20"/>
                <w:szCs w:val="20"/>
              </w:rPr>
              <w:fldChar w:fldCharType="end"/>
            </w:r>
            <w:r>
              <w:rPr>
                <w:rFonts w:ascii="Calibri" w:hAnsi="Calibri" w:cs="Calibri"/>
                <w:sz w:val="20"/>
                <w:szCs w:val="20"/>
              </w:rPr>
              <w:t xml:space="preserve"> Internal consistency (Cronbach’s alpha = 0.76)</w:t>
            </w:r>
          </w:p>
        </w:tc>
      </w:tr>
      <w:tr w:rsidR="006938E9" w:rsidRPr="00AB4BAE" w14:paraId="70AA0A1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0E8C1747" w14:textId="77777777" w:rsidR="006938E9" w:rsidRDefault="006938E9" w:rsidP="008C7800">
            <w:pPr>
              <w:rPr>
                <w:rFonts w:ascii="Calibri" w:hAnsi="Calibri" w:cs="Calibri"/>
                <w:sz w:val="20"/>
                <w:szCs w:val="20"/>
              </w:rPr>
            </w:pPr>
            <w:r>
              <w:rPr>
                <w:rFonts w:ascii="Calibri" w:hAnsi="Calibri" w:cs="Calibri"/>
                <w:sz w:val="20"/>
                <w:szCs w:val="20"/>
              </w:rPr>
              <w:t>Robson et al. 2011 questionnaire</w:t>
            </w:r>
          </w:p>
        </w:tc>
        <w:tc>
          <w:tcPr>
            <w:tcW w:w="846" w:type="dxa"/>
          </w:tcPr>
          <w:p w14:paraId="2F65B50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6BDF2DF3" w14:textId="7E4F792E"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PyoUJUE","properties":{"formattedCitation":"[90]","plainCitation":"[90]","noteIndex":0},"citationItems":[{"id":2983,"uris":["http://zotero.org/users/4975241/items/J8H7IFZF"],"uri":["http://zotero.org/users/4975241/items/J8H7IFZF"],"itemData":{"id":2983,"type":"article-journal","abstract":"Background Making healthcare safer is an international priority. Patient safety modules are now taught in medical schools, and methods to assess related student knowledge and attitudes have been developed. However, little is known about the attitudes and knowledge which foundation doctors are developing to patient safety and incident reporting in the healthcare workplace, since a speciﬁc assessment tool appears to be lacking. Aims To develop, content validate and pilot test an online questionnaire survey to elicit foundation doctors’ knowledge and experience of patient safety and incident reporting, and assess related attitudes and behaviours.\nMethods Questionnaire content validity was facilitated through: a steering group; literature review; feedback from foundation year doctors and consultant staff; a modiﬁed Delphi group; and completion of a content validity index by experts. In 2010 a cross-sectional online survey of 110 foundation year 1 and 2 doctors was then undertaken in three Scottish NHS board areas, utilising the developed 25 item questionnaire.\nResults The questionnaire was validated, and piloted among 69 foundation year doctors who responded to the questionnaire. The pilot has provided valuable insights into trainee attitudes and experience. For example, 32 (48%) believed that most safety incidents were due to things that they could not do anything about; and 31 (43%) admitted to being involved in medication errors which were not formally reported.\nConclusions The pilot study was successful in taking the ﬁrst steps to developing a validated survey questionnaire for a key staff group, foundation year doctors, in a priority area. However, the ﬁndings raise concerns about trainee experience of and attitudes to reporting, and the frequency with which incidents go unreported.","container-title":"Postgraduate Medical Journal","DOI":"10.1136/pgmj.2011.117366","ISSN":"0032-5473","issue":"1033","journalAbbreviation":"Postgraduate Medical Journal","language":"en","page":"750-756","source":"DOI.org (Crossref)","title":"Do we know what foundation year doctors think about patient safety incident reporting? Development of a web based tool to assess attitude and knowledge","title-short":"Do we know what foundation year doctors think about patient safety incident reporting?","volume":"87","author":[{"family":"Robson","given":"J."},{"family":"Wet","given":"C.","non-dropping-particle":"de"},{"family":"McKay","given":"J."},{"family":"Bowie","given":"P."}],"issued":{"date-parts":[["2011",11,1]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[90]</w:t>
            </w:r>
            <w:r>
              <w:rPr>
                <w:rFonts w:ascii="Calibri" w:hAnsi="Calibri" w:cs="Calibri"/>
                <w:sz w:val="20"/>
                <w:szCs w:val="20"/>
              </w:rPr>
              <w:fldChar w:fldCharType="end"/>
            </w:r>
          </w:p>
        </w:tc>
        <w:tc>
          <w:tcPr>
            <w:tcW w:w="1699" w:type="dxa"/>
          </w:tcPr>
          <w:p w14:paraId="6BF2C400"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Safety</w:t>
            </w:r>
          </w:p>
        </w:tc>
        <w:tc>
          <w:tcPr>
            <w:tcW w:w="4331" w:type="dxa"/>
          </w:tcPr>
          <w:p w14:paraId="5B563699" w14:textId="38F3665D"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xvyi5sOG","properties":{"formattedCitation":"[90]","plainCitation":"[90]","noteIndex":0},"citationItems":[{"id":2983,"uris":["http://zotero.org/users/4975241/items/J8H7IFZF"],"uri":["http://zotero.org/users/4975241/items/J8H7IFZF"],"itemData":{"id":2983,"type":"article-journal","abstract":"Background Making healthcare safer is an international priority. Patient safety modules are now taught in medical schools, and methods to assess related student knowledge and attitudes have been developed. However, little is known about the attitudes and knowledge which foundation doctors are developing to patient safety and incident reporting in the healthcare workplace, since a speciﬁc assessment tool appears to be lacking. Aims To develop, content validate and pilot test an online questionnaire survey to elicit foundation doctors’ knowledge and experience of patient safety and incident reporting, and assess related attitudes and behaviours.\nMethods Questionnaire content validity was facilitated through: a steering group; literature review; feedback from foundation year doctors and consultant staff; a modiﬁed Delphi group; and completion of a content validity index by experts. In 2010 a cross-sectional online survey of 110 foundation year 1 and 2 doctors was then undertaken in three Scottish NHS board areas, utilising the developed 25 item questionnaire.\nResults The questionnaire was validated, and piloted among 69 foundation year doctors who responded to the questionnaire. The pilot has provided valuable insights into trainee attitudes and experience. For example, 32 (48%) believed that most safety incidents were due to things that they could not do anything about; and 31 (43%) admitted to being involved in medication errors which were not formally reported.\nConclusions The pilot study was successful in taking the ﬁrst steps to developing a validated survey questionnaire for a key staff group, foundation year doctors, in a priority area. However, the ﬁndings raise concerns about trainee experience of and attitudes to reporting, and the frequency with which incidents go unreported.","container-title":"Postgraduate Medical Journal","DOI":"10.1136/pgmj.2011.117366","ISSN":"0032-5473","issue":"1033","journalAbbreviation":"Postgraduate Medical Journal","language":"en","page":"750-756","source":"DOI.org (Crossref)","title":"Do we know what foundation year doctors think about patient safety incident reporting? Development of a web based tool to assess attitude and knowledge","title-short":"Do we know what foundation year doctors think about patient safety incident reporting?","volume":"87","author":[{"family":"Robson","given":"J."},{"family":"Wet","given":"C.","non-dropping-particle":"de"},{"family":"McKay","given":"J."},{"family":"Bowie","given":"P."}],"issued":{"date-parts":[["2011",11,1]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[90]</w:t>
            </w:r>
            <w:r>
              <w:rPr>
                <w:rFonts w:ascii="Calibri" w:hAnsi="Calibri" w:cs="Calibri"/>
                <w:sz w:val="20"/>
                <w:szCs w:val="20"/>
              </w:rPr>
              <w:fldChar w:fldCharType="end"/>
            </w:r>
            <w:r>
              <w:rPr>
                <w:rFonts w:ascii="Calibri" w:hAnsi="Calibri" w:cs="Calibri"/>
                <w:sz w:val="20"/>
                <w:szCs w:val="20"/>
              </w:rPr>
              <w:t xml:space="preserve"> </w:t>
            </w:r>
            <w:r w:rsidRPr="005D5E0B">
              <w:rPr>
                <w:rFonts w:ascii="Calibri" w:hAnsi="Calibri" w:cs="Calibri"/>
                <w:sz w:val="20"/>
                <w:szCs w:val="20"/>
              </w:rPr>
              <w:t>Content validity</w:t>
            </w:r>
            <w:r>
              <w:rPr>
                <w:rFonts w:ascii="Calibri" w:hAnsi="Calibri" w:cs="Calibri"/>
                <w:sz w:val="20"/>
                <w:szCs w:val="20"/>
              </w:rPr>
              <w:t xml:space="preserve"> (0.88)</w:t>
            </w:r>
            <w:r w:rsidRPr="005D5E0B">
              <w:rPr>
                <w:rFonts w:ascii="Calibri" w:hAnsi="Calibri" w:cs="Calibri"/>
                <w:sz w:val="20"/>
                <w:szCs w:val="20"/>
              </w:rPr>
              <w:t>, construct validity</w:t>
            </w:r>
          </w:p>
        </w:tc>
        <w:tc>
          <w:tcPr>
            <w:tcW w:w="4609" w:type="dxa"/>
            <w:gridSpan w:val="2"/>
          </w:tcPr>
          <w:p w14:paraId="15797C80"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9F3D3E0"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465150FF" w14:textId="77777777" w:rsidR="006938E9" w:rsidRPr="00AB4BAE" w:rsidRDefault="006938E9" w:rsidP="008C7800">
            <w:pPr>
              <w:rPr>
                <w:rFonts w:ascii="Calibri" w:hAnsi="Calibri" w:cs="Calibri"/>
                <w:sz w:val="20"/>
                <w:szCs w:val="20"/>
              </w:rPr>
            </w:pPr>
            <w:r>
              <w:rPr>
                <w:rFonts w:ascii="Calibri" w:hAnsi="Calibri" w:cs="Calibri"/>
                <w:sz w:val="20"/>
                <w:szCs w:val="20"/>
              </w:rPr>
              <w:t>Safety Attitudes Questionnaire</w:t>
            </w:r>
          </w:p>
        </w:tc>
        <w:tc>
          <w:tcPr>
            <w:tcW w:w="846" w:type="dxa"/>
          </w:tcPr>
          <w:p w14:paraId="389D153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D448D63" w14:textId="39E6E726"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yKX4J8UW","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p>
        </w:tc>
        <w:tc>
          <w:tcPr>
            <w:tcW w:w="1699" w:type="dxa"/>
          </w:tcPr>
          <w:p w14:paraId="49F1131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Safety</w:t>
            </w:r>
          </w:p>
        </w:tc>
        <w:tc>
          <w:tcPr>
            <w:tcW w:w="4331" w:type="dxa"/>
          </w:tcPr>
          <w:p w14:paraId="40752FA5" w14:textId="2C0402F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d7HJIqr","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C</w:t>
            </w:r>
            <w:r w:rsidRPr="00336DE3">
              <w:rPr>
                <w:rFonts w:ascii="Calibri" w:hAnsi="Calibri" w:cs="Calibri"/>
                <w:sz w:val="20"/>
                <w:szCs w:val="20"/>
              </w:rPr>
              <w:t>oncurrent validity</w:t>
            </w:r>
          </w:p>
        </w:tc>
        <w:tc>
          <w:tcPr>
            <w:tcW w:w="4609" w:type="dxa"/>
            <w:gridSpan w:val="2"/>
          </w:tcPr>
          <w:p w14:paraId="6AB196D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r w:rsidR="006938E9" w:rsidRPr="00AB4BAE" w14:paraId="5ABA40C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5A140D31" w14:textId="77777777" w:rsidR="006938E9" w:rsidRPr="00AB4BAE" w:rsidRDefault="006938E9" w:rsidP="008C7800">
            <w:pPr>
              <w:rPr>
                <w:rFonts w:ascii="Calibri" w:hAnsi="Calibri" w:cs="Calibri"/>
                <w:sz w:val="20"/>
                <w:szCs w:val="20"/>
              </w:rPr>
            </w:pPr>
            <w:r>
              <w:rPr>
                <w:rFonts w:ascii="Calibri" w:hAnsi="Calibri" w:cs="Calibri"/>
                <w:sz w:val="20"/>
                <w:szCs w:val="20"/>
              </w:rPr>
              <w:t>Speaking Up Climates</w:t>
            </w:r>
          </w:p>
        </w:tc>
        <w:tc>
          <w:tcPr>
            <w:tcW w:w="846" w:type="dxa"/>
          </w:tcPr>
          <w:p w14:paraId="4E4B025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2EA4BE62" w14:textId="34D943B1"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jCA1UVbi","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p>
        </w:tc>
        <w:tc>
          <w:tcPr>
            <w:tcW w:w="1699" w:type="dxa"/>
          </w:tcPr>
          <w:p w14:paraId="01289118"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Safety</w:t>
            </w:r>
          </w:p>
        </w:tc>
        <w:tc>
          <w:tcPr>
            <w:tcW w:w="4331" w:type="dxa"/>
          </w:tcPr>
          <w:p w14:paraId="0C52F0E2" w14:textId="47B0FD4B"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3b5sI2zb","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w:t>
            </w:r>
            <w:r w:rsidRPr="00336DE3">
              <w:rPr>
                <w:rFonts w:ascii="Calibri" w:hAnsi="Calibri" w:cs="Calibri"/>
                <w:sz w:val="20"/>
                <w:szCs w:val="20"/>
              </w:rPr>
              <w:t>Face validity, concurrent validity, discriminate validity, construct validity</w:t>
            </w:r>
            <w:r>
              <w:rPr>
                <w:rFonts w:ascii="Calibri" w:hAnsi="Calibri" w:cs="Calibri"/>
                <w:sz w:val="20"/>
                <w:szCs w:val="20"/>
              </w:rPr>
              <w:t xml:space="preserve"> (one factor)</w:t>
            </w:r>
          </w:p>
        </w:tc>
        <w:tc>
          <w:tcPr>
            <w:tcW w:w="4609" w:type="dxa"/>
            <w:gridSpan w:val="2"/>
          </w:tcPr>
          <w:p w14:paraId="64EFB331" w14:textId="4FDB1E0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u11YnXI","properties":{"formattedCitation":"[69]","plainCitation":"[69]","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[69]</w:t>
            </w:r>
            <w:r>
              <w:rPr>
                <w:rFonts w:ascii="Calibri" w:hAnsi="Calibri" w:cs="Calibri"/>
                <w:sz w:val="20"/>
                <w:szCs w:val="20"/>
              </w:rPr>
              <w:fldChar w:fldCharType="end"/>
            </w:r>
            <w:r>
              <w:rPr>
                <w:rFonts w:ascii="Calibri" w:hAnsi="Calibri" w:cs="Calibri"/>
                <w:sz w:val="20"/>
                <w:szCs w:val="20"/>
              </w:rPr>
              <w:t xml:space="preserve"> Internal consistency (Cronbach’s alpha &gt; 0.70)</w:t>
            </w:r>
          </w:p>
        </w:tc>
      </w:tr>
      <w:tr w:rsidR="006938E9" w:rsidRPr="00AB4BAE" w14:paraId="2B4BD904"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36539F2E" w14:textId="77777777" w:rsidR="006938E9" w:rsidRPr="00AB4BAE" w:rsidRDefault="006938E9" w:rsidP="008C7800">
            <w:pPr>
              <w:rPr>
                <w:rFonts w:ascii="Calibri" w:hAnsi="Calibri" w:cs="Calibri"/>
                <w:sz w:val="20"/>
                <w:szCs w:val="20"/>
              </w:rPr>
            </w:pPr>
            <w:r w:rsidRPr="00CD1773">
              <w:rPr>
                <w:rFonts w:ascii="Calibri" w:hAnsi="Calibri" w:cs="Calibri"/>
                <w:sz w:val="20"/>
                <w:szCs w:val="20"/>
              </w:rPr>
              <w:t>Work Analysis Instrument for Hospitals</w:t>
            </w:r>
          </w:p>
        </w:tc>
        <w:tc>
          <w:tcPr>
            <w:tcW w:w="846" w:type="dxa"/>
          </w:tcPr>
          <w:p w14:paraId="410E8AD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65F13FDB" w14:textId="649994AA"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eoF0QdaJ","properties":{"formattedCitation":"[72]","plainCitation":"[72]","noteIndex":0},"citationItems":[{"id":3275,"uris":["http://zotero.org/users/4975241/items/VUZAKUFT"],"uri":["http://zotero.org/users/4975241/items/VUZAKUFT"],"itemData":{"id":3275,"type":"article-journal","abstract":"Background: The shortage of physicians is an evolving problem throughout the world. In this study we aimed to identify to what extent junior doctors’ training and working conditions determine their intention to leave clinical practice after residency training.\nMethods: A prospective cohort study was conducted in 557 junior doctors undergoing residency training in German hospitals. Self-reported specialty training conditions, working conditions and intention to leave clinical practice were measured over three time points. Scales covering training conditions were assessed by structured residency training, professional support, and dealing with lack of knowledge; working conditions were evaluated by work overload, job autonomy and social support, based on the Demand–Control–Support model. Multivariate ordinal logistic regression analyses with random intercept for longitudinal data were applied to determine the odds ratio of having a higher level of intention to leave clinical practice.\nResults: In the models that considered training and working conditions separately to predict intention to leave clinical practice we found significant baseline effects and change effects. After modelling training and working conditions simultaneously, we found evidence that the change effect of job autonomy (OR 0.77, p = .005) was associated with intention to leave clinical practice, whereas for the training conditions, only the baseline effects of structured residency training (OR 0.74, p = .017) and dealing with lack of knowledge (OR 0.74, p = .026) predicted intention to leave clinical practice.\nConclusions: Junior doctors undergoing specialty training experience high workload in hospital practice and intense requirements in terms of specialty training. Our study indicates that simultaneously improving working conditions over time and establishing a high standard of specialty training conditions may prevent junior doctors from considering leaving clinical practice after residency training.","container-title":"BMC Medical Education","DOI":"10.1186/1472-6920-14-119","ISSN":"1472-6920","issue":"1","journalAbbreviation":"BMC Med Educ","language":"en","page":"119","source":"DOI.org (Crossref)","title":"The impact of training and working conditions on junior doctors’ intention to leave clinical practice","volume":"14","author":[{"family":"Degen","given":"Christiane"},{"family":"Weigl","given":"Matthias"},{"family":"Glaser","given":"Jürgen"},{"family":"Li","given":"Jian"},{"family":"Angerer","given":"Peter"}],"issued":{"date-parts":[["2014",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[72]</w:t>
            </w:r>
            <w:r>
              <w:rPr>
                <w:rFonts w:ascii="Calibri" w:hAnsi="Calibri" w:cs="Calibri"/>
                <w:sz w:val="20"/>
                <w:szCs w:val="20"/>
              </w:rPr>
              <w:fldChar w:fldCharType="end"/>
            </w:r>
          </w:p>
        </w:tc>
        <w:tc>
          <w:tcPr>
            <w:tcW w:w="1699" w:type="dxa"/>
          </w:tcPr>
          <w:p w14:paraId="732BA805"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6CD9C47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609" w:type="dxa"/>
            <w:gridSpan w:val="2"/>
          </w:tcPr>
          <w:p w14:paraId="79541F90" w14:textId="7AA078F0"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FZmWM8K4","properties":{"formattedCitation":"[72]","plainCitation":"[72]","noteIndex":0},"citationItems":[{"id":3275,"uris":["http://zotero.org/users/4975241/items/VUZAKUFT"],"uri":["http://zotero.org/users/4975241/items/VUZAKUFT"],"itemData":{"id":3275,"type":"article-journal","abstract":"Background: The shortage of physicians is an evolving problem throughout the world. In this study we aimed to identify to what extent junior doctors’ training and working conditions determine their intention to leave clinical practice after residency training.\nMethods: A prospective cohort study was conducted in 557 junior doctors undergoing residency training in German hospitals. Self-reported specialty training conditions, working conditions and intention to leave clinical practice were measured over three time points. Scales covering training conditions were assessed by structured residency training, professional support, and dealing with lack of knowledge; working conditions were evaluated by work overload, job autonomy and social support, based on the Demand–Control–Support model. Multivariate ordinal logistic regression analyses with random intercept for longitudinal data were applied to determine the odds ratio of having a higher level of intention to leave clinical practice.\nResults: In the models that considered training and working conditions separately to predict intention to leave clinical practice we found significant baseline effects and change effects. After modelling training and working conditions simultaneously, we found evidence that the change effect of job autonomy (OR 0.77, p = .005) was associated with intention to leave clinical practice, whereas for the training conditions, only the baseline effects of structured residency training (OR 0.74, p = .017) and dealing with lack of knowledge (OR 0.74, p = .026) predicted intention to leave clinical practice.\nConclusions: Junior doctors undergoing specialty training experience high workload in hospital practice and intense requirements in terms of specialty training. Our study indicates that simultaneously improving working conditions over time and establishing a high standard of specialty training conditions may prevent junior doctors from considering leaving clinical practice after residency training.","container-title":"BMC Medical Education","DOI":"10.1186/1472-6920-14-119","ISSN":"1472-6920","issue":"1","journalAbbreviation":"BMC Med Educ","language":"en","page":"119","source":"DOI.org (Crossref)","title":"The impact of training and working conditions on junior doctors’ intention to leave clinical practice","volume":"14","author":[{"family":"Degen","given":"Christiane"},{"family":"Weigl","given":"Matthias"},{"family":"Glaser","given":"Jürgen"},{"family":"Li","given":"Jian"},{"family":"Angerer","given":"Peter"}],"issued":{"date-parts":[["2014",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[72]</w:t>
            </w:r>
            <w:r>
              <w:rPr>
                <w:rFonts w:ascii="Calibri" w:hAnsi="Calibri" w:cs="Calibri"/>
                <w:sz w:val="20"/>
                <w:szCs w:val="20"/>
              </w:rPr>
              <w:fldChar w:fldCharType="end"/>
            </w:r>
            <w:r>
              <w:rPr>
                <w:rFonts w:ascii="Calibri" w:hAnsi="Calibri" w:cs="Calibri"/>
                <w:sz w:val="20"/>
                <w:szCs w:val="20"/>
              </w:rPr>
              <w:t xml:space="preserve"> Internal consistency (Cronbach’s alpha = 0.64-87)</w:t>
            </w:r>
          </w:p>
        </w:tc>
      </w:tr>
      <w:tr w:rsidR="006938E9" w:rsidRPr="00AB4BAE" w14:paraId="0CF8D9DB"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17D1321E" w14:textId="77777777" w:rsidR="006938E9" w:rsidRPr="00AB4BAE" w:rsidRDefault="006938E9" w:rsidP="008C7800">
            <w:pPr>
              <w:rPr>
                <w:rFonts w:ascii="Calibri" w:hAnsi="Calibri" w:cs="Calibri"/>
                <w:sz w:val="20"/>
                <w:szCs w:val="20"/>
              </w:rPr>
            </w:pPr>
            <w:r>
              <w:rPr>
                <w:rFonts w:ascii="Calibri" w:hAnsi="Calibri" w:cs="Calibri"/>
                <w:sz w:val="20"/>
                <w:szCs w:val="20"/>
              </w:rPr>
              <w:t>Yusoff et al. 2011 questionnaire</w:t>
            </w:r>
          </w:p>
        </w:tc>
        <w:tc>
          <w:tcPr>
            <w:tcW w:w="846" w:type="dxa"/>
          </w:tcPr>
          <w:p w14:paraId="4F7C5D3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1103F1F" w14:textId="7F7EA96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av8Uxhw","properties":{"formattedCitation":"[16]","plainCitation":"[16]","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[16]</w:t>
            </w:r>
            <w:r>
              <w:rPr>
                <w:rFonts w:ascii="Calibri" w:hAnsi="Calibri" w:cs="Calibri"/>
                <w:sz w:val="20"/>
                <w:szCs w:val="20"/>
              </w:rPr>
              <w:fldChar w:fldCharType="end"/>
            </w:r>
          </w:p>
        </w:tc>
        <w:tc>
          <w:tcPr>
            <w:tcW w:w="1699" w:type="dxa"/>
          </w:tcPr>
          <w:p w14:paraId="1752810D"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613A21">
              <w:rPr>
                <w:rFonts w:ascii="Calibri" w:hAnsi="Calibri" w:cs="Calibri"/>
                <w:sz w:val="20"/>
                <w:szCs w:val="20"/>
              </w:rPr>
              <w:t>Workload, pay</w:t>
            </w:r>
            <w:r>
              <w:rPr>
                <w:rFonts w:ascii="Calibri" w:hAnsi="Calibri" w:cs="Calibri"/>
                <w:sz w:val="20"/>
                <w:szCs w:val="20"/>
              </w:rPr>
              <w:t xml:space="preserve"> and remuneration</w:t>
            </w:r>
            <w:r w:rsidRPr="00613A21">
              <w:rPr>
                <w:rFonts w:ascii="Calibri" w:hAnsi="Calibri" w:cs="Calibri"/>
                <w:sz w:val="20"/>
                <w:szCs w:val="20"/>
              </w:rPr>
              <w:t xml:space="preserve">, </w:t>
            </w:r>
            <w:r w:rsidRPr="00613A21">
              <w:rPr>
                <w:rFonts w:ascii="Calibri" w:hAnsi="Calibri" w:cs="Calibri"/>
                <w:sz w:val="20"/>
                <w:szCs w:val="20"/>
              </w:rPr>
              <w:lastRenderedPageBreak/>
              <w:t>work-family conflict</w:t>
            </w:r>
          </w:p>
        </w:tc>
        <w:tc>
          <w:tcPr>
            <w:tcW w:w="4331" w:type="dxa"/>
          </w:tcPr>
          <w:p w14:paraId="532D7BB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lastRenderedPageBreak/>
              <w:t>Previously tested</w:t>
            </w:r>
          </w:p>
        </w:tc>
        <w:tc>
          <w:tcPr>
            <w:tcW w:w="4609" w:type="dxa"/>
            <w:gridSpan w:val="2"/>
          </w:tcPr>
          <w:p w14:paraId="12EF9A23" w14:textId="7F37C056"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GjulMF4J","properties":{"formattedCitation":"[16]","plainCitation":"[16]","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[16]</w:t>
            </w:r>
            <w:r>
              <w:rPr>
                <w:rFonts w:ascii="Calibri" w:hAnsi="Calibri" w:cs="Calibri"/>
                <w:sz w:val="20"/>
                <w:szCs w:val="20"/>
              </w:rPr>
              <w:fldChar w:fldCharType="end"/>
            </w:r>
            <w:r>
              <w:rPr>
                <w:rFonts w:ascii="Calibri" w:hAnsi="Calibri" w:cs="Calibri"/>
                <w:sz w:val="20"/>
                <w:szCs w:val="20"/>
              </w:rPr>
              <w:t xml:space="preserve"> Internal consistency (Cronbach’s alpha for individual tools including GSQ)</w:t>
            </w:r>
          </w:p>
        </w:tc>
      </w:tr>
      <w:tr w:rsidR="006938E9" w:rsidRPr="00AB4BAE" w14:paraId="33D2CD0A"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41CA4F52" w14:textId="77777777" w:rsidR="006938E9" w:rsidRPr="00AB4BAE" w:rsidRDefault="006938E9" w:rsidP="008C7800">
            <w:pPr>
              <w:rPr>
                <w:rFonts w:ascii="Calibri" w:hAnsi="Calibri" w:cs="Calibri"/>
                <w:sz w:val="20"/>
                <w:szCs w:val="20"/>
              </w:rPr>
            </w:pPr>
            <w:r w:rsidRPr="008048B3">
              <w:rPr>
                <w:rFonts w:ascii="Calibri" w:hAnsi="Calibri" w:cs="Calibri"/>
                <w:sz w:val="20"/>
                <w:szCs w:val="20"/>
              </w:rPr>
              <w:t>A 60-item instrument developed by Bellini</w:t>
            </w:r>
          </w:p>
        </w:tc>
        <w:tc>
          <w:tcPr>
            <w:tcW w:w="846" w:type="dxa"/>
          </w:tcPr>
          <w:p w14:paraId="0951CF7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228FBC94" w14:textId="32DD8DE2"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b8mII9SL","properties":{"formattedCitation":"[73]","plainCitation":"[73]","noteIndex":0},"citationItems":[{"id":3288,"uris":["http://zotero.org/users/4975241/items/DZ64JLYJ"],"uri":["http://zotero.org/users/4975241/items/DZ64JLYJ"],"itemData":{"id":3288,"type":"article-journal","abstract":"This paper reports the attitudes of medical school graduates participating in the preregistration training programme in Cyprus. There were 2 independent samples, one in the year 2000 of 34 trainees and one in 2002 of 45 trainees. The trainees responded to 45 statements of attitude on a 5-point Likert scale covering 3 areas: workload, educational environment and lifestyle issues. The sample means for each statement were reported in both years and differences between the 2 years were analysed. In general, the trainees had an overall neutral to negative attitude towards the programme in both years and there was little change over the 2 years.","container-title":"Eastern Mediterranean Health Journal = La Revue De Sante De La Mediterranee Orientale = Al-Majallah Al-Sihhiyah Li-Sharq Al-Mutawassit","ISSN":"1020-3397","issue":"1","journalAbbreviation":"East. Mediterr. Health J.","language":"eng","note":"PMID: 17546915","page":"129-137","source":"PubMed","title":"Preregistration programme for medical practice: a survey of Cypriot trainees (2000 and 2002)","title-short":"Preregistration programme for medical practice","volume":"13","author":[{"family":"Charalambous","given":"A."},{"family":"Pantelas","given":"G."},{"family":"Pouloukas","given":"S."}],"issued":{"date-parts":[["2007",2]]}}}],"schema":"https://github.com/citation-style-language/schema/raw/master/csl-citation.json"}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[73]</w:t>
            </w:r>
            <w:r>
              <w:rPr>
                <w:rFonts w:ascii="Calibri" w:hAnsi="Calibri" w:cs="Calibri"/>
                <w:sz w:val="20"/>
                <w:szCs w:val="20"/>
              </w:rPr>
              <w:fldChar w:fldCharType="end"/>
            </w:r>
          </w:p>
        </w:tc>
        <w:tc>
          <w:tcPr>
            <w:tcW w:w="1699" w:type="dxa"/>
          </w:tcPr>
          <w:p w14:paraId="7F4238C7"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5355D8">
              <w:rPr>
                <w:rFonts w:ascii="Calibri" w:hAnsi="Calibri" w:cs="Calibri"/>
                <w:sz w:val="20"/>
                <w:szCs w:val="20"/>
              </w:rPr>
              <w:t>Workload, infrastructure, harassment, pay and renumeration, food and acco</w:t>
            </w:r>
            <w:r>
              <w:rPr>
                <w:rFonts w:ascii="Calibri" w:hAnsi="Calibri" w:cs="Calibri"/>
                <w:sz w:val="20"/>
                <w:szCs w:val="20"/>
              </w:rPr>
              <w:t>m</w:t>
            </w:r>
            <w:r w:rsidRPr="005355D8">
              <w:rPr>
                <w:rFonts w:ascii="Calibri" w:hAnsi="Calibri" w:cs="Calibri"/>
                <w:sz w:val="20"/>
                <w:szCs w:val="20"/>
              </w:rPr>
              <w:t>modation</w:t>
            </w:r>
          </w:p>
        </w:tc>
        <w:tc>
          <w:tcPr>
            <w:tcW w:w="4331" w:type="dxa"/>
          </w:tcPr>
          <w:p w14:paraId="2A89214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69CE8BB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36D3E3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3910BF2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Arora et al. 2010 questionnaire</w:t>
            </w:r>
          </w:p>
        </w:tc>
        <w:tc>
          <w:tcPr>
            <w:tcW w:w="846" w:type="dxa"/>
          </w:tcPr>
          <w:p w14:paraId="52819EF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51BD6B16" w14:textId="22A50222"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dhPY5es","properties":{"formattedCitation":"[34]","plainCitation":"[34]","noteIndex":0},"citationItems":[{"id":3093,"uris":["http://zotero.org/users/4975241/items/3F62ZTJ8"],"uri":["http://zotero.org/users/4975241/items/3F62ZTJ8"],"itemData":{"id":3093,"type":"article-journal","container-title":"Journal of Graduate Medical Education","DOI":"10.4300/JGME-D-10-00049.1","ISSN":"1949-8349, 1949-8357","issue":"4","journalAbbreviation":"Journal of Graduate Medical Education","language":"en","page":"536-540","source":"DOI.org (Crossref)","title":"Incoming Interns' Perspectives on the Institute of Medicine Recommendations for Residents' Duty Hours","volume":"2","author":[{"family":"Arora","given":"Vineet M."},{"family":"Farnan","given":"Jeanne M."},{"family":"Lypson","given":"Monica L."},{"family":"Anderson","given":"R. Andy"},{"family":"Prochaska","given":"Meryl H."},{"family":"Humphrey","given":"Holly J."}],"issued":{"date-parts":[["2010",12]]}}}],"schema":"https://github.com/citation-style-language/schema/raw/master/csl-citation.json"}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[34]</w:t>
            </w:r>
            <w:r>
              <w:rPr>
                <w:rFonts w:ascii="Calibri" w:hAnsi="Calibri" w:cs="Calibri"/>
                <w:sz w:val="20"/>
                <w:szCs w:val="20"/>
              </w:rPr>
              <w:fldChar w:fldCharType="end"/>
            </w:r>
          </w:p>
        </w:tc>
        <w:tc>
          <w:tcPr>
            <w:tcW w:w="1699" w:type="dxa"/>
          </w:tcPr>
          <w:p w14:paraId="6AC20BA6"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3145C54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CAE3D2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18618C2"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30F8822C"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Bal</w:t>
            </w:r>
            <w:r>
              <w:rPr>
                <w:rFonts w:ascii="Calibri" w:hAnsi="Calibri" w:cs="Calibri"/>
                <w:color w:val="000000"/>
                <w:sz w:val="20"/>
                <w:szCs w:val="20"/>
              </w:rPr>
              <w:t>d</w:t>
            </w:r>
            <w:r w:rsidRPr="00AB4BAE">
              <w:rPr>
                <w:rFonts w:ascii="Calibri" w:hAnsi="Calibri" w:cs="Calibri"/>
                <w:color w:val="000000"/>
                <w:sz w:val="20"/>
                <w:szCs w:val="20"/>
              </w:rPr>
              <w:t xml:space="preserve">win </w:t>
            </w:r>
            <w:r>
              <w:rPr>
                <w:rFonts w:ascii="Calibri" w:hAnsi="Calibri" w:cs="Calibri"/>
                <w:color w:val="000000"/>
                <w:sz w:val="20"/>
                <w:szCs w:val="20"/>
              </w:rPr>
              <w:t>&amp; Daugherty</w:t>
            </w:r>
            <w:r w:rsidRPr="00AB4BAE">
              <w:rPr>
                <w:rFonts w:ascii="Calibri" w:hAnsi="Calibri" w:cs="Calibri"/>
                <w:color w:val="000000"/>
                <w:sz w:val="20"/>
                <w:szCs w:val="20"/>
              </w:rPr>
              <w:t xml:space="preserve"> 2004 questionnaire</w:t>
            </w:r>
          </w:p>
        </w:tc>
        <w:tc>
          <w:tcPr>
            <w:tcW w:w="846" w:type="dxa"/>
          </w:tcPr>
          <w:p w14:paraId="48A6A2A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3BBBDF1A" w14:textId="1708EEFC"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XgMKlVb9","properties":{"formattedCitation":"[35]","plainCitation":"[35]","noteIndex":0},"citationItems":[{"id":3263,"uris":["http://zotero.org/users/4975241/items/B6C589NF"],"uri":["http://zotero.org/users/4975241/items/B6C589NF"],"itemData":{"id":3263,"type":"article-journal","abstract":"Study Objectives: To examine the relationship between residents’ selfreported sleep hours, work hours, and other empirical correlates. Design: Using the American Medical Association’s Graduate Medical Education database, a national, random sample of PGY (postgraduate year) 1 and PGY2 residents in the 1998-1999 training year was surveyed by mail. Measurements and Results: Residents completed a 5-page survey with 44 questions requiring 144 separate responses about their residency experience. Completed surveys were received from 3,604 of 5,616 residents contacted, a 64.2% response rate. Although work hours and sleep hours were significantly correlated (r = -.39), this relationship was less robust than is generally assumed. Total average sleep hours varied across specialties but also within specialties. Just over 20% of all residents reported sleeping an average of 5 hours or less per night, with 66% averaging 6 hours or less per night. Residents averaging 5 or fewer hours of sleep per night were more likely to report serious accidents or injuries, conflict with other professional staff, use of alcohol, use of medications to stay awake, noticeable weight change, working in an “impaired condition,” and having made significant medical errors. Conclusions: Reduced sleep hours were significantly related to a number of work-related, learning, and personal health variables. Capping residents’ work hours is unlikely to fully address the sleep deficits and resulting impairments reported by residents.","container-title":"Sleep","DOI":"10.1093/sleep/27.2.217","ISSN":"0161-8105, 1550-9109","issue":"2","language":"en","page":"217-223","source":"DOI.org (Crossref)","title":"Sleep Deprivation and Fatigue in Residency Training: Results of a National Survey of First- and Second-Year Residents","title-short":"Sleep Deprivation and Fatigue in Residency Training","volume":"27","author":[{"family":"Baldwin","given":"DeWitt C."},{"family":"Daugherty","given":"Steven R."}],"issued":{"date-parts":[["2004",3]]}}}],"schema":"https://github.com/citation-style-language/schema/raw/master/csl-citation.json"}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[35]</w:t>
            </w:r>
            <w:r>
              <w:rPr>
                <w:rFonts w:ascii="Calibri" w:hAnsi="Calibri" w:cs="Calibri"/>
                <w:sz w:val="20"/>
                <w:szCs w:val="20"/>
              </w:rPr>
              <w:fldChar w:fldCharType="end"/>
            </w:r>
          </w:p>
        </w:tc>
        <w:tc>
          <w:tcPr>
            <w:tcW w:w="1699" w:type="dxa"/>
          </w:tcPr>
          <w:p w14:paraId="316AC5E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8B697D">
              <w:rPr>
                <w:rFonts w:ascii="Calibri" w:hAnsi="Calibri" w:cs="Calibri"/>
                <w:sz w:val="20"/>
                <w:szCs w:val="20"/>
              </w:rPr>
              <w:t>Work hours, hara</w:t>
            </w:r>
            <w:r>
              <w:rPr>
                <w:rFonts w:ascii="Calibri" w:hAnsi="Calibri" w:cs="Calibri"/>
                <w:sz w:val="20"/>
                <w:szCs w:val="20"/>
              </w:rPr>
              <w:t>s</w:t>
            </w:r>
            <w:r w:rsidRPr="008B697D">
              <w:rPr>
                <w:rFonts w:ascii="Calibri" w:hAnsi="Calibri" w:cs="Calibri"/>
                <w:sz w:val="20"/>
                <w:szCs w:val="20"/>
              </w:rPr>
              <w:t>sment</w:t>
            </w:r>
          </w:p>
        </w:tc>
        <w:tc>
          <w:tcPr>
            <w:tcW w:w="4331" w:type="dxa"/>
          </w:tcPr>
          <w:p w14:paraId="683635F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609" w:type="dxa"/>
            <w:gridSpan w:val="2"/>
          </w:tcPr>
          <w:p w14:paraId="02C1D7F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5141542" w14:textId="77777777" w:rsidTr="008C7800">
        <w:trPr>
          <w:gridAfter w:val="1"/>
          <w:cnfStyle w:val="000000100000" w:firstRow="0" w:lastRow="0" w:firstColumn="0" w:lastColumn="0" w:oddVBand="0" w:evenVBand="0" w:oddHBand="1" w:evenHBand="0" w:firstRowFirstColumn="0" w:firstRowLastColumn="0" w:lastRowFirstColumn="0" w:lastRowLastColumn="0"/>
          <w:wAfter w:w="57" w:type="dxa"/>
        </w:trPr>
        <w:tc>
          <w:tcPr>
            <w:cnfStyle w:val="001000000000" w:firstRow="0" w:lastRow="0" w:firstColumn="1" w:lastColumn="0" w:oddVBand="0" w:evenVBand="0" w:oddHBand="0" w:evenHBand="0" w:firstRowFirstColumn="0" w:firstRowLastColumn="0" w:lastRowFirstColumn="0" w:lastRowLastColumn="0"/>
            <w:tcW w:w="2663" w:type="dxa"/>
          </w:tcPr>
          <w:p w14:paraId="7070AD02" w14:textId="77777777" w:rsidR="006938E9" w:rsidRPr="00AB4BAE" w:rsidRDefault="006938E9" w:rsidP="008C7800">
            <w:pPr>
              <w:rPr>
                <w:rFonts w:ascii="Calibri" w:hAnsi="Calibri" w:cs="Calibri"/>
                <w:sz w:val="20"/>
                <w:szCs w:val="20"/>
              </w:rPr>
            </w:pPr>
            <w:r>
              <w:rPr>
                <w:rFonts w:ascii="Calibri" w:hAnsi="Calibri" w:cs="Calibri"/>
                <w:sz w:val="20"/>
                <w:szCs w:val="20"/>
              </w:rPr>
              <w:t>Bola et al. 2015 questionnaire</w:t>
            </w:r>
          </w:p>
        </w:tc>
        <w:tc>
          <w:tcPr>
            <w:tcW w:w="846" w:type="dxa"/>
          </w:tcPr>
          <w:p w14:paraId="2DAA111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05ED128" w14:textId="15E9A131"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gEnymaDg","properties":{"formattedCitation":"[76]","plainCitation":"[76]","noteIndex":0},"citationItems":[{"id":3279,"uris":["http://zotero.org/users/4975241/items/8QHZNR3P"],"uri":["http://zotero.org/users/4975241/items/8QHZNR3P"],"itemData":{"id":3279,"type":"article-journal","abstract":"Background. Medical internship is designed to bridge the gap between the theoretical knowledge learned as a student and the skills required as a competent medical practitioner. In South Africa (SA) it is a 2-year structured programme incorporating experience in key domains of medicine selected by the Health Professions Council of South Africa (HPCSA). HPCSA guidelines state that the clinical experience should include teaching, supervision and competency in selected logbook procedures. After concerns were raised over some accredited intern facilities, we investigated whether these guidelines were being met for interns across SA.\nMethods. An electronic survey was sent to 150 SA doctors who had completed their internship between 2010 and 2013. The questions covered supervision, workload and rest, teaching and perception of patient safety. All responses were anonymous and there was opportunity to comment at the end of each question.\nResults. The respondents (n=90) included graduates from all eight SA medical schools. Supervision was ranked as the aspect of internship that respondents would change the most, with 33.0% performing an interventional procedure for the first time without supervision and 25.6% experiencing an adverse event where senior help was not available. More than half the interns had an entire shift supervised by a medical officer with less than 3 years’ clinical training in that specialty.\nConclusions. This survey identified deficiencies of supervision as directed by the HPCSA. It also highlighted difficulties with workload and teaching opportunities. A significant proportion of interns did not feel that patients were safe under their care. A national annual HPCSA survey would highlight hospitals where closer investigation may be required.","container-title":"South African Medical Journal","DOI":"10.7196/SAMJnew.7923","ISSN":"2078-5135","issue":"7","journalAbbreviation":"S Afr Med J","language":"en","page":"535","source":"DOI.org (Crossref)","title":"The state of South African internships: A national survey against HPCSA guidelines","title-short":"The state of South African internships","volume":"105","author":[{"family":"Bola","given":"Sumrit"},{"family":"Trollip","given":"Eudiet"},{"family":"Parkinson","given":"Fran"}],"issued":{"date-parts":[["2015",9,21]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[76]</w:t>
            </w:r>
            <w:r>
              <w:rPr>
                <w:rFonts w:ascii="Calibri" w:hAnsi="Calibri" w:cs="Calibri"/>
                <w:sz w:val="20"/>
                <w:szCs w:val="20"/>
              </w:rPr>
              <w:fldChar w:fldCharType="end"/>
            </w:r>
          </w:p>
        </w:tc>
        <w:tc>
          <w:tcPr>
            <w:tcW w:w="1699" w:type="dxa"/>
          </w:tcPr>
          <w:p w14:paraId="008AED03"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Workload, safety</w:t>
            </w:r>
          </w:p>
        </w:tc>
        <w:tc>
          <w:tcPr>
            <w:tcW w:w="4331" w:type="dxa"/>
          </w:tcPr>
          <w:p w14:paraId="6CB33AC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552" w:type="dxa"/>
          </w:tcPr>
          <w:p w14:paraId="32E277A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0D85E36"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5E80608A"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Choi et al. 2006 questionnaire</w:t>
            </w:r>
          </w:p>
        </w:tc>
        <w:tc>
          <w:tcPr>
            <w:tcW w:w="846" w:type="dxa"/>
          </w:tcPr>
          <w:p w14:paraId="7E04669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09E1CF76" w14:textId="72F68742"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LtyW30cc","properties":{"formattedCitation":"[39]","plainCitation":"[39]","noteIndex":0},"citationItems":[{"id":3274,"uris":["http://zotero.org/users/4975241/items/S3PQSF94"],"uri":["http://zotero.org/users/4975241/items/S3PQSF94"],"itemData":{"id":3274,"type":"article-journal","abstract":"Background: To assess the impact of work hours' limitations required by the Accreditation Council for Graduate Medical Education (ACGME) on residents' career satisfaction, emotions and attitudes.\nMethods: A validated survey instrument was used to assess residents' levels of career satisfaction, emotions and attitudes before and after the ACGME duty hour requirements were implemented. The \"pre\" implementation survey was distributed in December 2002 and the \"post\" implementation one in December 2004. Only the latter included work-hour related questions.\nResults: The response rates were 56% for the 2002 and 72% for the 2004 surveys respectively. Although career satisfaction remained unchanged, numerous changes occurred in both emotions and attitudes. Compared to those residents who did not violate work-hour requirements, those who did were significantly more negative in attitudes and emotions.\nConclusion: With the implementation of the ACGME work hour limitations, the training experience became more negative for those residents who violated the work hour limits and had a small positive impact on those who did not violate them. Graduate medical education leaders must innovate to make the experiences for selected residents improved and still maintain compliance with the work hour requirements.","container-title":"BMC Medical Education","DOI":"10.1186/1472-6920-6-53","ISSN":"1472-6920","issue":"1","journalAbbreviation":"BMC Med Educ","language":"en","page":"53","source":"DOI.org (Crossref)","title":"The impact of the implementation of work hour requirements on residents' career satisfaction, attitudes and emotions","volume":"6","author":[{"family":"Choi","given":"Dongseok"},{"family":"Dickey","given":"Jamie"},{"family":"Wessel","given":"Kristen"},{"family":"Girard","given":"Donald E"}],"issued":{"date-parts":[["2006",12]]}}}],"schema":"https://github.com/citation-style-language/schema/raw/master/csl-citation.json"}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[39]</w:t>
            </w:r>
            <w:r>
              <w:rPr>
                <w:rFonts w:ascii="Calibri" w:hAnsi="Calibri" w:cs="Calibri"/>
                <w:sz w:val="20"/>
                <w:szCs w:val="20"/>
              </w:rPr>
              <w:fldChar w:fldCharType="end"/>
            </w:r>
          </w:p>
        </w:tc>
        <w:tc>
          <w:tcPr>
            <w:tcW w:w="1699" w:type="dxa"/>
          </w:tcPr>
          <w:p w14:paraId="36E09259"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605B27D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24133B5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0BD2BB0"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57A2FCC8" w14:textId="77777777" w:rsidR="006938E9" w:rsidRDefault="006938E9" w:rsidP="008C7800">
            <w:pPr>
              <w:rPr>
                <w:rFonts w:ascii="Calibri" w:hAnsi="Calibri" w:cs="Calibri"/>
                <w:sz w:val="20"/>
                <w:szCs w:val="20"/>
              </w:rPr>
            </w:pPr>
            <w:r>
              <w:rPr>
                <w:rFonts w:ascii="Calibri" w:hAnsi="Calibri" w:cs="Calibri"/>
                <w:sz w:val="20"/>
                <w:szCs w:val="20"/>
              </w:rPr>
              <w:t>Choi et al. 2017 questionnaire</w:t>
            </w:r>
          </w:p>
        </w:tc>
        <w:tc>
          <w:tcPr>
            <w:tcW w:w="846" w:type="dxa"/>
          </w:tcPr>
          <w:p w14:paraId="22C86338"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C9317A8" w14:textId="35D35B68"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g5eaJLg5","properties":{"formattedCitation":"[91]","plainCitation":"[91]","noteIndex":0},"citationItems":[{"id":3259,"uris":["http://zotero.org/users/4975241/items/F532DA6H"],"uri":["http://zotero.org/users/4975241/items/F532DA6H"],"itemData":{"id":3259,"type":"article-journal","abstract":"Background: The surveys in this study were carried out at the Graduate Medical Education Division at Oregon Health &amp; Science University (OHSU). OHSU implemented two significant wellness initiatives: a wellness program in 2004, and a policy allowing 4 half-days off each academic year to pursue personal or family health care needs in 2010. This study provides a secondary data analysis of five cross-sectional surveys of career satisfaction of resident and fellow trainees.\nMethods: All trainees were surveyed five times over a 10-year period using anonymous, crosssectional web-based survey instruments. Surveys included questions about career satisfaction, perceived stress, sleep hours, burnout, and related factors.\nResults: This represents 10 years of accumulated responses from over 2,200 residents with results showing continual improvement in their career satisfaction. Response rates ranged from 56% to 72%. During the study period, there was a significant positive change in overall resident career satisfaction, with little change in factors traditionally considered to be predictive of overall career satisfaction such as sleep hours or perceived stress level. In addition, our data support that availability of time for personal tasks could positively impact the overall training experience.\nConclusion: We postulate that the improvements in satisfaction relate to two major institutional innovations designed to promote resident wellness.","container-title":"Advances in Medical Education and Practice","DOI":"10.2147/AMEP.S138770","ISSN":"1179-7258","journalAbbreviation":"AMEP","language":"en","page":"513-523","source":"DOI.org (Crossref)","title":"Resident wellness: institutional trends over 10 years since 2003","title-short":"Resident wellness","volume":"Volume 8","author":[{"family":"Choi","given":"Dongseok"},{"family":"Cedfeldt","given":"Andrea"},{"family":"Flores","given":"Christine"},{"family":"Irish","given":"Kimberly"},{"family":"Brunett","given":"Patrick"},{"family":"Girard","given":"Donald"}],"issued":{"date-parts":[["2017",7]]}}}],"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[91]</w:t>
            </w:r>
            <w:r>
              <w:rPr>
                <w:rFonts w:ascii="Calibri" w:hAnsi="Calibri" w:cs="Calibri"/>
                <w:sz w:val="20"/>
                <w:szCs w:val="20"/>
              </w:rPr>
              <w:fldChar w:fldCharType="end"/>
            </w:r>
          </w:p>
        </w:tc>
        <w:tc>
          <w:tcPr>
            <w:tcW w:w="1699" w:type="dxa"/>
          </w:tcPr>
          <w:p w14:paraId="31FF90B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345F08D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3CE38DA1"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56FCF57" w14:textId="77777777" w:rsidTr="008C7800">
        <w:trPr>
          <w:gridAfter w:val="1"/>
          <w:wAfter w:w="57" w:type="dxa"/>
        </w:trPr>
        <w:tc>
          <w:tcPr>
            <w:cnfStyle w:val="001000000000" w:firstRow="0" w:lastRow="0" w:firstColumn="1" w:lastColumn="0" w:oddVBand="0" w:evenVBand="0" w:oddHBand="0" w:evenHBand="0" w:firstRowFirstColumn="0" w:firstRowLastColumn="0" w:lastRowFirstColumn="0" w:lastRowLastColumn="0"/>
            <w:tcW w:w="2663" w:type="dxa"/>
          </w:tcPr>
          <w:p w14:paraId="7441BC60" w14:textId="77777777" w:rsidR="006938E9" w:rsidRPr="00AB4BAE" w:rsidRDefault="006938E9" w:rsidP="008C7800">
            <w:pPr>
              <w:rPr>
                <w:rFonts w:ascii="Calibri" w:hAnsi="Calibri" w:cs="Calibri"/>
                <w:sz w:val="20"/>
                <w:szCs w:val="20"/>
              </w:rPr>
            </w:pPr>
            <w:r>
              <w:rPr>
                <w:rFonts w:ascii="Calibri" w:hAnsi="Calibri" w:cs="Calibri"/>
                <w:sz w:val="20"/>
                <w:szCs w:val="20"/>
              </w:rPr>
              <w:t>Doran et al. 2007 questionnaire</w:t>
            </w:r>
          </w:p>
        </w:tc>
        <w:tc>
          <w:tcPr>
            <w:tcW w:w="846" w:type="dxa"/>
          </w:tcPr>
          <w:p w14:paraId="18E4ACF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17CCF32D" w14:textId="17F2DD7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BmooruYp","properties":{"formattedCitation":"[79]","plainCitation":"[79]","noteIndex":0},"citationItems":[{"id":3280,"uris":["http://zotero.org/users/4975241/items/48YBGFQJ"],"uri":["http://zotero.org/users/4975241/items/48YBGFQJ"],"itemData":{"id":3280,"type":"article-journal","container-title":"Medical Education","DOI":"10.1111/j.1365-2929.2007.02727.x","ISSN":"03080110, 13652923","issue":"5","language":"en","page":"487-494","source":"DOI.org (Crossref)","title":"Time to think? Questionnaire survey of pre-registration house officers' experiences of critical appraisal in the Mersey Deanery","title-short":"Time to think?","volume":"41","author":[{"family":"Doran","given":"Tim"},{"family":"Maudsley","given":"Gillian"},{"family":"Zakhour","given":"Hani"}],"issued":{"date-parts":[["2007",5]]}},"locator":"200"}],"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[79]</w:t>
            </w:r>
            <w:r>
              <w:rPr>
                <w:rFonts w:ascii="Calibri" w:hAnsi="Calibri" w:cs="Calibri"/>
                <w:sz w:val="20"/>
                <w:szCs w:val="20"/>
              </w:rPr>
              <w:fldChar w:fldCharType="end"/>
            </w:r>
          </w:p>
        </w:tc>
        <w:tc>
          <w:tcPr>
            <w:tcW w:w="1699" w:type="dxa"/>
          </w:tcPr>
          <w:p w14:paraId="2C99BE98"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21319E5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552" w:type="dxa"/>
          </w:tcPr>
          <w:p w14:paraId="07954B2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EDA27DA" w14:textId="77777777" w:rsidTr="008C7800">
        <w:trPr>
          <w:gridAfter w:val="1"/>
          <w:cnfStyle w:val="000000100000" w:firstRow="0" w:lastRow="0" w:firstColumn="0" w:lastColumn="0" w:oddVBand="0" w:evenVBand="0" w:oddHBand="1" w:evenHBand="0" w:firstRowFirstColumn="0" w:firstRowLastColumn="0" w:lastRowFirstColumn="0" w:lastRowLastColumn="0"/>
          <w:wAfter w:w="57" w:type="dxa"/>
        </w:trPr>
        <w:tc>
          <w:tcPr>
            <w:cnfStyle w:val="001000000000" w:firstRow="0" w:lastRow="0" w:firstColumn="1" w:lastColumn="0" w:oddVBand="0" w:evenVBand="0" w:oddHBand="0" w:evenHBand="0" w:firstRowFirstColumn="0" w:firstRowLastColumn="0" w:lastRowFirstColumn="0" w:lastRowLastColumn="0"/>
            <w:tcW w:w="2663" w:type="dxa"/>
          </w:tcPr>
          <w:p w14:paraId="2D71DF60" w14:textId="77777777" w:rsidR="006938E9" w:rsidRPr="00AB4BAE" w:rsidRDefault="006938E9" w:rsidP="008C7800">
            <w:pPr>
              <w:rPr>
                <w:rFonts w:ascii="Calibri" w:hAnsi="Calibri" w:cs="Calibri"/>
                <w:sz w:val="20"/>
                <w:szCs w:val="20"/>
              </w:rPr>
            </w:pPr>
            <w:r>
              <w:rPr>
                <w:rFonts w:ascii="Calibri" w:hAnsi="Calibri" w:cs="Calibri"/>
                <w:sz w:val="20"/>
                <w:szCs w:val="20"/>
              </w:rPr>
              <w:t>Finucane &amp; O’Dowd 2005 questionnaire</w:t>
            </w:r>
          </w:p>
        </w:tc>
        <w:tc>
          <w:tcPr>
            <w:tcW w:w="846" w:type="dxa"/>
          </w:tcPr>
          <w:p w14:paraId="04932425"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1BDE50BF" w14:textId="48E3F338"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pxKGMB5e","properties":{"formattedCitation":"[80]","plainCitation":"[80]","noteIndex":0},"citationItems":[{"id":3283,"uris":["http://zotero.org/users/4975241/items/JLLP24EG"],"uri":["http://zotero.org/users/4975241/items/JLLP24EG"],"itemData":{"id":3283,"type":"article-journal","abstract":"The Medical Council of Ireland recently introduced some initiatives to enhance the education and training of interns. These include the development of a generic job description, a logbook to monitor training outcomes and a national network of supervisors to plan and oversee intern training. To get feedback on the impact of these reforms, the Medical Council surveyed all interns with Irish addresses in March 2003. Three hundred (65%) of 461 interns responded. The majority provided positive feedback on many aspects of their education and training, their work environment and professional relationships. However, a majority also reported a lack of protected time for education, a lack of formal educational programmes, insufficient feedback on performance and an unnecessarily stressful work environment. Overall, 61% reported being bullied and 4% had experienced sexual harassment. While feedback on the Irish internship experience is generally positive, further work is necessary to address the problems identified.","container-title":"Medical Teacher","DOI":"10.1080/01421590400029665","ISSN":"0142-159X, 1466-187X","issue":"2","journalAbbreviation":"Medical Teacher","language":"en","page":"107-113","source":"DOI.org (Crossref)","title":"Working and training as an intern: a national survey of Irish interns","title-short":"Working and training as an intern","volume":"27","author":[{"family":"Finucane","given":"Paul"},{"family":"O’Dowd","given":"Tom"}],"issued":{"date-parts":[["2005",3]]}}}],"schema":"https://github.com/citation-style-language/schema/raw/master/csl-citation.json"} </w:instrText>
            </w:r>
            <w:r>
              <w:rPr>
                <w:rFonts w:ascii="Calibri" w:hAnsi="Calibri" w:cs="Calibri"/>
                <w:sz w:val="20"/>
                <w:szCs w:val="20"/>
              </w:rPr>
              <w:fldChar w:fldCharType="separate"/>
            </w:r>
            <w:r w:rsidR="002038AC">
              <w:rPr>
                <w:rFonts w:ascii="Calibri" w:hAnsi="Calibri" w:cs="Calibri"/>
                <w:sz w:val="20"/>
              </w:rPr>
              <w:t>[80]</w:t>
            </w:r>
            <w:r>
              <w:rPr>
                <w:rFonts w:ascii="Calibri" w:hAnsi="Calibri" w:cs="Calibri"/>
                <w:sz w:val="20"/>
                <w:szCs w:val="20"/>
              </w:rPr>
              <w:fldChar w:fldCharType="end"/>
            </w:r>
          </w:p>
        </w:tc>
        <w:tc>
          <w:tcPr>
            <w:tcW w:w="1699" w:type="dxa"/>
          </w:tcPr>
          <w:p w14:paraId="3ACC76CB"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E35069">
              <w:rPr>
                <w:rFonts w:ascii="Calibri" w:hAnsi="Calibri" w:cs="Calibri"/>
                <w:sz w:val="20"/>
                <w:szCs w:val="20"/>
              </w:rPr>
              <w:t>Accom</w:t>
            </w:r>
            <w:r>
              <w:rPr>
                <w:rFonts w:ascii="Calibri" w:hAnsi="Calibri" w:cs="Calibri"/>
                <w:sz w:val="20"/>
                <w:szCs w:val="20"/>
              </w:rPr>
              <w:t>m</w:t>
            </w:r>
            <w:r w:rsidRPr="00E35069">
              <w:rPr>
                <w:rFonts w:ascii="Calibri" w:hAnsi="Calibri" w:cs="Calibri"/>
                <w:sz w:val="20"/>
                <w:szCs w:val="20"/>
              </w:rPr>
              <w:t>odation, pay, harassment, workload</w:t>
            </w:r>
          </w:p>
        </w:tc>
        <w:tc>
          <w:tcPr>
            <w:tcW w:w="4331" w:type="dxa"/>
          </w:tcPr>
          <w:p w14:paraId="50F6278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552" w:type="dxa"/>
          </w:tcPr>
          <w:p w14:paraId="0E585C50"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E4E1CC4"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4237B847" w14:textId="77777777" w:rsidR="006938E9" w:rsidRPr="00AB4BAE" w:rsidRDefault="006938E9" w:rsidP="008C7800">
            <w:pPr>
              <w:rPr>
                <w:rFonts w:ascii="Calibri" w:hAnsi="Calibri" w:cs="Calibri"/>
                <w:sz w:val="20"/>
                <w:szCs w:val="20"/>
              </w:rPr>
            </w:pPr>
            <w:r>
              <w:rPr>
                <w:rFonts w:ascii="Calibri" w:hAnsi="Calibri" w:cs="Calibri"/>
                <w:sz w:val="20"/>
                <w:szCs w:val="20"/>
              </w:rPr>
              <w:t>Friesen et al. 2008 questionnaire</w:t>
            </w:r>
          </w:p>
        </w:tc>
        <w:tc>
          <w:tcPr>
            <w:tcW w:w="846" w:type="dxa"/>
          </w:tcPr>
          <w:p w14:paraId="6EA54CC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567FC8C8" w14:textId="4BBA0555"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v4ASEXIJ","properties":{"formattedCitation":"[28]","plainCitation":"[28]","noteIndex":0},"citationItems":[{"id":3395,"uris":["http://zotero.org/users/4975241/items/NZ2WTM8I"],"uri":["http://zotero.org/users/4975241/items/NZ2WTM8I"],"itemData":{"id":3395,"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limitations.\nDESIGN: Cross-sectional confidential survey of validated questions related to fatigue, sleep, and stress, as well as author-developed teamwork questions.\nSUBJECTS: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 &lt; 0.001 and p = 0.02, respectively). To identify factors that may affect sleep, specifically duty hours and stress, a secondary model was constructed. Only greater perceived stress was significantly associated with diminished sleep quality (p = 0.04), and only poorer teamwork was significantly associated with perceived stress (p &lt; 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Medicine","DOI":"10.1007/s11606-008-0798-3","ISSN":"1525-1497","issue":"12","journalAbbreviation":"J Gen Intern Med","language":"eng","note":"PMID: 18807096\nPMCID: PMC2596494","page":"1981-1986","source":"PubMed","title":"Factors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[28]</w:t>
            </w:r>
            <w:r>
              <w:rPr>
                <w:rFonts w:ascii="Calibri" w:hAnsi="Calibri" w:cs="Calibri"/>
                <w:sz w:val="20"/>
                <w:szCs w:val="20"/>
              </w:rPr>
              <w:fldChar w:fldCharType="end"/>
            </w:r>
          </w:p>
        </w:tc>
        <w:tc>
          <w:tcPr>
            <w:tcW w:w="1699" w:type="dxa"/>
          </w:tcPr>
          <w:p w14:paraId="7F4693F8"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51A77FD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21E0209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C26179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05B246A0" w14:textId="77777777" w:rsidR="006938E9" w:rsidRPr="00AB4BAE" w:rsidRDefault="006938E9" w:rsidP="008C7800">
            <w:pPr>
              <w:rPr>
                <w:rFonts w:ascii="Calibri" w:hAnsi="Calibri" w:cs="Calibri"/>
                <w:sz w:val="20"/>
                <w:szCs w:val="20"/>
              </w:rPr>
            </w:pPr>
            <w:r>
              <w:rPr>
                <w:rFonts w:ascii="Calibri" w:hAnsi="Calibri" w:cs="Calibri"/>
                <w:sz w:val="20"/>
                <w:szCs w:val="20"/>
              </w:rPr>
              <w:t>Hinze 2004 questionnaire</w:t>
            </w:r>
          </w:p>
        </w:tc>
        <w:tc>
          <w:tcPr>
            <w:tcW w:w="846" w:type="dxa"/>
          </w:tcPr>
          <w:p w14:paraId="234C1D2D"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3A0811E7" w14:textId="2DA992C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mkpTWSej","properties":{"formattedCitation":"[92]","plainCitation":"[92]","noteIndex":0},"citationItems":[{"id":3195,"uris":["http://zotero.org/users/4975241/items/ACDFT49W"],"uri":["http://zotero.org/users/4975241/items/ACDFT49W"],"itemData":{"id":3195,"type":"article-journal","abstract":"Despite larger numbers of women in medicine and strong statements against gender discrimination in written policies and the medical literature, sexual harassment persists in medical training. This study examines the everyday lives of women and men resident physicians to understand the context within which harassment unfolds. The narratives explored here reveal how attention is deﬂected from the problem of sexual harassment through a focus on women’s ‘sensitivity’. Women resist by refusing to name sexual harassment as problematic, and by deﬁning sexual harassment as ‘small stuff’ in the context of a rigorous training program. Ultimately, both tactics of resistance fail. Closer examination of the relations shaping everyday actions is key, as is viewing the rigid hierarchy of authority and power in medical training through a gender lens. I conclude with a discussion of how reforms in medical education must tend to the gendered, everyday realities of women and men in training.","container-title":"Health: An Interdisciplinary Journal for the Social Study of Health, Illness and Medicine","DOI":"10.1177/1363459304038799","ISSN":"1363-4593, 1461-7196","issue":"1","journalAbbreviation":"Health (London)","language":"en","page":"101-127","source":"DOI.org (Crossref)","title":"‘Am I Being Over-Sensitive?’ Women’s Experience of Sexual Harassment During Medical Training","title-short":"‘Am I Being Over-Sensitive?","volume":"8","author":[{"family":"Hinze","given":"Susan W."}],"issued":{"date-parts":[["2004",1]]}}}],"schema":"https://github.com/citation-style-language/schema/raw/master/csl-citation.json"}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[92]</w:t>
            </w:r>
            <w:r>
              <w:rPr>
                <w:rFonts w:ascii="Calibri" w:hAnsi="Calibri" w:cs="Calibri"/>
                <w:sz w:val="20"/>
                <w:szCs w:val="20"/>
              </w:rPr>
              <w:fldChar w:fldCharType="end"/>
            </w:r>
          </w:p>
        </w:tc>
        <w:tc>
          <w:tcPr>
            <w:tcW w:w="1699" w:type="dxa"/>
          </w:tcPr>
          <w:p w14:paraId="62A39A7D"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Harassment</w:t>
            </w:r>
          </w:p>
        </w:tc>
        <w:tc>
          <w:tcPr>
            <w:tcW w:w="4331" w:type="dxa"/>
          </w:tcPr>
          <w:p w14:paraId="396AA9D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4C03782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DDB6291"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1C649D88"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Jagsi et al. 2008 questionnaire</w:t>
            </w:r>
          </w:p>
        </w:tc>
        <w:tc>
          <w:tcPr>
            <w:tcW w:w="846" w:type="dxa"/>
          </w:tcPr>
          <w:p w14:paraId="5AFC266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165AEA08" w14:textId="5858835D"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w1vskMTg","properties":{"formattedCitation":"[41]","plainCitation":"[41]","noteIndex":0},"citationItems":[{"id":3270,"uris":["http://zotero.org/users/4975241/items/H4R68G7M"],"uri":["http://zotero.org/users/4975241/items/H4R68G7M"],"itemData":{"id":3270,"type":"article-journal","container-title":"Archives of Internal Medicine","DOI":"10.1001/archinternmed.2007.129","ISSN":"0003-9926","issue":"5","journalAbbreviation":"Arch Intern Med","language":"en","page":"493","source":"DOI.org (Crossref)","title":"The Accreditation Council for Graduate Medical Education's Limits on Residents' Work Hours and Patient SafetyA Study of Resident Experiences and Perceptions Before and After Hours Reductions","volume":"168","author":[{"family":"Jagsi","given":"Reshma"}],"issued":{"date-parts":[["2008",3,10]]}}}],"schema":"https://github.com/citation-style-language/schema/raw/master/csl-citation.json"}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[41]</w:t>
            </w:r>
            <w:r>
              <w:rPr>
                <w:rFonts w:ascii="Calibri" w:hAnsi="Calibri" w:cs="Calibri"/>
                <w:sz w:val="20"/>
                <w:szCs w:val="20"/>
              </w:rPr>
              <w:fldChar w:fldCharType="end"/>
            </w:r>
          </w:p>
        </w:tc>
        <w:tc>
          <w:tcPr>
            <w:tcW w:w="1699" w:type="dxa"/>
          </w:tcPr>
          <w:p w14:paraId="38D104D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 safety</w:t>
            </w:r>
          </w:p>
        </w:tc>
        <w:tc>
          <w:tcPr>
            <w:tcW w:w="4331" w:type="dxa"/>
          </w:tcPr>
          <w:p w14:paraId="45B4182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290E8A4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2F4FBF5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546124EC" w14:textId="77777777" w:rsidR="006938E9" w:rsidRPr="00AB4BAE" w:rsidRDefault="006938E9" w:rsidP="008C7800">
            <w:pPr>
              <w:rPr>
                <w:rFonts w:ascii="Calibri" w:hAnsi="Calibri" w:cs="Calibri"/>
                <w:sz w:val="20"/>
                <w:szCs w:val="20"/>
              </w:rPr>
            </w:pPr>
            <w:r>
              <w:rPr>
                <w:rFonts w:ascii="Calibri" w:hAnsi="Calibri" w:cs="Calibri"/>
                <w:sz w:val="20"/>
                <w:szCs w:val="20"/>
              </w:rPr>
              <w:t>Kashner et al. 2010 questionnaire</w:t>
            </w:r>
          </w:p>
        </w:tc>
        <w:tc>
          <w:tcPr>
            <w:tcW w:w="846" w:type="dxa"/>
          </w:tcPr>
          <w:p w14:paraId="2DD2602E"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AC09482" w14:textId="4273A1F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3F2BMdB4","properties":{"formattedCitation":"[43]","plainCitation":"[43]","noteIndex":0},"citationItems":[{"id":3314,"uris":["http://zotero.org/users/4975241/items/X4RP739Z"],"uri":["http://zotero.org/users/4975241/items/X4RP739Z"],"itemData":{"id":3314,"type":"article-journal","abstract":"BACKGROUND: As the Accreditation Council on Graduate Medical Education (ACGME) deliberates over further limiting duty hours of graduate medical education (GME) trainees, few large-scale studies have shown residents to be satisfied with the effect the 2003 standards have had on clinical care, education outcomes, or working environments. This study measures the effect of the 2003 duty hours limits on resident-reported satisfaction with GME training during their rotations through the Department of Veterans Affairs (VA) medical centers from 2001 through 2007.\nMETHOD: Self-reported satisfaction with clinical care and education environments were assessed by comparing responses to VA's annual Learners' Perceptions Survey administered before 2003 with responses administered after 2003. To measure duty hours effects on satisfaction, before-after differences were adjusted for covariate biases modeled after an exhaustive covariate search with 10-fold cross-validation. Because nonteaching controls are not available in satisfaction studies, we used a robust differencing variable technique to control before-after differences for trend biases in the simultaneous presence of missing data and possible model misspecification.\nRESULTS: There were 19,605 responders. Adjusting for covariate and trend biases, after the 2003 ACGME standards, 25% more residents in medicine specialties reported satisfaction with VA clinical environment and 11% more with VA preceptors and faculty. For surgery, 33% more residents reported satisfaction with VA clinical environment and 12% more with VA preceptors and faculty. Satisfaction with working environment was mixed.\nCONCLUSIONS: The 2003 ACGME duty hours standards were associated with improved satisfaction for resident clinical training and learning environments.","container-title":"Academic Medicine: Journal of the Association of American Medical Colleges","DOI":"10.1097/ACM.0b013e3181e1d7e3","ISSN":"1938-808X","issue":"7","journalAbbreviation":"Acad Med","language":"eng","note":"PMID: 20592508","page":"1130-1139","source":"PubMed","title":"Studying the effects of ACGME duty hours limits on resident satisfaction: results from VA learners' perceptions survey","title-short":"Studying the effects of ACGME duty hours limits on resident satisfaction","volume":"85","author":[{"family":"Kashner","given":"T. Michael"},{"family":"Henley","given":"Steven S."},{"family":"Golden","given":"Richard M."},{"family":"Byrne","given":"John M."},{"family":"Keitz","given":"Sheri A."},{"family":"Cannon","given":"Grant W."},{"family":"Chang","given":"Barbara K."},{"family":"Holland","given":"Gloria J."},{"family":"Aron","given":"David C."},{"family":"Muchmore","given":"Elaine A."},{"family":"Wicker","given":"Annie"},{"family":"White","given":"Halbert"}],"issued":{"date-parts":[["2010",7]]}}}],"schema":"https://github.com/citation-style-language/schema/raw/master/csl-citation.json"}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[43]</w:t>
            </w:r>
            <w:r>
              <w:rPr>
                <w:rFonts w:ascii="Calibri" w:hAnsi="Calibri" w:cs="Calibri"/>
                <w:sz w:val="20"/>
                <w:szCs w:val="20"/>
              </w:rPr>
              <w:fldChar w:fldCharType="end"/>
            </w:r>
          </w:p>
        </w:tc>
        <w:tc>
          <w:tcPr>
            <w:tcW w:w="1699" w:type="dxa"/>
          </w:tcPr>
          <w:p w14:paraId="490E2A39"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40E7E">
              <w:rPr>
                <w:rFonts w:ascii="Calibri" w:hAnsi="Calibri" w:cs="Calibri"/>
                <w:sz w:val="20"/>
                <w:szCs w:val="20"/>
              </w:rPr>
              <w:t>Work hours,</w:t>
            </w:r>
            <w:r>
              <w:rPr>
                <w:rFonts w:ascii="Calibri" w:hAnsi="Calibri" w:cs="Calibri"/>
                <w:sz w:val="20"/>
                <w:szCs w:val="20"/>
              </w:rPr>
              <w:t xml:space="preserve"> </w:t>
            </w:r>
            <w:r w:rsidRPr="00340E7E">
              <w:rPr>
                <w:rFonts w:ascii="Calibri" w:hAnsi="Calibri" w:cs="Calibri"/>
                <w:sz w:val="20"/>
                <w:szCs w:val="20"/>
              </w:rPr>
              <w:t>infrastructure, safety, food and acco</w:t>
            </w:r>
            <w:r>
              <w:rPr>
                <w:rFonts w:ascii="Calibri" w:hAnsi="Calibri" w:cs="Calibri"/>
                <w:sz w:val="20"/>
                <w:szCs w:val="20"/>
              </w:rPr>
              <w:t>m</w:t>
            </w:r>
            <w:r w:rsidRPr="00340E7E">
              <w:rPr>
                <w:rFonts w:ascii="Calibri" w:hAnsi="Calibri" w:cs="Calibri"/>
                <w:sz w:val="20"/>
                <w:szCs w:val="20"/>
              </w:rPr>
              <w:t>modation</w:t>
            </w:r>
          </w:p>
        </w:tc>
        <w:tc>
          <w:tcPr>
            <w:tcW w:w="4331" w:type="dxa"/>
          </w:tcPr>
          <w:p w14:paraId="3F76B53B"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4813812F"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41C5E83"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216D441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Kazmi et al. 2008 questionnaire</w:t>
            </w:r>
          </w:p>
        </w:tc>
        <w:tc>
          <w:tcPr>
            <w:tcW w:w="846" w:type="dxa"/>
          </w:tcPr>
          <w:p w14:paraId="77D97F5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6DF62E46" w14:textId="50DF2173"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Qxvu1b9J","properties":{"formattedCitation":"[44]","plainCitation":"[44]","noteIndex":0},"citationItems":[{"id":3304,"uris":["http://zotero.org/users/4975241/items/C2ET4CLN"],"uri":["http://zotero.org/users/4975241/items/C2ET4CLN"],"itemData":{"id":3304,"type":"article-journal","abstract":"BACKGROUND: Doctors especially house officers are under a great deal of stress related to a variety of occupational stressors. Occupational stressors contribute to organizational inefficiency, high staff turnover, absenteeism due to sickness, decreased quality, and quantity of practice, increased costs of health care, and decreased job satisfaction. One of the organizational outcomes that affected by occupational stress is job performance. The purpose of the present study was to investigate the effect of job stress on job performance.\nMETHODS: The universe of the study is District Abbottabad and the complete population of house officers was targeted which were present at that time were 55. The data obtained through questionnaire was analyzed using the statistical methods including descriptive statistics, Spearman's correlation and multiple regression.\nRESULTS: The analysis showed strong support for the hypothesis that there is an inverse relationship between job stress and job performance indicating that there is high job stress in the house officers, resulting in low job performance.\nCONCLUSION: Correct stress management should start from improved health and good intrapersonal relationships. The prevention and management of workplace stress requires organizational level interventions, because it is the organization that creates the stress. Success in managing and preventing stress will depend on the culture in the organization. A culture of openness and understanding, rather than of criticism, is essential. Those house officers who had high level of job stress had low job performance. All the factors affected male house officers more than the female house officers.","container-title":"Journal of Ayub Medical College, Abbottabad: JAMC","ISSN":"1025-9589","issue":"3","journalAbbreviation":"J Ayub Med Coll Abbottabad","language":"eng","note":"PMID: 19610539","page":"135-139","source":"PubMed","title":"Occupational stress and its effect on job performance. A case study of medical house officers of district Abbottabad","volume":"20","author":[{"family":"Kazmi","given":"Rubina"},{"family":"Amjad","given":"Shehla"},{"family":"Khan","given":"Delawar"}],"issued":{"date-parts":[["2008",9]]}}}],"schema":"https://github.com/citation-style-language/schema/raw/master/csl-citation.json"}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[44]</w:t>
            </w:r>
            <w:r>
              <w:rPr>
                <w:rFonts w:ascii="Calibri" w:hAnsi="Calibri" w:cs="Calibri"/>
                <w:sz w:val="20"/>
                <w:szCs w:val="20"/>
              </w:rPr>
              <w:fldChar w:fldCharType="end"/>
            </w:r>
          </w:p>
        </w:tc>
        <w:tc>
          <w:tcPr>
            <w:tcW w:w="1699" w:type="dxa"/>
          </w:tcPr>
          <w:p w14:paraId="185A2A58"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56172FA2"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28B467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41857E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0F62A268" w14:textId="77777777" w:rsidR="006938E9" w:rsidRDefault="006938E9" w:rsidP="008C7800">
            <w:pPr>
              <w:rPr>
                <w:rFonts w:ascii="Calibri" w:hAnsi="Calibri" w:cs="Calibri"/>
                <w:sz w:val="20"/>
                <w:szCs w:val="20"/>
              </w:rPr>
            </w:pPr>
            <w:r w:rsidRPr="003E209A">
              <w:rPr>
                <w:rFonts w:ascii="Calibri" w:hAnsi="Calibri" w:cs="Calibri"/>
                <w:sz w:val="20"/>
                <w:szCs w:val="20"/>
              </w:rPr>
              <w:t>Keim</w:t>
            </w:r>
            <w:r>
              <w:rPr>
                <w:rFonts w:ascii="Calibri" w:hAnsi="Calibri" w:cs="Calibri"/>
                <w:sz w:val="20"/>
                <w:szCs w:val="20"/>
              </w:rPr>
              <w:t xml:space="preserve"> et al. 2006 questionnaire</w:t>
            </w:r>
          </w:p>
        </w:tc>
        <w:tc>
          <w:tcPr>
            <w:tcW w:w="846" w:type="dxa"/>
          </w:tcPr>
          <w:p w14:paraId="55FD28F3"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6C18E2D1" w14:textId="0DA89141"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f2bgsxAP","properties":{"formattedCitation":"[19]","plainCitation":"[19]","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[19]</w:t>
            </w:r>
            <w:r>
              <w:rPr>
                <w:rFonts w:ascii="Calibri" w:hAnsi="Calibri" w:cs="Calibri"/>
                <w:sz w:val="20"/>
                <w:szCs w:val="20"/>
              </w:rPr>
              <w:fldChar w:fldCharType="end"/>
            </w:r>
          </w:p>
        </w:tc>
        <w:tc>
          <w:tcPr>
            <w:tcW w:w="1699" w:type="dxa"/>
          </w:tcPr>
          <w:p w14:paraId="11C26563"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69B84B5F"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E30757E"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86B795E"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34F075A2" w14:textId="77777777" w:rsidR="006938E9" w:rsidRPr="003E209A" w:rsidRDefault="006938E9" w:rsidP="008C7800">
            <w:pPr>
              <w:rPr>
                <w:rFonts w:ascii="Calibri" w:hAnsi="Calibri" w:cs="Calibri"/>
                <w:sz w:val="20"/>
                <w:szCs w:val="20"/>
              </w:rPr>
            </w:pPr>
            <w:r>
              <w:rPr>
                <w:rFonts w:ascii="Calibri" w:hAnsi="Calibri" w:cs="Calibri"/>
                <w:sz w:val="20"/>
                <w:szCs w:val="20"/>
              </w:rPr>
              <w:t>Lau et al. 2017 questionnaire</w:t>
            </w:r>
          </w:p>
        </w:tc>
        <w:tc>
          <w:tcPr>
            <w:tcW w:w="846" w:type="dxa"/>
          </w:tcPr>
          <w:p w14:paraId="07DD9D59"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5BEA1C79" w14:textId="65EA7820"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aC5BGZy8","properties":{"formattedCitation":"[45]","plainCitation":"[45]","noteIndex":0},"citationItems":[{"id":3253,"uris":["http://zotero.org/users/4975241/items/ZNSZA5XV"],"uri":["http://zotero.org/users/4975241/items/ZNSZA5XV"],"itemData":{"id":3253,"type":"article-journal","abstract":"Background/Aims: To determine the prevalence of psychological distress in Australian junior medical ofﬁcers (JMO) and investigate the determinants associated with psychological distress over a 3-year (2014–2016) period.\nMethods: JMO were surveyed using the 2014–2016 JMO Census (n = 220, 399 and 466 each year; response rate approximately 15%). Levels of psychological distress were assessed using the Kessler Psychological Distress Scale (K10). A K10 ≥ 25 was chosen to indicate high psychological distress, and this determinant was compared to various demographic and work-related factors.\nResults: Australian JMO experience a high level of psychological distress (mean: 18.1, median 16.0). There were no differences in demographical variables, such as age, gender, marital status, dependants and between postgraduate years 1 and 2. Increasing hours worked per week was associated with a higher K10, with every hour worked increasing odds by 3%. Attitudinal items, including feeling unwilling to study medicine again, feeling poorly trained and experiences of bullying, were related to high psychological distress. Coping strategies like exercise and spending time with friends correlated positively with lower distress, while time off work, frequent alcohol use, smoking and drug use were associated with increased distress levels. Of those with a high K10, 54.5% indicated that they did not use any form of professional support; 17.83% expressed that given their time again, they would not choose to study medicine.\nConclusion: A focused approach to JMO support and education regarding signiﬁcant risk factors identiﬁed is likely to assist health policies that aim to improve the mental well-being of Australian JMO.","container-title":"Internal Medicine Journal","DOI":"10.1111/imj.13545","ISSN":"14440903","issue":"10","journalAbbreviation":"Intern Med J","language":"en","page":"1190-1196","source":"DOI.org (Crossref)","title":"Prevalence and associations of psychological distress in Australian junior medical officers: Psychological distress in JMO","title-short":"Prevalence and associations of psychological distress in Australian junior medical officers","volume":"47","author":[{"family":"Lau","given":"Michelle W."},{"family":"Li","given":"Wenlong E."},{"family":"Llewellyn","given":"Anthony"},{"family":"Cyna","given":"Allan M."}],"issued":{"date-parts":[["2017",10]]}}}],"schema":"https://github.com/citation-style-language/schema/raw/master/csl-citation.json"}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[45]</w:t>
            </w:r>
            <w:r>
              <w:rPr>
                <w:rFonts w:ascii="Calibri" w:hAnsi="Calibri" w:cs="Calibri"/>
                <w:sz w:val="20"/>
                <w:szCs w:val="20"/>
              </w:rPr>
              <w:fldChar w:fldCharType="end"/>
            </w:r>
          </w:p>
        </w:tc>
        <w:tc>
          <w:tcPr>
            <w:tcW w:w="1699" w:type="dxa"/>
          </w:tcPr>
          <w:p w14:paraId="3F53303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756C804B"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E82BBC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BD46A5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2E1BF972"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t>Mataya et al. 2015 questionnaire</w:t>
            </w:r>
          </w:p>
        </w:tc>
        <w:tc>
          <w:tcPr>
            <w:tcW w:w="846" w:type="dxa"/>
          </w:tcPr>
          <w:p w14:paraId="023D4C4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AB4BAE">
              <w:rPr>
                <w:rFonts w:ascii="Calibri" w:hAnsi="Calibri" w:cs="Calibri"/>
                <w:color w:val="000000"/>
                <w:sz w:val="20"/>
                <w:szCs w:val="20"/>
              </w:rPr>
              <w:t>1</w:t>
            </w:r>
          </w:p>
        </w:tc>
        <w:tc>
          <w:tcPr>
            <w:tcW w:w="1298" w:type="dxa"/>
          </w:tcPr>
          <w:p w14:paraId="04A40CAC" w14:textId="767B34ED"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iOGQeGWc","properties":{"formattedCitation":"[47]","plainCitation":"[47]","noteIndex":0},"citationItems":[{"id":3025,"uris":["http://zotero.org/users/4975241/items/UE9Z8BCJ"],"uri":["http://zotero.org/users/4975241/items/UE9Z8BCJ"],"itemData":{"id":3025,"type":"article-journal","abstract":"Introduction: The University of Malawi's College of Medicine produces almost all of the medical interns working at Malawi's two largest public hospitals: Queen Elizabeth Central Hospital in Blantyre, and Kamuzu Central Hospital in Lilongwe. To earn full medical council registration, new graduates must complete an 18-month internship at either site. This study attempted to determine general levels of job satisfaction and commitment among Malawian medical interns, and to rank categorical factors according to impact on intern job satisfaction and commitment. These factors were also examined in terms of influence on bringing about an intern strike in late 2010, early 2011. Methods: Sixty-one of 70 interns working during the study period completed a job satisfaction survey. Questionnaire items addressed ten \"factors\": (1) hours and pay, (2) work content, (3) working conditions, (4) relationships with senior staff, (5) workplace relationships with peers, (6) educational environment, (7) internal factors, (8) quality of life, (9) autonomy and self-worth, and (10) future career prospects. Analysis for this cross-sectional study included quantification and comparisons of overall and category-specific satisfaction levels, using ANOVA and Student's t-test. Results: Sixty-nine percent then 57% of interns identified themselves as satisfied at the beginning and end of the questionnaire, respectively; 97% of the interns indicated job commitment at both instances of asking. Factors influencing job satisfaction most strongly were those that participants were least satisfied with. Conclusion: Future research and interventions aimed at improving intern job satisfaction in Malawi should focus on assessing and improving remuneration, working hours, and physical working conditions.","container-title":"Pan African Medical Journal","DOI":"10.11604/pamj.2015.21.174.6511","ISSN":"1937-8688","journalAbbreviation":"Pan Afr Med J","language":"en","source":"DOI.org (Crossref)","title":"Factors affecting job satisfaction and commitment among medical interns in Malawi: a cross-sectional study","title-short":"Factors affecting job satisfaction and commitment among medical interns in Malawi","URL":"http://www.panafrican-med-journal.com/content/article/21/174/full/","volume":"21","author":[{"family":"Mataya","given":"Andrew Alinafe"},{"family":"Macuvele","given":"Marcia Eugenia"},{"family":"Gwitima","given":"Takudzwanashe"},{"family":"Muula","given":"Adamson Sinjani"}],"accessed":{"date-parts":[["2020",9,9]]},"issued":{"date-parts":[["2015"]]}}}],"schema":"https://github.com/citation-style-language/schema/raw/master/csl-citation.json"}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[47]</w:t>
            </w:r>
            <w:r>
              <w:rPr>
                <w:rFonts w:ascii="Calibri" w:hAnsi="Calibri" w:cs="Calibri"/>
                <w:sz w:val="20"/>
                <w:szCs w:val="20"/>
              </w:rPr>
              <w:fldChar w:fldCharType="end"/>
            </w:r>
          </w:p>
        </w:tc>
        <w:tc>
          <w:tcPr>
            <w:tcW w:w="1699" w:type="dxa"/>
          </w:tcPr>
          <w:p w14:paraId="2486E3E7"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3216A8">
              <w:rPr>
                <w:rFonts w:ascii="Calibri" w:hAnsi="Calibri" w:cs="Calibri"/>
                <w:sz w:val="20"/>
                <w:szCs w:val="20"/>
              </w:rPr>
              <w:t>Work hours, pay and remuneration</w:t>
            </w:r>
          </w:p>
        </w:tc>
        <w:tc>
          <w:tcPr>
            <w:tcW w:w="4331" w:type="dxa"/>
          </w:tcPr>
          <w:p w14:paraId="65E1CEFA"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22CE350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56581831"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7F00528F" w14:textId="77777777" w:rsidR="006938E9" w:rsidRPr="00AB4BAE" w:rsidRDefault="006938E9" w:rsidP="008C7800">
            <w:pPr>
              <w:rPr>
                <w:rFonts w:ascii="Calibri" w:hAnsi="Calibri" w:cs="Calibri"/>
                <w:color w:val="000000"/>
                <w:sz w:val="20"/>
                <w:szCs w:val="20"/>
              </w:rPr>
            </w:pPr>
            <w:r>
              <w:rPr>
                <w:rFonts w:ascii="Calibri" w:hAnsi="Calibri" w:cs="Calibri"/>
                <w:color w:val="000000"/>
                <w:sz w:val="20"/>
                <w:szCs w:val="20"/>
              </w:rPr>
              <w:t>Mayer 2017 questionnaire</w:t>
            </w:r>
          </w:p>
        </w:tc>
        <w:tc>
          <w:tcPr>
            <w:tcW w:w="846" w:type="dxa"/>
          </w:tcPr>
          <w:p w14:paraId="4A6C38AD"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34C72116" w14:textId="5C10BA7B"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6VlT2Ap6","properties":{"formattedCitation":"[9]","plainCitation":"[9]","noteIndex":0},"citationItems":[{"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[9]</w:t>
            </w:r>
            <w:r>
              <w:rPr>
                <w:rFonts w:ascii="Calibri" w:hAnsi="Calibri" w:cs="Calibri"/>
                <w:sz w:val="20"/>
                <w:szCs w:val="20"/>
              </w:rPr>
              <w:fldChar w:fldCharType="end"/>
            </w:r>
          </w:p>
        </w:tc>
        <w:tc>
          <w:tcPr>
            <w:tcW w:w="1699" w:type="dxa"/>
          </w:tcPr>
          <w:p w14:paraId="564D1378" w14:textId="77777777" w:rsidR="006938E9" w:rsidRPr="00740C3F"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65F0D190"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62A45B8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7B07CF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0CA4FAF4" w14:textId="77777777" w:rsidR="006938E9" w:rsidRPr="00AB4BAE" w:rsidRDefault="006938E9" w:rsidP="008C7800">
            <w:pPr>
              <w:rPr>
                <w:rFonts w:ascii="Calibri" w:hAnsi="Calibri" w:cs="Calibri"/>
                <w:sz w:val="20"/>
                <w:szCs w:val="20"/>
              </w:rPr>
            </w:pPr>
            <w:r w:rsidRPr="00AB4BAE">
              <w:rPr>
                <w:rFonts w:ascii="Calibri" w:hAnsi="Calibri" w:cs="Calibri"/>
                <w:color w:val="000000"/>
                <w:sz w:val="20"/>
                <w:szCs w:val="20"/>
              </w:rPr>
              <w:lastRenderedPageBreak/>
              <w:t>Modified AMA survey</w:t>
            </w:r>
          </w:p>
        </w:tc>
        <w:tc>
          <w:tcPr>
            <w:tcW w:w="846" w:type="dxa"/>
          </w:tcPr>
          <w:p w14:paraId="303C0C61"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0AB39F63" w14:textId="5817FCB4"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4omxx425","properties":{"formattedCitation":"[48]","plainCitation":"[48]","noteIndex":0},"citationItems":[{"id":3292,"uris":["http://zotero.org/users/4975241/items/PEX6STQA"],"uri":["http://zotero.org/users/4975241/items/PEX6STQA"],"itemData":{"id":3292,"type":"article-journal","abstract":"PURPOSE: To secure data from residents regarding residency work hours and correlates.\nMETHOD: A national, random sample of postgraduate year 1 (PGY1) and year 2 (PGY2) residents in the 1998-1999 training year was identified using the American Medical Association's Graduate Medical Education database. Residents completed a five-page survey with 44 questions and 144 separate data elements relating to their residency experience.\nRESULTS: Completed surveys were received from 3,604 of 5,616 (64.2%) residents contacted. PGY1 residents reported working an average of 83 hours a week versus 76.2 hours for PGY2 residents (p &lt;.0001). Total work hours were significantly correlated with reported stress and hours of sleep per week. Residents averaging more than 80 work hours per week were more likely to be involved in a personal accident or injury, a serious conflict with other staff members, and making a significant medical error. Cluster analysis revealed four different types of residency experience: high intensity, moderate intensity, low intensity, and moonlighters, suggesting that residents may have some choice in selecting a residency experience suited to their particular personal and professional needs.\nCONCLUSION: Nearly half of PGY1 and one third of PGY2 residents reported working more than 80 hours per week. These extended hours are significantly correlated with a number of patient care and personal health variables. Given the variety of program and specialty requirements and demands, it seems unlikely that an arbitrary limit or a simple decrease in work hours will provide a satisfactory solution to many resident and patient care concerns.","container-title":"Academic Medicine: Journal of the Association of American Medical Colleges","DOI":"10.1097/00001888-200311000-00018","ISSN":"1040-2446","issue":"11","journalAbbreviation":"Acad Med","language":"eng","note":"PMID: 14604880","page":"1154-1163","source":"PubMed","title":"A national survey of residents' self-reported work hours: thinking beyond specialty","title-short":"A national survey of residents' self-reported work hours","volume":"78","author":[{"family":"Baldwin","given":"DeWitt C."},{"family":"Daugherty","given":"Steven R."},{"family":"Tsai","given":"Ray"},{"family":"Scotti","given":"Michael J."}],"issued":{"date-parts":[["2003",11]]}}}],"schema":"https://github.com/citation-style-language/schema/raw/master/csl-citation.json"}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[48]</w:t>
            </w:r>
            <w:r>
              <w:rPr>
                <w:rFonts w:ascii="Calibri" w:hAnsi="Calibri" w:cs="Calibri"/>
                <w:sz w:val="20"/>
                <w:szCs w:val="20"/>
              </w:rPr>
              <w:fldChar w:fldCharType="end"/>
            </w:r>
          </w:p>
        </w:tc>
        <w:tc>
          <w:tcPr>
            <w:tcW w:w="1699" w:type="dxa"/>
          </w:tcPr>
          <w:p w14:paraId="27F64AA5"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40C3F">
              <w:rPr>
                <w:rFonts w:ascii="Calibri" w:hAnsi="Calibri" w:cs="Calibri"/>
                <w:sz w:val="20"/>
                <w:szCs w:val="20"/>
              </w:rPr>
              <w:t>Work hour, harassment</w:t>
            </w:r>
          </w:p>
        </w:tc>
        <w:tc>
          <w:tcPr>
            <w:tcW w:w="4331" w:type="dxa"/>
          </w:tcPr>
          <w:p w14:paraId="2E9A5FD4"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735B1138"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87F900A"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18B5FD19" w14:textId="77777777" w:rsidR="006938E9" w:rsidRPr="00AB4BAE" w:rsidRDefault="006938E9" w:rsidP="008C7800">
            <w:pPr>
              <w:rPr>
                <w:rFonts w:ascii="Calibri" w:hAnsi="Calibri" w:cs="Calibri"/>
                <w:sz w:val="20"/>
                <w:szCs w:val="20"/>
              </w:rPr>
            </w:pPr>
            <w:r w:rsidRPr="00DC0E5D">
              <w:rPr>
                <w:rFonts w:ascii="Calibri" w:hAnsi="Calibri" w:cs="Calibri"/>
                <w:sz w:val="20"/>
                <w:szCs w:val="20"/>
              </w:rPr>
              <w:t>Modified questionnaire by Buckey and Harasym</w:t>
            </w:r>
          </w:p>
        </w:tc>
        <w:tc>
          <w:tcPr>
            <w:tcW w:w="846" w:type="dxa"/>
          </w:tcPr>
          <w:p w14:paraId="18BB6FD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69BF4B92" w14:textId="6E9F2B1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kn7rIYvM","properties":{"formattedCitation":"[33]","plainCitation":"[33]","noteIndex":0},"citationItems":[{"id":3256,"uris":["http://zotero.org/users/4975241/items/FT3LM8AS"],"uri":["http://zotero.org/users/4975241/items/FT3LM8AS"],"itemData":{"id":3256,"type":"article-journal","abstract":"One hundred and one interns who completed internship during the year 2000 were surveyed by questionnaire to study thefactors, manifestations and management strategies of stresses affecting them. Factors considered included personal and family, work and working conditions, training and interpersonal matters.","container-title":"Qatar Medical Journal","DOI":"10.5339/qmj.2002.1.19","ISSN":"2227-0426","issue":"1","journalAbbreviation":"Qatar Medical Journal","language":"en","page":"19","source":"DOI.org (Crossref)","title":"Professional Stress During Medical Internship","volume":"2002","author":[{"family":"Al Sultan","given":"A. I."},{"family":"Parashar","given":"S. K."},{"family":"Wahass","given":"S. H."},{"family":"Al Soweilem","given":"L. S."}],"issued":{"date-parts":[["2002",6]]}}}],"schema":"https://github.com/citation-style-language/schema/raw/master/csl-citation.json"}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[33]</w:t>
            </w:r>
            <w:r>
              <w:rPr>
                <w:rFonts w:ascii="Calibri" w:hAnsi="Calibri" w:cs="Calibri"/>
                <w:sz w:val="20"/>
                <w:szCs w:val="20"/>
              </w:rPr>
              <w:fldChar w:fldCharType="end"/>
            </w:r>
          </w:p>
        </w:tc>
        <w:tc>
          <w:tcPr>
            <w:tcW w:w="1699" w:type="dxa"/>
          </w:tcPr>
          <w:p w14:paraId="6AC31B85"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D46856">
              <w:rPr>
                <w:rFonts w:ascii="Calibri" w:hAnsi="Calibri" w:cs="Calibri"/>
                <w:sz w:val="20"/>
                <w:szCs w:val="20"/>
              </w:rPr>
              <w:t>Work hours, food and accom</w:t>
            </w:r>
            <w:r>
              <w:rPr>
                <w:rFonts w:ascii="Calibri" w:hAnsi="Calibri" w:cs="Calibri"/>
                <w:sz w:val="20"/>
                <w:szCs w:val="20"/>
              </w:rPr>
              <w:t>m</w:t>
            </w:r>
            <w:r w:rsidRPr="00D46856">
              <w:rPr>
                <w:rFonts w:ascii="Calibri" w:hAnsi="Calibri" w:cs="Calibri"/>
                <w:sz w:val="20"/>
                <w:szCs w:val="20"/>
              </w:rPr>
              <w:t>odation, harassment</w:t>
            </w:r>
            <w:r>
              <w:rPr>
                <w:rFonts w:ascii="Calibri" w:hAnsi="Calibri" w:cs="Calibri"/>
                <w:sz w:val="20"/>
                <w:szCs w:val="20"/>
              </w:rPr>
              <w:t xml:space="preserve"> or bullying</w:t>
            </w:r>
          </w:p>
        </w:tc>
        <w:tc>
          <w:tcPr>
            <w:tcW w:w="4331" w:type="dxa"/>
          </w:tcPr>
          <w:p w14:paraId="5A03A457"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8C49471"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312B431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20C59312" w14:textId="77777777" w:rsidR="006938E9" w:rsidRPr="00AB4BAE" w:rsidRDefault="006938E9" w:rsidP="008C7800">
            <w:pPr>
              <w:rPr>
                <w:rFonts w:ascii="Calibri" w:hAnsi="Calibri" w:cs="Calibri"/>
                <w:sz w:val="20"/>
                <w:szCs w:val="20"/>
              </w:rPr>
            </w:pPr>
            <w:r w:rsidRPr="001E0327">
              <w:rPr>
                <w:rFonts w:ascii="Calibri" w:hAnsi="Calibri" w:cs="Calibri"/>
                <w:sz w:val="20"/>
                <w:szCs w:val="20"/>
              </w:rPr>
              <w:t>Operating Team Resource Management Survey</w:t>
            </w:r>
          </w:p>
        </w:tc>
        <w:tc>
          <w:tcPr>
            <w:tcW w:w="846" w:type="dxa"/>
          </w:tcPr>
          <w:p w14:paraId="56A7DF4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012E4493" w14:textId="5BD859EE"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IW9Cz01l","properties":{"formattedCitation":"[88]","plainCitation":"[88]","noteIndex":0},"citationItems":[{"id":3198,"uris":["http://zotero.org/users/4975241/items/7ZSB8MQJ"],"uri":["http://zotero.org/users/4975241/items/7ZSB8MQJ"],"itemData":{"id":3198,"type":"article-journal","abstract":"Objectives: To identify perceived barriers to residents’ questioning or challenging their seniors, to determine how these barriers affect decisions, and to assess how these barriers differ across cultures.\nMethod: A written questionnaire was administered to residents in teaching hospitals in the US and Japan to assess factors affecting residents’ willingness to question or challenge their superiors. The responses were analyzed for statistical significance of differences between the two cultures and to determine the importance of issues affecting decisions.\nResults: Questionnaires were completed by 175 US and 65 Japanese residents, with an overall response rate of 71%. Trainees from both countries believe that questioning and challenging contribute to safety. The perceived importance of specific beliefs about the workplace differed across cultures in seven out of 22 questions. Residents’ decisions to make a challenge were related to the relationships and perceived response of the superiors. There was no statistical difference between the US and Japanese residents in terms of the threshold for challenging their seniors.\nConclusion: We have identified attributes of residents’ beliefs of communication, including several crosscultural differences in the importance of values and issues affecting one’s decision to question or challenge. In contrast, there was no difference in the threshold for challenging seniors by the Japanese and US residents studied. Changes in organizational and professional culture may be as important, if not more so, than national culture to encourage ‘‘speaking up’’. Residents should be encouraged to overcome barriers to challenging, and training programs should foster improved relationships and communication between trainers and trainees.","container-title":"Quality and Safety in Health Care","DOI":"10.1136/qshc.2005.017368","ISSN":"1475-3898, 1475-3901","issue":"4","journalAbbreviation":"Quality and Safety in Health Care","language":"en","page":"277-283","source":"DOI.org (Crossref)","title":"A cross-cultural survey of residents' perceived barriers in questioning/challenging authority","volume":"15","author":[{"family":"Kobayashi","given":"H"}],"issued":{"date-parts":[["2006",8,1]]}}}],"schema":"https://github.com/citation-style-language/schema/raw/master/csl-citation.json"}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[88]</w:t>
            </w:r>
            <w:r>
              <w:rPr>
                <w:rFonts w:ascii="Calibri" w:hAnsi="Calibri" w:cs="Calibri"/>
                <w:sz w:val="20"/>
                <w:szCs w:val="20"/>
              </w:rPr>
              <w:fldChar w:fldCharType="end"/>
            </w:r>
          </w:p>
        </w:tc>
        <w:tc>
          <w:tcPr>
            <w:tcW w:w="1699" w:type="dxa"/>
          </w:tcPr>
          <w:p w14:paraId="67096656"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Safety</w:t>
            </w:r>
          </w:p>
        </w:tc>
        <w:tc>
          <w:tcPr>
            <w:tcW w:w="4331" w:type="dxa"/>
          </w:tcPr>
          <w:p w14:paraId="6EA7CE2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369C9C77"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49477661"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63B9BC98" w14:textId="77777777" w:rsidR="006938E9" w:rsidRPr="00AB4BAE" w:rsidRDefault="006938E9" w:rsidP="008C7800">
            <w:pPr>
              <w:rPr>
                <w:rFonts w:ascii="Calibri" w:hAnsi="Calibri" w:cs="Calibri"/>
                <w:sz w:val="20"/>
                <w:szCs w:val="20"/>
              </w:rPr>
            </w:pPr>
            <w:r>
              <w:rPr>
                <w:rFonts w:ascii="Calibri" w:hAnsi="Calibri" w:cs="Calibri"/>
                <w:sz w:val="20"/>
                <w:szCs w:val="20"/>
              </w:rPr>
              <w:t>Rodger et al. 2002 questionnaire</w:t>
            </w:r>
          </w:p>
        </w:tc>
        <w:tc>
          <w:tcPr>
            <w:tcW w:w="846" w:type="dxa"/>
          </w:tcPr>
          <w:p w14:paraId="6784FAFE"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39DD210" w14:textId="07C55354"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1j12onQi","properties":{"formattedCitation":"[14]","plainCitation":"[14]","noteIndex":0},"citationItems":[{"id":3306,"uris":["http://zotero.org/users/4975241/items/BZH7HNGT"],"uri":["http://zotero.org/users/4975241/items/BZH7HNGT"],"itemData":{"id":3306,"type":"article-journal","abstract":"There has been little work examining the longer term occupational and psychological outcomes of problem-based learn-ing (PBL). The authors aimed to investigate the relationship between psychological distress, occupational factors and experience of PBL in the first cohort of UK pre-registration house officers to be trained exclusively using problem-based methods. Questionnaires were sent to al pre-registration house officers working in the three teaching hospitals in the Manchester area. Measures included demographic items, hours of actual work and the GHQ-12 as a measure of psychological distress, as well as validated Likert scales of job satisfaction, perceived work demands, support from superior,and experience and attitudes towards PBL. The response rate was 87% (66/76). Almost one-third of respondents (20/66) worked more than 72 hours a week. The occupational and psychological measures were significantly interrelated. The multiple regression analysis revealed that work demands and job satisfaction together accounted for over 45% of the variance in psychological distress. The other demographic, occupational and PBL-related factors did not make an independent contribution to distress. Scores were similar for respondents with high and low levels of exposure to PBL, and similar to scores obtained from a previous cohort of house officers graduating from a traditional course. These findings should be interpreted cautiously because of the small size of the current study and the setting. It is possible that as staff and students grow accustomed to new styles of teaching, and work intensity for junior doctors reduces, the effect of PBL will become more evident. Further research is needed examining the occupational and psychological outcomes of medical students taught by problem-based methods indifferent settings.","container-title":"Medical Teacher","ISSN":"0142-159X","issue":"3","journalAbbreviation":"Med Teach","language":"eng","note":"PMID: 12109458","page":"334-336","source":"PubMed","title":"Problem-based learning, work demands and psychological distress in pre-registration house officers: a preliminary study","title-short":"Problem-based learning, work demands and psychological distress in pre-registration house officers","volume":"24","author":[{"family":"Rodger","given":"Mike"},{"family":"Lavender","given":"Tom"},{"family":"Kapur","given":"Navneet"}],"issued":{"date-parts":[["2002",5]]}}}],"schema":"https://github.com/citation-style-language/schema/raw/master/csl-citation.json"}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[14]</w:t>
            </w:r>
            <w:r>
              <w:rPr>
                <w:rFonts w:ascii="Calibri" w:hAnsi="Calibri" w:cs="Calibri"/>
                <w:sz w:val="20"/>
                <w:szCs w:val="20"/>
              </w:rPr>
              <w:fldChar w:fldCharType="end"/>
            </w:r>
          </w:p>
        </w:tc>
        <w:tc>
          <w:tcPr>
            <w:tcW w:w="1699" w:type="dxa"/>
          </w:tcPr>
          <w:p w14:paraId="0890B051"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Workload</w:t>
            </w:r>
          </w:p>
        </w:tc>
        <w:tc>
          <w:tcPr>
            <w:tcW w:w="4331" w:type="dxa"/>
          </w:tcPr>
          <w:p w14:paraId="31C8DAAF"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017A3B74"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1B3675A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55954BA4" w14:textId="77777777" w:rsidR="006938E9" w:rsidRDefault="006938E9" w:rsidP="008C7800">
            <w:pPr>
              <w:rPr>
                <w:rFonts w:ascii="Calibri" w:hAnsi="Calibri" w:cs="Calibri"/>
                <w:sz w:val="20"/>
                <w:szCs w:val="20"/>
              </w:rPr>
            </w:pPr>
            <w:r>
              <w:rPr>
                <w:rFonts w:ascii="Calibri" w:hAnsi="Calibri" w:cs="Calibri"/>
                <w:sz w:val="20"/>
                <w:szCs w:val="20"/>
              </w:rPr>
              <w:t>Rovik et al. 2007 questionnaire</w:t>
            </w:r>
          </w:p>
        </w:tc>
        <w:tc>
          <w:tcPr>
            <w:tcW w:w="846" w:type="dxa"/>
          </w:tcPr>
          <w:p w14:paraId="5B83C72A"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697C885F" w14:textId="27C99FF8"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rQAMeiWs","properties":{"formattedCitation":"[6]","plainCitation":"[6]","noteIndex":0},"citationItems":[{"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schema":"https://github.com/citation-style-language/schema/raw/master/csl-citation.json"} </w:instrText>
            </w:r>
            <w:r>
              <w:rPr>
                <w:rFonts w:ascii="Calibri" w:hAnsi="Calibri" w:cs="Calibri"/>
                <w:sz w:val="20"/>
                <w:szCs w:val="20"/>
              </w:rPr>
              <w:fldChar w:fldCharType="separate"/>
            </w:r>
            <w:r w:rsidR="002038AC">
              <w:rPr>
                <w:rFonts w:ascii="Calibri" w:hAnsi="Calibri" w:cs="Calibri"/>
                <w:sz w:val="20"/>
              </w:rPr>
              <w:t>[6]</w:t>
            </w:r>
            <w:r>
              <w:rPr>
                <w:rFonts w:ascii="Calibri" w:hAnsi="Calibri" w:cs="Calibri"/>
                <w:sz w:val="20"/>
                <w:szCs w:val="20"/>
              </w:rPr>
              <w:fldChar w:fldCharType="end"/>
            </w:r>
          </w:p>
        </w:tc>
        <w:tc>
          <w:tcPr>
            <w:tcW w:w="1699" w:type="dxa"/>
          </w:tcPr>
          <w:p w14:paraId="698896DA"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38100A1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A5F75C9"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62063931"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134CC5D7" w14:textId="77777777" w:rsidR="006938E9" w:rsidRPr="00AB4BAE" w:rsidRDefault="006938E9" w:rsidP="008C7800">
            <w:pPr>
              <w:rPr>
                <w:rFonts w:ascii="Calibri" w:hAnsi="Calibri" w:cs="Calibri"/>
                <w:sz w:val="20"/>
                <w:szCs w:val="20"/>
              </w:rPr>
            </w:pPr>
            <w:r>
              <w:rPr>
                <w:rFonts w:ascii="Calibri" w:hAnsi="Calibri" w:cs="Calibri"/>
                <w:sz w:val="20"/>
                <w:szCs w:val="20"/>
              </w:rPr>
              <w:t>Sen et al. 2010 questionnaire</w:t>
            </w:r>
          </w:p>
        </w:tc>
        <w:tc>
          <w:tcPr>
            <w:tcW w:w="846" w:type="dxa"/>
          </w:tcPr>
          <w:p w14:paraId="034E7CBC"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7513F18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Pr>
                <w:rFonts w:ascii="Calibri" w:hAnsi="Calibri" w:cs="Calibri"/>
                <w:sz w:val="20"/>
                <w:szCs w:val="20"/>
              </w:rPr>
              <w:instrText xml:space="preserve"> ADDIN ZOTERO_ITEM CSL_CITATION {"citationID":"ojnLfuu8","properties":{"formattedCitation":"[7]","plainCitation":"[7]","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schema":"https://github.com/citation-style-language/schema/raw/master/csl-citation.json"} </w:instrText>
            </w:r>
            <w:r>
              <w:rPr>
                <w:rFonts w:ascii="Calibri" w:hAnsi="Calibri" w:cs="Calibri"/>
                <w:sz w:val="20"/>
                <w:szCs w:val="20"/>
              </w:rPr>
              <w:fldChar w:fldCharType="separate"/>
            </w:r>
            <w:r>
              <w:rPr>
                <w:rFonts w:ascii="Calibri" w:hAnsi="Calibri" w:cs="Calibri"/>
                <w:noProof/>
                <w:sz w:val="20"/>
                <w:szCs w:val="20"/>
              </w:rPr>
              <w:t>[7]</w:t>
            </w:r>
            <w:r>
              <w:rPr>
                <w:rFonts w:ascii="Calibri" w:hAnsi="Calibri" w:cs="Calibri"/>
                <w:sz w:val="20"/>
                <w:szCs w:val="20"/>
              </w:rPr>
              <w:fldChar w:fldCharType="end"/>
            </w:r>
          </w:p>
        </w:tc>
        <w:tc>
          <w:tcPr>
            <w:tcW w:w="1699" w:type="dxa"/>
          </w:tcPr>
          <w:p w14:paraId="192632A6"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 hours</w:t>
            </w:r>
          </w:p>
        </w:tc>
        <w:tc>
          <w:tcPr>
            <w:tcW w:w="4331" w:type="dxa"/>
          </w:tcPr>
          <w:p w14:paraId="6971C9EB"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4D5C1E60"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r>
      <w:tr w:rsidR="006938E9" w:rsidRPr="00AB4BAE" w14:paraId="08AD4CD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3" w:type="dxa"/>
          </w:tcPr>
          <w:p w14:paraId="23CCF15B" w14:textId="77777777" w:rsidR="006938E9" w:rsidRPr="00AB4BAE" w:rsidRDefault="006938E9" w:rsidP="008C7800">
            <w:pPr>
              <w:rPr>
                <w:rFonts w:ascii="Calibri" w:hAnsi="Calibri" w:cs="Calibri"/>
                <w:sz w:val="20"/>
                <w:szCs w:val="20"/>
              </w:rPr>
            </w:pPr>
            <w:r>
              <w:rPr>
                <w:rFonts w:ascii="Calibri" w:hAnsi="Calibri" w:cs="Calibri"/>
                <w:sz w:val="20"/>
                <w:szCs w:val="20"/>
              </w:rPr>
              <w:t>Ross et al. 2018 questionnaire</w:t>
            </w:r>
          </w:p>
        </w:tc>
        <w:tc>
          <w:tcPr>
            <w:tcW w:w="846" w:type="dxa"/>
          </w:tcPr>
          <w:p w14:paraId="085400C3"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19ADDE02" w14:textId="37899D43"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aR4DOV1W","properties":{"formattedCitation":"[89]","plainCitation":"[89]","noteIndex":0},"citationItems":[{"id":3203,"uris":["http://zotero.org/users/4975241/items/4A9PVS7D"],"uri":["http://zotero.org/users/4975241/items/4A9PVS7D"],"itemData":{"id":3203,"type":"article-journal","abstract":"Background: In 2005, the Health Professions Council of South Africa (HPCSA) extended the duration of the internship programme to ensure that all young medical graduates are adequately prepared to work at a district hospital during their year of community service. King Edward VIII hospital (KEH) is an HPCSA accredited training hospital, which has been training interns for many years. The aim of this study was to assess intern perceptions of their training at the hospital. Methods: This cross-sectional, descriptive study was conducted at KEH in November 2016. A questionnaire was used to collect data, which were analysed descriptively. Results: Only 53% of interns completed the questionnaire. Although teaching and supervision were provided in all domains, perceptions of the quality ranged from excellent to poor. The majority of interns worked the 64–80 hours per month commuted overtime as required by the HPCSA. However, less than 10% expressed positive views regarding the condition of the facilities and infrastructure. Discussion and conclusions: The findings of this study were generally positive with regard to teaching, supervision and hours worked, mostly in accordance with the requirements of the HPCSA. However, a response rate of 53% as well as the single location of the study may limit generalisability and a larger study involving interns across the country is recommended.","container-title":"South African Family Practice","DOI":"10.1080/20786190.2018.1504866","ISSN":"2078-6190, 2078-6204","issue":"6","journalAbbreviation":"South African Family Practice","language":"en","page":"187-191","source":"DOI.org (Crossref)","title":"An evaluation of the medical internship programme at King Edward VIII hospital, South Africa in 2016","volume":"60","author":[{"family":"Ross","given":"Andrew"},{"family":"Naidoo","given":"SS (Cyril)"},{"family":"Dlamini","given":"Siyabonga"}],"issued":{"date-parts":[["2018",11,2]]}}}],"schema":"https://github.com/citation-style-language/schema/raw/master/csl-citation.json"}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[89]</w:t>
            </w:r>
            <w:r>
              <w:rPr>
                <w:rFonts w:ascii="Calibri" w:hAnsi="Calibri" w:cs="Calibri"/>
                <w:sz w:val="20"/>
                <w:szCs w:val="20"/>
              </w:rPr>
              <w:fldChar w:fldCharType="end"/>
            </w:r>
          </w:p>
        </w:tc>
        <w:tc>
          <w:tcPr>
            <w:tcW w:w="1699" w:type="dxa"/>
          </w:tcPr>
          <w:p w14:paraId="3E2AA9CD"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Work hours, infrastructure</w:t>
            </w:r>
          </w:p>
        </w:tc>
        <w:tc>
          <w:tcPr>
            <w:tcW w:w="4331" w:type="dxa"/>
          </w:tcPr>
          <w:p w14:paraId="05C0E45C"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tc>
        <w:tc>
          <w:tcPr>
            <w:tcW w:w="4609" w:type="dxa"/>
            <w:gridSpan w:val="2"/>
          </w:tcPr>
          <w:p w14:paraId="54054A74" w14:textId="77777777" w:rsidR="006938E9"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sz w:val="20"/>
                <w:szCs w:val="20"/>
              </w:rPr>
              <w:t>0</w:t>
            </w:r>
          </w:p>
          <w:p w14:paraId="6A062459" w14:textId="77777777" w:rsidR="006938E9" w:rsidRPr="00AB4BAE" w:rsidRDefault="006938E9"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p>
        </w:tc>
      </w:tr>
      <w:tr w:rsidR="006938E9" w:rsidRPr="00AB4BAE" w14:paraId="33EB8B77" w14:textId="77777777" w:rsidTr="008C7800">
        <w:tc>
          <w:tcPr>
            <w:cnfStyle w:val="001000000000" w:firstRow="0" w:lastRow="0" w:firstColumn="1" w:lastColumn="0" w:oddVBand="0" w:evenVBand="0" w:oddHBand="0" w:evenHBand="0" w:firstRowFirstColumn="0" w:firstRowLastColumn="0" w:lastRowFirstColumn="0" w:lastRowLastColumn="0"/>
            <w:tcW w:w="2663" w:type="dxa"/>
          </w:tcPr>
          <w:p w14:paraId="7B6A8EA7" w14:textId="77777777" w:rsidR="006938E9" w:rsidRPr="00AB4BAE" w:rsidRDefault="006938E9" w:rsidP="008C7800">
            <w:pPr>
              <w:rPr>
                <w:rFonts w:ascii="Calibri" w:hAnsi="Calibri" w:cs="Calibri"/>
                <w:sz w:val="20"/>
                <w:szCs w:val="20"/>
              </w:rPr>
            </w:pPr>
            <w:r w:rsidRPr="00C535A4">
              <w:rPr>
                <w:rFonts w:ascii="Calibri" w:hAnsi="Calibri" w:cs="Calibri"/>
                <w:sz w:val="20"/>
                <w:szCs w:val="20"/>
              </w:rPr>
              <w:t>Work and Family Conflict Scale</w:t>
            </w:r>
          </w:p>
        </w:tc>
        <w:tc>
          <w:tcPr>
            <w:tcW w:w="846" w:type="dxa"/>
          </w:tcPr>
          <w:p w14:paraId="41EF8ABD"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1</w:t>
            </w:r>
          </w:p>
        </w:tc>
        <w:tc>
          <w:tcPr>
            <w:tcW w:w="1298" w:type="dxa"/>
          </w:tcPr>
          <w:p w14:paraId="1DAA480F" w14:textId="258501E9"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fldChar w:fldCharType="begin"/>
            </w:r>
            <w:r w:rsidR="002038AC">
              <w:rPr>
                <w:rFonts w:ascii="Calibri" w:hAnsi="Calibri" w:cs="Calibri"/>
                <w:sz w:val="20"/>
                <w:szCs w:val="20"/>
              </w:rPr>
              <w:instrText xml:space="preserve"> ADDIN ZOTERO_ITEM CSL_CITATION {"citationID":"SEcZ3WJk","properties":{"formattedCitation":"[12]","plainCitation":"[12]","noteIndex":0},"citationItems":[{"id":3282,"uris":["http://zotero.org/users/4975241/items/8H67MFES"],"uri":["http://zotero.org/users/4975241/items/8H67MFES"],"itemData":{"id":3282,"type":"article-journal","abstract":"OBJECTIVE To determine the presence and magnitude of a sex difference in depressive symptoms and work-family conflict among training physicians; and if work-family conflict impacts the sex difference in depressive symptoms among training physicians. DESIGN, SETTING, AND PARTICIPANTS A prospective longitudinal cohort study of medical internship in the United States during the 2015 to 2016 academic year in which 3121 interns were recruited across all specialties from 44 medical institutions. Invited Commentary page 1772 MAIN OUTCOMES AND MEASURES Prior to and during their internship year, participants reported the degree to which work responsibilities interfered with family life using the Work Family Conflict Scale and depressive symptoms using the Patient Health Questionnaire-9 (PHQ-9).\nRESULTS Mean (SD) participant age was 27.5 (2.7) years, and 1571 participants (49.7%) were women. Both men and women experienced a marked increase in depressive symptoms during their internship year, with the increase being statistically significantly greater for women (men: mean increase in PHQ-9, 2.50; 95% CI, 2.26-2.73 vs women: mean increase, 3.20; 95% CI, 2.97-3.43). When work-family conflict was accounted for, the sex disparity in the increase in depressive symptoms decreased by 36%.\nCONCLUSIONS AND RELEVANCE Our study demonstrates that depressive symptoms increase substantially during the internship year for men and women, but that this increase is greater for women. The study also identifies work-family conflict as an important potentially modifiable factor that is associated with elevated depressive symptoms in training physicians. Systemic modifications to alleviate conflict between work and family life may improve physician mental health and reduce the disproportionate depression disease burden for female physicians. Given that depression among physicians is associated with poor patient care and career attrition, efforts to alleviate depression among physicians has the potential to reduce the negative consequences associated with this disease.","container-title":"JAMA Internal Medicine","DOI":"10.1001/jamainternmed.2017.5138","ISSN":"2168-6106","issue":"12","journalAbbreviation":"JAMA Intern Med","language":"en","page":"1766","source":"DOI.org (Crossref)","title":"Work-Family Conflict and the Sex Difference in Depression Among Training Physicians","volume":"177","author":[{"family":"Guille","given":"Constance"},{"family":"Frank","given":"Elena"},{"family":"Zhao","given":"Zhuo"},{"family":"Kalmbach","given":"David A."},{"family":"Nietert","given":"Paul J."},{"family":"Mata","given":"Douglas A."},{"family":"Sen","given":"Srijan"}],"issued":{"date-parts":[["2017",12,1]]}}}],"schema":"https://github.com/citation-style-language/schema/raw/master/csl-citation.json"} </w:instrText>
            </w:r>
            <w:r>
              <w:rPr>
                <w:rFonts w:ascii="Calibri" w:hAnsi="Calibri" w:cs="Calibri"/>
                <w:sz w:val="20"/>
                <w:szCs w:val="20"/>
              </w:rPr>
              <w:fldChar w:fldCharType="separate"/>
            </w:r>
            <w:r w:rsidR="002038AC">
              <w:rPr>
                <w:rFonts w:ascii="Calibri" w:hAnsi="Calibri" w:cs="Calibri"/>
                <w:noProof/>
                <w:sz w:val="20"/>
                <w:szCs w:val="20"/>
              </w:rPr>
              <w:t>[12]</w:t>
            </w:r>
            <w:r>
              <w:rPr>
                <w:rFonts w:ascii="Calibri" w:hAnsi="Calibri" w:cs="Calibri"/>
                <w:sz w:val="20"/>
                <w:szCs w:val="20"/>
              </w:rPr>
              <w:fldChar w:fldCharType="end"/>
            </w:r>
          </w:p>
        </w:tc>
        <w:tc>
          <w:tcPr>
            <w:tcW w:w="1699" w:type="dxa"/>
          </w:tcPr>
          <w:p w14:paraId="289B214C" w14:textId="77777777" w:rsidR="006938E9"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Work-family conflict</w:t>
            </w:r>
          </w:p>
        </w:tc>
        <w:tc>
          <w:tcPr>
            <w:tcW w:w="4331" w:type="dxa"/>
          </w:tcPr>
          <w:p w14:paraId="62591CC6"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c>
          <w:tcPr>
            <w:tcW w:w="4609" w:type="dxa"/>
            <w:gridSpan w:val="2"/>
          </w:tcPr>
          <w:p w14:paraId="0FB1D2AA" w14:textId="77777777" w:rsidR="006938E9" w:rsidRPr="00AB4BAE" w:rsidRDefault="006938E9"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sz w:val="20"/>
                <w:szCs w:val="20"/>
              </w:rPr>
              <w:t>Previously tested</w:t>
            </w:r>
          </w:p>
        </w:tc>
      </w:tr>
    </w:tbl>
    <w:p w14:paraId="6E52278C" w14:textId="77777777" w:rsidR="006938E9" w:rsidRDefault="006938E9" w:rsidP="006938E9">
      <w:pPr>
        <w:rPr>
          <w:rFonts w:ascii="Calibri" w:hAnsi="Calibri" w:cs="Calibri"/>
        </w:rPr>
      </w:pPr>
    </w:p>
    <w:p w14:paraId="151D0C6C" w14:textId="1CAFCC5B" w:rsidR="00A359EB" w:rsidRPr="006938E9" w:rsidRDefault="006938E9">
      <w:pPr>
        <w:rPr>
          <w:rFonts w:ascii="Calibri" w:hAnsi="Calibri" w:cs="Calibri"/>
          <w:b/>
          <w:bCs/>
        </w:rPr>
      </w:pPr>
      <w:r w:rsidRPr="006938E9">
        <w:rPr>
          <w:rFonts w:ascii="Calibri" w:hAnsi="Calibri" w:cs="Calibri"/>
          <w:b/>
          <w:bCs/>
        </w:rPr>
        <w:t>Reference</w:t>
      </w:r>
    </w:p>
    <w:p w14:paraId="57D71498" w14:textId="77777777" w:rsidR="002038AC" w:rsidRPr="002038AC" w:rsidRDefault="002038AC" w:rsidP="002038AC">
      <w:pPr>
        <w:pStyle w:val="Bibliography"/>
        <w:rPr>
          <w:rFonts w:ascii="Calibri" w:hAnsi="Calibri" w:cs="Calibri"/>
        </w:rPr>
      </w:pPr>
      <w:r>
        <w:rPr>
          <w:rFonts w:ascii="Calibri" w:hAnsi="Calibri" w:cs="Calibri"/>
        </w:rPr>
        <w:fldChar w:fldCharType="begin"/>
      </w:r>
      <w:r>
        <w:rPr>
          <w:rFonts w:ascii="Calibri" w:hAnsi="Calibri" w:cs="Calibri"/>
        </w:rPr>
        <w:instrText xml:space="preserve"> ADDIN ZOTERO_BIBL {"uncited":[],"omitted":[],"custom":[]} CSL_BIBLIOGRAPHY </w:instrText>
      </w:r>
      <w:r>
        <w:rPr>
          <w:rFonts w:ascii="Calibri" w:hAnsi="Calibri" w:cs="Calibri"/>
        </w:rPr>
        <w:fldChar w:fldCharType="separate"/>
      </w:r>
      <w:r w:rsidRPr="002038AC">
        <w:rPr>
          <w:rFonts w:ascii="Calibri" w:hAnsi="Calibri" w:cs="Calibri"/>
        </w:rPr>
        <w:t xml:space="preserve">1. Galam E, Vauloup Soupault C, Bunge L, Buffel du Vaure C, Boujut E, Jaury P. ‘Intern life’: a longitudinal study of burnout, empathy, and coping strategies used by French GPs in training. BJGP Open. 2017;1:bjgpopen17X100773. </w:t>
      </w:r>
    </w:p>
    <w:p w14:paraId="713DE607" w14:textId="77777777" w:rsidR="002038AC" w:rsidRPr="002038AC" w:rsidRDefault="002038AC" w:rsidP="002038AC">
      <w:pPr>
        <w:pStyle w:val="Bibliography"/>
        <w:rPr>
          <w:rFonts w:ascii="Calibri" w:hAnsi="Calibri" w:cs="Calibri"/>
        </w:rPr>
      </w:pPr>
      <w:r w:rsidRPr="002038AC">
        <w:rPr>
          <w:rFonts w:ascii="Calibri" w:hAnsi="Calibri" w:cs="Calibri"/>
        </w:rPr>
        <w:t xml:space="preserve">2. Brant H, Wetherell MA, Lightman S, Crown A, Vedhara K. An exploration into physiological and self-report measures of stress in pre-registration doctors at the beginning and end of a clinical rotation. Stress. 2010;13:155–62. </w:t>
      </w:r>
    </w:p>
    <w:p w14:paraId="6EAEA070" w14:textId="77777777" w:rsidR="002038AC" w:rsidRPr="002038AC" w:rsidRDefault="002038AC" w:rsidP="002038AC">
      <w:pPr>
        <w:pStyle w:val="Bibliography"/>
        <w:rPr>
          <w:rFonts w:ascii="Calibri" w:hAnsi="Calibri" w:cs="Calibri"/>
        </w:rPr>
      </w:pPr>
      <w:r w:rsidRPr="002038AC">
        <w:rPr>
          <w:rFonts w:ascii="Calibri" w:hAnsi="Calibri" w:cs="Calibri"/>
        </w:rPr>
        <w:t xml:space="preserve">3. Lin KS, Zaw T, Oo WM, Soe PP. Burnout among house officers in Myanmar: A cross-sectional study. Ann Med Surg. 2018;33:7–12. </w:t>
      </w:r>
    </w:p>
    <w:p w14:paraId="3C4DD94E" w14:textId="77777777" w:rsidR="002038AC" w:rsidRPr="002038AC" w:rsidRDefault="002038AC" w:rsidP="002038AC">
      <w:pPr>
        <w:pStyle w:val="Bibliography"/>
        <w:rPr>
          <w:rFonts w:ascii="Calibri" w:hAnsi="Calibri" w:cs="Calibri"/>
        </w:rPr>
      </w:pPr>
      <w:r w:rsidRPr="002038AC">
        <w:rPr>
          <w:rFonts w:ascii="Calibri" w:hAnsi="Calibri" w:cs="Calibri"/>
        </w:rPr>
        <w:t xml:space="preserve">4. Hannan E, Breslin N, Doherty E, McGreal M, Moneley D, Offiah G. Burnout and stress amongst interns in Irish hospitals: contributing factors and potential solutions. Ir J Med Sci 1971 -. 2018;187:301–7. </w:t>
      </w:r>
    </w:p>
    <w:p w14:paraId="11965F7A" w14:textId="77777777" w:rsidR="002038AC" w:rsidRPr="002038AC" w:rsidRDefault="002038AC" w:rsidP="002038AC">
      <w:pPr>
        <w:pStyle w:val="Bibliography"/>
        <w:rPr>
          <w:rFonts w:ascii="Calibri" w:hAnsi="Calibri" w:cs="Calibri"/>
        </w:rPr>
      </w:pPr>
      <w:r w:rsidRPr="002038AC">
        <w:rPr>
          <w:rFonts w:ascii="Calibri" w:hAnsi="Calibri" w:cs="Calibri"/>
        </w:rPr>
        <w:t xml:space="preserve">5. Calcides DAP, Didou R da N, Melo EV de, Oliva-Costa EF de. Burnout Syndrome in medical internship students and its prevention with Balint Group. Rev Assoc Médica Bras. 2019;65:1362–7. </w:t>
      </w:r>
    </w:p>
    <w:p w14:paraId="50D99280" w14:textId="77777777" w:rsidR="002038AC" w:rsidRPr="002038AC" w:rsidRDefault="002038AC" w:rsidP="002038AC">
      <w:pPr>
        <w:pStyle w:val="Bibliography"/>
        <w:rPr>
          <w:rFonts w:ascii="Calibri" w:hAnsi="Calibri" w:cs="Calibri"/>
        </w:rPr>
      </w:pPr>
      <w:r w:rsidRPr="002038AC">
        <w:rPr>
          <w:rFonts w:ascii="Calibri" w:hAnsi="Calibri" w:cs="Calibri"/>
        </w:rPr>
        <w:t xml:space="preserve">6. Røvik JO, Tyssen R, Hem E, Gude T, Ekeberg Ø, Moum T, et al. Job Stress in Young Physicians with an Emphasis on the Work-Home Interface: A Nine-Year, Nationwide and Longitudinal Study of its Course and Predictors. Ind Health. 2007;45:662–71. </w:t>
      </w:r>
    </w:p>
    <w:p w14:paraId="45D627C5" w14:textId="77777777" w:rsidR="002038AC" w:rsidRPr="002038AC" w:rsidRDefault="002038AC" w:rsidP="002038AC">
      <w:pPr>
        <w:pStyle w:val="Bibliography"/>
        <w:rPr>
          <w:rFonts w:ascii="Calibri" w:hAnsi="Calibri" w:cs="Calibri"/>
        </w:rPr>
      </w:pPr>
      <w:r w:rsidRPr="002038AC">
        <w:rPr>
          <w:rFonts w:ascii="Calibri" w:hAnsi="Calibri" w:cs="Calibri"/>
        </w:rPr>
        <w:t xml:space="preserve">7. Sen S, Kranzler HR, Krystal JH, Speller H, Chan G, Gelernter J, et al. A Prospective Cohort Study Investigating Factors Associated With Depression During Medical Internship. Arch Gen Psychiatry. 2010;67:557. </w:t>
      </w:r>
    </w:p>
    <w:p w14:paraId="43C0804A" w14:textId="77777777" w:rsidR="002038AC" w:rsidRPr="002038AC" w:rsidRDefault="002038AC" w:rsidP="002038AC">
      <w:pPr>
        <w:pStyle w:val="Bibliography"/>
        <w:rPr>
          <w:rFonts w:ascii="Calibri" w:hAnsi="Calibri" w:cs="Calibri"/>
        </w:rPr>
      </w:pPr>
      <w:r w:rsidRPr="002038AC">
        <w:rPr>
          <w:rFonts w:ascii="Calibri" w:hAnsi="Calibri" w:cs="Calibri"/>
        </w:rPr>
        <w:t xml:space="preserve">8. Talih F, Warakian R, Ajaltouni J, Shehab AAS, Tamim H. Correlates of Depression and Burnout Among Residents in a Lebanese Academic Medical Center: a Cross-Sectional Study. Acad Psychiatry. 2016;40:38–45. </w:t>
      </w:r>
    </w:p>
    <w:p w14:paraId="4B067AE9" w14:textId="77777777" w:rsidR="002038AC" w:rsidRPr="002038AC" w:rsidRDefault="002038AC" w:rsidP="002038AC">
      <w:pPr>
        <w:pStyle w:val="Bibliography"/>
        <w:rPr>
          <w:rFonts w:ascii="Calibri" w:hAnsi="Calibri" w:cs="Calibri"/>
        </w:rPr>
      </w:pPr>
      <w:r w:rsidRPr="002038AC">
        <w:rPr>
          <w:rFonts w:ascii="Calibri" w:hAnsi="Calibri" w:cs="Calibri"/>
        </w:rPr>
        <w:t>9. Mayer S. Examining the Relationships Between Chronic Stress, HPA Axis Activity, and Depression in a Prospective and Longitudinal Study of Medical Internship [Internet]. University of Michigan; 2017. Available from: https://deepblue.lib.umich.edu/handle/2027.42/137074</w:t>
      </w:r>
    </w:p>
    <w:p w14:paraId="52A6294A" w14:textId="77777777" w:rsidR="002038AC" w:rsidRPr="002038AC" w:rsidRDefault="002038AC" w:rsidP="002038AC">
      <w:pPr>
        <w:pStyle w:val="Bibliography"/>
        <w:rPr>
          <w:rFonts w:ascii="Calibri" w:hAnsi="Calibri" w:cs="Calibri"/>
        </w:rPr>
      </w:pPr>
      <w:r w:rsidRPr="002038AC">
        <w:rPr>
          <w:rFonts w:ascii="Calibri" w:hAnsi="Calibri" w:cs="Calibri"/>
        </w:rPr>
        <w:t xml:space="preserve">10. Shapiro RE, Vallejo MC, Sofka SH, Elmo RM, Anderson AH, Ferrari ND. Hospital Spiritual Care Can Complement Graduate Medical Trainee Well-Being. Adv Med. 2019;2019:1–4. </w:t>
      </w:r>
    </w:p>
    <w:p w14:paraId="4B8AE442" w14:textId="77777777" w:rsidR="002038AC" w:rsidRPr="002038AC" w:rsidRDefault="002038AC" w:rsidP="002038AC">
      <w:pPr>
        <w:pStyle w:val="Bibliography"/>
        <w:rPr>
          <w:rFonts w:ascii="Calibri" w:hAnsi="Calibri" w:cs="Calibri"/>
        </w:rPr>
      </w:pPr>
      <w:r w:rsidRPr="002038AC">
        <w:rPr>
          <w:rFonts w:ascii="Calibri" w:hAnsi="Calibri" w:cs="Calibri"/>
        </w:rPr>
        <w:t xml:space="preserve">11. Kleim B, Thörn HA, Ehlert U. Positive interpretation bias predicts well-being in medical interns. Front Psychol. 2014;5:640. </w:t>
      </w:r>
    </w:p>
    <w:p w14:paraId="2A6392CB" w14:textId="77777777" w:rsidR="002038AC" w:rsidRPr="002038AC" w:rsidRDefault="002038AC" w:rsidP="002038AC">
      <w:pPr>
        <w:pStyle w:val="Bibliography"/>
        <w:rPr>
          <w:rFonts w:ascii="Calibri" w:hAnsi="Calibri" w:cs="Calibri"/>
        </w:rPr>
      </w:pPr>
      <w:r w:rsidRPr="002038AC">
        <w:rPr>
          <w:rFonts w:ascii="Calibri" w:hAnsi="Calibri" w:cs="Calibri"/>
        </w:rPr>
        <w:t xml:space="preserve">12. Guille C, Frank E, Zhao Z, Kalmbach DA, Nietert PJ, Mata DA, et al. Work-Family Conflict and the Sex Difference in Depression Among Training Physicians. JAMA Intern Med. 2017;177:1766. </w:t>
      </w:r>
    </w:p>
    <w:p w14:paraId="49032EEB" w14:textId="77777777" w:rsidR="002038AC" w:rsidRPr="002038AC" w:rsidRDefault="002038AC" w:rsidP="002038AC">
      <w:pPr>
        <w:pStyle w:val="Bibliography"/>
        <w:rPr>
          <w:rFonts w:ascii="Calibri" w:hAnsi="Calibri" w:cs="Calibri"/>
        </w:rPr>
      </w:pPr>
      <w:r w:rsidRPr="002038AC">
        <w:rPr>
          <w:rFonts w:ascii="Calibri" w:hAnsi="Calibri" w:cs="Calibri"/>
        </w:rPr>
        <w:t xml:space="preserve">13. Bruce C, Thomas PS, Yates DH. Health and stress in Australian interns: Health and stress in interns. Intern Med J. 2003;33:392–5. </w:t>
      </w:r>
    </w:p>
    <w:p w14:paraId="1A2BB78E" w14:textId="77777777" w:rsidR="002038AC" w:rsidRPr="002038AC" w:rsidRDefault="002038AC" w:rsidP="002038AC">
      <w:pPr>
        <w:pStyle w:val="Bibliography"/>
        <w:rPr>
          <w:rFonts w:ascii="Calibri" w:hAnsi="Calibri" w:cs="Calibri"/>
        </w:rPr>
      </w:pPr>
      <w:r w:rsidRPr="002038AC">
        <w:rPr>
          <w:rFonts w:ascii="Calibri" w:hAnsi="Calibri" w:cs="Calibri"/>
        </w:rPr>
        <w:t xml:space="preserve">14. Rodger M, Lavender T, Kapur N. Problem-based learning, work demands and psychological distress in pre-registration house officers: a preliminary study. Med Teach. 2002;24:334–6. </w:t>
      </w:r>
    </w:p>
    <w:p w14:paraId="1A2D6F52" w14:textId="77777777" w:rsidR="002038AC" w:rsidRPr="002038AC" w:rsidRDefault="002038AC" w:rsidP="002038AC">
      <w:pPr>
        <w:pStyle w:val="Bibliography"/>
        <w:rPr>
          <w:rFonts w:ascii="Calibri" w:hAnsi="Calibri" w:cs="Calibri"/>
        </w:rPr>
      </w:pPr>
      <w:r w:rsidRPr="002038AC">
        <w:rPr>
          <w:rFonts w:ascii="Calibri" w:hAnsi="Calibri" w:cs="Calibri"/>
        </w:rPr>
        <w:t xml:space="preserve">15. Newbury-Birch D. Psychological stress, anxiety, depression, job satisfaction, and personality characteristics in preregistration house officers. Postgrad Med J. 2001;77:109–11. </w:t>
      </w:r>
    </w:p>
    <w:p w14:paraId="5C14611F" w14:textId="77777777" w:rsidR="002038AC" w:rsidRPr="002038AC" w:rsidRDefault="002038AC" w:rsidP="002038AC">
      <w:pPr>
        <w:pStyle w:val="Bibliography"/>
        <w:rPr>
          <w:rFonts w:ascii="Calibri" w:hAnsi="Calibri" w:cs="Calibri"/>
        </w:rPr>
      </w:pPr>
      <w:r w:rsidRPr="002038AC">
        <w:rPr>
          <w:rFonts w:ascii="Calibri" w:hAnsi="Calibri" w:cs="Calibri"/>
        </w:rPr>
        <w:t xml:space="preserve">16. Yusoff MSB, Jie TY, Esa AR. Stress, stressors and coping strategies among house officers in a Malaysian hospital. ASEAN J Psychiatry. Malaysia: Mobition Sdn. Bhd.; 2011;12:85–94. </w:t>
      </w:r>
    </w:p>
    <w:p w14:paraId="14DED548" w14:textId="77777777" w:rsidR="002038AC" w:rsidRPr="002038AC" w:rsidRDefault="002038AC" w:rsidP="002038AC">
      <w:pPr>
        <w:pStyle w:val="Bibliography"/>
        <w:rPr>
          <w:rFonts w:ascii="Calibri" w:hAnsi="Calibri" w:cs="Calibri"/>
        </w:rPr>
      </w:pPr>
      <w:r w:rsidRPr="002038AC">
        <w:rPr>
          <w:rFonts w:ascii="Calibri" w:hAnsi="Calibri" w:cs="Calibri"/>
        </w:rPr>
        <w:t xml:space="preserve">17. Vinothkumar M, Arathi A, Joseph M, Nayana P, Jishma Ej, Sahana U. Coping, perceived stress, and job satisfaction among medical interns: The mediating effect of mindfulness. Ind Psychiatry J. 2016;25:195. </w:t>
      </w:r>
    </w:p>
    <w:p w14:paraId="43A8D7AA" w14:textId="77777777" w:rsidR="002038AC" w:rsidRPr="002038AC" w:rsidRDefault="002038AC" w:rsidP="002038AC">
      <w:pPr>
        <w:pStyle w:val="Bibliography"/>
        <w:rPr>
          <w:rFonts w:ascii="Calibri" w:hAnsi="Calibri" w:cs="Calibri"/>
        </w:rPr>
      </w:pPr>
      <w:r w:rsidRPr="002038AC">
        <w:rPr>
          <w:rFonts w:ascii="Calibri" w:hAnsi="Calibri" w:cs="Calibri"/>
        </w:rPr>
        <w:t xml:space="preserve">18. Hassan M, Hussain T, Ahmed S, Fraz T, Rehmat Z. Perceived stress and stressors among house officers. Indian J Occup Environ Med. 2014;18:145. </w:t>
      </w:r>
    </w:p>
    <w:p w14:paraId="3F666A8D" w14:textId="77777777" w:rsidR="002038AC" w:rsidRPr="002038AC" w:rsidRDefault="002038AC" w:rsidP="002038AC">
      <w:pPr>
        <w:pStyle w:val="Bibliography"/>
        <w:rPr>
          <w:rFonts w:ascii="Calibri" w:hAnsi="Calibri" w:cs="Calibri"/>
        </w:rPr>
      </w:pPr>
      <w:r w:rsidRPr="002038AC">
        <w:rPr>
          <w:rFonts w:ascii="Calibri" w:hAnsi="Calibri" w:cs="Calibri"/>
        </w:rPr>
        <w:t xml:space="preserve">19. Keim SM, Mays MZ, Williams JM, Serido J, Harris RB. Measuring wellness among resident physicians. Med Teach. 2006;28:370–4. </w:t>
      </w:r>
    </w:p>
    <w:p w14:paraId="57127C3D" w14:textId="77777777" w:rsidR="002038AC" w:rsidRPr="002038AC" w:rsidRDefault="002038AC" w:rsidP="002038AC">
      <w:pPr>
        <w:pStyle w:val="Bibliography"/>
        <w:rPr>
          <w:rFonts w:ascii="Calibri" w:hAnsi="Calibri" w:cs="Calibri"/>
        </w:rPr>
      </w:pPr>
      <w:r w:rsidRPr="002038AC">
        <w:rPr>
          <w:rFonts w:ascii="Calibri" w:hAnsi="Calibri" w:cs="Calibri"/>
        </w:rPr>
        <w:t xml:space="preserve">20. Min AA, Sbarra DA, Keim SM. Sleep disturbances predict prospective declines in resident physicians’ psychological well-being. Med Educ Online. 2015;20:28530. </w:t>
      </w:r>
    </w:p>
    <w:p w14:paraId="7B3501E7" w14:textId="77777777" w:rsidR="002038AC" w:rsidRPr="002038AC" w:rsidRDefault="002038AC" w:rsidP="002038AC">
      <w:pPr>
        <w:pStyle w:val="Bibliography"/>
        <w:rPr>
          <w:rFonts w:ascii="Calibri" w:hAnsi="Calibri" w:cs="Calibri"/>
        </w:rPr>
      </w:pPr>
      <w:r w:rsidRPr="002038AC">
        <w:rPr>
          <w:rFonts w:ascii="Calibri" w:hAnsi="Calibri" w:cs="Calibri"/>
        </w:rPr>
        <w:t xml:space="preserve">21. Tyssen R, Vaglum P, Grønvold NT, Ekeberg Ø. The relative importance of individual and organizational factors for the prevention of job stress during internship: a nationwide and prospective study. Med Teach. 2005;27:726–31. </w:t>
      </w:r>
    </w:p>
    <w:p w14:paraId="3B9701A4" w14:textId="77777777" w:rsidR="002038AC" w:rsidRPr="002038AC" w:rsidRDefault="002038AC" w:rsidP="002038AC">
      <w:pPr>
        <w:pStyle w:val="Bibliography"/>
        <w:rPr>
          <w:rFonts w:ascii="Calibri" w:hAnsi="Calibri" w:cs="Calibri"/>
        </w:rPr>
      </w:pPr>
      <w:r w:rsidRPr="002038AC">
        <w:rPr>
          <w:rFonts w:ascii="Calibri" w:hAnsi="Calibri" w:cs="Calibri"/>
        </w:rPr>
        <w:t xml:space="preserve">22. Rogers E, Polonijo AN, Carpiano RM. Getting by with a little help from friends and colleagues: Testing how residents’ social support networks affect loneliness and burnout. Can Fam Physician Med Fam Can. 2016;62:e677–83. </w:t>
      </w:r>
    </w:p>
    <w:p w14:paraId="2B26BAD5" w14:textId="77777777" w:rsidR="002038AC" w:rsidRPr="002038AC" w:rsidRDefault="002038AC" w:rsidP="002038AC">
      <w:pPr>
        <w:pStyle w:val="Bibliography"/>
        <w:rPr>
          <w:rFonts w:ascii="Calibri" w:hAnsi="Calibri" w:cs="Calibri"/>
        </w:rPr>
      </w:pPr>
      <w:r w:rsidRPr="002038AC">
        <w:rPr>
          <w:rFonts w:ascii="Calibri" w:hAnsi="Calibri" w:cs="Calibri"/>
        </w:rPr>
        <w:t xml:space="preserve">23. Henning MA, Sollers J, Strom JM, Hill AG, Lyndon MP, Cumin D, et al. Junior doctors in their first year: mental health, quality of life, burnout and heart rate variability. Perspect Med Educ. 2014;3:136–43. </w:t>
      </w:r>
    </w:p>
    <w:p w14:paraId="07DA5772" w14:textId="77777777" w:rsidR="002038AC" w:rsidRPr="002038AC" w:rsidRDefault="002038AC" w:rsidP="002038AC">
      <w:pPr>
        <w:pStyle w:val="Bibliography"/>
        <w:rPr>
          <w:rFonts w:ascii="Calibri" w:hAnsi="Calibri" w:cs="Calibri"/>
        </w:rPr>
      </w:pPr>
      <w:r w:rsidRPr="002038AC">
        <w:rPr>
          <w:rFonts w:ascii="Calibri" w:hAnsi="Calibri" w:cs="Calibri"/>
        </w:rPr>
        <w:t xml:space="preserve">24. Zebrowski JP, Pulliam SJ, Denninger JW, Berkowitz LR. So Tired: Predictive Utility of Baseline Sleep Screening in a Longitudinal Observational Survey Cohort of First-Year Residents. J Gen Intern Med. 2018;33:825–30. </w:t>
      </w:r>
    </w:p>
    <w:p w14:paraId="5E5970A0" w14:textId="77777777" w:rsidR="002038AC" w:rsidRPr="002038AC" w:rsidRDefault="002038AC" w:rsidP="002038AC">
      <w:pPr>
        <w:pStyle w:val="Bibliography"/>
        <w:rPr>
          <w:rFonts w:ascii="Calibri" w:hAnsi="Calibri" w:cs="Calibri"/>
        </w:rPr>
      </w:pPr>
      <w:r w:rsidRPr="002038AC">
        <w:rPr>
          <w:rFonts w:ascii="Calibri" w:hAnsi="Calibri" w:cs="Calibri"/>
        </w:rPr>
        <w:t xml:space="preserve">25. Goldacre MJ, Davidson JM, Lambert TW. Doctors’ views of their first year of medical work and postgraduate training in the UK: questionnaire surveys. Med Educ. 2003;37:802–8. </w:t>
      </w:r>
    </w:p>
    <w:p w14:paraId="28429D84" w14:textId="77777777" w:rsidR="002038AC" w:rsidRPr="002038AC" w:rsidRDefault="002038AC" w:rsidP="002038AC">
      <w:pPr>
        <w:pStyle w:val="Bibliography"/>
        <w:rPr>
          <w:rFonts w:ascii="Calibri" w:hAnsi="Calibri" w:cs="Calibri"/>
        </w:rPr>
      </w:pPr>
      <w:r w:rsidRPr="002038AC">
        <w:rPr>
          <w:rFonts w:ascii="Calibri" w:hAnsi="Calibri" w:cs="Calibri"/>
        </w:rPr>
        <w:t xml:space="preserve">26. Lambert TW, Surman G, Goldacre MJ. Views of UK-trained medical graduates of 1999–2009 about their first postgraduate year of training: national surveys. BMJ Open. 2013;3:e002723. </w:t>
      </w:r>
    </w:p>
    <w:p w14:paraId="1EA1A04E" w14:textId="77777777" w:rsidR="002038AC" w:rsidRPr="002038AC" w:rsidRDefault="002038AC" w:rsidP="002038AC">
      <w:pPr>
        <w:pStyle w:val="Bibliography"/>
        <w:rPr>
          <w:rFonts w:ascii="Calibri" w:hAnsi="Calibri" w:cs="Calibri"/>
        </w:rPr>
      </w:pPr>
      <w:r w:rsidRPr="002038AC">
        <w:rPr>
          <w:rFonts w:ascii="Calibri" w:hAnsi="Calibri" w:cs="Calibri"/>
        </w:rPr>
        <w:t xml:space="preserve">27. Bolanowski W. Anxiety about professional future among young doctors. Int J Occup Med Environ Health. 2005;18:367–74. </w:t>
      </w:r>
    </w:p>
    <w:p w14:paraId="398F9186" w14:textId="77777777" w:rsidR="002038AC" w:rsidRPr="002038AC" w:rsidRDefault="002038AC" w:rsidP="002038AC">
      <w:pPr>
        <w:pStyle w:val="Bibliography"/>
        <w:rPr>
          <w:rFonts w:ascii="Calibri" w:hAnsi="Calibri" w:cs="Calibri"/>
        </w:rPr>
      </w:pPr>
      <w:r w:rsidRPr="002038AC">
        <w:rPr>
          <w:rFonts w:ascii="Calibri" w:hAnsi="Calibri" w:cs="Calibri"/>
        </w:rPr>
        <w:t xml:space="preserve">28. Friesen LD, Vidyarthi AR, Baron RB, Katz PP. Factors associated with intern fatigue. J Gen Intern Med. 2008;23:1981–6. </w:t>
      </w:r>
    </w:p>
    <w:p w14:paraId="53CE9C91" w14:textId="77777777" w:rsidR="002038AC" w:rsidRPr="002038AC" w:rsidRDefault="002038AC" w:rsidP="002038AC">
      <w:pPr>
        <w:pStyle w:val="Bibliography"/>
        <w:rPr>
          <w:rFonts w:ascii="Calibri" w:hAnsi="Calibri" w:cs="Calibri"/>
        </w:rPr>
      </w:pPr>
      <w:r w:rsidRPr="002038AC">
        <w:rPr>
          <w:rFonts w:ascii="Calibri" w:hAnsi="Calibri" w:cs="Calibri"/>
        </w:rPr>
        <w:t xml:space="preserve">29. Li J, Weigl M, Glaser J, Petru R, Siegrist J, Angerer P. Changes in psychosocial work environment and depressive symptoms: A prospective study in junior physicians: Changes in ERI and Depressive Symptoms. Am J Ind Med. 2013;56:1414–22. </w:t>
      </w:r>
    </w:p>
    <w:p w14:paraId="38594D2E" w14:textId="77777777" w:rsidR="002038AC" w:rsidRPr="002038AC" w:rsidRDefault="002038AC" w:rsidP="002038AC">
      <w:pPr>
        <w:pStyle w:val="Bibliography"/>
        <w:rPr>
          <w:rFonts w:ascii="Calibri" w:hAnsi="Calibri" w:cs="Calibri"/>
        </w:rPr>
      </w:pPr>
      <w:r w:rsidRPr="002038AC">
        <w:rPr>
          <w:rFonts w:ascii="Calibri" w:hAnsi="Calibri" w:cs="Calibri"/>
        </w:rPr>
        <w:t xml:space="preserve">30. Han E, Chung E, Oh S, Woo Y, Hitchcock M. Mentoring experience and its effects on medical interns. Singapore Med J. 2014;55:593–7. </w:t>
      </w:r>
    </w:p>
    <w:p w14:paraId="54F2A3C5" w14:textId="77777777" w:rsidR="002038AC" w:rsidRPr="002038AC" w:rsidRDefault="002038AC" w:rsidP="002038AC">
      <w:pPr>
        <w:pStyle w:val="Bibliography"/>
        <w:rPr>
          <w:rFonts w:ascii="Calibri" w:hAnsi="Calibri" w:cs="Calibri"/>
        </w:rPr>
      </w:pPr>
      <w:r w:rsidRPr="002038AC">
        <w:rPr>
          <w:rFonts w:ascii="Calibri" w:hAnsi="Calibri" w:cs="Calibri"/>
        </w:rPr>
        <w:t xml:space="preserve">31. Farley S, Coyne I, Sprigg C, Axtell C, Subramanian G. Exploring the impact of workplace cyberbullying on trainee doctors. Med Educ. 2015;49:436–43. </w:t>
      </w:r>
    </w:p>
    <w:p w14:paraId="7B819009" w14:textId="77777777" w:rsidR="002038AC" w:rsidRPr="002038AC" w:rsidRDefault="002038AC" w:rsidP="002038AC">
      <w:pPr>
        <w:pStyle w:val="Bibliography"/>
        <w:rPr>
          <w:rFonts w:ascii="Calibri" w:hAnsi="Calibri" w:cs="Calibri"/>
        </w:rPr>
      </w:pPr>
      <w:r w:rsidRPr="002038AC">
        <w:rPr>
          <w:rFonts w:ascii="Calibri" w:hAnsi="Calibri" w:cs="Calibri"/>
        </w:rPr>
        <w:t xml:space="preserve">32. O’Donnell M, Noad R, Boohan M, Carragher A. Foundation Programme Impact on Junior Doctor Personality and Anxiety in Northern Ireland. Ulster Med J. :7. </w:t>
      </w:r>
    </w:p>
    <w:p w14:paraId="347F9072" w14:textId="77777777" w:rsidR="002038AC" w:rsidRPr="002038AC" w:rsidRDefault="002038AC" w:rsidP="002038AC">
      <w:pPr>
        <w:pStyle w:val="Bibliography"/>
        <w:rPr>
          <w:rFonts w:ascii="Calibri" w:hAnsi="Calibri" w:cs="Calibri"/>
        </w:rPr>
      </w:pPr>
      <w:r w:rsidRPr="002038AC">
        <w:rPr>
          <w:rFonts w:ascii="Calibri" w:hAnsi="Calibri" w:cs="Calibri"/>
        </w:rPr>
        <w:t xml:space="preserve">33. Al Sultan AI, Parashar SK, Wahass SH, Al Soweilem LS. Professional Stress During Medical Internship. Qatar Med J. 2002;2002:19. </w:t>
      </w:r>
    </w:p>
    <w:p w14:paraId="1CD543E7" w14:textId="77777777" w:rsidR="002038AC" w:rsidRPr="002038AC" w:rsidRDefault="002038AC" w:rsidP="002038AC">
      <w:pPr>
        <w:pStyle w:val="Bibliography"/>
        <w:rPr>
          <w:rFonts w:ascii="Calibri" w:hAnsi="Calibri" w:cs="Calibri"/>
        </w:rPr>
      </w:pPr>
      <w:r w:rsidRPr="002038AC">
        <w:rPr>
          <w:rFonts w:ascii="Calibri" w:hAnsi="Calibri" w:cs="Calibri"/>
        </w:rPr>
        <w:t xml:space="preserve">34. Arora VM, Farnan JM, Lypson ML, Anderson RA, Prochaska MH, Humphrey HJ. Incoming Interns’ Perspectives on the Institute of Medicine Recommendations for Residents’ Duty Hours. J Grad Med Educ. 2010;2:536–40. </w:t>
      </w:r>
    </w:p>
    <w:p w14:paraId="3C9AAA44" w14:textId="77777777" w:rsidR="002038AC" w:rsidRPr="002038AC" w:rsidRDefault="002038AC" w:rsidP="002038AC">
      <w:pPr>
        <w:pStyle w:val="Bibliography"/>
        <w:rPr>
          <w:rFonts w:ascii="Calibri" w:hAnsi="Calibri" w:cs="Calibri"/>
        </w:rPr>
      </w:pPr>
      <w:r w:rsidRPr="002038AC">
        <w:rPr>
          <w:rFonts w:ascii="Calibri" w:hAnsi="Calibri" w:cs="Calibri"/>
        </w:rPr>
        <w:t xml:space="preserve">35. Baldwin DC, Daugherty SR. Sleep Deprivation and Fatigue in Residency Training: Results of a National Survey of First- and Second-Year Residents. Sleep. 2004;27:217–23. </w:t>
      </w:r>
    </w:p>
    <w:p w14:paraId="1482D922" w14:textId="77777777" w:rsidR="002038AC" w:rsidRPr="002038AC" w:rsidRDefault="002038AC" w:rsidP="002038AC">
      <w:pPr>
        <w:pStyle w:val="Bibliography"/>
        <w:rPr>
          <w:rFonts w:ascii="Calibri" w:hAnsi="Calibri" w:cs="Calibri"/>
        </w:rPr>
      </w:pPr>
      <w:r w:rsidRPr="002038AC">
        <w:rPr>
          <w:rFonts w:ascii="Calibri" w:hAnsi="Calibri" w:cs="Calibri"/>
        </w:rPr>
        <w:t xml:space="preserve">36. Lin Y-H, Lin S-H, Li P, Huang W-L, Chen C-Y. Prevalent hallucinations during medical internships: phantom vibration and ringing syndromes. PloS One. 2013;8:e65152. </w:t>
      </w:r>
    </w:p>
    <w:p w14:paraId="7AD0AC70" w14:textId="77777777" w:rsidR="002038AC" w:rsidRPr="002038AC" w:rsidRDefault="002038AC" w:rsidP="002038AC">
      <w:pPr>
        <w:pStyle w:val="Bibliography"/>
        <w:rPr>
          <w:rFonts w:ascii="Calibri" w:hAnsi="Calibri" w:cs="Calibri"/>
        </w:rPr>
      </w:pPr>
      <w:r w:rsidRPr="002038AC">
        <w:rPr>
          <w:rFonts w:ascii="Calibri" w:hAnsi="Calibri" w:cs="Calibri"/>
        </w:rPr>
        <w:t xml:space="preserve">37. Bu CNN, Cotzias E, Panagioti M. Mindfulness intervention for foundation year doctors: a feasibility study. Pilot Feasibility Stud. 2019;5:61. </w:t>
      </w:r>
    </w:p>
    <w:p w14:paraId="327442A5" w14:textId="77777777" w:rsidR="002038AC" w:rsidRPr="002038AC" w:rsidRDefault="002038AC" w:rsidP="002038AC">
      <w:pPr>
        <w:pStyle w:val="Bibliography"/>
        <w:rPr>
          <w:rFonts w:ascii="Calibri" w:hAnsi="Calibri" w:cs="Calibri"/>
        </w:rPr>
      </w:pPr>
      <w:r w:rsidRPr="002038AC">
        <w:rPr>
          <w:rFonts w:ascii="Calibri" w:hAnsi="Calibri" w:cs="Calibri"/>
        </w:rPr>
        <w:t xml:space="preserve">38. Cedfeldt AS, Bower EA, English C, Grady-Weliky TA, Girard DE, Choi D. Personal time off and residents’ career satisfaction, attitudes and emotions: Time off and well-being in residents. Med Educ. 2010;44:977–84. </w:t>
      </w:r>
    </w:p>
    <w:p w14:paraId="312D7475" w14:textId="77777777" w:rsidR="002038AC" w:rsidRPr="002038AC" w:rsidRDefault="002038AC" w:rsidP="002038AC">
      <w:pPr>
        <w:pStyle w:val="Bibliography"/>
        <w:rPr>
          <w:rFonts w:ascii="Calibri" w:hAnsi="Calibri" w:cs="Calibri"/>
        </w:rPr>
      </w:pPr>
      <w:r w:rsidRPr="002038AC">
        <w:rPr>
          <w:rFonts w:ascii="Calibri" w:hAnsi="Calibri" w:cs="Calibri"/>
        </w:rPr>
        <w:t xml:space="preserve">39. Choi D, Dickey J, Wessel K, Girard DE. The impact of the implementation of work hour requirements on residents’ career satisfaction, attitudes and emotions. BMC Med Educ. 2006;6:53. </w:t>
      </w:r>
    </w:p>
    <w:p w14:paraId="37D96F0B" w14:textId="77777777" w:rsidR="002038AC" w:rsidRPr="002038AC" w:rsidRDefault="002038AC" w:rsidP="002038AC">
      <w:pPr>
        <w:pStyle w:val="Bibliography"/>
        <w:rPr>
          <w:rFonts w:ascii="Calibri" w:hAnsi="Calibri" w:cs="Calibri"/>
        </w:rPr>
      </w:pPr>
      <w:r w:rsidRPr="002038AC">
        <w:rPr>
          <w:rFonts w:ascii="Calibri" w:hAnsi="Calibri" w:cs="Calibri"/>
        </w:rPr>
        <w:t xml:space="preserve">40. Chandramouleeswaran S, Edwin NC, Braganza D. Job Stress, Satisfaction, and Coping Strategies Among Medical Interns in a South Indian Tertiary Hospital. Indian J Psychol Med. 2014;36:308–11. </w:t>
      </w:r>
    </w:p>
    <w:p w14:paraId="2B85B7DD" w14:textId="77777777" w:rsidR="002038AC" w:rsidRPr="002038AC" w:rsidRDefault="002038AC" w:rsidP="002038AC">
      <w:pPr>
        <w:pStyle w:val="Bibliography"/>
        <w:rPr>
          <w:rFonts w:ascii="Calibri" w:hAnsi="Calibri" w:cs="Calibri"/>
        </w:rPr>
      </w:pPr>
      <w:r w:rsidRPr="002038AC">
        <w:rPr>
          <w:rFonts w:ascii="Calibri" w:hAnsi="Calibri" w:cs="Calibri"/>
        </w:rPr>
        <w:t xml:space="preserve">41. Jagsi R. The Accreditation Council for Graduate Medical Education’s Limits on Residents’ Work Hours and Patient SafetyA Study of Resident Experiences and Perceptions Before and After Hours Reductions. Arch Intern Med. 2008;168:493. </w:t>
      </w:r>
    </w:p>
    <w:p w14:paraId="43EB5BF9" w14:textId="77777777" w:rsidR="002038AC" w:rsidRPr="002038AC" w:rsidRDefault="002038AC" w:rsidP="002038AC">
      <w:pPr>
        <w:pStyle w:val="Bibliography"/>
        <w:rPr>
          <w:rFonts w:ascii="Calibri" w:hAnsi="Calibri" w:cs="Calibri"/>
        </w:rPr>
      </w:pPr>
      <w:r w:rsidRPr="002038AC">
        <w:rPr>
          <w:rFonts w:ascii="Calibri" w:hAnsi="Calibri" w:cs="Calibri"/>
        </w:rPr>
        <w:t xml:space="preserve">42. Kalmbach DA, Fang Y, Arnedt JT, Cochran AL, Deldin PJ, Kaplin AI, et al. Effects of Sleep, Physical Activity, and Shift Work on Daily Mood: a Prospective Mobile Monitoring Study of Medical Interns. J Gen Intern Med. 2018;33:914–20. </w:t>
      </w:r>
    </w:p>
    <w:p w14:paraId="37342C42" w14:textId="77777777" w:rsidR="002038AC" w:rsidRPr="002038AC" w:rsidRDefault="002038AC" w:rsidP="002038AC">
      <w:pPr>
        <w:pStyle w:val="Bibliography"/>
        <w:rPr>
          <w:rFonts w:ascii="Calibri" w:hAnsi="Calibri" w:cs="Calibri"/>
        </w:rPr>
      </w:pPr>
      <w:r w:rsidRPr="002038AC">
        <w:rPr>
          <w:rFonts w:ascii="Calibri" w:hAnsi="Calibri" w:cs="Calibri"/>
        </w:rPr>
        <w:t xml:space="preserve">43. Kashner TM, Henley SS, Golden RM, Byrne JM, Keitz SA, Cannon GW, et al. Studying the effects of ACGME duty hours limits on resident satisfaction: results from VA learners’ perceptions survey. Acad Med J Assoc Am Med Coll. 2010;85:1130–9. </w:t>
      </w:r>
    </w:p>
    <w:p w14:paraId="6792C0C8" w14:textId="77777777" w:rsidR="002038AC" w:rsidRPr="002038AC" w:rsidRDefault="002038AC" w:rsidP="002038AC">
      <w:pPr>
        <w:pStyle w:val="Bibliography"/>
        <w:rPr>
          <w:rFonts w:ascii="Calibri" w:hAnsi="Calibri" w:cs="Calibri"/>
        </w:rPr>
      </w:pPr>
      <w:r w:rsidRPr="002038AC">
        <w:rPr>
          <w:rFonts w:ascii="Calibri" w:hAnsi="Calibri" w:cs="Calibri"/>
        </w:rPr>
        <w:t xml:space="preserve">44. Kazmi R, Amjad S, Khan D. Occupational stress and its effect on job performance. A case study of medical house officers of district Abbottabad. J Ayub Med Coll Abbottabad JAMC. 2008;20:135–9. </w:t>
      </w:r>
    </w:p>
    <w:p w14:paraId="03FAAC93" w14:textId="77777777" w:rsidR="002038AC" w:rsidRPr="002038AC" w:rsidRDefault="002038AC" w:rsidP="002038AC">
      <w:pPr>
        <w:pStyle w:val="Bibliography"/>
        <w:rPr>
          <w:rFonts w:ascii="Calibri" w:hAnsi="Calibri" w:cs="Calibri"/>
        </w:rPr>
      </w:pPr>
      <w:r w:rsidRPr="002038AC">
        <w:rPr>
          <w:rFonts w:ascii="Calibri" w:hAnsi="Calibri" w:cs="Calibri"/>
        </w:rPr>
        <w:t xml:space="preserve">45. Lau MW, Li WE, Llewellyn A, Cyna AM. Prevalence and associations of psychological distress in Australian junior medical officers: Psychological distress in JMO. Intern Med J. 2017;47:1190–6. </w:t>
      </w:r>
    </w:p>
    <w:p w14:paraId="42BB36CE" w14:textId="77777777" w:rsidR="002038AC" w:rsidRPr="002038AC" w:rsidRDefault="002038AC" w:rsidP="002038AC">
      <w:pPr>
        <w:pStyle w:val="Bibliography"/>
        <w:rPr>
          <w:rFonts w:ascii="Calibri" w:hAnsi="Calibri" w:cs="Calibri"/>
        </w:rPr>
      </w:pPr>
      <w:r w:rsidRPr="002038AC">
        <w:rPr>
          <w:rFonts w:ascii="Calibri" w:hAnsi="Calibri" w:cs="Calibri"/>
        </w:rPr>
        <w:t xml:space="preserve">46. Marek AP, Nygaard RM, Liang ET, Roetker NS, DeLaquil M, Gregorich S, et al. The association between objectively-measured activity, sleep, call responsibilities, and burnout in a resident cohort. BMC Med Educ. 2019;19:158. </w:t>
      </w:r>
    </w:p>
    <w:p w14:paraId="2332478B" w14:textId="77777777" w:rsidR="002038AC" w:rsidRPr="002038AC" w:rsidRDefault="002038AC" w:rsidP="002038AC">
      <w:pPr>
        <w:pStyle w:val="Bibliography"/>
        <w:rPr>
          <w:rFonts w:ascii="Calibri" w:hAnsi="Calibri" w:cs="Calibri"/>
        </w:rPr>
      </w:pPr>
      <w:r w:rsidRPr="002038AC">
        <w:rPr>
          <w:rFonts w:ascii="Calibri" w:hAnsi="Calibri" w:cs="Calibri"/>
        </w:rPr>
        <w:t>47. Mataya AA, Macuvele ME, Gwitima T, Muula AS. Factors affecting job satisfaction and commitment among medical interns in Malawi: a cross-sectional study. Pan Afr Med J [Internet]. 2015 [cited 2020 Sep 9];21. Available from: http://www.panafrican-med-journal.com/content/article/21/174/full/</w:t>
      </w:r>
    </w:p>
    <w:p w14:paraId="5AEF56A4" w14:textId="77777777" w:rsidR="002038AC" w:rsidRPr="002038AC" w:rsidRDefault="002038AC" w:rsidP="002038AC">
      <w:pPr>
        <w:pStyle w:val="Bibliography"/>
        <w:rPr>
          <w:rFonts w:ascii="Calibri" w:hAnsi="Calibri" w:cs="Calibri"/>
        </w:rPr>
      </w:pPr>
      <w:r w:rsidRPr="002038AC">
        <w:rPr>
          <w:rFonts w:ascii="Calibri" w:hAnsi="Calibri" w:cs="Calibri"/>
        </w:rPr>
        <w:t xml:space="preserve">48. Baldwin DC, Daugherty SR, Tsai R, Scotti MJ. A national survey of residents’ self-reported work hours: thinking beyond specialty. Acad Med J Assoc Am Med Coll. 2003;78:1154–63. </w:t>
      </w:r>
    </w:p>
    <w:p w14:paraId="2ADBC5CB" w14:textId="77777777" w:rsidR="002038AC" w:rsidRPr="002038AC" w:rsidRDefault="002038AC" w:rsidP="002038AC">
      <w:pPr>
        <w:pStyle w:val="Bibliography"/>
        <w:rPr>
          <w:rFonts w:ascii="Calibri" w:hAnsi="Calibri" w:cs="Calibri"/>
        </w:rPr>
      </w:pPr>
      <w:r w:rsidRPr="002038AC">
        <w:rPr>
          <w:rFonts w:ascii="Calibri" w:hAnsi="Calibri" w:cs="Calibri"/>
        </w:rPr>
        <w:t xml:space="preserve">49. Anastasiadis C, Tsounis A, Sarafis P. The relationship between stress, social capital and quality of education among medical residents. BMC Res Notes. 2018;11:274. </w:t>
      </w:r>
    </w:p>
    <w:p w14:paraId="4C3FCC05" w14:textId="77777777" w:rsidR="002038AC" w:rsidRPr="002038AC" w:rsidRDefault="002038AC" w:rsidP="002038AC">
      <w:pPr>
        <w:pStyle w:val="Bibliography"/>
        <w:rPr>
          <w:rFonts w:ascii="Calibri" w:hAnsi="Calibri" w:cs="Calibri"/>
        </w:rPr>
      </w:pPr>
      <w:r w:rsidRPr="002038AC">
        <w:rPr>
          <w:rFonts w:ascii="Calibri" w:hAnsi="Calibri" w:cs="Calibri"/>
        </w:rPr>
        <w:t xml:space="preserve">50. Mohammadi G, Tourdeh M, Ebrahimian A. Effect of simulation-based training method on the psychological health promotion in operating room students during the educational internship. J Educ Health Promot. 2019;8:172. </w:t>
      </w:r>
    </w:p>
    <w:p w14:paraId="4682BC66" w14:textId="77777777" w:rsidR="002038AC" w:rsidRPr="002038AC" w:rsidRDefault="002038AC" w:rsidP="002038AC">
      <w:pPr>
        <w:pStyle w:val="Bibliography"/>
        <w:rPr>
          <w:rFonts w:ascii="Calibri" w:hAnsi="Calibri" w:cs="Calibri"/>
        </w:rPr>
      </w:pPr>
      <w:r w:rsidRPr="002038AC">
        <w:rPr>
          <w:rFonts w:ascii="Calibri" w:hAnsi="Calibri" w:cs="Calibri"/>
        </w:rPr>
        <w:t xml:space="preserve">51. Sangi-Haghpeykar H, Ambani DS, Carson SA. Stress, workload, sexual well-being and quality of life among physician residents in training. Int J Clin Pract. 2009;63:462–7. </w:t>
      </w:r>
    </w:p>
    <w:p w14:paraId="20827411" w14:textId="77777777" w:rsidR="002038AC" w:rsidRPr="002038AC" w:rsidRDefault="002038AC" w:rsidP="002038AC">
      <w:pPr>
        <w:pStyle w:val="Bibliography"/>
        <w:rPr>
          <w:rFonts w:ascii="Calibri" w:hAnsi="Calibri" w:cs="Calibri"/>
        </w:rPr>
      </w:pPr>
      <w:r w:rsidRPr="002038AC">
        <w:rPr>
          <w:rFonts w:ascii="Calibri" w:hAnsi="Calibri" w:cs="Calibri"/>
        </w:rPr>
        <w:t xml:space="preserve">52. Swaid A, Elhilu A, Mahfouz M. Medical internship training in Saudi Arabia: interns’ views and perceptions. Adv Med Educ Pract. 2017;Volume 8:121–8. </w:t>
      </w:r>
    </w:p>
    <w:p w14:paraId="47AB6FF1" w14:textId="77777777" w:rsidR="002038AC" w:rsidRPr="002038AC" w:rsidRDefault="002038AC" w:rsidP="002038AC">
      <w:pPr>
        <w:pStyle w:val="Bibliography"/>
        <w:rPr>
          <w:rFonts w:ascii="Calibri" w:hAnsi="Calibri" w:cs="Calibri"/>
        </w:rPr>
      </w:pPr>
      <w:r w:rsidRPr="002038AC">
        <w:rPr>
          <w:rFonts w:ascii="Calibri" w:hAnsi="Calibri" w:cs="Calibri"/>
        </w:rPr>
        <w:t xml:space="preserve">53. Cave J, Goldacre M, Lambert T, Woolf K, Jones A, Dacre J. Newly qualified doctors’ views about whether their medical school had trained them well: questionnaire surveys. BMC Med Educ. 2007;7:38. </w:t>
      </w:r>
    </w:p>
    <w:p w14:paraId="16F23A22" w14:textId="77777777" w:rsidR="002038AC" w:rsidRPr="002038AC" w:rsidRDefault="002038AC" w:rsidP="002038AC">
      <w:pPr>
        <w:pStyle w:val="Bibliography"/>
        <w:rPr>
          <w:rFonts w:ascii="Calibri" w:hAnsi="Calibri" w:cs="Calibri"/>
        </w:rPr>
      </w:pPr>
      <w:r w:rsidRPr="002038AC">
        <w:rPr>
          <w:rFonts w:ascii="Calibri" w:hAnsi="Calibri" w:cs="Calibri"/>
        </w:rPr>
        <w:t xml:space="preserve">54. Goldacre MJ. Preregistration house officers’ views on whether their experience at medical school prepared them well for their jobs: national questionnaire survey. BMJ. 2003;326:1011–2. </w:t>
      </w:r>
    </w:p>
    <w:p w14:paraId="65ACEC10" w14:textId="77777777" w:rsidR="002038AC" w:rsidRPr="002038AC" w:rsidRDefault="002038AC" w:rsidP="002038AC">
      <w:pPr>
        <w:pStyle w:val="Bibliography"/>
        <w:rPr>
          <w:rFonts w:ascii="Calibri" w:hAnsi="Calibri" w:cs="Calibri"/>
        </w:rPr>
      </w:pPr>
      <w:r w:rsidRPr="002038AC">
        <w:rPr>
          <w:rFonts w:ascii="Calibri" w:hAnsi="Calibri" w:cs="Calibri"/>
        </w:rPr>
        <w:t xml:space="preserve">55. Goldacre MJ, Davidson JM, Lambert TW. The first house officer year: views of graduate and non-graduate entrants to medical school. Med Educ. 2008;42:286–93. </w:t>
      </w:r>
    </w:p>
    <w:p w14:paraId="35E9071E" w14:textId="77777777" w:rsidR="002038AC" w:rsidRPr="002038AC" w:rsidRDefault="002038AC" w:rsidP="002038AC">
      <w:pPr>
        <w:pStyle w:val="Bibliography"/>
        <w:rPr>
          <w:rFonts w:ascii="Calibri" w:hAnsi="Calibri" w:cs="Calibri"/>
        </w:rPr>
      </w:pPr>
      <w:r w:rsidRPr="002038AC">
        <w:rPr>
          <w:rFonts w:ascii="Calibri" w:hAnsi="Calibri" w:cs="Calibri"/>
        </w:rPr>
        <w:t xml:space="preserve">56. Gooneratne IK, Munasinghe SR, Siriwardena C, Olupeliyawa AM, Karunathilake I. Assessment of psychometric properties of a modified PHEEM questionnaire. Ann Acad Med Singapore. 2008;37:993–7. </w:t>
      </w:r>
    </w:p>
    <w:p w14:paraId="47C2D38E" w14:textId="77777777" w:rsidR="002038AC" w:rsidRPr="002038AC" w:rsidRDefault="002038AC" w:rsidP="002038AC">
      <w:pPr>
        <w:pStyle w:val="Bibliography"/>
        <w:rPr>
          <w:rFonts w:ascii="Calibri" w:hAnsi="Calibri" w:cs="Calibri"/>
        </w:rPr>
      </w:pPr>
      <w:r w:rsidRPr="002038AC">
        <w:rPr>
          <w:rFonts w:ascii="Calibri" w:hAnsi="Calibri" w:cs="Calibri"/>
        </w:rPr>
        <w:t xml:space="preserve">57. Roff S, McAleer S, Skinner A. Development and validation of an instrument to measure the postgraduate clinical learning and teaching educational environment for hospital-based junior doctors in the UK. Med Teach. 2005;27:326–31. </w:t>
      </w:r>
    </w:p>
    <w:p w14:paraId="183AB745" w14:textId="77777777" w:rsidR="002038AC" w:rsidRPr="002038AC" w:rsidRDefault="002038AC" w:rsidP="002038AC">
      <w:pPr>
        <w:pStyle w:val="Bibliography"/>
        <w:rPr>
          <w:rFonts w:ascii="Calibri" w:hAnsi="Calibri" w:cs="Calibri"/>
        </w:rPr>
      </w:pPr>
      <w:r w:rsidRPr="002038AC">
        <w:rPr>
          <w:rFonts w:ascii="Calibri" w:hAnsi="Calibri" w:cs="Calibri"/>
        </w:rPr>
        <w:t xml:space="preserve">58. Auret K, Skinner L, Sinclair C, Evans S. Formal assessment of the educational environment experienced by interns placed in rural hospitals in Western Australia. :12. </w:t>
      </w:r>
    </w:p>
    <w:p w14:paraId="1F958CE3" w14:textId="77777777" w:rsidR="002038AC" w:rsidRPr="002038AC" w:rsidRDefault="002038AC" w:rsidP="002038AC">
      <w:pPr>
        <w:pStyle w:val="Bibliography"/>
        <w:rPr>
          <w:rFonts w:ascii="Calibri" w:hAnsi="Calibri" w:cs="Calibri"/>
        </w:rPr>
      </w:pPr>
      <w:r w:rsidRPr="002038AC">
        <w:rPr>
          <w:rFonts w:ascii="Calibri" w:hAnsi="Calibri" w:cs="Calibri"/>
        </w:rPr>
        <w:t xml:space="preserve">59. Loftus TJ, Hall DJ, Malaty JZ, Kuruppacherry SB, Sarosi GA, Shaw CM, et al. Associations Between National Board Exam Performance and Residency Program Emphasis on Patient Safety and Interprofessional Teamwork. Acad Psychiatry. 2019;43:581–4. </w:t>
      </w:r>
    </w:p>
    <w:p w14:paraId="474AAA7E" w14:textId="77777777" w:rsidR="002038AC" w:rsidRPr="002038AC" w:rsidRDefault="002038AC" w:rsidP="002038AC">
      <w:pPr>
        <w:pStyle w:val="Bibliography"/>
        <w:rPr>
          <w:rFonts w:ascii="Calibri" w:hAnsi="Calibri" w:cs="Calibri"/>
        </w:rPr>
      </w:pPr>
      <w:r w:rsidRPr="002038AC">
        <w:rPr>
          <w:rFonts w:ascii="Calibri" w:hAnsi="Calibri" w:cs="Calibri"/>
        </w:rPr>
        <w:t xml:space="preserve">60. Holt KD, Miller RS, Philibert I, Heard JK, Nasca TJ. Residents’ perspectives on the learning environment: data from the Accreditation Council for Graduate Medical Education resident survey. Acad Med J Assoc Am Med Coll. 2010;85:512–8. </w:t>
      </w:r>
    </w:p>
    <w:p w14:paraId="167B8F4C" w14:textId="77777777" w:rsidR="002038AC" w:rsidRPr="002038AC" w:rsidRDefault="002038AC" w:rsidP="002038AC">
      <w:pPr>
        <w:pStyle w:val="Bibliography"/>
        <w:rPr>
          <w:rFonts w:ascii="Calibri" w:hAnsi="Calibri" w:cs="Calibri"/>
        </w:rPr>
      </w:pPr>
      <w:r w:rsidRPr="002038AC">
        <w:rPr>
          <w:rFonts w:ascii="Calibri" w:hAnsi="Calibri" w:cs="Calibri"/>
        </w:rPr>
        <w:t xml:space="preserve">61. Carr SE, Celenza A, Lake F. Assessment of Junior Doctor performance: a validation study. BMC Med Educ. 2013;13:129. </w:t>
      </w:r>
    </w:p>
    <w:p w14:paraId="1D352330" w14:textId="77777777" w:rsidR="002038AC" w:rsidRPr="002038AC" w:rsidRDefault="002038AC" w:rsidP="002038AC">
      <w:pPr>
        <w:pStyle w:val="Bibliography"/>
        <w:rPr>
          <w:rFonts w:ascii="Calibri" w:hAnsi="Calibri" w:cs="Calibri"/>
        </w:rPr>
      </w:pPr>
      <w:r w:rsidRPr="002038AC">
        <w:rPr>
          <w:rFonts w:ascii="Calibri" w:hAnsi="Calibri" w:cs="Calibri"/>
        </w:rPr>
        <w:t xml:space="preserve">62. Carr SE, Celenza T, Lake FR. Descriptive analysis of junior doctor assessment in the first postgraduate year. Med Teach. 2014;36:983–90. </w:t>
      </w:r>
    </w:p>
    <w:p w14:paraId="1A93B458" w14:textId="77777777" w:rsidR="002038AC" w:rsidRPr="002038AC" w:rsidRDefault="002038AC" w:rsidP="002038AC">
      <w:pPr>
        <w:pStyle w:val="Bibliography"/>
        <w:rPr>
          <w:rFonts w:ascii="Calibri" w:hAnsi="Calibri" w:cs="Calibri"/>
        </w:rPr>
      </w:pPr>
      <w:r w:rsidRPr="002038AC">
        <w:rPr>
          <w:rFonts w:ascii="Calibri" w:hAnsi="Calibri" w:cs="Calibri"/>
        </w:rPr>
        <w:t xml:space="preserve">63. Mitchell R, Regan-Smith M, Fisher MA, Knox I, Lambert DR. A New Measure of the Cognitive, Metacognitive, and Experiential Aspects of Residents’ Learning: Acad Med. 2009;84:918–26. </w:t>
      </w:r>
    </w:p>
    <w:p w14:paraId="2F7A4785" w14:textId="77777777" w:rsidR="002038AC" w:rsidRPr="002038AC" w:rsidRDefault="002038AC" w:rsidP="002038AC">
      <w:pPr>
        <w:pStyle w:val="Bibliography"/>
        <w:rPr>
          <w:rFonts w:ascii="Calibri" w:hAnsi="Calibri" w:cs="Calibri"/>
        </w:rPr>
      </w:pPr>
      <w:r w:rsidRPr="002038AC">
        <w:rPr>
          <w:rFonts w:ascii="Calibri" w:hAnsi="Calibri" w:cs="Calibri"/>
        </w:rPr>
        <w:t xml:space="preserve">64. Heard JK, O’Sullivan P, Smith CE, Harper RA, Schexnayder SM. An Institutional System to Monitor and Improve the Quality of Residency Education: Acad Med. 2004;79:858–64. </w:t>
      </w:r>
    </w:p>
    <w:p w14:paraId="011691F6" w14:textId="77777777" w:rsidR="002038AC" w:rsidRPr="002038AC" w:rsidRDefault="002038AC" w:rsidP="002038AC">
      <w:pPr>
        <w:pStyle w:val="Bibliography"/>
        <w:rPr>
          <w:rFonts w:ascii="Calibri" w:hAnsi="Calibri" w:cs="Calibri"/>
        </w:rPr>
      </w:pPr>
      <w:r w:rsidRPr="002038AC">
        <w:rPr>
          <w:rFonts w:ascii="Calibri" w:hAnsi="Calibri" w:cs="Calibri"/>
        </w:rPr>
        <w:t xml:space="preserve">65. Arora VM, Greenstein EA, Woodruff JN, Staisiunas PG, Farnan JM. Implementing Peer Evaluation of Handoffs: Associations With Experience and Workload: Implementing Peer Evaluation of Handoffs. J Hosp Med. 2013;8:132–6. </w:t>
      </w:r>
    </w:p>
    <w:p w14:paraId="59EA3945" w14:textId="77777777" w:rsidR="002038AC" w:rsidRPr="002038AC" w:rsidRDefault="002038AC" w:rsidP="002038AC">
      <w:pPr>
        <w:pStyle w:val="Bibliography"/>
        <w:rPr>
          <w:rFonts w:ascii="Calibri" w:hAnsi="Calibri" w:cs="Calibri"/>
        </w:rPr>
      </w:pPr>
      <w:r w:rsidRPr="002038AC">
        <w:rPr>
          <w:rFonts w:ascii="Calibri" w:hAnsi="Calibri" w:cs="Calibri"/>
        </w:rPr>
        <w:t xml:space="preserve">66. Byszewski A, Lochnan H, Johnston D, Seabrook C, Wood T. Learning environment: assessing resident experience. Clin Teach. 2017;14:195–9. </w:t>
      </w:r>
    </w:p>
    <w:p w14:paraId="09A40109" w14:textId="77777777" w:rsidR="002038AC" w:rsidRPr="002038AC" w:rsidRDefault="002038AC" w:rsidP="002038AC">
      <w:pPr>
        <w:pStyle w:val="Bibliography"/>
        <w:rPr>
          <w:rFonts w:ascii="Calibri" w:hAnsi="Calibri" w:cs="Calibri"/>
        </w:rPr>
      </w:pPr>
      <w:r w:rsidRPr="002038AC">
        <w:rPr>
          <w:rFonts w:ascii="Calibri" w:hAnsi="Calibri" w:cs="Calibri"/>
        </w:rPr>
        <w:t xml:space="preserve">67. Gruppen LD, Stansfield RB, Zhao Z, Sen S. Institution and Specialty Contribute to Resident Satisfaction With Their Learning Environment and Workload: Acad Med. 2015;90:S77–82. </w:t>
      </w:r>
    </w:p>
    <w:p w14:paraId="73C86399" w14:textId="77777777" w:rsidR="002038AC" w:rsidRPr="002038AC" w:rsidRDefault="002038AC" w:rsidP="002038AC">
      <w:pPr>
        <w:pStyle w:val="Bibliography"/>
        <w:rPr>
          <w:rFonts w:ascii="Calibri" w:hAnsi="Calibri" w:cs="Calibri"/>
        </w:rPr>
      </w:pPr>
      <w:r w:rsidRPr="002038AC">
        <w:rPr>
          <w:rFonts w:ascii="Calibri" w:hAnsi="Calibri" w:cs="Calibri"/>
        </w:rPr>
        <w:t xml:space="preserve">68. Reynolds PP, White C, Martindale JR. Residents’ perspective on professionalism in the learning environment. Curr Probl Pediatr Adolesc Health Care. 2019;49:84–91. </w:t>
      </w:r>
    </w:p>
    <w:p w14:paraId="69A1E0A9" w14:textId="77777777" w:rsidR="002038AC" w:rsidRPr="002038AC" w:rsidRDefault="002038AC" w:rsidP="002038AC">
      <w:pPr>
        <w:pStyle w:val="Bibliography"/>
        <w:rPr>
          <w:rFonts w:ascii="Calibri" w:hAnsi="Calibri" w:cs="Calibri"/>
        </w:rPr>
      </w:pPr>
      <w:r w:rsidRPr="002038AC">
        <w:rPr>
          <w:rFonts w:ascii="Calibri" w:hAnsi="Calibri" w:cs="Calibri"/>
        </w:rPr>
        <w:t xml:space="preserve">69. Martinez W, Etchegaray JM, Thomas EJ, Hickson GB, Lehmann LS, Schleyer AM, et al. ‘Speaking up’ about patient safety concerns and unprofessional behaviour among residents: validation of two scales. BMJ Qual Saf. 2015;24:671–80. </w:t>
      </w:r>
    </w:p>
    <w:p w14:paraId="0234ABCF" w14:textId="77777777" w:rsidR="002038AC" w:rsidRPr="002038AC" w:rsidRDefault="002038AC" w:rsidP="002038AC">
      <w:pPr>
        <w:pStyle w:val="Bibliography"/>
        <w:rPr>
          <w:rFonts w:ascii="Calibri" w:hAnsi="Calibri" w:cs="Calibri"/>
        </w:rPr>
      </w:pPr>
      <w:r w:rsidRPr="002038AC">
        <w:rPr>
          <w:rFonts w:ascii="Calibri" w:hAnsi="Calibri" w:cs="Calibri"/>
        </w:rPr>
        <w:t xml:space="preserve">70. Appelbaum NP, Santen SA, Aboff BM, Vega R, Munoz JL, Hemphill RR. Psychological Safety and Support: Assessing Resident Perceptions of the Clinical Learning Environment. J Grad Med Educ. 2018;10:651–6. </w:t>
      </w:r>
    </w:p>
    <w:p w14:paraId="39AFD3B4" w14:textId="77777777" w:rsidR="002038AC" w:rsidRPr="002038AC" w:rsidRDefault="002038AC" w:rsidP="002038AC">
      <w:pPr>
        <w:pStyle w:val="Bibliography"/>
        <w:rPr>
          <w:rFonts w:ascii="Calibri" w:hAnsi="Calibri" w:cs="Calibri"/>
        </w:rPr>
      </w:pPr>
      <w:r w:rsidRPr="002038AC">
        <w:rPr>
          <w:rFonts w:ascii="Calibri" w:hAnsi="Calibri" w:cs="Calibri"/>
        </w:rPr>
        <w:t xml:space="preserve">71. Touchie C, De Champlain A, Pugh D, Downing S, Bordage G. Supervising incoming first-year residents: faculty expectations versus residents’ experiences. Med Educ. 2014;48:921–9. </w:t>
      </w:r>
    </w:p>
    <w:p w14:paraId="29598061" w14:textId="77777777" w:rsidR="002038AC" w:rsidRPr="002038AC" w:rsidRDefault="002038AC" w:rsidP="002038AC">
      <w:pPr>
        <w:pStyle w:val="Bibliography"/>
        <w:rPr>
          <w:rFonts w:ascii="Calibri" w:hAnsi="Calibri" w:cs="Calibri"/>
        </w:rPr>
      </w:pPr>
      <w:r w:rsidRPr="002038AC">
        <w:rPr>
          <w:rFonts w:ascii="Calibri" w:hAnsi="Calibri" w:cs="Calibri"/>
        </w:rPr>
        <w:t xml:space="preserve">72. Degen C, Weigl M, Glaser J, Li J, Angerer P. The impact of training and working conditions on junior doctors’ intention to leave clinical practice. BMC Med Educ. 2014;14:119. </w:t>
      </w:r>
    </w:p>
    <w:p w14:paraId="699EC780" w14:textId="77777777" w:rsidR="002038AC" w:rsidRPr="002038AC" w:rsidRDefault="002038AC" w:rsidP="002038AC">
      <w:pPr>
        <w:pStyle w:val="Bibliography"/>
        <w:rPr>
          <w:rFonts w:ascii="Calibri" w:hAnsi="Calibri" w:cs="Calibri"/>
        </w:rPr>
      </w:pPr>
      <w:r w:rsidRPr="002038AC">
        <w:rPr>
          <w:rFonts w:ascii="Calibri" w:hAnsi="Calibri" w:cs="Calibri"/>
        </w:rPr>
        <w:t xml:space="preserve">73. Charalambous A, Pantelas G, Pouloukas S. Preregistration programme for medical practice: a survey of Cypriot trainees (2000 and 2002). East Mediterr Health J Rev Sante Mediterr Orient Al-Majallah Al-Sihhiyah Li-Sharq Al-Mutawassit. 2007;13:129–37. </w:t>
      </w:r>
    </w:p>
    <w:p w14:paraId="0B587788" w14:textId="77777777" w:rsidR="002038AC" w:rsidRPr="002038AC" w:rsidRDefault="002038AC" w:rsidP="002038AC">
      <w:pPr>
        <w:pStyle w:val="Bibliography"/>
        <w:rPr>
          <w:rFonts w:ascii="Calibri" w:hAnsi="Calibri" w:cs="Calibri"/>
        </w:rPr>
      </w:pPr>
      <w:r w:rsidRPr="002038AC">
        <w:rPr>
          <w:rFonts w:ascii="Calibri" w:hAnsi="Calibri" w:cs="Calibri"/>
        </w:rPr>
        <w:t xml:space="preserve">74. Abuhusain H, Chotirmall SH, Hamid N, O’Neill SJ. Prepared for internship? Ir Med J. 2009;102:82–4. </w:t>
      </w:r>
    </w:p>
    <w:p w14:paraId="5BEE63D0" w14:textId="77777777" w:rsidR="002038AC" w:rsidRPr="002038AC" w:rsidRDefault="002038AC" w:rsidP="002038AC">
      <w:pPr>
        <w:pStyle w:val="Bibliography"/>
        <w:rPr>
          <w:rFonts w:ascii="Calibri" w:hAnsi="Calibri" w:cs="Calibri"/>
        </w:rPr>
      </w:pPr>
      <w:r w:rsidRPr="002038AC">
        <w:rPr>
          <w:rFonts w:ascii="Calibri" w:hAnsi="Calibri" w:cs="Calibri"/>
        </w:rPr>
        <w:t xml:space="preserve">75. Baldwin DC, Daugherty SR, Ryan PM, Yaghmour NA, Philibert I. Residents’ Ratings of Their Clinical Supervision and Their Self-Reported Medical Errors: Analysis of Data From 2009. J Grad Med Educ. 2018;10:235–41. </w:t>
      </w:r>
    </w:p>
    <w:p w14:paraId="6378005F" w14:textId="77777777" w:rsidR="002038AC" w:rsidRPr="002038AC" w:rsidRDefault="002038AC" w:rsidP="002038AC">
      <w:pPr>
        <w:pStyle w:val="Bibliography"/>
        <w:rPr>
          <w:rFonts w:ascii="Calibri" w:hAnsi="Calibri" w:cs="Calibri"/>
        </w:rPr>
      </w:pPr>
      <w:r w:rsidRPr="002038AC">
        <w:rPr>
          <w:rFonts w:ascii="Calibri" w:hAnsi="Calibri" w:cs="Calibri"/>
        </w:rPr>
        <w:t xml:space="preserve">76. Bola S, Trollip E, Parkinson F. The state of South African internships: A national survey against HPCSA guidelines. S Afr Med J. 2015;105:535. </w:t>
      </w:r>
    </w:p>
    <w:p w14:paraId="0DB3263D" w14:textId="77777777" w:rsidR="002038AC" w:rsidRPr="002038AC" w:rsidRDefault="002038AC" w:rsidP="002038AC">
      <w:pPr>
        <w:pStyle w:val="Bibliography"/>
        <w:rPr>
          <w:rFonts w:ascii="Calibri" w:hAnsi="Calibri" w:cs="Calibri"/>
        </w:rPr>
      </w:pPr>
      <w:r w:rsidRPr="002038AC">
        <w:rPr>
          <w:rFonts w:ascii="Calibri" w:hAnsi="Calibri" w:cs="Calibri"/>
        </w:rPr>
        <w:t xml:space="preserve">77. Burford B, Whittle V, Vance GH. The relationship between medical student learning opportunities and preparedness for practice: a questionnaire study. BMC Med Educ. 2014;14:223. </w:t>
      </w:r>
    </w:p>
    <w:p w14:paraId="2CCEB0F4" w14:textId="77777777" w:rsidR="002038AC" w:rsidRPr="002038AC" w:rsidRDefault="002038AC" w:rsidP="002038AC">
      <w:pPr>
        <w:pStyle w:val="Bibliography"/>
        <w:rPr>
          <w:rFonts w:ascii="Calibri" w:hAnsi="Calibri" w:cs="Calibri"/>
        </w:rPr>
      </w:pPr>
      <w:r w:rsidRPr="002038AC">
        <w:rPr>
          <w:rFonts w:ascii="Calibri" w:hAnsi="Calibri" w:cs="Calibri"/>
        </w:rPr>
        <w:t xml:space="preserve">78. Chu ES, Reid M, Schulz T, Burden M, Mancini D, Ambardekar AV, et al. A Structured Handoff Program for Interns: Acad Med. 2009;84:347–52. </w:t>
      </w:r>
    </w:p>
    <w:p w14:paraId="10673C5D" w14:textId="77777777" w:rsidR="002038AC" w:rsidRPr="002038AC" w:rsidRDefault="002038AC" w:rsidP="002038AC">
      <w:pPr>
        <w:pStyle w:val="Bibliography"/>
        <w:rPr>
          <w:rFonts w:ascii="Calibri" w:hAnsi="Calibri" w:cs="Calibri"/>
        </w:rPr>
      </w:pPr>
      <w:r w:rsidRPr="002038AC">
        <w:rPr>
          <w:rFonts w:ascii="Calibri" w:hAnsi="Calibri" w:cs="Calibri"/>
        </w:rPr>
        <w:t xml:space="preserve">79. Doran T, Maudsley G, Zakhour H. Time to think? Questionnaire survey of pre-registration house officers’ experiences of critical appraisal in the Mersey Deanery. Med Educ. 2007;41:487–94. </w:t>
      </w:r>
    </w:p>
    <w:p w14:paraId="63836658" w14:textId="77777777" w:rsidR="002038AC" w:rsidRPr="002038AC" w:rsidRDefault="002038AC" w:rsidP="002038AC">
      <w:pPr>
        <w:pStyle w:val="Bibliography"/>
        <w:rPr>
          <w:rFonts w:ascii="Calibri" w:hAnsi="Calibri" w:cs="Calibri"/>
        </w:rPr>
      </w:pPr>
      <w:r w:rsidRPr="002038AC">
        <w:rPr>
          <w:rFonts w:ascii="Calibri" w:hAnsi="Calibri" w:cs="Calibri"/>
        </w:rPr>
        <w:t xml:space="preserve">80. Finucane P, O’Dowd T. Working and training as an intern: a national survey of Irish interns. Med Teach. 2005;27:107–13. </w:t>
      </w:r>
    </w:p>
    <w:p w14:paraId="42FA1E67" w14:textId="77777777" w:rsidR="002038AC" w:rsidRPr="002038AC" w:rsidRDefault="002038AC" w:rsidP="002038AC">
      <w:pPr>
        <w:pStyle w:val="Bibliography"/>
        <w:rPr>
          <w:rFonts w:ascii="Calibri" w:hAnsi="Calibri" w:cs="Calibri"/>
        </w:rPr>
      </w:pPr>
      <w:r w:rsidRPr="002038AC">
        <w:rPr>
          <w:rFonts w:ascii="Calibri" w:hAnsi="Calibri" w:cs="Calibri"/>
        </w:rPr>
        <w:t xml:space="preserve">81. Han W, Maxwell S. Are Medical Students Adequately Trained to Prescribe at the Point of Graduation? Views of First Year Foundation Doctors. Scott Med J. 2006;51:27–32. </w:t>
      </w:r>
    </w:p>
    <w:p w14:paraId="106D267E" w14:textId="77777777" w:rsidR="002038AC" w:rsidRPr="002038AC" w:rsidRDefault="002038AC" w:rsidP="002038AC">
      <w:pPr>
        <w:pStyle w:val="Bibliography"/>
        <w:rPr>
          <w:rFonts w:ascii="Calibri" w:hAnsi="Calibri" w:cs="Calibri"/>
        </w:rPr>
      </w:pPr>
      <w:r w:rsidRPr="002038AC">
        <w:rPr>
          <w:rFonts w:ascii="Calibri" w:hAnsi="Calibri" w:cs="Calibri"/>
        </w:rPr>
        <w:t xml:space="preserve">82. Hoppe A, Persson E, Birgegård G. Medical interns’ view of their undergraduate medical education in Uppsala: An alumnus study with clear attitude differences between women and men. Med Teach. 2009;31:426–32. </w:t>
      </w:r>
    </w:p>
    <w:p w14:paraId="466A77C8" w14:textId="77777777" w:rsidR="002038AC" w:rsidRPr="002038AC" w:rsidRDefault="002038AC" w:rsidP="002038AC">
      <w:pPr>
        <w:pStyle w:val="Bibliography"/>
        <w:rPr>
          <w:rFonts w:ascii="Calibri" w:hAnsi="Calibri" w:cs="Calibri"/>
        </w:rPr>
      </w:pPr>
      <w:r w:rsidRPr="002038AC">
        <w:rPr>
          <w:rFonts w:ascii="Calibri" w:hAnsi="Calibri" w:cs="Calibri"/>
        </w:rPr>
        <w:t xml:space="preserve">83. Kelly C, Noonan CLF, Monagle JP. Preparedness for internship: a survey of new interns in a large Victorian Health Service. Aust Health Rev. 2011;35:146. </w:t>
      </w:r>
    </w:p>
    <w:p w14:paraId="7D81FC7C" w14:textId="77777777" w:rsidR="002038AC" w:rsidRPr="002038AC" w:rsidRDefault="002038AC" w:rsidP="002038AC">
      <w:pPr>
        <w:pStyle w:val="Bibliography"/>
        <w:rPr>
          <w:rFonts w:ascii="Calibri" w:hAnsi="Calibri" w:cs="Calibri"/>
        </w:rPr>
      </w:pPr>
      <w:r w:rsidRPr="002038AC">
        <w:rPr>
          <w:rFonts w:ascii="Calibri" w:hAnsi="Calibri" w:cs="Calibri"/>
        </w:rPr>
        <w:t xml:space="preserve">84. Linklater G. Educational needs of foundation doctors caring for dying patients. J R Coll Physicians Edinb. 2010;40:13–8. </w:t>
      </w:r>
    </w:p>
    <w:p w14:paraId="7EC01029" w14:textId="77777777" w:rsidR="002038AC" w:rsidRPr="002038AC" w:rsidRDefault="002038AC" w:rsidP="002038AC">
      <w:pPr>
        <w:pStyle w:val="Bibliography"/>
        <w:rPr>
          <w:rFonts w:ascii="Calibri" w:hAnsi="Calibri" w:cs="Calibri"/>
        </w:rPr>
      </w:pPr>
      <w:r w:rsidRPr="002038AC">
        <w:rPr>
          <w:rFonts w:ascii="Calibri" w:hAnsi="Calibri" w:cs="Calibri"/>
        </w:rPr>
        <w:t xml:space="preserve">85. McKavanagh P, Smyth A, Carragher A. Hospital consultants and workplace based assessments: how foundation doctors view these educational interactions? Postgrad Med J. 2012;88:119–24. </w:t>
      </w:r>
    </w:p>
    <w:p w14:paraId="2939037C" w14:textId="77777777" w:rsidR="002038AC" w:rsidRPr="002038AC" w:rsidRDefault="002038AC" w:rsidP="002038AC">
      <w:pPr>
        <w:pStyle w:val="Bibliography"/>
        <w:rPr>
          <w:rFonts w:ascii="Calibri" w:hAnsi="Calibri" w:cs="Calibri"/>
        </w:rPr>
      </w:pPr>
      <w:r w:rsidRPr="002038AC">
        <w:rPr>
          <w:rFonts w:ascii="Calibri" w:hAnsi="Calibri" w:cs="Calibri"/>
        </w:rPr>
        <w:t xml:space="preserve">86. Miles S, Kellett J, Leinster SJ. Foundation doctors’ induction experiences. BMC Med Educ. 2015;15:118. </w:t>
      </w:r>
    </w:p>
    <w:p w14:paraId="0B477900" w14:textId="77777777" w:rsidR="002038AC" w:rsidRPr="002038AC" w:rsidRDefault="002038AC" w:rsidP="002038AC">
      <w:pPr>
        <w:pStyle w:val="Bibliography"/>
        <w:rPr>
          <w:rFonts w:ascii="Calibri" w:hAnsi="Calibri" w:cs="Calibri"/>
        </w:rPr>
      </w:pPr>
      <w:r w:rsidRPr="002038AC">
        <w:rPr>
          <w:rFonts w:ascii="Calibri" w:hAnsi="Calibri" w:cs="Calibri"/>
        </w:rPr>
        <w:t xml:space="preserve">87. Bleakley A, Brennan N. Does undergraduate curriculum design make a difference to readiness to practice as a junior doctor? Med Teach. 2011;33:459–67. </w:t>
      </w:r>
    </w:p>
    <w:p w14:paraId="4FF9BD61" w14:textId="77777777" w:rsidR="002038AC" w:rsidRPr="002038AC" w:rsidRDefault="002038AC" w:rsidP="002038AC">
      <w:pPr>
        <w:pStyle w:val="Bibliography"/>
        <w:rPr>
          <w:rFonts w:ascii="Calibri" w:hAnsi="Calibri" w:cs="Calibri"/>
        </w:rPr>
      </w:pPr>
      <w:r w:rsidRPr="002038AC">
        <w:rPr>
          <w:rFonts w:ascii="Calibri" w:hAnsi="Calibri" w:cs="Calibri"/>
        </w:rPr>
        <w:t xml:space="preserve">88. Kobayashi H. A cross-cultural survey of residents’ perceived barriers in questioning/challenging authority. Qual Saf Health Care. 2006;15:277–83. </w:t>
      </w:r>
    </w:p>
    <w:p w14:paraId="3AE31DE9" w14:textId="77777777" w:rsidR="002038AC" w:rsidRPr="002038AC" w:rsidRDefault="002038AC" w:rsidP="002038AC">
      <w:pPr>
        <w:pStyle w:val="Bibliography"/>
        <w:rPr>
          <w:rFonts w:ascii="Calibri" w:hAnsi="Calibri" w:cs="Calibri"/>
        </w:rPr>
      </w:pPr>
      <w:r w:rsidRPr="002038AC">
        <w:rPr>
          <w:rFonts w:ascii="Calibri" w:hAnsi="Calibri" w:cs="Calibri"/>
        </w:rPr>
        <w:t xml:space="preserve">89. Ross A, Naidoo S (Cyril), Dlamini S. An evaluation of the medical internship programme at King Edward VIII hospital, South Africa in 2016. South Afr Fam Pract. 2018;60:187–91. </w:t>
      </w:r>
    </w:p>
    <w:p w14:paraId="35FF4E29" w14:textId="77777777" w:rsidR="002038AC" w:rsidRPr="002038AC" w:rsidRDefault="002038AC" w:rsidP="002038AC">
      <w:pPr>
        <w:pStyle w:val="Bibliography"/>
        <w:rPr>
          <w:rFonts w:ascii="Calibri" w:hAnsi="Calibri" w:cs="Calibri"/>
        </w:rPr>
      </w:pPr>
      <w:r w:rsidRPr="002038AC">
        <w:rPr>
          <w:rFonts w:ascii="Calibri" w:hAnsi="Calibri" w:cs="Calibri"/>
        </w:rPr>
        <w:t xml:space="preserve">90. Robson J, de Wet C, McKay J, Bowie P. Do we know what foundation year doctors think about patient safety incident reporting? Development of a web based tool to assess attitude and knowledge. Postgrad Med J. 2011;87:750–6. </w:t>
      </w:r>
    </w:p>
    <w:p w14:paraId="1E663E8F" w14:textId="77777777" w:rsidR="002038AC" w:rsidRPr="002038AC" w:rsidRDefault="002038AC" w:rsidP="002038AC">
      <w:pPr>
        <w:pStyle w:val="Bibliography"/>
        <w:rPr>
          <w:rFonts w:ascii="Calibri" w:hAnsi="Calibri" w:cs="Calibri"/>
        </w:rPr>
      </w:pPr>
      <w:r w:rsidRPr="002038AC">
        <w:rPr>
          <w:rFonts w:ascii="Calibri" w:hAnsi="Calibri" w:cs="Calibri"/>
        </w:rPr>
        <w:t xml:space="preserve">91. Choi D, Cedfeldt A, Flores C, Irish K, Brunett P, Girard D. Resident wellness: institutional trends over 10 years since 2003. Adv Med Educ Pract. 2017;Volume 8:513–23. </w:t>
      </w:r>
    </w:p>
    <w:p w14:paraId="537AA840" w14:textId="77777777" w:rsidR="002038AC" w:rsidRPr="002038AC" w:rsidRDefault="002038AC" w:rsidP="002038AC">
      <w:pPr>
        <w:pStyle w:val="Bibliography"/>
        <w:rPr>
          <w:rFonts w:ascii="Calibri" w:hAnsi="Calibri" w:cs="Calibri"/>
        </w:rPr>
      </w:pPr>
      <w:r w:rsidRPr="002038AC">
        <w:rPr>
          <w:rFonts w:ascii="Calibri" w:hAnsi="Calibri" w:cs="Calibri"/>
        </w:rPr>
        <w:t xml:space="preserve">92. Hinze SW. ‘Am I Being Over-Sensitive?’ Women’s Experience of Sexual Harassment During Medical Training. Health Interdiscip J Soc Study Health Illn Med. 2004;8:101–27. </w:t>
      </w:r>
    </w:p>
    <w:p w14:paraId="1F3F85B8" w14:textId="1C5B3397" w:rsidR="006938E9" w:rsidRPr="00AB4BAE" w:rsidRDefault="002038AC">
      <w:pPr>
        <w:rPr>
          <w:rFonts w:ascii="Calibri" w:hAnsi="Calibri" w:cs="Calibri"/>
        </w:rPr>
      </w:pPr>
      <w:r>
        <w:rPr>
          <w:rFonts w:ascii="Calibri" w:hAnsi="Calibri" w:cs="Calibri"/>
        </w:rPr>
        <w:fldChar w:fldCharType="end"/>
      </w:r>
    </w:p>
    <w:sectPr w:rsidR="006938E9" w:rsidRPr="00AB4BAE" w:rsidSect="00A469D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417"/>
    <w:rsid w:val="0000504B"/>
    <w:rsid w:val="00023E75"/>
    <w:rsid w:val="00027447"/>
    <w:rsid w:val="00033916"/>
    <w:rsid w:val="00034034"/>
    <w:rsid w:val="00042E27"/>
    <w:rsid w:val="00043EAC"/>
    <w:rsid w:val="00051E03"/>
    <w:rsid w:val="0006243F"/>
    <w:rsid w:val="00075AE6"/>
    <w:rsid w:val="00082E23"/>
    <w:rsid w:val="0009337B"/>
    <w:rsid w:val="000A2C1C"/>
    <w:rsid w:val="001222E7"/>
    <w:rsid w:val="0013089A"/>
    <w:rsid w:val="00131F73"/>
    <w:rsid w:val="001562FC"/>
    <w:rsid w:val="00162B9C"/>
    <w:rsid w:val="001B0C69"/>
    <w:rsid w:val="001B7399"/>
    <w:rsid w:val="001C2D81"/>
    <w:rsid w:val="001C3128"/>
    <w:rsid w:val="001D41A9"/>
    <w:rsid w:val="001E0327"/>
    <w:rsid w:val="001E673B"/>
    <w:rsid w:val="001E6812"/>
    <w:rsid w:val="001E6B03"/>
    <w:rsid w:val="001F6779"/>
    <w:rsid w:val="001F6A13"/>
    <w:rsid w:val="002038AC"/>
    <w:rsid w:val="00205CC1"/>
    <w:rsid w:val="00212747"/>
    <w:rsid w:val="00224284"/>
    <w:rsid w:val="002303D5"/>
    <w:rsid w:val="0023390E"/>
    <w:rsid w:val="00236AA9"/>
    <w:rsid w:val="002436D3"/>
    <w:rsid w:val="002562D3"/>
    <w:rsid w:val="00260AC6"/>
    <w:rsid w:val="00261A12"/>
    <w:rsid w:val="00265AD0"/>
    <w:rsid w:val="00292787"/>
    <w:rsid w:val="002941EB"/>
    <w:rsid w:val="002B2C8A"/>
    <w:rsid w:val="002C5EBC"/>
    <w:rsid w:val="002D20EF"/>
    <w:rsid w:val="002D2990"/>
    <w:rsid w:val="002E0B33"/>
    <w:rsid w:val="00301B01"/>
    <w:rsid w:val="003022AF"/>
    <w:rsid w:val="003120CE"/>
    <w:rsid w:val="00315CD3"/>
    <w:rsid w:val="00316389"/>
    <w:rsid w:val="003216A8"/>
    <w:rsid w:val="00322822"/>
    <w:rsid w:val="00336DE3"/>
    <w:rsid w:val="00340E7E"/>
    <w:rsid w:val="003462F2"/>
    <w:rsid w:val="0035555A"/>
    <w:rsid w:val="003643BB"/>
    <w:rsid w:val="00396B36"/>
    <w:rsid w:val="003A502F"/>
    <w:rsid w:val="003A7869"/>
    <w:rsid w:val="003C50E7"/>
    <w:rsid w:val="003D0E46"/>
    <w:rsid w:val="003D43E1"/>
    <w:rsid w:val="003D6D07"/>
    <w:rsid w:val="003E209A"/>
    <w:rsid w:val="003E6B3B"/>
    <w:rsid w:val="003F2441"/>
    <w:rsid w:val="003F3A56"/>
    <w:rsid w:val="00404FAF"/>
    <w:rsid w:val="0040597D"/>
    <w:rsid w:val="00416DFF"/>
    <w:rsid w:val="00435B69"/>
    <w:rsid w:val="00440658"/>
    <w:rsid w:val="004434E8"/>
    <w:rsid w:val="004A78B6"/>
    <w:rsid w:val="004C180B"/>
    <w:rsid w:val="004C5015"/>
    <w:rsid w:val="004C5051"/>
    <w:rsid w:val="004E1654"/>
    <w:rsid w:val="004E66A1"/>
    <w:rsid w:val="004F24FF"/>
    <w:rsid w:val="004F3D4B"/>
    <w:rsid w:val="004F5968"/>
    <w:rsid w:val="005132D7"/>
    <w:rsid w:val="00527C95"/>
    <w:rsid w:val="005335E2"/>
    <w:rsid w:val="005355D8"/>
    <w:rsid w:val="0055531D"/>
    <w:rsid w:val="00556FF3"/>
    <w:rsid w:val="005614F3"/>
    <w:rsid w:val="00572DC7"/>
    <w:rsid w:val="005857DF"/>
    <w:rsid w:val="00592559"/>
    <w:rsid w:val="005A6FC8"/>
    <w:rsid w:val="005B135E"/>
    <w:rsid w:val="005B429E"/>
    <w:rsid w:val="005B528B"/>
    <w:rsid w:val="005B5DC6"/>
    <w:rsid w:val="005D5E0B"/>
    <w:rsid w:val="005E38CC"/>
    <w:rsid w:val="005F7074"/>
    <w:rsid w:val="006019BC"/>
    <w:rsid w:val="00613A21"/>
    <w:rsid w:val="00620D74"/>
    <w:rsid w:val="0062450E"/>
    <w:rsid w:val="00630B4C"/>
    <w:rsid w:val="0063372B"/>
    <w:rsid w:val="00672493"/>
    <w:rsid w:val="00674707"/>
    <w:rsid w:val="006938E9"/>
    <w:rsid w:val="00696A9B"/>
    <w:rsid w:val="006A56CC"/>
    <w:rsid w:val="006B05AF"/>
    <w:rsid w:val="006C1FFD"/>
    <w:rsid w:val="006C32EC"/>
    <w:rsid w:val="006D5237"/>
    <w:rsid w:val="006F357A"/>
    <w:rsid w:val="006F57CE"/>
    <w:rsid w:val="006F7B00"/>
    <w:rsid w:val="007054D8"/>
    <w:rsid w:val="007334C3"/>
    <w:rsid w:val="00740C3F"/>
    <w:rsid w:val="0074796B"/>
    <w:rsid w:val="00766542"/>
    <w:rsid w:val="007708B6"/>
    <w:rsid w:val="00780852"/>
    <w:rsid w:val="00790A28"/>
    <w:rsid w:val="007973DF"/>
    <w:rsid w:val="007D0B67"/>
    <w:rsid w:val="008048B3"/>
    <w:rsid w:val="00806669"/>
    <w:rsid w:val="008112D9"/>
    <w:rsid w:val="008173D5"/>
    <w:rsid w:val="00833504"/>
    <w:rsid w:val="00836C20"/>
    <w:rsid w:val="00840E15"/>
    <w:rsid w:val="00842E80"/>
    <w:rsid w:val="0084401F"/>
    <w:rsid w:val="00860B39"/>
    <w:rsid w:val="00866726"/>
    <w:rsid w:val="00883B57"/>
    <w:rsid w:val="0089397C"/>
    <w:rsid w:val="008951AE"/>
    <w:rsid w:val="008B697D"/>
    <w:rsid w:val="008C7B6B"/>
    <w:rsid w:val="008E0D2F"/>
    <w:rsid w:val="008E3F3F"/>
    <w:rsid w:val="008F5F50"/>
    <w:rsid w:val="00924960"/>
    <w:rsid w:val="00925642"/>
    <w:rsid w:val="00927ABA"/>
    <w:rsid w:val="00935153"/>
    <w:rsid w:val="00944934"/>
    <w:rsid w:val="00950BA7"/>
    <w:rsid w:val="00971D3B"/>
    <w:rsid w:val="009B0B4C"/>
    <w:rsid w:val="009E5D84"/>
    <w:rsid w:val="009F69EE"/>
    <w:rsid w:val="00A11641"/>
    <w:rsid w:val="00A2743F"/>
    <w:rsid w:val="00A359EB"/>
    <w:rsid w:val="00A36FEA"/>
    <w:rsid w:val="00A40BF6"/>
    <w:rsid w:val="00A469D3"/>
    <w:rsid w:val="00A47E35"/>
    <w:rsid w:val="00A55D9C"/>
    <w:rsid w:val="00A7608E"/>
    <w:rsid w:val="00A95B02"/>
    <w:rsid w:val="00AB4BAE"/>
    <w:rsid w:val="00AB7E68"/>
    <w:rsid w:val="00AC20A2"/>
    <w:rsid w:val="00AF15B8"/>
    <w:rsid w:val="00AF571F"/>
    <w:rsid w:val="00B05EA0"/>
    <w:rsid w:val="00B177EB"/>
    <w:rsid w:val="00B178DC"/>
    <w:rsid w:val="00B23E07"/>
    <w:rsid w:val="00B23F7C"/>
    <w:rsid w:val="00B2652D"/>
    <w:rsid w:val="00B3074B"/>
    <w:rsid w:val="00B34F37"/>
    <w:rsid w:val="00B45483"/>
    <w:rsid w:val="00B5004D"/>
    <w:rsid w:val="00B521BC"/>
    <w:rsid w:val="00B64525"/>
    <w:rsid w:val="00B679C2"/>
    <w:rsid w:val="00B86A4F"/>
    <w:rsid w:val="00B922A8"/>
    <w:rsid w:val="00BA1A0B"/>
    <w:rsid w:val="00BE3D51"/>
    <w:rsid w:val="00BE54A5"/>
    <w:rsid w:val="00C062A3"/>
    <w:rsid w:val="00C16995"/>
    <w:rsid w:val="00C41915"/>
    <w:rsid w:val="00C52BA4"/>
    <w:rsid w:val="00C535A4"/>
    <w:rsid w:val="00C57018"/>
    <w:rsid w:val="00C61AA5"/>
    <w:rsid w:val="00C655E4"/>
    <w:rsid w:val="00C7248E"/>
    <w:rsid w:val="00C9747E"/>
    <w:rsid w:val="00CA4FB9"/>
    <w:rsid w:val="00CA6417"/>
    <w:rsid w:val="00CB225F"/>
    <w:rsid w:val="00CB5620"/>
    <w:rsid w:val="00CB774E"/>
    <w:rsid w:val="00CC319C"/>
    <w:rsid w:val="00CD1773"/>
    <w:rsid w:val="00CD669F"/>
    <w:rsid w:val="00CD6B9F"/>
    <w:rsid w:val="00CF3F9D"/>
    <w:rsid w:val="00CF588C"/>
    <w:rsid w:val="00CF7581"/>
    <w:rsid w:val="00D10E16"/>
    <w:rsid w:val="00D24194"/>
    <w:rsid w:val="00D4408E"/>
    <w:rsid w:val="00D46856"/>
    <w:rsid w:val="00D53E07"/>
    <w:rsid w:val="00D54459"/>
    <w:rsid w:val="00D65BCB"/>
    <w:rsid w:val="00D70BED"/>
    <w:rsid w:val="00D767D9"/>
    <w:rsid w:val="00D820EC"/>
    <w:rsid w:val="00D91018"/>
    <w:rsid w:val="00D934FB"/>
    <w:rsid w:val="00DA10F9"/>
    <w:rsid w:val="00DA2D21"/>
    <w:rsid w:val="00DA5800"/>
    <w:rsid w:val="00DC0E5D"/>
    <w:rsid w:val="00DC25FB"/>
    <w:rsid w:val="00DC3172"/>
    <w:rsid w:val="00E07722"/>
    <w:rsid w:val="00E10017"/>
    <w:rsid w:val="00E104FA"/>
    <w:rsid w:val="00E16ACB"/>
    <w:rsid w:val="00E35069"/>
    <w:rsid w:val="00E40D73"/>
    <w:rsid w:val="00E41668"/>
    <w:rsid w:val="00E423B9"/>
    <w:rsid w:val="00E501F6"/>
    <w:rsid w:val="00E51630"/>
    <w:rsid w:val="00E56F9D"/>
    <w:rsid w:val="00E73E9E"/>
    <w:rsid w:val="00E85481"/>
    <w:rsid w:val="00E93AB8"/>
    <w:rsid w:val="00E9462F"/>
    <w:rsid w:val="00EA384E"/>
    <w:rsid w:val="00EA4785"/>
    <w:rsid w:val="00EA4F75"/>
    <w:rsid w:val="00EA67D9"/>
    <w:rsid w:val="00EB0F75"/>
    <w:rsid w:val="00EB563C"/>
    <w:rsid w:val="00EC0AB7"/>
    <w:rsid w:val="00ED4C7F"/>
    <w:rsid w:val="00EE7B12"/>
    <w:rsid w:val="00F940C7"/>
    <w:rsid w:val="00F971F1"/>
    <w:rsid w:val="00FA3224"/>
    <w:rsid w:val="00FA4A59"/>
    <w:rsid w:val="00FC4139"/>
    <w:rsid w:val="00FC4DEF"/>
    <w:rsid w:val="00FC50F1"/>
    <w:rsid w:val="00FC724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3D42013"/>
  <w15:chartTrackingRefBased/>
  <w15:docId w15:val="{0B0F057A-35BA-A340-8851-3201C34A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2FC"/>
    <w:rPr>
      <w:rFonts w:ascii="Times New Roman" w:eastAsia="Times New Roman" w:hAnsi="Times New Roman" w:cs="Times New Roman"/>
    </w:rPr>
  </w:style>
  <w:style w:type="paragraph" w:styleId="Heading1">
    <w:name w:val="heading 1"/>
    <w:basedOn w:val="Normal"/>
    <w:next w:val="Normal"/>
    <w:link w:val="Heading1Char"/>
    <w:uiPriority w:val="9"/>
    <w:qFormat/>
    <w:rsid w:val="006938E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6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B4BAE"/>
    <w:rPr>
      <w:sz w:val="18"/>
      <w:szCs w:val="18"/>
    </w:rPr>
  </w:style>
  <w:style w:type="character" w:customStyle="1" w:styleId="BalloonTextChar">
    <w:name w:val="Balloon Text Char"/>
    <w:basedOn w:val="DefaultParagraphFont"/>
    <w:link w:val="BalloonText"/>
    <w:uiPriority w:val="99"/>
    <w:semiHidden/>
    <w:rsid w:val="00AB4BAE"/>
    <w:rPr>
      <w:rFonts w:ascii="Times New Roman" w:hAnsi="Times New Roman" w:cs="Times New Roman"/>
      <w:sz w:val="18"/>
      <w:szCs w:val="18"/>
    </w:rPr>
  </w:style>
  <w:style w:type="paragraph" w:styleId="NormalWeb">
    <w:name w:val="Normal (Web)"/>
    <w:basedOn w:val="Normal"/>
    <w:uiPriority w:val="99"/>
    <w:semiHidden/>
    <w:unhideWhenUsed/>
    <w:rsid w:val="00C57018"/>
    <w:pPr>
      <w:spacing w:before="100" w:beforeAutospacing="1" w:after="100" w:afterAutospacing="1"/>
    </w:pPr>
  </w:style>
  <w:style w:type="table" w:styleId="PlainTable3">
    <w:name w:val="Plain Table 3"/>
    <w:basedOn w:val="TableNormal"/>
    <w:uiPriority w:val="43"/>
    <w:rsid w:val="00A359E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A359E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3">
    <w:name w:val="Grid Table 3"/>
    <w:basedOn w:val="TableNormal"/>
    <w:uiPriority w:val="48"/>
    <w:rsid w:val="00A359E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
    <w:name w:val="Grid Table 7 Colorful"/>
    <w:basedOn w:val="TableNormal"/>
    <w:uiPriority w:val="52"/>
    <w:rsid w:val="00A359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3">
    <w:name w:val="List Table 3"/>
    <w:basedOn w:val="TableNormal"/>
    <w:uiPriority w:val="48"/>
    <w:rsid w:val="00A359E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GridTable6Colourful">
    <w:name w:val="Grid Table 6 Colorful"/>
    <w:basedOn w:val="TableNormal"/>
    <w:uiPriority w:val="51"/>
    <w:rsid w:val="00A359E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7Colourful">
    <w:name w:val="List Table 7 Colorful"/>
    <w:basedOn w:val="TableNormal"/>
    <w:uiPriority w:val="52"/>
    <w:rsid w:val="00A359E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3-Accent3">
    <w:name w:val="List Table 3 Accent 3"/>
    <w:basedOn w:val="TableNormal"/>
    <w:uiPriority w:val="48"/>
    <w:rsid w:val="00A359EB"/>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Heading1Char">
    <w:name w:val="Heading 1 Char"/>
    <w:basedOn w:val="DefaultParagraphFont"/>
    <w:link w:val="Heading1"/>
    <w:uiPriority w:val="9"/>
    <w:rsid w:val="006938E9"/>
    <w:rPr>
      <w:rFonts w:asciiTheme="majorHAnsi" w:eastAsiaTheme="majorEastAsia" w:hAnsiTheme="majorHAnsi" w:cstheme="majorBidi"/>
      <w:color w:val="2F5496" w:themeColor="accent1" w:themeShade="BF"/>
      <w:sz w:val="32"/>
      <w:szCs w:val="32"/>
    </w:rPr>
  </w:style>
  <w:style w:type="character" w:customStyle="1" w:styleId="BalloonTextChar1">
    <w:name w:val="Balloon Text Char1"/>
    <w:basedOn w:val="DefaultParagraphFont"/>
    <w:uiPriority w:val="99"/>
    <w:semiHidden/>
    <w:rsid w:val="006938E9"/>
    <w:rPr>
      <w:rFonts w:ascii="Times New Roman" w:hAnsi="Times New Roman" w:cs="Times New Roman"/>
      <w:sz w:val="18"/>
      <w:szCs w:val="18"/>
    </w:rPr>
  </w:style>
  <w:style w:type="paragraph" w:styleId="Bibliography">
    <w:name w:val="Bibliography"/>
    <w:basedOn w:val="Normal"/>
    <w:next w:val="Normal"/>
    <w:uiPriority w:val="37"/>
    <w:unhideWhenUsed/>
    <w:rsid w:val="006938E9"/>
    <w:pPr>
      <w:tabs>
        <w:tab w:val="left" w:pos="500"/>
      </w:tabs>
      <w:spacing w:after="240"/>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9981866">
      <w:bodyDiv w:val="1"/>
      <w:marLeft w:val="0"/>
      <w:marRight w:val="0"/>
      <w:marTop w:val="0"/>
      <w:marBottom w:val="0"/>
      <w:divBdr>
        <w:top w:val="none" w:sz="0" w:space="0" w:color="auto"/>
        <w:left w:val="none" w:sz="0" w:space="0" w:color="auto"/>
        <w:bottom w:val="none" w:sz="0" w:space="0" w:color="auto"/>
        <w:right w:val="none" w:sz="0" w:space="0" w:color="auto"/>
      </w:divBdr>
    </w:div>
    <w:div w:id="255214586">
      <w:bodyDiv w:val="1"/>
      <w:marLeft w:val="0"/>
      <w:marRight w:val="0"/>
      <w:marTop w:val="0"/>
      <w:marBottom w:val="0"/>
      <w:divBdr>
        <w:top w:val="none" w:sz="0" w:space="0" w:color="auto"/>
        <w:left w:val="none" w:sz="0" w:space="0" w:color="auto"/>
        <w:bottom w:val="none" w:sz="0" w:space="0" w:color="auto"/>
        <w:right w:val="none" w:sz="0" w:space="0" w:color="auto"/>
      </w:divBdr>
    </w:div>
    <w:div w:id="261499270">
      <w:bodyDiv w:val="1"/>
      <w:marLeft w:val="0"/>
      <w:marRight w:val="0"/>
      <w:marTop w:val="0"/>
      <w:marBottom w:val="0"/>
      <w:divBdr>
        <w:top w:val="none" w:sz="0" w:space="0" w:color="auto"/>
        <w:left w:val="none" w:sz="0" w:space="0" w:color="auto"/>
        <w:bottom w:val="none" w:sz="0" w:space="0" w:color="auto"/>
        <w:right w:val="none" w:sz="0" w:space="0" w:color="auto"/>
      </w:divBdr>
    </w:div>
    <w:div w:id="264503494">
      <w:bodyDiv w:val="1"/>
      <w:marLeft w:val="0"/>
      <w:marRight w:val="0"/>
      <w:marTop w:val="0"/>
      <w:marBottom w:val="0"/>
      <w:divBdr>
        <w:top w:val="none" w:sz="0" w:space="0" w:color="auto"/>
        <w:left w:val="none" w:sz="0" w:space="0" w:color="auto"/>
        <w:bottom w:val="none" w:sz="0" w:space="0" w:color="auto"/>
        <w:right w:val="none" w:sz="0" w:space="0" w:color="auto"/>
      </w:divBdr>
    </w:div>
    <w:div w:id="280692523">
      <w:bodyDiv w:val="1"/>
      <w:marLeft w:val="0"/>
      <w:marRight w:val="0"/>
      <w:marTop w:val="0"/>
      <w:marBottom w:val="0"/>
      <w:divBdr>
        <w:top w:val="none" w:sz="0" w:space="0" w:color="auto"/>
        <w:left w:val="none" w:sz="0" w:space="0" w:color="auto"/>
        <w:bottom w:val="none" w:sz="0" w:space="0" w:color="auto"/>
        <w:right w:val="none" w:sz="0" w:space="0" w:color="auto"/>
      </w:divBdr>
      <w:divsChild>
        <w:div w:id="235358016">
          <w:marLeft w:val="0"/>
          <w:marRight w:val="0"/>
          <w:marTop w:val="0"/>
          <w:marBottom w:val="0"/>
          <w:divBdr>
            <w:top w:val="none" w:sz="0" w:space="0" w:color="auto"/>
            <w:left w:val="none" w:sz="0" w:space="0" w:color="auto"/>
            <w:bottom w:val="none" w:sz="0" w:space="0" w:color="auto"/>
            <w:right w:val="none" w:sz="0" w:space="0" w:color="auto"/>
          </w:divBdr>
          <w:divsChild>
            <w:div w:id="408892550">
              <w:marLeft w:val="0"/>
              <w:marRight w:val="0"/>
              <w:marTop w:val="0"/>
              <w:marBottom w:val="0"/>
              <w:divBdr>
                <w:top w:val="none" w:sz="0" w:space="0" w:color="auto"/>
                <w:left w:val="none" w:sz="0" w:space="0" w:color="auto"/>
                <w:bottom w:val="none" w:sz="0" w:space="0" w:color="auto"/>
                <w:right w:val="none" w:sz="0" w:space="0" w:color="auto"/>
              </w:divBdr>
              <w:divsChild>
                <w:div w:id="181478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156647">
      <w:bodyDiv w:val="1"/>
      <w:marLeft w:val="0"/>
      <w:marRight w:val="0"/>
      <w:marTop w:val="0"/>
      <w:marBottom w:val="0"/>
      <w:divBdr>
        <w:top w:val="none" w:sz="0" w:space="0" w:color="auto"/>
        <w:left w:val="none" w:sz="0" w:space="0" w:color="auto"/>
        <w:bottom w:val="none" w:sz="0" w:space="0" w:color="auto"/>
        <w:right w:val="none" w:sz="0" w:space="0" w:color="auto"/>
      </w:divBdr>
    </w:div>
    <w:div w:id="321781843">
      <w:bodyDiv w:val="1"/>
      <w:marLeft w:val="0"/>
      <w:marRight w:val="0"/>
      <w:marTop w:val="0"/>
      <w:marBottom w:val="0"/>
      <w:divBdr>
        <w:top w:val="none" w:sz="0" w:space="0" w:color="auto"/>
        <w:left w:val="none" w:sz="0" w:space="0" w:color="auto"/>
        <w:bottom w:val="none" w:sz="0" w:space="0" w:color="auto"/>
        <w:right w:val="none" w:sz="0" w:space="0" w:color="auto"/>
      </w:divBdr>
    </w:div>
    <w:div w:id="334118022">
      <w:bodyDiv w:val="1"/>
      <w:marLeft w:val="0"/>
      <w:marRight w:val="0"/>
      <w:marTop w:val="0"/>
      <w:marBottom w:val="0"/>
      <w:divBdr>
        <w:top w:val="none" w:sz="0" w:space="0" w:color="auto"/>
        <w:left w:val="none" w:sz="0" w:space="0" w:color="auto"/>
        <w:bottom w:val="none" w:sz="0" w:space="0" w:color="auto"/>
        <w:right w:val="none" w:sz="0" w:space="0" w:color="auto"/>
      </w:divBdr>
    </w:div>
    <w:div w:id="374356107">
      <w:bodyDiv w:val="1"/>
      <w:marLeft w:val="0"/>
      <w:marRight w:val="0"/>
      <w:marTop w:val="0"/>
      <w:marBottom w:val="0"/>
      <w:divBdr>
        <w:top w:val="none" w:sz="0" w:space="0" w:color="auto"/>
        <w:left w:val="none" w:sz="0" w:space="0" w:color="auto"/>
        <w:bottom w:val="none" w:sz="0" w:space="0" w:color="auto"/>
        <w:right w:val="none" w:sz="0" w:space="0" w:color="auto"/>
      </w:divBdr>
    </w:div>
    <w:div w:id="424689979">
      <w:bodyDiv w:val="1"/>
      <w:marLeft w:val="0"/>
      <w:marRight w:val="0"/>
      <w:marTop w:val="0"/>
      <w:marBottom w:val="0"/>
      <w:divBdr>
        <w:top w:val="none" w:sz="0" w:space="0" w:color="auto"/>
        <w:left w:val="none" w:sz="0" w:space="0" w:color="auto"/>
        <w:bottom w:val="none" w:sz="0" w:space="0" w:color="auto"/>
        <w:right w:val="none" w:sz="0" w:space="0" w:color="auto"/>
      </w:divBdr>
    </w:div>
    <w:div w:id="479268627">
      <w:bodyDiv w:val="1"/>
      <w:marLeft w:val="0"/>
      <w:marRight w:val="0"/>
      <w:marTop w:val="0"/>
      <w:marBottom w:val="0"/>
      <w:divBdr>
        <w:top w:val="none" w:sz="0" w:space="0" w:color="auto"/>
        <w:left w:val="none" w:sz="0" w:space="0" w:color="auto"/>
        <w:bottom w:val="none" w:sz="0" w:space="0" w:color="auto"/>
        <w:right w:val="none" w:sz="0" w:space="0" w:color="auto"/>
      </w:divBdr>
    </w:div>
    <w:div w:id="492840118">
      <w:bodyDiv w:val="1"/>
      <w:marLeft w:val="0"/>
      <w:marRight w:val="0"/>
      <w:marTop w:val="0"/>
      <w:marBottom w:val="0"/>
      <w:divBdr>
        <w:top w:val="none" w:sz="0" w:space="0" w:color="auto"/>
        <w:left w:val="none" w:sz="0" w:space="0" w:color="auto"/>
        <w:bottom w:val="none" w:sz="0" w:space="0" w:color="auto"/>
        <w:right w:val="none" w:sz="0" w:space="0" w:color="auto"/>
      </w:divBdr>
    </w:div>
    <w:div w:id="544832712">
      <w:bodyDiv w:val="1"/>
      <w:marLeft w:val="0"/>
      <w:marRight w:val="0"/>
      <w:marTop w:val="0"/>
      <w:marBottom w:val="0"/>
      <w:divBdr>
        <w:top w:val="none" w:sz="0" w:space="0" w:color="auto"/>
        <w:left w:val="none" w:sz="0" w:space="0" w:color="auto"/>
        <w:bottom w:val="none" w:sz="0" w:space="0" w:color="auto"/>
        <w:right w:val="none" w:sz="0" w:space="0" w:color="auto"/>
      </w:divBdr>
    </w:div>
    <w:div w:id="582491086">
      <w:bodyDiv w:val="1"/>
      <w:marLeft w:val="0"/>
      <w:marRight w:val="0"/>
      <w:marTop w:val="0"/>
      <w:marBottom w:val="0"/>
      <w:divBdr>
        <w:top w:val="none" w:sz="0" w:space="0" w:color="auto"/>
        <w:left w:val="none" w:sz="0" w:space="0" w:color="auto"/>
        <w:bottom w:val="none" w:sz="0" w:space="0" w:color="auto"/>
        <w:right w:val="none" w:sz="0" w:space="0" w:color="auto"/>
      </w:divBdr>
    </w:div>
    <w:div w:id="619262445">
      <w:bodyDiv w:val="1"/>
      <w:marLeft w:val="0"/>
      <w:marRight w:val="0"/>
      <w:marTop w:val="0"/>
      <w:marBottom w:val="0"/>
      <w:divBdr>
        <w:top w:val="none" w:sz="0" w:space="0" w:color="auto"/>
        <w:left w:val="none" w:sz="0" w:space="0" w:color="auto"/>
        <w:bottom w:val="none" w:sz="0" w:space="0" w:color="auto"/>
        <w:right w:val="none" w:sz="0" w:space="0" w:color="auto"/>
      </w:divBdr>
    </w:div>
    <w:div w:id="691148657">
      <w:bodyDiv w:val="1"/>
      <w:marLeft w:val="0"/>
      <w:marRight w:val="0"/>
      <w:marTop w:val="0"/>
      <w:marBottom w:val="0"/>
      <w:divBdr>
        <w:top w:val="none" w:sz="0" w:space="0" w:color="auto"/>
        <w:left w:val="none" w:sz="0" w:space="0" w:color="auto"/>
        <w:bottom w:val="none" w:sz="0" w:space="0" w:color="auto"/>
        <w:right w:val="none" w:sz="0" w:space="0" w:color="auto"/>
      </w:divBdr>
      <w:divsChild>
        <w:div w:id="1998266651">
          <w:marLeft w:val="0"/>
          <w:marRight w:val="0"/>
          <w:marTop w:val="0"/>
          <w:marBottom w:val="0"/>
          <w:divBdr>
            <w:top w:val="none" w:sz="0" w:space="0" w:color="auto"/>
            <w:left w:val="none" w:sz="0" w:space="0" w:color="auto"/>
            <w:bottom w:val="none" w:sz="0" w:space="0" w:color="auto"/>
            <w:right w:val="none" w:sz="0" w:space="0" w:color="auto"/>
          </w:divBdr>
          <w:divsChild>
            <w:div w:id="120542093">
              <w:marLeft w:val="0"/>
              <w:marRight w:val="0"/>
              <w:marTop w:val="0"/>
              <w:marBottom w:val="0"/>
              <w:divBdr>
                <w:top w:val="none" w:sz="0" w:space="0" w:color="auto"/>
                <w:left w:val="none" w:sz="0" w:space="0" w:color="auto"/>
                <w:bottom w:val="none" w:sz="0" w:space="0" w:color="auto"/>
                <w:right w:val="none" w:sz="0" w:space="0" w:color="auto"/>
              </w:divBdr>
              <w:divsChild>
                <w:div w:id="1853491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837413">
      <w:bodyDiv w:val="1"/>
      <w:marLeft w:val="0"/>
      <w:marRight w:val="0"/>
      <w:marTop w:val="0"/>
      <w:marBottom w:val="0"/>
      <w:divBdr>
        <w:top w:val="none" w:sz="0" w:space="0" w:color="auto"/>
        <w:left w:val="none" w:sz="0" w:space="0" w:color="auto"/>
        <w:bottom w:val="none" w:sz="0" w:space="0" w:color="auto"/>
        <w:right w:val="none" w:sz="0" w:space="0" w:color="auto"/>
      </w:divBdr>
    </w:div>
    <w:div w:id="755132644">
      <w:bodyDiv w:val="1"/>
      <w:marLeft w:val="0"/>
      <w:marRight w:val="0"/>
      <w:marTop w:val="0"/>
      <w:marBottom w:val="0"/>
      <w:divBdr>
        <w:top w:val="none" w:sz="0" w:space="0" w:color="auto"/>
        <w:left w:val="none" w:sz="0" w:space="0" w:color="auto"/>
        <w:bottom w:val="none" w:sz="0" w:space="0" w:color="auto"/>
        <w:right w:val="none" w:sz="0" w:space="0" w:color="auto"/>
      </w:divBdr>
      <w:divsChild>
        <w:div w:id="1234853315">
          <w:marLeft w:val="0"/>
          <w:marRight w:val="0"/>
          <w:marTop w:val="0"/>
          <w:marBottom w:val="0"/>
          <w:divBdr>
            <w:top w:val="none" w:sz="0" w:space="0" w:color="auto"/>
            <w:left w:val="none" w:sz="0" w:space="0" w:color="auto"/>
            <w:bottom w:val="none" w:sz="0" w:space="0" w:color="auto"/>
            <w:right w:val="none" w:sz="0" w:space="0" w:color="auto"/>
          </w:divBdr>
          <w:divsChild>
            <w:div w:id="281766978">
              <w:marLeft w:val="0"/>
              <w:marRight w:val="0"/>
              <w:marTop w:val="0"/>
              <w:marBottom w:val="0"/>
              <w:divBdr>
                <w:top w:val="none" w:sz="0" w:space="0" w:color="auto"/>
                <w:left w:val="none" w:sz="0" w:space="0" w:color="auto"/>
                <w:bottom w:val="none" w:sz="0" w:space="0" w:color="auto"/>
                <w:right w:val="none" w:sz="0" w:space="0" w:color="auto"/>
              </w:divBdr>
              <w:divsChild>
                <w:div w:id="66744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27956">
      <w:bodyDiv w:val="1"/>
      <w:marLeft w:val="0"/>
      <w:marRight w:val="0"/>
      <w:marTop w:val="0"/>
      <w:marBottom w:val="0"/>
      <w:divBdr>
        <w:top w:val="none" w:sz="0" w:space="0" w:color="auto"/>
        <w:left w:val="none" w:sz="0" w:space="0" w:color="auto"/>
        <w:bottom w:val="none" w:sz="0" w:space="0" w:color="auto"/>
        <w:right w:val="none" w:sz="0" w:space="0" w:color="auto"/>
      </w:divBdr>
    </w:div>
    <w:div w:id="782306085">
      <w:bodyDiv w:val="1"/>
      <w:marLeft w:val="0"/>
      <w:marRight w:val="0"/>
      <w:marTop w:val="0"/>
      <w:marBottom w:val="0"/>
      <w:divBdr>
        <w:top w:val="none" w:sz="0" w:space="0" w:color="auto"/>
        <w:left w:val="none" w:sz="0" w:space="0" w:color="auto"/>
        <w:bottom w:val="none" w:sz="0" w:space="0" w:color="auto"/>
        <w:right w:val="none" w:sz="0" w:space="0" w:color="auto"/>
      </w:divBdr>
    </w:div>
    <w:div w:id="841899109">
      <w:bodyDiv w:val="1"/>
      <w:marLeft w:val="0"/>
      <w:marRight w:val="0"/>
      <w:marTop w:val="0"/>
      <w:marBottom w:val="0"/>
      <w:divBdr>
        <w:top w:val="none" w:sz="0" w:space="0" w:color="auto"/>
        <w:left w:val="none" w:sz="0" w:space="0" w:color="auto"/>
        <w:bottom w:val="none" w:sz="0" w:space="0" w:color="auto"/>
        <w:right w:val="none" w:sz="0" w:space="0" w:color="auto"/>
      </w:divBdr>
    </w:div>
    <w:div w:id="906844603">
      <w:bodyDiv w:val="1"/>
      <w:marLeft w:val="0"/>
      <w:marRight w:val="0"/>
      <w:marTop w:val="0"/>
      <w:marBottom w:val="0"/>
      <w:divBdr>
        <w:top w:val="none" w:sz="0" w:space="0" w:color="auto"/>
        <w:left w:val="none" w:sz="0" w:space="0" w:color="auto"/>
        <w:bottom w:val="none" w:sz="0" w:space="0" w:color="auto"/>
        <w:right w:val="none" w:sz="0" w:space="0" w:color="auto"/>
      </w:divBdr>
    </w:div>
    <w:div w:id="922567737">
      <w:bodyDiv w:val="1"/>
      <w:marLeft w:val="0"/>
      <w:marRight w:val="0"/>
      <w:marTop w:val="0"/>
      <w:marBottom w:val="0"/>
      <w:divBdr>
        <w:top w:val="none" w:sz="0" w:space="0" w:color="auto"/>
        <w:left w:val="none" w:sz="0" w:space="0" w:color="auto"/>
        <w:bottom w:val="none" w:sz="0" w:space="0" w:color="auto"/>
        <w:right w:val="none" w:sz="0" w:space="0" w:color="auto"/>
      </w:divBdr>
    </w:div>
    <w:div w:id="993685312">
      <w:bodyDiv w:val="1"/>
      <w:marLeft w:val="0"/>
      <w:marRight w:val="0"/>
      <w:marTop w:val="0"/>
      <w:marBottom w:val="0"/>
      <w:divBdr>
        <w:top w:val="none" w:sz="0" w:space="0" w:color="auto"/>
        <w:left w:val="none" w:sz="0" w:space="0" w:color="auto"/>
        <w:bottom w:val="none" w:sz="0" w:space="0" w:color="auto"/>
        <w:right w:val="none" w:sz="0" w:space="0" w:color="auto"/>
      </w:divBdr>
    </w:div>
    <w:div w:id="993948270">
      <w:bodyDiv w:val="1"/>
      <w:marLeft w:val="0"/>
      <w:marRight w:val="0"/>
      <w:marTop w:val="0"/>
      <w:marBottom w:val="0"/>
      <w:divBdr>
        <w:top w:val="none" w:sz="0" w:space="0" w:color="auto"/>
        <w:left w:val="none" w:sz="0" w:space="0" w:color="auto"/>
        <w:bottom w:val="none" w:sz="0" w:space="0" w:color="auto"/>
        <w:right w:val="none" w:sz="0" w:space="0" w:color="auto"/>
      </w:divBdr>
    </w:div>
    <w:div w:id="1035348113">
      <w:bodyDiv w:val="1"/>
      <w:marLeft w:val="0"/>
      <w:marRight w:val="0"/>
      <w:marTop w:val="0"/>
      <w:marBottom w:val="0"/>
      <w:divBdr>
        <w:top w:val="none" w:sz="0" w:space="0" w:color="auto"/>
        <w:left w:val="none" w:sz="0" w:space="0" w:color="auto"/>
        <w:bottom w:val="none" w:sz="0" w:space="0" w:color="auto"/>
        <w:right w:val="none" w:sz="0" w:space="0" w:color="auto"/>
      </w:divBdr>
    </w:div>
    <w:div w:id="1039204421">
      <w:bodyDiv w:val="1"/>
      <w:marLeft w:val="0"/>
      <w:marRight w:val="0"/>
      <w:marTop w:val="0"/>
      <w:marBottom w:val="0"/>
      <w:divBdr>
        <w:top w:val="none" w:sz="0" w:space="0" w:color="auto"/>
        <w:left w:val="none" w:sz="0" w:space="0" w:color="auto"/>
        <w:bottom w:val="none" w:sz="0" w:space="0" w:color="auto"/>
        <w:right w:val="none" w:sz="0" w:space="0" w:color="auto"/>
      </w:divBdr>
    </w:div>
    <w:div w:id="1096370095">
      <w:bodyDiv w:val="1"/>
      <w:marLeft w:val="0"/>
      <w:marRight w:val="0"/>
      <w:marTop w:val="0"/>
      <w:marBottom w:val="0"/>
      <w:divBdr>
        <w:top w:val="none" w:sz="0" w:space="0" w:color="auto"/>
        <w:left w:val="none" w:sz="0" w:space="0" w:color="auto"/>
        <w:bottom w:val="none" w:sz="0" w:space="0" w:color="auto"/>
        <w:right w:val="none" w:sz="0" w:space="0" w:color="auto"/>
      </w:divBdr>
    </w:div>
    <w:div w:id="1119570109">
      <w:bodyDiv w:val="1"/>
      <w:marLeft w:val="0"/>
      <w:marRight w:val="0"/>
      <w:marTop w:val="0"/>
      <w:marBottom w:val="0"/>
      <w:divBdr>
        <w:top w:val="none" w:sz="0" w:space="0" w:color="auto"/>
        <w:left w:val="none" w:sz="0" w:space="0" w:color="auto"/>
        <w:bottom w:val="none" w:sz="0" w:space="0" w:color="auto"/>
        <w:right w:val="none" w:sz="0" w:space="0" w:color="auto"/>
      </w:divBdr>
    </w:div>
    <w:div w:id="1124739659">
      <w:bodyDiv w:val="1"/>
      <w:marLeft w:val="0"/>
      <w:marRight w:val="0"/>
      <w:marTop w:val="0"/>
      <w:marBottom w:val="0"/>
      <w:divBdr>
        <w:top w:val="none" w:sz="0" w:space="0" w:color="auto"/>
        <w:left w:val="none" w:sz="0" w:space="0" w:color="auto"/>
        <w:bottom w:val="none" w:sz="0" w:space="0" w:color="auto"/>
        <w:right w:val="none" w:sz="0" w:space="0" w:color="auto"/>
      </w:divBdr>
    </w:div>
    <w:div w:id="1150947730">
      <w:bodyDiv w:val="1"/>
      <w:marLeft w:val="0"/>
      <w:marRight w:val="0"/>
      <w:marTop w:val="0"/>
      <w:marBottom w:val="0"/>
      <w:divBdr>
        <w:top w:val="none" w:sz="0" w:space="0" w:color="auto"/>
        <w:left w:val="none" w:sz="0" w:space="0" w:color="auto"/>
        <w:bottom w:val="none" w:sz="0" w:space="0" w:color="auto"/>
        <w:right w:val="none" w:sz="0" w:space="0" w:color="auto"/>
      </w:divBdr>
    </w:div>
    <w:div w:id="1199973916">
      <w:bodyDiv w:val="1"/>
      <w:marLeft w:val="0"/>
      <w:marRight w:val="0"/>
      <w:marTop w:val="0"/>
      <w:marBottom w:val="0"/>
      <w:divBdr>
        <w:top w:val="none" w:sz="0" w:space="0" w:color="auto"/>
        <w:left w:val="none" w:sz="0" w:space="0" w:color="auto"/>
        <w:bottom w:val="none" w:sz="0" w:space="0" w:color="auto"/>
        <w:right w:val="none" w:sz="0" w:space="0" w:color="auto"/>
      </w:divBdr>
    </w:div>
    <w:div w:id="1291012332">
      <w:bodyDiv w:val="1"/>
      <w:marLeft w:val="0"/>
      <w:marRight w:val="0"/>
      <w:marTop w:val="0"/>
      <w:marBottom w:val="0"/>
      <w:divBdr>
        <w:top w:val="none" w:sz="0" w:space="0" w:color="auto"/>
        <w:left w:val="none" w:sz="0" w:space="0" w:color="auto"/>
        <w:bottom w:val="none" w:sz="0" w:space="0" w:color="auto"/>
        <w:right w:val="none" w:sz="0" w:space="0" w:color="auto"/>
      </w:divBdr>
      <w:divsChild>
        <w:div w:id="392627879">
          <w:marLeft w:val="0"/>
          <w:marRight w:val="0"/>
          <w:marTop w:val="0"/>
          <w:marBottom w:val="0"/>
          <w:divBdr>
            <w:top w:val="none" w:sz="0" w:space="0" w:color="auto"/>
            <w:left w:val="none" w:sz="0" w:space="0" w:color="auto"/>
            <w:bottom w:val="none" w:sz="0" w:space="0" w:color="auto"/>
            <w:right w:val="none" w:sz="0" w:space="0" w:color="auto"/>
          </w:divBdr>
          <w:divsChild>
            <w:div w:id="2079786999">
              <w:marLeft w:val="0"/>
              <w:marRight w:val="0"/>
              <w:marTop w:val="0"/>
              <w:marBottom w:val="0"/>
              <w:divBdr>
                <w:top w:val="none" w:sz="0" w:space="0" w:color="auto"/>
                <w:left w:val="none" w:sz="0" w:space="0" w:color="auto"/>
                <w:bottom w:val="none" w:sz="0" w:space="0" w:color="auto"/>
                <w:right w:val="none" w:sz="0" w:space="0" w:color="auto"/>
              </w:divBdr>
              <w:divsChild>
                <w:div w:id="111864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356796">
      <w:bodyDiv w:val="1"/>
      <w:marLeft w:val="0"/>
      <w:marRight w:val="0"/>
      <w:marTop w:val="0"/>
      <w:marBottom w:val="0"/>
      <w:divBdr>
        <w:top w:val="none" w:sz="0" w:space="0" w:color="auto"/>
        <w:left w:val="none" w:sz="0" w:space="0" w:color="auto"/>
        <w:bottom w:val="none" w:sz="0" w:space="0" w:color="auto"/>
        <w:right w:val="none" w:sz="0" w:space="0" w:color="auto"/>
      </w:divBdr>
    </w:div>
    <w:div w:id="1314338348">
      <w:bodyDiv w:val="1"/>
      <w:marLeft w:val="0"/>
      <w:marRight w:val="0"/>
      <w:marTop w:val="0"/>
      <w:marBottom w:val="0"/>
      <w:divBdr>
        <w:top w:val="none" w:sz="0" w:space="0" w:color="auto"/>
        <w:left w:val="none" w:sz="0" w:space="0" w:color="auto"/>
        <w:bottom w:val="none" w:sz="0" w:space="0" w:color="auto"/>
        <w:right w:val="none" w:sz="0" w:space="0" w:color="auto"/>
      </w:divBdr>
    </w:div>
    <w:div w:id="1366901707">
      <w:bodyDiv w:val="1"/>
      <w:marLeft w:val="0"/>
      <w:marRight w:val="0"/>
      <w:marTop w:val="0"/>
      <w:marBottom w:val="0"/>
      <w:divBdr>
        <w:top w:val="none" w:sz="0" w:space="0" w:color="auto"/>
        <w:left w:val="none" w:sz="0" w:space="0" w:color="auto"/>
        <w:bottom w:val="none" w:sz="0" w:space="0" w:color="auto"/>
        <w:right w:val="none" w:sz="0" w:space="0" w:color="auto"/>
      </w:divBdr>
    </w:div>
    <w:div w:id="1372924081">
      <w:bodyDiv w:val="1"/>
      <w:marLeft w:val="0"/>
      <w:marRight w:val="0"/>
      <w:marTop w:val="0"/>
      <w:marBottom w:val="0"/>
      <w:divBdr>
        <w:top w:val="none" w:sz="0" w:space="0" w:color="auto"/>
        <w:left w:val="none" w:sz="0" w:space="0" w:color="auto"/>
        <w:bottom w:val="none" w:sz="0" w:space="0" w:color="auto"/>
        <w:right w:val="none" w:sz="0" w:space="0" w:color="auto"/>
      </w:divBdr>
    </w:div>
    <w:div w:id="1507402900">
      <w:bodyDiv w:val="1"/>
      <w:marLeft w:val="0"/>
      <w:marRight w:val="0"/>
      <w:marTop w:val="0"/>
      <w:marBottom w:val="0"/>
      <w:divBdr>
        <w:top w:val="none" w:sz="0" w:space="0" w:color="auto"/>
        <w:left w:val="none" w:sz="0" w:space="0" w:color="auto"/>
        <w:bottom w:val="none" w:sz="0" w:space="0" w:color="auto"/>
        <w:right w:val="none" w:sz="0" w:space="0" w:color="auto"/>
      </w:divBdr>
    </w:div>
    <w:div w:id="1574316509">
      <w:bodyDiv w:val="1"/>
      <w:marLeft w:val="0"/>
      <w:marRight w:val="0"/>
      <w:marTop w:val="0"/>
      <w:marBottom w:val="0"/>
      <w:divBdr>
        <w:top w:val="none" w:sz="0" w:space="0" w:color="auto"/>
        <w:left w:val="none" w:sz="0" w:space="0" w:color="auto"/>
        <w:bottom w:val="none" w:sz="0" w:space="0" w:color="auto"/>
        <w:right w:val="none" w:sz="0" w:space="0" w:color="auto"/>
      </w:divBdr>
    </w:div>
    <w:div w:id="1652564385">
      <w:bodyDiv w:val="1"/>
      <w:marLeft w:val="0"/>
      <w:marRight w:val="0"/>
      <w:marTop w:val="0"/>
      <w:marBottom w:val="0"/>
      <w:divBdr>
        <w:top w:val="none" w:sz="0" w:space="0" w:color="auto"/>
        <w:left w:val="none" w:sz="0" w:space="0" w:color="auto"/>
        <w:bottom w:val="none" w:sz="0" w:space="0" w:color="auto"/>
        <w:right w:val="none" w:sz="0" w:space="0" w:color="auto"/>
      </w:divBdr>
    </w:div>
    <w:div w:id="1685277931">
      <w:bodyDiv w:val="1"/>
      <w:marLeft w:val="0"/>
      <w:marRight w:val="0"/>
      <w:marTop w:val="0"/>
      <w:marBottom w:val="0"/>
      <w:divBdr>
        <w:top w:val="none" w:sz="0" w:space="0" w:color="auto"/>
        <w:left w:val="none" w:sz="0" w:space="0" w:color="auto"/>
        <w:bottom w:val="none" w:sz="0" w:space="0" w:color="auto"/>
        <w:right w:val="none" w:sz="0" w:space="0" w:color="auto"/>
      </w:divBdr>
    </w:div>
    <w:div w:id="1709985716">
      <w:bodyDiv w:val="1"/>
      <w:marLeft w:val="0"/>
      <w:marRight w:val="0"/>
      <w:marTop w:val="0"/>
      <w:marBottom w:val="0"/>
      <w:divBdr>
        <w:top w:val="none" w:sz="0" w:space="0" w:color="auto"/>
        <w:left w:val="none" w:sz="0" w:space="0" w:color="auto"/>
        <w:bottom w:val="none" w:sz="0" w:space="0" w:color="auto"/>
        <w:right w:val="none" w:sz="0" w:space="0" w:color="auto"/>
      </w:divBdr>
    </w:div>
    <w:div w:id="1723745346">
      <w:bodyDiv w:val="1"/>
      <w:marLeft w:val="0"/>
      <w:marRight w:val="0"/>
      <w:marTop w:val="0"/>
      <w:marBottom w:val="0"/>
      <w:divBdr>
        <w:top w:val="none" w:sz="0" w:space="0" w:color="auto"/>
        <w:left w:val="none" w:sz="0" w:space="0" w:color="auto"/>
        <w:bottom w:val="none" w:sz="0" w:space="0" w:color="auto"/>
        <w:right w:val="none" w:sz="0" w:space="0" w:color="auto"/>
      </w:divBdr>
    </w:div>
    <w:div w:id="1739669338">
      <w:bodyDiv w:val="1"/>
      <w:marLeft w:val="0"/>
      <w:marRight w:val="0"/>
      <w:marTop w:val="0"/>
      <w:marBottom w:val="0"/>
      <w:divBdr>
        <w:top w:val="none" w:sz="0" w:space="0" w:color="auto"/>
        <w:left w:val="none" w:sz="0" w:space="0" w:color="auto"/>
        <w:bottom w:val="none" w:sz="0" w:space="0" w:color="auto"/>
        <w:right w:val="none" w:sz="0" w:space="0" w:color="auto"/>
      </w:divBdr>
    </w:div>
    <w:div w:id="1790775425">
      <w:bodyDiv w:val="1"/>
      <w:marLeft w:val="0"/>
      <w:marRight w:val="0"/>
      <w:marTop w:val="0"/>
      <w:marBottom w:val="0"/>
      <w:divBdr>
        <w:top w:val="none" w:sz="0" w:space="0" w:color="auto"/>
        <w:left w:val="none" w:sz="0" w:space="0" w:color="auto"/>
        <w:bottom w:val="none" w:sz="0" w:space="0" w:color="auto"/>
        <w:right w:val="none" w:sz="0" w:space="0" w:color="auto"/>
      </w:divBdr>
    </w:div>
    <w:div w:id="1881286822">
      <w:bodyDiv w:val="1"/>
      <w:marLeft w:val="0"/>
      <w:marRight w:val="0"/>
      <w:marTop w:val="0"/>
      <w:marBottom w:val="0"/>
      <w:divBdr>
        <w:top w:val="none" w:sz="0" w:space="0" w:color="auto"/>
        <w:left w:val="none" w:sz="0" w:space="0" w:color="auto"/>
        <w:bottom w:val="none" w:sz="0" w:space="0" w:color="auto"/>
        <w:right w:val="none" w:sz="0" w:space="0" w:color="auto"/>
      </w:divBdr>
    </w:div>
    <w:div w:id="1894727184">
      <w:bodyDiv w:val="1"/>
      <w:marLeft w:val="0"/>
      <w:marRight w:val="0"/>
      <w:marTop w:val="0"/>
      <w:marBottom w:val="0"/>
      <w:divBdr>
        <w:top w:val="none" w:sz="0" w:space="0" w:color="auto"/>
        <w:left w:val="none" w:sz="0" w:space="0" w:color="auto"/>
        <w:bottom w:val="none" w:sz="0" w:space="0" w:color="auto"/>
        <w:right w:val="none" w:sz="0" w:space="0" w:color="auto"/>
      </w:divBdr>
    </w:div>
    <w:div w:id="1897623087">
      <w:bodyDiv w:val="1"/>
      <w:marLeft w:val="0"/>
      <w:marRight w:val="0"/>
      <w:marTop w:val="0"/>
      <w:marBottom w:val="0"/>
      <w:divBdr>
        <w:top w:val="none" w:sz="0" w:space="0" w:color="auto"/>
        <w:left w:val="none" w:sz="0" w:space="0" w:color="auto"/>
        <w:bottom w:val="none" w:sz="0" w:space="0" w:color="auto"/>
        <w:right w:val="none" w:sz="0" w:space="0" w:color="auto"/>
      </w:divBdr>
    </w:div>
    <w:div w:id="2040622537">
      <w:bodyDiv w:val="1"/>
      <w:marLeft w:val="0"/>
      <w:marRight w:val="0"/>
      <w:marTop w:val="0"/>
      <w:marBottom w:val="0"/>
      <w:divBdr>
        <w:top w:val="none" w:sz="0" w:space="0" w:color="auto"/>
        <w:left w:val="none" w:sz="0" w:space="0" w:color="auto"/>
        <w:bottom w:val="none" w:sz="0" w:space="0" w:color="auto"/>
        <w:right w:val="none" w:sz="0" w:space="0" w:color="auto"/>
      </w:divBdr>
    </w:div>
    <w:div w:id="2042364813">
      <w:bodyDiv w:val="1"/>
      <w:marLeft w:val="0"/>
      <w:marRight w:val="0"/>
      <w:marTop w:val="0"/>
      <w:marBottom w:val="0"/>
      <w:divBdr>
        <w:top w:val="none" w:sz="0" w:space="0" w:color="auto"/>
        <w:left w:val="none" w:sz="0" w:space="0" w:color="auto"/>
        <w:bottom w:val="none" w:sz="0" w:space="0" w:color="auto"/>
        <w:right w:val="none" w:sz="0" w:space="0" w:color="auto"/>
      </w:divBdr>
    </w:div>
    <w:div w:id="2070221662">
      <w:bodyDiv w:val="1"/>
      <w:marLeft w:val="0"/>
      <w:marRight w:val="0"/>
      <w:marTop w:val="0"/>
      <w:marBottom w:val="0"/>
      <w:divBdr>
        <w:top w:val="none" w:sz="0" w:space="0" w:color="auto"/>
        <w:left w:val="none" w:sz="0" w:space="0" w:color="auto"/>
        <w:bottom w:val="none" w:sz="0" w:space="0" w:color="auto"/>
        <w:right w:val="none" w:sz="0" w:space="0" w:color="auto"/>
      </w:divBdr>
      <w:divsChild>
        <w:div w:id="1532257487">
          <w:marLeft w:val="0"/>
          <w:marRight w:val="0"/>
          <w:marTop w:val="0"/>
          <w:marBottom w:val="0"/>
          <w:divBdr>
            <w:top w:val="none" w:sz="0" w:space="0" w:color="auto"/>
            <w:left w:val="none" w:sz="0" w:space="0" w:color="auto"/>
            <w:bottom w:val="none" w:sz="0" w:space="0" w:color="auto"/>
            <w:right w:val="none" w:sz="0" w:space="0" w:color="auto"/>
          </w:divBdr>
          <w:divsChild>
            <w:div w:id="208614169">
              <w:marLeft w:val="0"/>
              <w:marRight w:val="0"/>
              <w:marTop w:val="0"/>
              <w:marBottom w:val="0"/>
              <w:divBdr>
                <w:top w:val="none" w:sz="0" w:space="0" w:color="auto"/>
                <w:left w:val="none" w:sz="0" w:space="0" w:color="auto"/>
                <w:bottom w:val="none" w:sz="0" w:space="0" w:color="auto"/>
                <w:right w:val="none" w:sz="0" w:space="0" w:color="auto"/>
              </w:divBdr>
              <w:divsChild>
                <w:div w:id="91366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988921">
      <w:bodyDiv w:val="1"/>
      <w:marLeft w:val="0"/>
      <w:marRight w:val="0"/>
      <w:marTop w:val="0"/>
      <w:marBottom w:val="0"/>
      <w:divBdr>
        <w:top w:val="none" w:sz="0" w:space="0" w:color="auto"/>
        <w:left w:val="none" w:sz="0" w:space="0" w:color="auto"/>
        <w:bottom w:val="none" w:sz="0" w:space="0" w:color="auto"/>
        <w:right w:val="none" w:sz="0" w:space="0" w:color="auto"/>
      </w:divBdr>
    </w:div>
    <w:div w:id="2108842981">
      <w:bodyDiv w:val="1"/>
      <w:marLeft w:val="0"/>
      <w:marRight w:val="0"/>
      <w:marTop w:val="0"/>
      <w:marBottom w:val="0"/>
      <w:divBdr>
        <w:top w:val="none" w:sz="0" w:space="0" w:color="auto"/>
        <w:left w:val="none" w:sz="0" w:space="0" w:color="auto"/>
        <w:bottom w:val="none" w:sz="0" w:space="0" w:color="auto"/>
        <w:right w:val="none" w:sz="0" w:space="0" w:color="auto"/>
      </w:divBdr>
    </w:div>
    <w:div w:id="212330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134</TotalTime>
  <Pages>9</Pages>
  <Words>92303</Words>
  <Characters>527051</Characters>
  <Application>Microsoft Office Word</Application>
  <DocSecurity>0</DocSecurity>
  <Lines>9411</Lines>
  <Paragraphs>2158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Yingxi Zhao</dc:creator>
  <cp:keywords/>
  <dc:description/>
  <cp:lastModifiedBy>Yingxi Zhao</cp:lastModifiedBy>
  <cp:revision>269</cp:revision>
  <dcterms:created xsi:type="dcterms:W3CDTF">2020-09-05T22:06:00Z</dcterms:created>
  <dcterms:modified xsi:type="dcterms:W3CDTF">2020-12-15T20:32:00Z</dcterms:modified>
</cp:coreProperties>
</file>