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06578" w14:textId="3DDB4DEA" w:rsidR="003E6A5B" w:rsidRPr="00EF0990" w:rsidRDefault="0034372F" w:rsidP="003E6A5B">
      <w:pPr>
        <w:pStyle w:val="Heading2"/>
        <w:spacing w:before="0"/>
        <w:rPr>
          <w:bCs/>
        </w:rPr>
      </w:pPr>
      <w:bookmarkStart w:id="0" w:name="_Toc66786531"/>
      <w:r>
        <w:t>Appendix 1. Scoping review appendix</w:t>
      </w:r>
      <w:bookmarkEnd w:id="0"/>
    </w:p>
    <w:p w14:paraId="2C8194AC" w14:textId="11002106" w:rsidR="003E6A5B" w:rsidRDefault="003E6A5B" w:rsidP="003E6A5B">
      <w:r>
        <w:t xml:space="preserve">We followed the five steps of Arksey and O’Malley method </w:t>
      </w:r>
      <w:r>
        <w:fldChar w:fldCharType="begin"/>
      </w:r>
      <w:r w:rsidR="00CA6949">
        <w:instrText xml:space="preserve"> ADDIN ZOTERO_ITEM CSL_CITATION {"citationID":"1m2jvCrT","properties":{"formattedCitation":"(1)","plainCitation":"(1)","noteIndex":0},"citationItems":[{"id":18,"uris":["http://zotero.org/users/4975241/items/ZZ9KIQME"],"uri":["http://zotero.org/users/4975241/items/ZZ9KIQME"],"itemData":{"id":18,"type":"article-journal","abstract":"This paper focuses on scoping studies, an approach to reviewing the literature which to date has received little attention in the research methods literature. We distinguish between different types of scoping studies and indicate where these stand in relation to full systematic reviews. We outline a framework for conducting a scoping study based on our recent experiences of reviewing the literature on services for carers for people with mental health problems. Where appropriate, our approach to scoping the field is contrasted with the procedures followed in systematic reviews. We emphasize how including a consultation exercise in this sort of study may enhance the results, making them more useful to policy makers, practitioners and service users. Finally, we consider the advantages and limitations of the approach and suggest that a wider debate is called for about the role of the scoping study in relation to other types of literature reviews.","container-title":"International Journal of Social Research Methodology","DOI":"10.1080/1364557032000119616","ISSN":"1364-5579","issue":"1","note":"publisher: Routledge\n_eprint: https://doi.org/10.1080/1364557032000119616","page":"19-32","source":"Taylor and Francis+NEJM","title":"Scoping studies: towards a methodological framework","title-short":"Scoping studies","volume":"8","author":[{"family":"Arksey","given":"Hilary"},{"family":"O'Malley","given":"Lisa"}],"issued":{"date-parts":[["2005",2,1]]}}}],"schema":"https://github.com/citation-style-language/schema/raw/master/csl-citation.json"} </w:instrText>
      </w:r>
      <w:r>
        <w:fldChar w:fldCharType="separate"/>
      </w:r>
      <w:r w:rsidR="00CA6949">
        <w:rPr>
          <w:rFonts w:ascii="Calibri" w:cs="Calibri"/>
        </w:rPr>
        <w:t>(1)</w:t>
      </w:r>
      <w:r>
        <w:fldChar w:fldCharType="end"/>
      </w:r>
      <w:r>
        <w:t xml:space="preserve"> for scoping review to identify the </w:t>
      </w:r>
      <w:r w:rsidR="00CA6949">
        <w:t>research evidence on task shifting</w:t>
      </w:r>
      <w:r w:rsidR="0004024E">
        <w:t>/sharing</w:t>
      </w:r>
      <w:r w:rsidR="00CA6949">
        <w:t xml:space="preserve"> for child and adolescent health</w:t>
      </w:r>
      <w:r>
        <w:t xml:space="preserve">. </w:t>
      </w:r>
    </w:p>
    <w:p w14:paraId="0231496E" w14:textId="77777777" w:rsidR="003E6A5B" w:rsidRDefault="003E6A5B" w:rsidP="003E6A5B"/>
    <w:p w14:paraId="37DAA441" w14:textId="77777777" w:rsidR="003E6A5B" w:rsidRPr="0091398C" w:rsidRDefault="003E6A5B" w:rsidP="003E6A5B">
      <w:pPr>
        <w:pStyle w:val="Heading3"/>
        <w:spacing w:before="0"/>
      </w:pPr>
      <w:bookmarkStart w:id="1" w:name="_Toc66786532"/>
      <w:r w:rsidRPr="0091398C">
        <w:t>Identifying the initial research questions</w:t>
      </w:r>
      <w:bookmarkEnd w:id="1"/>
    </w:p>
    <w:p w14:paraId="246C2990" w14:textId="7FC33F5E" w:rsidR="006B4B29" w:rsidRDefault="003E6A5B" w:rsidP="003E6A5B">
      <w:r w:rsidRPr="005412B7">
        <w:t>To guide the search strategy</w:t>
      </w:r>
      <w:r>
        <w:t xml:space="preserve"> </w:t>
      </w:r>
      <w:r w:rsidRPr="005412B7">
        <w:t xml:space="preserve">and ensure that a broad range of literature was captured, </w:t>
      </w:r>
      <w:r>
        <w:t>our</w:t>
      </w:r>
      <w:r w:rsidRPr="005412B7">
        <w:t xml:space="preserve"> research question</w:t>
      </w:r>
      <w:r>
        <w:t xml:space="preserve"> was</w:t>
      </w:r>
      <w:r w:rsidRPr="005412B7">
        <w:t>: </w:t>
      </w:r>
      <w:r>
        <w:t>“What are the</w:t>
      </w:r>
      <w:r w:rsidRPr="009801AC">
        <w:t xml:space="preserve"> </w:t>
      </w:r>
      <w:r w:rsidR="006B4B29">
        <w:t xml:space="preserve">design and practice of task </w:t>
      </w:r>
      <w:r w:rsidR="006B4B29" w:rsidRPr="006B4B29">
        <w:t>shifting</w:t>
      </w:r>
      <w:r w:rsidR="0004024E">
        <w:t>/sharing</w:t>
      </w:r>
      <w:r w:rsidR="006B4B29" w:rsidRPr="006B4B29">
        <w:t xml:space="preserve"> for child and adolescent health in low- and middle-income countries (LMICs)</w:t>
      </w:r>
      <w:r w:rsidR="006B4B29">
        <w:t>?”.</w:t>
      </w:r>
      <w:r w:rsidR="006B4B29" w:rsidRPr="006B4B29">
        <w:t xml:space="preserve"> </w:t>
      </w:r>
      <w:r w:rsidR="006B4B29">
        <w:t>We are specifically interested in</w:t>
      </w:r>
      <w:r w:rsidR="006B4B29" w:rsidRPr="006B4B29">
        <w:t xml:space="preserve"> besides acute care (e.g. as targeted in Integrated Management of Childhood Illness, IMCIs</w:t>
      </w:r>
      <w:r w:rsidR="00450FDC">
        <w:t>, HIV/AIDS</w:t>
      </w:r>
      <w:r w:rsidR="006B4B29" w:rsidRPr="006B4B29">
        <w:t xml:space="preserve">), </w:t>
      </w:r>
      <w:r w:rsidR="006B4B29">
        <w:t>how task shifting</w:t>
      </w:r>
      <w:r w:rsidR="0004024E">
        <w:t>/sharing</w:t>
      </w:r>
      <w:r w:rsidR="006B4B29" w:rsidRPr="006B4B29">
        <w:t xml:space="preserve"> may support an expanded set of services as these are redesigned to meet the needs of previously neglected age or illness groups</w:t>
      </w:r>
      <w:r w:rsidR="006B4B29">
        <w:t>.</w:t>
      </w:r>
      <w:r w:rsidR="00001DA0">
        <w:t xml:space="preserve"> We defined task shifting in line with WHO as “</w:t>
      </w:r>
      <w:r w:rsidR="00001DA0" w:rsidRPr="00001DA0">
        <w:t>the rational redistribution of tasks among health workforce teams. Specific tasks are moved, where appropriate, from highly qualified health workers to health workers with shorter training and fewer qualifications in order to make more efficient use of the available human resources for health”</w:t>
      </w:r>
      <w:r w:rsidR="00001DA0">
        <w:t xml:space="preserve"> </w:t>
      </w:r>
      <w:r w:rsidR="00001DA0">
        <w:fldChar w:fldCharType="begin"/>
      </w:r>
      <w:r w:rsidR="00001DA0">
        <w:instrText xml:space="preserve"> ADDIN ZOTERO_ITEM CSL_CITATION {"citationID":"ltSqBE7x","properties":{"formattedCitation":"(2)","plainCitation":"(2)","noteIndex":0},"citationItems":[{"id":44,"uris":["http://zotero.org/users/4975241/items/H9AJKFW9"],"uri":["http://zotero.org/users/4975241/items/H9AJKFW9"],"itemData":{"id":44,"type":"webpage","container-title":"WHO","note":"source: www.who.int\npublisher: World Health Organization","title":"WHO | Task shifting: global recommendations and guidelines","title-short":"WHO | Task shifting","URL":"https://www.who.int/workforcealliance/knowledge/resources/taskshifting_guidelines/en/","accessed":{"date-parts":[["2020",5,15]]}}}],"schema":"https://github.com/citation-style-language/schema/raw/master/csl-citation.json"} </w:instrText>
      </w:r>
      <w:r w:rsidR="00001DA0">
        <w:fldChar w:fldCharType="separate"/>
      </w:r>
      <w:r w:rsidR="00001DA0">
        <w:rPr>
          <w:noProof/>
        </w:rPr>
        <w:t>(2)</w:t>
      </w:r>
      <w:r w:rsidR="00001DA0">
        <w:fldChar w:fldCharType="end"/>
      </w:r>
      <w:r w:rsidR="00001DA0">
        <w:t xml:space="preserve">. We defined child and adolescent as population aged between 0 and 19 also align with WHO </w:t>
      </w:r>
      <w:r w:rsidR="00001DA0">
        <w:fldChar w:fldCharType="begin"/>
      </w:r>
      <w:r w:rsidR="00001DA0">
        <w:instrText xml:space="preserve"> ADDIN ZOTERO_ITEM CSL_CITATION {"citationID":"naONgunW","properties":{"formattedCitation":"(3)","plainCitation":"(3)","noteIndex":0},"citationItems":[{"id":11,"uris":["http://zotero.org/users/4975241/items/I8I8XMJP"],"uri":["http://zotero.org/users/4975241/items/I8I8XMJP"],"itemData":{"id":11,"type":"webpage","container-title":"WHO","note":"source: www.who.int\npublisher: World Health Organization","title":"WHO | Definition of key terms","URL":"https://www.who.int/hiv/pub/guidelines/arv2013/intro/keyterms/en/","accessed":{"date-parts":[["2020",5,20]]}}}],"schema":"https://github.com/citation-style-language/schema/raw/master/csl-citation.json"} </w:instrText>
      </w:r>
      <w:r w:rsidR="00001DA0">
        <w:fldChar w:fldCharType="separate"/>
      </w:r>
      <w:r w:rsidR="00001DA0">
        <w:rPr>
          <w:noProof/>
        </w:rPr>
        <w:t>(3)</w:t>
      </w:r>
      <w:r w:rsidR="00001DA0">
        <w:fldChar w:fldCharType="end"/>
      </w:r>
      <w:r w:rsidR="00001DA0">
        <w:t xml:space="preserve">. </w:t>
      </w:r>
    </w:p>
    <w:p w14:paraId="6BE9A76E" w14:textId="77777777" w:rsidR="003E6A5B" w:rsidRDefault="003E6A5B" w:rsidP="003E6A5B"/>
    <w:p w14:paraId="7DC90E49" w14:textId="77777777" w:rsidR="003E6A5B" w:rsidRPr="00606962" w:rsidRDefault="003E6A5B" w:rsidP="003E6A5B">
      <w:pPr>
        <w:pStyle w:val="Heading3"/>
        <w:spacing w:before="0"/>
      </w:pPr>
      <w:bookmarkStart w:id="2" w:name="_Toc66786533"/>
      <w:r w:rsidRPr="00606962">
        <w:t>Identifying relevant studies</w:t>
      </w:r>
      <w:bookmarkEnd w:id="2"/>
    </w:p>
    <w:p w14:paraId="2535F2F1" w14:textId="4720FF49" w:rsidR="003E6A5B" w:rsidRDefault="003E6A5B" w:rsidP="003E6A5B">
      <w:r w:rsidRPr="005E22EA">
        <w:t xml:space="preserve">In consultation with an experienced librarian, we conducted a systematic search using </w:t>
      </w:r>
      <w:r w:rsidR="006B4B29" w:rsidRPr="006B4B29">
        <w:t>MEDLINE, Embase, Global Health, PsycINFO, CINAHL and the Cochrane Library</w:t>
      </w:r>
      <w:r w:rsidRPr="005E22EA">
        <w:t xml:space="preserve"> to obtain relevant articles. We included </w:t>
      </w:r>
      <w:r w:rsidR="006B4B29">
        <w:t>all kinds of study design</w:t>
      </w:r>
      <w:r>
        <w:t xml:space="preserve"> </w:t>
      </w:r>
      <w:r w:rsidRPr="005E22EA">
        <w:t>published</w:t>
      </w:r>
      <w:r w:rsidRPr="007C7202">
        <w:t xml:space="preserve"> </w:t>
      </w:r>
      <w:r w:rsidRPr="005E22EA">
        <w:t xml:space="preserve">between </w:t>
      </w:r>
      <w:r w:rsidR="006B4B29">
        <w:t>1990</w:t>
      </w:r>
      <w:r>
        <w:t>-</w:t>
      </w:r>
      <w:r w:rsidRPr="005E22EA">
        <w:t>2019 in English only</w:t>
      </w:r>
      <w:r>
        <w:t xml:space="preserve"> due to time and resource constraints</w:t>
      </w:r>
      <w:r w:rsidRPr="005E22EA">
        <w:t xml:space="preserve">. We combined keyword terms and phrases related to </w:t>
      </w:r>
      <w:r w:rsidR="006B4B29">
        <w:t>child and adolescent</w:t>
      </w:r>
      <w:r w:rsidRPr="005E22EA">
        <w:t xml:space="preserve"> (</w:t>
      </w:r>
      <w:r w:rsidR="006B4B29">
        <w:t xml:space="preserve">infant, newborn, paediatrics, </w:t>
      </w:r>
      <w:r w:rsidR="0041678D">
        <w:t>adolescent</w:t>
      </w:r>
      <w:r w:rsidR="00CA6949">
        <w:t>,</w:t>
      </w:r>
      <w:r w:rsidR="0041678D">
        <w:t xml:space="preserve"> </w:t>
      </w:r>
      <w:r w:rsidR="00C366BA">
        <w:t>etc.</w:t>
      </w:r>
      <w:r>
        <w:t xml:space="preserve">), </w:t>
      </w:r>
      <w:r w:rsidR="00CA6949">
        <w:t>task shifting</w:t>
      </w:r>
      <w:r w:rsidR="00254E59">
        <w:t>/sharing</w:t>
      </w:r>
      <w:r>
        <w:t xml:space="preserve"> </w:t>
      </w:r>
      <w:r w:rsidR="00001DA0">
        <w:t xml:space="preserve">and </w:t>
      </w:r>
      <w:r w:rsidR="00001DA0" w:rsidRPr="00001DA0">
        <w:t>different cadres commonly involved in task</w:t>
      </w:r>
      <w:r w:rsidR="00254E59">
        <w:t xml:space="preserve"> shifting/sharing</w:t>
      </w:r>
      <w:r w:rsidR="00001DA0" w:rsidRPr="00001DA0">
        <w:t xml:space="preserve"> </w:t>
      </w:r>
      <w:r>
        <w:t>(</w:t>
      </w:r>
      <w:r w:rsidR="00CA6949">
        <w:t>substitution, skill mix, advanced practice nurse, specialist nurse, non-physician clinician, clinical officer, assistant medical officer, etc.</w:t>
      </w:r>
      <w:r>
        <w:t>)</w:t>
      </w:r>
      <w:r w:rsidR="00CA6949">
        <w:t xml:space="preserve"> and the Cochrane low- and middle-income filter </w:t>
      </w:r>
      <w:r w:rsidR="00CA6949">
        <w:fldChar w:fldCharType="begin"/>
      </w:r>
      <w:r w:rsidR="00001DA0">
        <w:instrText xml:space="preserve"> ADDIN ZOTERO_ITEM CSL_CITATION {"citationID":"N24LAUv4","properties":{"formattedCitation":"(4)","plainCitation":"(4)","noteIndex":0},"citationItems":[{"id":3737,"uris":["http://zotero.org/users/4975241/items/XUWU45DD"],"uri":["http://zotero.org/users/4975241/items/XUWU45DD"],"itemData":{"id":3737,"type":"webpage","language":"en","title":"LMIC Filters","URL":"/lmic-filters","accessed":{"date-parts":[["2021",2,9]]}}}],"schema":"https://github.com/citation-style-language/schema/raw/master/csl-citation.json"} </w:instrText>
      </w:r>
      <w:r w:rsidR="00CA6949">
        <w:fldChar w:fldCharType="separate"/>
      </w:r>
      <w:r w:rsidR="00001DA0">
        <w:rPr>
          <w:noProof/>
        </w:rPr>
        <w:t>(4)</w:t>
      </w:r>
      <w:r w:rsidR="00CA6949">
        <w:fldChar w:fldCharType="end"/>
      </w:r>
      <w:r w:rsidR="00CA6949">
        <w:t xml:space="preserve">. </w:t>
      </w:r>
      <w:r>
        <w:t xml:space="preserve"> </w:t>
      </w:r>
      <w:r w:rsidR="00CA6949">
        <w:t>See eTable 1 for the example search strategy in Embase</w:t>
      </w:r>
      <w:r>
        <w:t>.</w:t>
      </w:r>
    </w:p>
    <w:p w14:paraId="21B5DB19" w14:textId="77777777" w:rsidR="003E6A5B" w:rsidRDefault="003E6A5B" w:rsidP="003E6A5B"/>
    <w:p w14:paraId="58A315DD" w14:textId="77777777" w:rsidR="003E6A5B" w:rsidRPr="00606962" w:rsidRDefault="003E6A5B" w:rsidP="003E6A5B">
      <w:pPr>
        <w:pStyle w:val="Heading3"/>
        <w:spacing w:before="0"/>
      </w:pPr>
      <w:bookmarkStart w:id="3" w:name="_Toc66786534"/>
      <w:r w:rsidRPr="00606962">
        <w:t>Study selection</w:t>
      </w:r>
      <w:bookmarkEnd w:id="3"/>
    </w:p>
    <w:p w14:paraId="712574F0" w14:textId="02FF175E" w:rsidR="00450FDC" w:rsidRDefault="00450FDC" w:rsidP="00450FDC">
      <w:r>
        <w:t>We included studies if they examined task-shifting/sharing of any preventive or curative service for conditions for children and adolescent, either as norm or as task</w:t>
      </w:r>
      <w:r w:rsidR="00254E59">
        <w:t xml:space="preserve"> </w:t>
      </w:r>
      <w:r>
        <w:t>shifting</w:t>
      </w:r>
      <w:r w:rsidR="00254E59">
        <w:t>/sharing</w:t>
      </w:r>
      <w:r>
        <w:t xml:space="preserve"> focused interventions; conducted in a health facility setting (district hospital, referral hospital, regional hospital or central hospital), or in primary care facility (health centre and clinic), or by professionals in community settings (e.g. nurses working in schools for treating post-traumatic stress disorder [PTSD]); in low- and middle-income countries.</w:t>
      </w:r>
    </w:p>
    <w:p w14:paraId="45040B81" w14:textId="77777777" w:rsidR="00450FDC" w:rsidRDefault="00450FDC" w:rsidP="00450FDC"/>
    <w:p w14:paraId="473A387E" w14:textId="4BA6E8D5" w:rsidR="00450FDC" w:rsidRDefault="00450FDC" w:rsidP="00450FDC">
      <w:r>
        <w:t>We excluded studies if they examined task</w:t>
      </w:r>
      <w:r w:rsidR="00254E59">
        <w:t xml:space="preserve"> </w:t>
      </w:r>
      <w:r>
        <w:t xml:space="preserve">shifting/sharing of any </w:t>
      </w:r>
      <w:r w:rsidR="0072155B">
        <w:t>s</w:t>
      </w:r>
      <w:r>
        <w:t>ervice not primarily for children and adolescent (e.g. PMTCT, obstetrics and delivery related, or adult only);</w:t>
      </w:r>
      <w:r w:rsidR="0072155B">
        <w:t xml:space="preserve"> dental services; </w:t>
      </w:r>
      <w:r>
        <w:t>performed completely by community health workers, lay health workers or patients</w:t>
      </w:r>
      <w:r w:rsidR="00465CFD">
        <w:t xml:space="preserve"> (</w:t>
      </w:r>
      <w:r w:rsidR="00465CFD" w:rsidRPr="00465CFD">
        <w:t>The reason for such exclusion is that there is already abundant evidence on CHWs and out of scope for our analysi</w:t>
      </w:r>
      <w:r w:rsidR="00465CFD">
        <w:t>s)</w:t>
      </w:r>
      <w:r>
        <w:t>; and care shifted to private pharmacies;</w:t>
      </w:r>
      <w:r w:rsidR="001B23C4">
        <w:t xml:space="preserve"> </w:t>
      </w:r>
      <w:r w:rsidR="00BD2E12" w:rsidRPr="00BD2E12">
        <w:t>task</w:t>
      </w:r>
      <w:r w:rsidR="001A3366">
        <w:t xml:space="preserve"> </w:t>
      </w:r>
      <w:r w:rsidR="00BD2E12" w:rsidRPr="00BD2E12">
        <w:t>shifting</w:t>
      </w:r>
      <w:r w:rsidR="001A3366">
        <w:t>/sharing</w:t>
      </w:r>
      <w:r w:rsidR="00BD2E12" w:rsidRPr="00BD2E12">
        <w:t xml:space="preserve"> that falls within the domain of specific professional training </w:t>
      </w:r>
      <w:r w:rsidR="00BD2E12">
        <w:t>(</w:t>
      </w:r>
      <w:r w:rsidR="00BD2E12" w:rsidRPr="00BD2E12">
        <w:t>e.g. a trainee paediatrician or surgeon taking on tasks of a fully qualified professional</w:t>
      </w:r>
      <w:r w:rsidR="00BD2E12">
        <w:t xml:space="preserve">); </w:t>
      </w:r>
      <w:r>
        <w:t>used new cadres to provide any service as part of an intervention but the primary focus of the study is not task shifting</w:t>
      </w:r>
      <w:r w:rsidR="001A3366">
        <w:t>/sharing</w:t>
      </w:r>
      <w:r>
        <w:t xml:space="preserve"> and did not aim to integrate task</w:t>
      </w:r>
      <w:r w:rsidR="001A3366">
        <w:t xml:space="preserve"> </w:t>
      </w:r>
      <w:r>
        <w:t>shifting</w:t>
      </w:r>
      <w:r w:rsidR="001A3366">
        <w:t>/sharing</w:t>
      </w:r>
      <w:r>
        <w:t xml:space="preserve"> as part of future routine care (e.g. training CO to screen hearing impairment to estimate its prevalence).</w:t>
      </w:r>
      <w:r w:rsidR="00BD2E12">
        <w:t xml:space="preserve"> </w:t>
      </w:r>
      <w:r>
        <w:t xml:space="preserve">We also </w:t>
      </w:r>
      <w:r>
        <w:lastRenderedPageBreak/>
        <w:t>excluded systematic reviews at the full-text stage but their references were checked for additional studies.</w:t>
      </w:r>
    </w:p>
    <w:p w14:paraId="1F961171" w14:textId="77777777" w:rsidR="00450FDC" w:rsidRDefault="00450FDC" w:rsidP="00450FDC"/>
    <w:p w14:paraId="43D8CEBB" w14:textId="249BC090" w:rsidR="00450FDC" w:rsidRDefault="00450FDC" w:rsidP="00450FDC">
      <w:r>
        <w:t xml:space="preserve">While we included services for acute care in our search </w:t>
      </w:r>
      <w:r w:rsidR="0072155B">
        <w:t xml:space="preserve">and selection </w:t>
      </w:r>
      <w:r>
        <w:t>(HIV/AIDS, malaria, tuberculosis, malnutrition, and other acute care targeted in IMCIs etc.), we did not examine them in detail.</w:t>
      </w:r>
    </w:p>
    <w:p w14:paraId="77327185" w14:textId="77777777" w:rsidR="003E6A5B" w:rsidRDefault="003E6A5B" w:rsidP="003E6A5B"/>
    <w:p w14:paraId="6539E257" w14:textId="7D874301" w:rsidR="003E6A5B" w:rsidRDefault="003E6A5B" w:rsidP="003E6A5B">
      <w:r>
        <w:t xml:space="preserve">After deduplication, we imported the citations into Abstrackr for initial title and abstract screening </w:t>
      </w:r>
      <w:r>
        <w:fldChar w:fldCharType="begin"/>
      </w:r>
      <w:r w:rsidR="00001DA0">
        <w:instrText xml:space="preserve"> ADDIN ZOTERO_ITEM CSL_CITATION {"citationID":"Gp2CaXqy","properties":{"formattedCitation":"(5)","plainCitation":"(5)","noteIndex":0},"citationItems":[{"id":2772,"uris":["http://zotero.org/users/4975241/items/I8RY3MDE"],"uri":["http://zotero.org/users/4975241/items/I8RY3MDE"],"itemData":{"id":2772,"type":"paper-conference","abstract":"Medical researchers looking for evidence pertinent to a specific clinical question must navigate an increasingly voluminous corpus of published literature. This data deluge has motivated the development of machine learning and data mining technologies to facilitate efficient biomedical research. Despite the obvious labor-saving potential of these technologies and the concomitant academic interest therein, however, adoption of machine learning techniques by medical researchers has been relatively sluggish. One explanation for this is that while many machine learning methods have been proposed and retrospectively evaluated, they are rarely (if ever) actually made accessible to the practitioners whom they would benefit. In this work, we describe the ongoing development of an end-to-end interactive machine learning system at the Tufts Evidence-based Practice Center. More specifically, we have developed abstrackr, an online tool for the task of citation screening for systematic reviews. This tool provides an interface to our machine learning methods. The main aim of this work is to provide a case study in deploying cutting-edge machine learning methods that will actually be used by experts in a clinical research setting.","collection-title":"IHI '12","container-title":"Proceedings of the 2nd ACM SIGHIT International Health Informatics Symposium","DOI":"10.1145/2110363.2110464","event-place":"New York, NY, USA","ISBN":"978-1-4503-0781-9","page":"819–824","publisher":"Association for Computing Machinery","publisher-place":"New York, NY, USA","source":"ACM Digital Library","title":"Deploying an interactive machine learning system in an evidence-based practice center: abstrackr","title-short":"Deploying an interactive machine learning system in an evidence-based practice center","URL":"https://doi.org/10.1145/2110363.2110464","author":[{"family":"Wallace","given":"Byron C."},{"family":"Small","given":"Kevin"},{"family":"Brodley","given":"Carla E."},{"family":"Lau","given":"Joseph"},{"family":"Trikalinos","given":"Thomas A."}],"accessed":{"date-parts":[["2020",9,9]]},"issued":{"date-parts":[["2012",1,28]]}}}],"schema":"https://github.com/citation-style-language/schema/raw/master/csl-citation.json"} </w:instrText>
      </w:r>
      <w:r>
        <w:fldChar w:fldCharType="separate"/>
      </w:r>
      <w:r w:rsidR="00001DA0">
        <w:rPr>
          <w:rFonts w:ascii="Calibri" w:cs="Calibri"/>
        </w:rPr>
        <w:t>(5)</w:t>
      </w:r>
      <w:r>
        <w:fldChar w:fldCharType="end"/>
      </w:r>
      <w:r>
        <w:t xml:space="preserve">. YZ reviewed all the titles and abstracts to assess eligibility for full-text review, and a random subset of 40% were reviewed by </w:t>
      </w:r>
      <w:r w:rsidR="008140CA">
        <w:t>CH</w:t>
      </w:r>
      <w:r>
        <w:t xml:space="preserve">. We used Gwet’s AC1 to assess agreement rate between reviewers, which is an agreement coefficient that perform better than Cohen’s Kappa when prevalence is low </w:t>
      </w:r>
      <w:r>
        <w:fldChar w:fldCharType="begin"/>
      </w:r>
      <w:r w:rsidR="00001DA0">
        <w:instrText xml:space="preserve"> ADDIN ZOTERO_ITEM CSL_CITATION {"citationID":"TU5uC6o0","properties":{"formattedCitation":"(6,7)","plainCitation":"(6,7)","noteIndex":0},"citationItems":[{"id":3509,"uris":["http://zotero.org/users/4975241/items/I63Q35BQ"],"uri":["http://zotero.org/users/4975241/items/I63Q35BQ"],"itemData":{"id":3509,"type":"article-journal","abstract":"An omnibus index offers a single summary expression for a fourfold table of binary concordance among two observers. Among the available other omnibus indexes, none offers a satisfactory solution for the paradoxes that occur with p0 and κ. The problem can be avoided only by using ppos and pneg as two separate indexes of proportionate agreement in the observers' positive and negative decisions. These two indexes, which are analogous to sensitivity and specificity for concordance in a diagnostic marker test, create the paradoxes formed when the chance correction in κ is calculated as a product of the increment in the two indexes and the increment in marginal totals. If only a single omnibus index is used to compared different performances in observer variability, the paradoxes of κ are desirable since they appropriately “penalize” inequalities in ppos and ppeg. For better understanding of results and for planning improvements in the observers' performance, however, the omnibus value of κ should always be accompanied by separate individual values of ppos and pneg.","container-title":"Journal of Clinical Epidemiology","DOI":"10.1016/0895-4356(90)90159-M","ISSN":"0895-4356","issue":"6","journalAbbreviation":"Journal of Clinical Epidemiology","language":"en","page":"551-558","source":"ScienceDirect","title":"High agreement but low kappa: II. Resolving the paradoxes","title-short":"High agreement but low kappa","volume":"43","author":[{"family":"Cicchetti","given":"Domenic V."},{"family":"Feinstein","given":"Alvan R."}],"issued":{"date-parts":[["1990",1,1]]}}},{"id":3513,"uris":["http://zotero.org/users/4975241/items/UDH4LZDW"],"uri":["http://zotero.org/users/4975241/items/UDH4LZDW"],"itemData":{"id":3513,"type":"book","abstract":"The third edition of this book was very well received by researchers working in many different fields of research. The use of that text also gave these researchers the opportunity to raise questions, and express additional needs for materials on techniques poorly covered in the literature. For example, when designing an inter-rater reliability study, many researchers wanted to know how to determine the optimal number of raters and the optimal number of subjects that should participate in the experiment. Also, very little space in the literature has been devoted to the notion of intra-rater reliability, particularly for quantitative measurements. The fourth edition of this text addresses those needs, in addition to further refining the presentation of the material already covered in the third edition.Features of the Fourth Edition include:New material on sample size calculations for chance-corrected agreement coefficients, as well as for intraclass correlation coefficients. The researcher will be able to determine the optimal number raters, subjects, and trials per subject.The chapter entitled “Benchmarking Inter-Rater Reliability Coefficients” has been entirely rewritten.The introductory chapter has been substantially expanded to explore possible definitions of the notion of inter-rater reliability.All chapters have been revised to a large extent to improve their readability.","ISBN":"978-0-9708062-8-4","language":"en","note":"Google-Books-ID: fac9BQAAQBAJ","number-of-pages":"429","publisher":"Advanced Analytics, LLC","source":"Google Books","title":"Handbook of Inter-Rater Reliability, 4th Edition: The Definitive Guide to Measuring The Extent of Agreement Among Raters","title-short":"Handbook of Inter-Rater Reliability, 4th Edition","author":[{"family":"Gwet","given":"Kilem L."}],"issued":{"date-parts":[["2014",9,7]]}}}],"schema":"https://github.com/citation-style-language/schema/raw/master/csl-citation.json"} </w:instrText>
      </w:r>
      <w:r>
        <w:fldChar w:fldCharType="separate"/>
      </w:r>
      <w:r w:rsidR="00001DA0">
        <w:rPr>
          <w:rFonts w:ascii="Calibri" w:cs="Calibri"/>
        </w:rPr>
        <w:t>(6,7)</w:t>
      </w:r>
      <w:r>
        <w:fldChar w:fldCharType="end"/>
      </w:r>
      <w:r>
        <w:t xml:space="preserve">. The agreement rate on which study to include between YZ and </w:t>
      </w:r>
      <w:r w:rsidR="0044132C">
        <w:t>CH</w:t>
      </w:r>
      <w:r>
        <w:t xml:space="preserve"> for this subset was high (percent agreement 0.9</w:t>
      </w:r>
      <w:r w:rsidR="0044132C">
        <w:t>4</w:t>
      </w:r>
      <w:r>
        <w:t xml:space="preserve"> [excellent], Cohen’s Kappa 0.</w:t>
      </w:r>
      <w:r w:rsidR="0044132C">
        <w:t>28</w:t>
      </w:r>
      <w:r>
        <w:t xml:space="preserve"> [</w:t>
      </w:r>
      <w:r w:rsidR="005954E5">
        <w:t>fair</w:t>
      </w:r>
      <w:r>
        <w:t>], Gwet’s AC1 0.9</w:t>
      </w:r>
      <w:r w:rsidR="0044132C">
        <w:t xml:space="preserve">3 </w:t>
      </w:r>
      <w:r>
        <w:t>[excellent]) therefore we proceed</w:t>
      </w:r>
      <w:r>
        <w:rPr>
          <w:rFonts w:hint="eastAsia"/>
        </w:rPr>
        <w:t>ed</w:t>
      </w:r>
      <w:r>
        <w:t xml:space="preserve"> with the full-text review. YZ reviewed all full texts as primary reviewer and </w:t>
      </w:r>
      <w:r w:rsidR="0044132C">
        <w:t>CH</w:t>
      </w:r>
      <w:r>
        <w:t xml:space="preserve"> acted as secondary reviewer to determine inclusion (percent agreement 0.</w:t>
      </w:r>
      <w:r w:rsidR="0044132C">
        <w:t>95</w:t>
      </w:r>
      <w:r>
        <w:t xml:space="preserve"> [excellent], Cohen’s Kappa 0.</w:t>
      </w:r>
      <w:r w:rsidR="0044132C">
        <w:t>90</w:t>
      </w:r>
      <w:r>
        <w:t xml:space="preserve"> [substantial], Gwet’s AC1 0.</w:t>
      </w:r>
      <w:r w:rsidR="00E61E94">
        <w:t>91</w:t>
      </w:r>
      <w:r>
        <w:t xml:space="preserve"> [substantial]).</w:t>
      </w:r>
      <w:r w:rsidRPr="003E1641">
        <w:t xml:space="preserve"> </w:t>
      </w:r>
      <w:r>
        <w:t>We resolved d</w:t>
      </w:r>
      <w:r w:rsidRPr="003E1641">
        <w:t xml:space="preserve">isagreements </w:t>
      </w:r>
      <w:r>
        <w:t xml:space="preserve">on inclusion at title and abstract stage or at full-text stage </w:t>
      </w:r>
      <w:r w:rsidRPr="003E1641">
        <w:t xml:space="preserve">by </w:t>
      </w:r>
      <w:r>
        <w:t xml:space="preserve">discussion among the </w:t>
      </w:r>
      <w:r w:rsidR="005954E5">
        <w:t>two</w:t>
      </w:r>
      <w:r>
        <w:t xml:space="preserve"> reviewers.</w:t>
      </w:r>
      <w:r w:rsidR="00766B68">
        <w:t xml:space="preserve"> The PRISMA flow diagram is shown in eFigure 1. </w:t>
      </w:r>
    </w:p>
    <w:p w14:paraId="78AD1A83" w14:textId="77777777" w:rsidR="003E6A5B" w:rsidRDefault="003E6A5B" w:rsidP="003E6A5B"/>
    <w:p w14:paraId="23DF1DE9" w14:textId="77777777" w:rsidR="003E6A5B" w:rsidRPr="00606962" w:rsidRDefault="003E6A5B" w:rsidP="003E6A5B">
      <w:pPr>
        <w:pStyle w:val="Heading3"/>
        <w:spacing w:before="0"/>
      </w:pPr>
      <w:bookmarkStart w:id="4" w:name="_Toc66786535"/>
      <w:r w:rsidRPr="00606962">
        <w:t>Data charting and collation</w:t>
      </w:r>
      <w:bookmarkEnd w:id="4"/>
    </w:p>
    <w:p w14:paraId="4316A056" w14:textId="5DA3C942" w:rsidR="005954E5" w:rsidRDefault="005954E5" w:rsidP="005954E5">
      <w:r>
        <w:t>YZ</w:t>
      </w:r>
      <w:r w:rsidR="003E6A5B">
        <w:t xml:space="preserve"> charted data from included articles and entered them into a Microsoft Excel spreadsheet. We extracted the following data items: </w:t>
      </w:r>
      <w:r>
        <w:t xml:space="preserve">author(s), year of publication, country of study, study setting, study population, study aim, study design, task shifting from, task shifting to, whether task shifting mentioned as norm or new intervention, </w:t>
      </w:r>
      <w:r w:rsidR="00A60F74">
        <w:t>diseases</w:t>
      </w:r>
      <w:r w:rsidR="004D4374">
        <w:t xml:space="preserve"> and</w:t>
      </w:r>
      <w:r w:rsidR="00A60F74">
        <w:t xml:space="preserve"> condition</w:t>
      </w:r>
      <w:r w:rsidR="004D4374">
        <w:t>s (categorized using the Global Burden of Diseases level 3</w:t>
      </w:r>
      <w:r w:rsidR="009739CE">
        <w:t xml:space="preserve"> causes</w:t>
      </w:r>
      <w:r w:rsidR="004D4374">
        <w:t>),</w:t>
      </w:r>
      <w:r w:rsidR="00A60F74">
        <w:t xml:space="preserve"> </w:t>
      </w:r>
      <w:r w:rsidR="004D4374">
        <w:t>specific</w:t>
      </w:r>
      <w:r w:rsidR="00A60F74">
        <w:t xml:space="preserve"> service shifted, </w:t>
      </w:r>
      <w:r>
        <w:t xml:space="preserve">input, outcome (knowledge, skill, patient outcome), and other </w:t>
      </w:r>
      <w:r w:rsidR="00A60F74">
        <w:t xml:space="preserve">implementation experiences. </w:t>
      </w:r>
    </w:p>
    <w:p w14:paraId="16B457A7" w14:textId="77777777" w:rsidR="003E6A5B" w:rsidRDefault="003E6A5B" w:rsidP="003E6A5B"/>
    <w:p w14:paraId="1F93530C" w14:textId="77777777" w:rsidR="003E6A5B" w:rsidRPr="00606962" w:rsidRDefault="003E6A5B" w:rsidP="003E6A5B">
      <w:pPr>
        <w:pStyle w:val="Heading3"/>
        <w:spacing w:before="0"/>
      </w:pPr>
      <w:bookmarkStart w:id="5" w:name="_Toc66786536"/>
      <w:r w:rsidRPr="00606962">
        <w:t>Summarising and reporting findings</w:t>
      </w:r>
      <w:bookmarkEnd w:id="5"/>
    </w:p>
    <w:p w14:paraId="7B3E9641" w14:textId="77777777" w:rsidR="00734454" w:rsidRPr="00734454" w:rsidRDefault="00734454" w:rsidP="00734454">
      <w:r w:rsidRPr="00734454">
        <w:t>While for the current review we are interested in describing the task-shifting practices, focusing on the following aspects:</w:t>
      </w:r>
    </w:p>
    <w:p w14:paraId="342260E6" w14:textId="587C814B" w:rsidR="00734454" w:rsidRPr="00734454" w:rsidRDefault="00734454" w:rsidP="00734454">
      <w:pPr>
        <w:numPr>
          <w:ilvl w:val="0"/>
          <w:numId w:val="1"/>
        </w:numPr>
      </w:pPr>
      <w:r w:rsidRPr="00734454">
        <w:t>What services are task</w:t>
      </w:r>
      <w:r w:rsidR="005D2614">
        <w:t xml:space="preserve"> </w:t>
      </w:r>
      <w:r w:rsidRPr="00734454">
        <w:t>shifted</w:t>
      </w:r>
      <w:r w:rsidR="005D2614">
        <w:t>/shared</w:t>
      </w:r>
      <w:r w:rsidRPr="00734454">
        <w:t>?</w:t>
      </w:r>
      <w:r>
        <w:t xml:space="preserve"> </w:t>
      </w:r>
      <w:r w:rsidRPr="00734454">
        <w:t>From what cadre to what cadre?</w:t>
      </w:r>
    </w:p>
    <w:p w14:paraId="25EC30DF" w14:textId="5F8A0F27" w:rsidR="00734454" w:rsidRPr="00734454" w:rsidRDefault="00734454" w:rsidP="00734454">
      <w:pPr>
        <w:numPr>
          <w:ilvl w:val="0"/>
          <w:numId w:val="1"/>
        </w:numPr>
      </w:pPr>
      <w:r w:rsidRPr="00734454">
        <w:t xml:space="preserve">What additional </w:t>
      </w:r>
      <w:r>
        <w:t>input</w:t>
      </w:r>
      <w:r w:rsidRPr="00734454">
        <w:t xml:space="preserve"> are needed for such task</w:t>
      </w:r>
      <w:r w:rsidR="005D2614">
        <w:t xml:space="preserve"> </w:t>
      </w:r>
      <w:r w:rsidRPr="00734454">
        <w:t>shifting</w:t>
      </w:r>
      <w:r w:rsidR="005D2614">
        <w:t>/sharing</w:t>
      </w:r>
      <w:r w:rsidRPr="00734454">
        <w:t xml:space="preserve"> to happen? (e.g. </w:t>
      </w:r>
      <w:r>
        <w:t>training</w:t>
      </w:r>
      <w:r w:rsidRPr="00734454">
        <w:t>, support</w:t>
      </w:r>
      <w:r>
        <w:t>,</w:t>
      </w:r>
      <w:r w:rsidRPr="00734454">
        <w:t xml:space="preserve"> supervision</w:t>
      </w:r>
      <w:r>
        <w:t>, tools</w:t>
      </w:r>
      <w:r w:rsidRPr="00734454">
        <w:t>)</w:t>
      </w:r>
    </w:p>
    <w:p w14:paraId="711BA244" w14:textId="37752EBF" w:rsidR="00734454" w:rsidRPr="00734454" w:rsidRDefault="00734454" w:rsidP="00734454">
      <w:pPr>
        <w:numPr>
          <w:ilvl w:val="0"/>
          <w:numId w:val="1"/>
        </w:numPr>
      </w:pPr>
      <w:r w:rsidRPr="00734454">
        <w:t>What are the outcome variables the quantitative studies included for evaluation or comparison? (</w:t>
      </w:r>
      <w:r w:rsidR="00E97D3B">
        <w:t xml:space="preserve">e.g. </w:t>
      </w:r>
      <w:r w:rsidR="004D4374">
        <w:t>health worker knowledge, and skills, patient related outcomes</w:t>
      </w:r>
      <w:r w:rsidRPr="00734454">
        <w:t>)</w:t>
      </w:r>
    </w:p>
    <w:p w14:paraId="4C2D00F1" w14:textId="77777777" w:rsidR="00734454" w:rsidRPr="00734454" w:rsidRDefault="00734454" w:rsidP="00734454">
      <w:pPr>
        <w:numPr>
          <w:ilvl w:val="0"/>
          <w:numId w:val="1"/>
        </w:numPr>
      </w:pPr>
      <w:r w:rsidRPr="00734454">
        <w:t>What are the reported experiences and implementation challenges in qualitative studies?</w:t>
      </w:r>
    </w:p>
    <w:p w14:paraId="59BC3B61" w14:textId="77777777" w:rsidR="00734454" w:rsidRDefault="00734454" w:rsidP="003E6A5B"/>
    <w:p w14:paraId="756A594F" w14:textId="4FFCBDFB" w:rsidR="00734454" w:rsidRDefault="001F22C9" w:rsidP="003E6A5B">
      <w:r>
        <w:t>We categorized the paper using the diseases and conditions information</w:t>
      </w:r>
      <w:r w:rsidR="00766B68">
        <w:t xml:space="preserve"> into three major groups: (A) historically shifted, which refers to acute medical care for neonates as covered in IMCI, HIV/AIDS, malaria, tuberculosis; (B) conditions that require emergency, intensive care or surgery; and (C) chronic health conditions. </w:t>
      </w:r>
      <w:r w:rsidR="00E97D3B">
        <w:t xml:space="preserve">Our reporting mostly </w:t>
      </w:r>
      <w:r w:rsidR="0034372F">
        <w:t>focuses</w:t>
      </w:r>
      <w:r w:rsidR="00E97D3B">
        <w:t xml:space="preserve"> on the latter two groups. We described </w:t>
      </w:r>
      <w:r w:rsidR="0034372F">
        <w:t xml:space="preserve">within our included research literature, </w:t>
      </w:r>
      <w:r w:rsidR="00E97D3B">
        <w:t>what are the specific health services and procedures shifted</w:t>
      </w:r>
      <w:r w:rsidR="005D2614">
        <w:t>/shared</w:t>
      </w:r>
      <w:r w:rsidR="00E97D3B">
        <w:t>,</w:t>
      </w:r>
      <w:r w:rsidR="0034372F">
        <w:t xml:space="preserve"> the study country,</w:t>
      </w:r>
      <w:r w:rsidR="00E97D3B">
        <w:t xml:space="preserve"> </w:t>
      </w:r>
      <w:r w:rsidR="008A5313">
        <w:t xml:space="preserve">the study design, </w:t>
      </w:r>
      <w:r w:rsidR="00E97D3B">
        <w:t xml:space="preserve">the cadres involved, </w:t>
      </w:r>
      <w:r w:rsidR="008A5313">
        <w:t>the major inputs and the patient outcomes</w:t>
      </w:r>
      <w:r w:rsidR="0034372F">
        <w:t xml:space="preserve"> as</w:t>
      </w:r>
      <w:r w:rsidR="008A5313">
        <w:t xml:space="preserve"> </w:t>
      </w:r>
      <w:r w:rsidR="00E028ED">
        <w:t xml:space="preserve">reported in the paper. </w:t>
      </w:r>
    </w:p>
    <w:p w14:paraId="38B681F7" w14:textId="76F2CBE7" w:rsidR="00CA6949" w:rsidRDefault="00CA6949">
      <w:r>
        <w:br w:type="page"/>
      </w:r>
    </w:p>
    <w:p w14:paraId="5B854298" w14:textId="31365FCE" w:rsidR="00EA67D9" w:rsidRPr="00766B68" w:rsidRDefault="00CA6949" w:rsidP="00F02432">
      <w:pPr>
        <w:pStyle w:val="Heading3"/>
      </w:pPr>
      <w:bookmarkStart w:id="6" w:name="_Toc66786537"/>
      <w:r w:rsidRPr="00766B68">
        <w:lastRenderedPageBreak/>
        <w:t>eTable 1. Example search strategy in Ovid_Embase</w:t>
      </w:r>
      <w:bookmarkEnd w:id="6"/>
    </w:p>
    <w:p w14:paraId="63D4C751" w14:textId="77777777" w:rsidR="00CA6949" w:rsidRPr="0064155D" w:rsidRDefault="00CA6949" w:rsidP="00CA6949">
      <w:pPr>
        <w:rPr>
          <w:rFonts w:ascii="Calibri" w:hAnsi="Calibri" w:cs="Calibri"/>
          <w:sz w:val="16"/>
          <w:szCs w:val="16"/>
        </w:rPr>
      </w:pPr>
      <w:r w:rsidRPr="0064155D">
        <w:rPr>
          <w:rFonts w:ascii="Calibri" w:hAnsi="Calibri" w:cs="Calibri"/>
          <w:color w:val="0A0905"/>
          <w:sz w:val="16"/>
          <w:szCs w:val="16"/>
          <w:shd w:val="clear" w:color="auto" w:fill="FFFFFF"/>
        </w:rPr>
        <w:t>Database(s): Embase 1974 to present</w:t>
      </w:r>
      <w:r w:rsidRPr="0064155D">
        <w:rPr>
          <w:rFonts w:ascii="Calibri" w:hAnsi="Calibri" w:cs="Calibri"/>
          <w:color w:val="0A0905"/>
          <w:sz w:val="16"/>
          <w:szCs w:val="16"/>
        </w:rPr>
        <w:br/>
      </w:r>
      <w:r w:rsidRPr="0064155D">
        <w:rPr>
          <w:rFonts w:ascii="Calibri" w:hAnsi="Calibri" w:cs="Calibri"/>
          <w:color w:val="0A0905"/>
          <w:sz w:val="16"/>
          <w:szCs w:val="16"/>
          <w:shd w:val="clear" w:color="auto" w:fill="FFFFFF"/>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13"/>
        <w:gridCol w:w="7979"/>
        <w:gridCol w:w="718"/>
      </w:tblGrid>
      <w:tr w:rsidR="00CA6949" w:rsidRPr="0064155D" w14:paraId="3987E332"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4EF4D95" w14:textId="77777777" w:rsidR="00CA6949" w:rsidRPr="0064155D" w:rsidRDefault="00CA6949" w:rsidP="00F02432">
            <w:pPr>
              <w:spacing w:before="150" w:after="30" w:line="360" w:lineRule="atLeast"/>
              <w:rPr>
                <w:rFonts w:ascii="Calibri" w:hAnsi="Calibri" w:cs="Calibri"/>
                <w:b/>
                <w:bCs/>
                <w:color w:val="0A0905"/>
                <w:sz w:val="16"/>
                <w:szCs w:val="16"/>
              </w:rPr>
            </w:pPr>
            <w:r w:rsidRPr="0064155D">
              <w:rPr>
                <w:rFonts w:ascii="Calibri" w:hAnsi="Calibri" w:cs="Calibri"/>
                <w:b/>
                <w:bCs/>
                <w:color w:val="0A0905"/>
                <w:sz w:val="16"/>
                <w:szCs w:val="16"/>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1B804132" w14:textId="77777777" w:rsidR="00CA6949" w:rsidRPr="0064155D" w:rsidRDefault="00CA6949" w:rsidP="00F02432">
            <w:pPr>
              <w:spacing w:before="150" w:after="30" w:line="360" w:lineRule="atLeast"/>
              <w:rPr>
                <w:rFonts w:ascii="Calibri" w:hAnsi="Calibri" w:cs="Calibri"/>
                <w:b/>
                <w:bCs/>
                <w:color w:val="0A0905"/>
                <w:sz w:val="16"/>
                <w:szCs w:val="16"/>
              </w:rPr>
            </w:pPr>
            <w:r w:rsidRPr="0064155D">
              <w:rPr>
                <w:rFonts w:ascii="Calibri" w:hAnsi="Calibri" w:cs="Calibri"/>
                <w:b/>
                <w:bCs/>
                <w:color w:val="0A0905"/>
                <w:sz w:val="16"/>
                <w:szCs w:val="16"/>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2251DC94" w14:textId="77777777" w:rsidR="00CA6949" w:rsidRPr="0064155D" w:rsidRDefault="00CA6949" w:rsidP="00F02432">
            <w:pPr>
              <w:spacing w:before="150" w:after="30" w:line="360" w:lineRule="atLeast"/>
              <w:rPr>
                <w:rFonts w:ascii="Calibri" w:hAnsi="Calibri" w:cs="Calibri"/>
                <w:b/>
                <w:bCs/>
                <w:color w:val="0A0905"/>
                <w:sz w:val="16"/>
                <w:szCs w:val="16"/>
              </w:rPr>
            </w:pPr>
            <w:r w:rsidRPr="0064155D">
              <w:rPr>
                <w:rFonts w:ascii="Calibri" w:hAnsi="Calibri" w:cs="Calibri"/>
                <w:b/>
                <w:bCs/>
                <w:color w:val="0A0905"/>
                <w:sz w:val="16"/>
                <w:szCs w:val="16"/>
              </w:rPr>
              <w:t>Results</w:t>
            </w:r>
          </w:p>
        </w:tc>
      </w:tr>
      <w:tr w:rsidR="00CA6949" w:rsidRPr="0064155D" w14:paraId="689D4F6E"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23CF4E"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D4AA84"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(infan* or newborn* or new-born* or neonat* or baby* or babies or toddler* or minor* or boy* or girl* or kid or kids or child* or schoolchild* or adolescen* or juvenil* or youth* or teen* or pubescen* or pediatric* or paediatric* or peadiatric* or school* or prematur* or preterm* or "pre term*" or prepub* or pre-pub* or preschool* or pre-school* or kindergarten* or nursery* or preadolescen* or pre-adolescen*).tw.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9E7938"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3559535</w:t>
            </w:r>
          </w:p>
        </w:tc>
      </w:tr>
      <w:tr w:rsidR="00CA6949" w:rsidRPr="0064155D" w14:paraId="7085EAEB"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FD12FD"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CE608F"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adolescent/ or exp child/ or exp infant/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5B101C"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3327156</w:t>
            </w:r>
          </w:p>
        </w:tc>
      </w:tr>
      <w:tr w:rsidR="00CA6949" w:rsidRPr="0064155D" w14:paraId="3EE89706"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92372D"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5B9249"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 or 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07EBAA"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4768674</w:t>
            </w:r>
          </w:p>
        </w:tc>
      </w:tr>
      <w:tr w:rsidR="00CA6949" w:rsidRPr="0064155D" w14:paraId="0C96F4B1"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F698D8"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52843D"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(task* adj2 (shift* or shar*)).ti,ab.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A7F60B"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3513</w:t>
            </w:r>
          </w:p>
        </w:tc>
      </w:tr>
      <w:tr w:rsidR="00CA6949" w:rsidRPr="0064155D" w14:paraId="36211BF4"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35E4F9"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9DE08D"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(delegation or substitution or "skill mix*").ti,ab.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BC4EA0"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153129</w:t>
            </w:r>
          </w:p>
        </w:tc>
      </w:tr>
      <w:tr w:rsidR="00CA6949" w:rsidRPr="0064155D" w14:paraId="342CA059"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3A3296"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B38140"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("nurse practitioner*" or "advanced practice nurs*" or "nurse clinician*" or "specialist nurs*" or "nurs* specialist*").ti,ab.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726F83"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28132</w:t>
            </w:r>
          </w:p>
        </w:tc>
      </w:tr>
      <w:tr w:rsidR="00CA6949" w:rsidRPr="0064155D" w14:paraId="2851B492"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10532B"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53747C"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("non-physician clinician*" or "nonphysician clinician" or "clinical officer*").ti,ab.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A8870C"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546</w:t>
            </w:r>
          </w:p>
        </w:tc>
      </w:tr>
      <w:tr w:rsidR="00CA6949" w:rsidRPr="0064155D" w14:paraId="1B7759F1"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891D61"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38F1FF"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("physician assistant*" or "assistant medical officer*" or "clinical assistant*").ti,ab.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A8A2B8"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4865</w:t>
            </w:r>
          </w:p>
        </w:tc>
      </w:tr>
      <w:tr w:rsidR="00CA6949" w:rsidRPr="0064155D" w14:paraId="46FDA267"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C23802"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EB8D2D"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4 or 5 or 6 or 7 or 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93D921"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187833</w:t>
            </w:r>
          </w:p>
        </w:tc>
      </w:tr>
      <w:tr w:rsidR="00CA6949" w:rsidRPr="0064155D" w14:paraId="10CB9287"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4C13FA"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A70709"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3 and 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C59400"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24666</w:t>
            </w:r>
          </w:p>
        </w:tc>
      </w:tr>
      <w:tr w:rsidR="00CA6949" w:rsidRPr="0064155D" w14:paraId="62D62A91"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C111CE"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D4FC57"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 xml:space="preserve">(afghanistan or albania or algeria or american samoa or angola or "antigua and barbuda" or antigua or barbuda or argentina or armenia or armenian or aruba or azerbaijan or bahrain or bangladesh or barbados or republic of belarus or belarus or byelarus or belorussia or byelorussian or belize or british honduras or benin or dahomey or bhutan or bolivia or "bosnia and herzegovina" or bosnia or herzegovina or botswana or bechuanaland or brazil or brasil or bulgaria or burkina faso or burkina fasso or upper volta or burundi or urundi or cabo verde or cape verde or cambodia or kampuchea or khmer republic or cameroon or cameron or cameroun or central african republic or ubangi shari or chad or chile or china or colombia or comoros or comoro islands or iles comores or mayotte or democratic republic of the congo or democratic republic congo or congo or zaire or costa rica or "cote d’ivoire" or "cote d’ ivoire" or cote divoire or cote d ivoire or ivory coast or croatia or cuba or cyprus or czech republic or czechoslovakia or djibouti or french somaliland or dominica or dominican republic or ecuador or egypt or united arab republic or el salvador or equatorial guinea or spanish guinea or eritrea or estonia or eswatini or swaziland or ethiopia or fiji or gabon or gabonese republic or gambia or "georgia (republic)" or georgian or ghana or gold coast or gibraltar or greece or grenada or guam or guatemala or guinea or guinea bissau or guyana or british guiana or haiti or hispaniola or honduras or hungary or india or indonesia or timor or iran or iraq or isle of man or jamaica or jordan or kazakhstan or kazakh or kenya or "democratic people’s republic of korea" or republic of korea or north korea or south korea or korea or kosovo or kyrgyzstan or kirghizia or kirgizstan or kyrgyz republic or kirghiz or laos or lao pdr or "lao people's democratic republic" or latvia or lebanon or lebanese republic or lesotho or basutoland or liberia or libya or libyan arab jamahiriya or lithuania or macau or macao or "macedonia (republic)" or macedonia or madagascar or malagasy republic or malawi or nyasaland or malaysia or malay federation or malaya federation or maldives or indian ocean islands or indian ocean or mali or malta </w:t>
            </w:r>
            <w:r w:rsidRPr="0064155D">
              <w:rPr>
                <w:rFonts w:ascii="Calibri" w:hAnsi="Calibri" w:cs="Calibri"/>
                <w:color w:val="0A0905"/>
                <w:sz w:val="16"/>
                <w:szCs w:val="16"/>
              </w:rPr>
              <w:lastRenderedPageBreak/>
              <w:t>or micronesia or federated states of micronesia or kiribati or marshall islands or nauru or northern mariana islands or palau or tuvalu or mauritania or mauritius or mexico or moldova or moldovian or mongolia or montenegro or "montenegro (republic)" or morocco or ifni or mozambique or portuguese east africa or myanmar or burma or namibia or nepal or netherlands antilles or nicaragua or niger or nigeria or oman or muscat or pakistan or panama or papua new guinea or new guinea or paraguay or peru or philippines or philipines or phillipines or phillippines or poland or "polish people's republic" or portugal or portuguese republic or puerto rico or romania or russia or russian federation or ussr or soviet union or union of soviet socialist republics or rwanda or ruanda or samoa or pacific islands or polynesia or samoan islands or navigator island or navigator islands or "sao tome and principe" or saudi arabia or senegal or serbia or seychelles or sierra leone or slovakia or slovak republic or slovenia or melanesia or solomon island or solomon islands or norfolk island or norfolk islands or somalia or south africa or south sudan or sri lanka or ceylon or "saint kitts and nevis" or "st. kitts and nevis" or saint lucia or "st. lucia" or "saint vincent and the grenadines" or saint vincent or "st. vincent" or grenadines or sudan or suriname or surinam or dutch guiana or netherlands guiana or syria or syrian arab republic or tajikistan or tadjikistan or tadzhikistan or tadzhik or tanzania or tanganyika or thailand or siam or timor leste or east timor or togo or togolese republic or tonga or "trinidad and tobago" or trinidad or tobago or tunisia or turkey or "turkey (republic)" or turkmenistan or turkmen or uganda or ukraine or uruguay or uzbekistan or uzbek or vanuatu or new hebrides or venezuela or vietnam or viet nam or middle east or west bank or gaza or palestine or yemen or yugoslavia or zambia or zimbabwe or northern rhodesia or global south or africa south of the sahara or "sub saharan africa" or subsaharan africa or africa, central or central africa or africa, northern or north africa or northern africa or magreb or maghrib or sahara or africa, southern or southern africa or africa, eastern or east africa or eastern africa or africa, western or west africa or western africa or west indies or indian ocean islands or caribbean region or caribbean islands or caribbean or central america or latin america or "south and central america" or south america or asia, central or central asia or asia, northern or north asia or northern asia or asia, southeastern or southeastern asia or south eastern asia or southeast asia or south east asia or asia, western or western asia or europe, eastern or east europe or eastern europe or developing country or developing countries or developing nation? or developing population? or developing world or less developed countr* or less developed nation? or less developed population? or less developed world or lesser developed countr* or lesser developed nation? or lesser developed population? or lesser developed world or under developed countr* or under developed nation? or under developed population? or under developed world or underdeveloped countr* or underdeveloped nation? or underdeveloped population?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underserved world or under served countr* or under served nation? or under served population? or under served world or deprived countr* or deprived nation? or deprived population? or deprived world or poor countr* or poor nation? or poor population? or poor world or poorer countr* or poorer nation? or poorer population? or poorer world or developing economy* or less developed economy* or lesser developed economy* or under developed economy* or underdeveloped economy* or middle income economy* or low income economy* or lower income economy* or low gdp or low gnp or low gross domestic or low gross national or lower gdp or lower gnp or lower gross domestic or lower gross national or lmic or lmics or third world or lami countr* or transitional countr* or emerging economies or emerging nation?).ti,ab,sh,kw.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E17870"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lastRenderedPageBreak/>
              <w:t>2134067</w:t>
            </w:r>
          </w:p>
        </w:tc>
      </w:tr>
      <w:tr w:rsidR="00CA6949" w:rsidRPr="0064155D" w14:paraId="3B533651"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2BDA43"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lastRenderedPageBreak/>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611129"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10 and 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DC1D0B"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2494</w:t>
            </w:r>
          </w:p>
        </w:tc>
      </w:tr>
      <w:tr w:rsidR="00CA6949" w:rsidRPr="0064155D" w14:paraId="4B63FFCC"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579D11"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314E45"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limit 12 to yr="1990 - 2019"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9496A4"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2385</w:t>
            </w:r>
          </w:p>
        </w:tc>
      </w:tr>
      <w:tr w:rsidR="00CA6949" w:rsidRPr="0064155D" w14:paraId="1664626C" w14:textId="77777777" w:rsidTr="00F0243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59165E"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BBE526"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limit 13 to english language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52A3D7" w14:textId="77777777" w:rsidR="00CA6949" w:rsidRPr="0064155D" w:rsidRDefault="00CA6949" w:rsidP="00F02432">
            <w:pPr>
              <w:spacing w:line="360" w:lineRule="atLeast"/>
              <w:rPr>
                <w:rFonts w:ascii="Calibri" w:hAnsi="Calibri" w:cs="Calibri"/>
                <w:color w:val="0A0905"/>
                <w:sz w:val="16"/>
                <w:szCs w:val="16"/>
              </w:rPr>
            </w:pPr>
            <w:r w:rsidRPr="0064155D">
              <w:rPr>
                <w:rFonts w:ascii="Calibri" w:hAnsi="Calibri" w:cs="Calibri"/>
                <w:color w:val="0A0905"/>
                <w:sz w:val="16"/>
                <w:szCs w:val="16"/>
              </w:rPr>
              <w:t>2238</w:t>
            </w:r>
          </w:p>
        </w:tc>
      </w:tr>
    </w:tbl>
    <w:p w14:paraId="242091B1" w14:textId="77777777" w:rsidR="00CA6949" w:rsidRPr="0064155D" w:rsidRDefault="00CA6949" w:rsidP="00CA6949">
      <w:pPr>
        <w:shd w:val="clear" w:color="auto" w:fill="FFFFFF"/>
        <w:rPr>
          <w:rFonts w:ascii="Calibri" w:hAnsi="Calibri" w:cs="Calibri"/>
          <w:color w:val="0A0905"/>
          <w:sz w:val="16"/>
          <w:szCs w:val="16"/>
        </w:rPr>
      </w:pPr>
    </w:p>
    <w:p w14:paraId="3F0FFFCA" w14:textId="588396AA" w:rsidR="00CA6949" w:rsidRPr="00766B68" w:rsidRDefault="00766B68" w:rsidP="00F02432">
      <w:pPr>
        <w:pStyle w:val="Heading3"/>
      </w:pPr>
      <w:bookmarkStart w:id="7" w:name="_Toc66786538"/>
      <w:r w:rsidRPr="00766B68">
        <w:t>eFigure 1. PRISMA flow diagram</w:t>
      </w:r>
      <w:bookmarkEnd w:id="7"/>
    </w:p>
    <w:p w14:paraId="13A14B00" w14:textId="7110D197" w:rsidR="00766B68" w:rsidRDefault="00766B68" w:rsidP="003E6A5B">
      <w:r>
        <w:rPr>
          <w:noProof/>
        </w:rPr>
        <w:drawing>
          <wp:inline distT="0" distB="0" distL="0" distR="0" wp14:anchorId="0EA0FD13" wp14:editId="4B2BC9A1">
            <wp:extent cx="5731510" cy="56622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731510" cy="5662295"/>
                    </a:xfrm>
                    <a:prstGeom prst="rect">
                      <a:avLst/>
                    </a:prstGeom>
                  </pic:spPr>
                </pic:pic>
              </a:graphicData>
            </a:graphic>
          </wp:inline>
        </w:drawing>
      </w:r>
    </w:p>
    <w:p w14:paraId="757F7CBD" w14:textId="77777777" w:rsidR="00F02432" w:rsidRDefault="00F02432" w:rsidP="003E6A5B">
      <w:pPr>
        <w:sectPr w:rsidR="00F02432" w:rsidSect="00B94B91">
          <w:pgSz w:w="11906" w:h="16838"/>
          <w:pgMar w:top="1440" w:right="1440" w:bottom="1440" w:left="1440" w:header="708" w:footer="708" w:gutter="0"/>
          <w:cols w:space="708"/>
          <w:docGrid w:linePitch="360"/>
        </w:sectPr>
      </w:pPr>
    </w:p>
    <w:p w14:paraId="2D458A2A" w14:textId="58D2C172" w:rsidR="00F02432" w:rsidRPr="00F02432" w:rsidRDefault="00F02432" w:rsidP="00F02432">
      <w:pPr>
        <w:pStyle w:val="Heading3"/>
      </w:pPr>
      <w:bookmarkStart w:id="8" w:name="_Toc66786539"/>
      <w:r w:rsidRPr="00F02432">
        <w:lastRenderedPageBreak/>
        <w:t>eTable 2. Detailed characteristics of included studies for the scoping review</w:t>
      </w:r>
      <w:bookmarkEnd w:id="8"/>
    </w:p>
    <w:p w14:paraId="1C168772" w14:textId="77777777" w:rsidR="00F02432" w:rsidRDefault="00F02432"/>
    <w:tbl>
      <w:tblPr>
        <w:tblStyle w:val="TableGridLight"/>
        <w:tblW w:w="0" w:type="auto"/>
        <w:tblLayout w:type="fixed"/>
        <w:tblLook w:val="04A0" w:firstRow="1" w:lastRow="0" w:firstColumn="1" w:lastColumn="0" w:noHBand="0" w:noVBand="1"/>
      </w:tblPr>
      <w:tblGrid>
        <w:gridCol w:w="567"/>
        <w:gridCol w:w="709"/>
        <w:gridCol w:w="851"/>
        <w:gridCol w:w="708"/>
        <w:gridCol w:w="1418"/>
        <w:gridCol w:w="992"/>
        <w:gridCol w:w="992"/>
        <w:gridCol w:w="1701"/>
        <w:gridCol w:w="988"/>
        <w:gridCol w:w="1417"/>
        <w:gridCol w:w="1276"/>
        <w:gridCol w:w="992"/>
        <w:gridCol w:w="1418"/>
        <w:gridCol w:w="2268"/>
        <w:gridCol w:w="1134"/>
        <w:gridCol w:w="1134"/>
        <w:gridCol w:w="2448"/>
        <w:gridCol w:w="247"/>
        <w:gridCol w:w="2201"/>
        <w:gridCol w:w="495"/>
        <w:gridCol w:w="1954"/>
      </w:tblGrid>
      <w:tr w:rsidR="00F02432" w:rsidRPr="00591F5E" w14:paraId="61D2E027" w14:textId="77777777" w:rsidTr="00E15533">
        <w:trPr>
          <w:trHeight w:val="20"/>
        </w:trPr>
        <w:tc>
          <w:tcPr>
            <w:tcW w:w="567" w:type="dxa"/>
            <w:hideMark/>
          </w:tcPr>
          <w:p w14:paraId="2756CEB9" w14:textId="381A2746"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Reference</w:t>
            </w:r>
          </w:p>
        </w:tc>
        <w:tc>
          <w:tcPr>
            <w:tcW w:w="709" w:type="dxa"/>
            <w:hideMark/>
          </w:tcPr>
          <w:p w14:paraId="48454C6C"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Year</w:t>
            </w:r>
          </w:p>
        </w:tc>
        <w:tc>
          <w:tcPr>
            <w:tcW w:w="851" w:type="dxa"/>
            <w:hideMark/>
          </w:tcPr>
          <w:p w14:paraId="2591B470"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 xml:space="preserve">Country </w:t>
            </w:r>
          </w:p>
        </w:tc>
        <w:tc>
          <w:tcPr>
            <w:tcW w:w="708" w:type="dxa"/>
            <w:hideMark/>
          </w:tcPr>
          <w:p w14:paraId="61C3E110"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 xml:space="preserve">Study type </w:t>
            </w:r>
          </w:p>
        </w:tc>
        <w:tc>
          <w:tcPr>
            <w:tcW w:w="1418" w:type="dxa"/>
            <w:hideMark/>
          </w:tcPr>
          <w:p w14:paraId="329DFB61"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 xml:space="preserve">Service setting </w:t>
            </w:r>
          </w:p>
        </w:tc>
        <w:tc>
          <w:tcPr>
            <w:tcW w:w="992" w:type="dxa"/>
            <w:hideMark/>
          </w:tcPr>
          <w:p w14:paraId="71C18689"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Population</w:t>
            </w:r>
          </w:p>
        </w:tc>
        <w:tc>
          <w:tcPr>
            <w:tcW w:w="992" w:type="dxa"/>
            <w:hideMark/>
          </w:tcPr>
          <w:p w14:paraId="28532EDB"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TS as norm or new intervention</w:t>
            </w:r>
          </w:p>
        </w:tc>
        <w:tc>
          <w:tcPr>
            <w:tcW w:w="1701" w:type="dxa"/>
            <w:hideMark/>
          </w:tcPr>
          <w:p w14:paraId="1A394F6B"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Study aim</w:t>
            </w:r>
          </w:p>
        </w:tc>
        <w:tc>
          <w:tcPr>
            <w:tcW w:w="988" w:type="dxa"/>
            <w:hideMark/>
          </w:tcPr>
          <w:p w14:paraId="23A876C4"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TS from</w:t>
            </w:r>
          </w:p>
        </w:tc>
        <w:tc>
          <w:tcPr>
            <w:tcW w:w="1417" w:type="dxa"/>
            <w:hideMark/>
          </w:tcPr>
          <w:p w14:paraId="10E10E34"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TS to</w:t>
            </w:r>
          </w:p>
        </w:tc>
        <w:tc>
          <w:tcPr>
            <w:tcW w:w="1276" w:type="dxa"/>
            <w:hideMark/>
          </w:tcPr>
          <w:p w14:paraId="24EAA1EE"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Condition</w:t>
            </w:r>
          </w:p>
        </w:tc>
        <w:tc>
          <w:tcPr>
            <w:tcW w:w="992" w:type="dxa"/>
            <w:hideMark/>
          </w:tcPr>
          <w:p w14:paraId="5852F469"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Preventive or curative</w:t>
            </w:r>
          </w:p>
        </w:tc>
        <w:tc>
          <w:tcPr>
            <w:tcW w:w="1418" w:type="dxa"/>
            <w:hideMark/>
          </w:tcPr>
          <w:p w14:paraId="01774EE5"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Service shifted</w:t>
            </w:r>
          </w:p>
        </w:tc>
        <w:tc>
          <w:tcPr>
            <w:tcW w:w="2268" w:type="dxa"/>
            <w:hideMark/>
          </w:tcPr>
          <w:p w14:paraId="591A4623"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Input education</w:t>
            </w:r>
          </w:p>
        </w:tc>
        <w:tc>
          <w:tcPr>
            <w:tcW w:w="1134" w:type="dxa"/>
            <w:hideMark/>
          </w:tcPr>
          <w:p w14:paraId="6001873A"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Input supervision</w:t>
            </w:r>
          </w:p>
        </w:tc>
        <w:tc>
          <w:tcPr>
            <w:tcW w:w="1134" w:type="dxa"/>
            <w:hideMark/>
          </w:tcPr>
          <w:p w14:paraId="35ADB18F"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Input other</w:t>
            </w:r>
          </w:p>
        </w:tc>
        <w:tc>
          <w:tcPr>
            <w:tcW w:w="2448" w:type="dxa"/>
            <w:hideMark/>
          </w:tcPr>
          <w:p w14:paraId="63818D98"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Outcome/knowledge</w:t>
            </w:r>
          </w:p>
        </w:tc>
        <w:tc>
          <w:tcPr>
            <w:tcW w:w="2448" w:type="dxa"/>
            <w:gridSpan w:val="2"/>
            <w:hideMark/>
          </w:tcPr>
          <w:p w14:paraId="7C21E777"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Outcome/skill</w:t>
            </w:r>
          </w:p>
        </w:tc>
        <w:tc>
          <w:tcPr>
            <w:tcW w:w="2449" w:type="dxa"/>
            <w:gridSpan w:val="2"/>
            <w:hideMark/>
          </w:tcPr>
          <w:p w14:paraId="3BB9CBF9" w14:textId="77777777"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Outcome/patient outcome</w:t>
            </w:r>
          </w:p>
        </w:tc>
      </w:tr>
      <w:tr w:rsidR="00F02432" w:rsidRPr="00591F5E" w14:paraId="58D05EE2" w14:textId="77777777" w:rsidTr="006F65E4">
        <w:trPr>
          <w:trHeight w:val="20"/>
        </w:trPr>
        <w:tc>
          <w:tcPr>
            <w:tcW w:w="25910" w:type="dxa"/>
            <w:gridSpan w:val="21"/>
            <w:noWrap/>
          </w:tcPr>
          <w:p w14:paraId="71EE2A0E" w14:textId="4A8C4775"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Acute infectious disease and malnutrition</w:t>
            </w:r>
          </w:p>
        </w:tc>
      </w:tr>
      <w:tr w:rsidR="00F02432" w:rsidRPr="00C0069F" w14:paraId="23AF847F" w14:textId="77777777" w:rsidTr="00E15533">
        <w:trPr>
          <w:trHeight w:val="20"/>
        </w:trPr>
        <w:tc>
          <w:tcPr>
            <w:tcW w:w="567" w:type="dxa"/>
            <w:noWrap/>
            <w:hideMark/>
          </w:tcPr>
          <w:p w14:paraId="4CD4F16C" w14:textId="6BC789DE" w:rsidR="00F02432" w:rsidRPr="00C0069F" w:rsidRDefault="00F02432" w:rsidP="00F02432">
            <w:pPr>
              <w:ind w:right="160"/>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76XzeI8E","properties":{"formattedCitation":"(8)","plainCitation":"(8)","noteIndex":0},"citationItems":[{"id":4279,"uris":["http://zotero.org/users/4975241/items/Z7E58AIV"],"uri":["http://zotero.org/users/4975241/items/Z7E58AIV"],"itemData":{"id":4279,"type":"article-journal","abstract":"Background: Integrated Management of Childhood Illness (IMCI) is regarded as a standard public health approach to lowering child mortality in developing countries. However, little is known about how health workers adhere to the guidelines at the national level in sub-Saharan African countries.\nMethods: Data from the Service Provision Assessment surveys of Namibia (NA) (survey year: 2009), Kenya (KE) (2010), Tanzania (TZ) (2006) and Uganda (UG) (2007) were analysed for adherence to the IMCI guidelines by health workers. Potential influencing factors included the survey country, patient’s age, the different levels of the national health system, the training level of the health care provider (physician, non-physician clinician, nurse-midwife, auxiliary staff), and the status of re-training in IMCI.\nResults: In total, 6856 children (NA: 1495; KE: 1890; TZ: 2469; UG: 1002 / male 51.2–53.5%) aged 2–73 months (2–24 months, 65.3%; median NA: 19 months; KE: 18 months; TZ: 16 months; UG: 15 months) were clinically assessed by 2006 health workers during the surveys. Less than 33% of the workers carried out assessment of all three IMCI danger signs, namely inability to eat/drink, vomiting everything, and febrile convulsions (NA: 11%; KE: 11%; TZ: 14%; UG: 31%) while the rate for assessing all three of the IMCI main symptoms of cough/difficult breathing, diarrhoea, and fever was &lt; 60% (NA: 48%; KE: 34%; TZ: 50%; UG: 57%). Physical examination rates for fever (temperature) (NA: 97%; KE: 87%; TZ: 73%; UG: 90%), pneumonia (respiration rate/auscultation) (NA: 43%; KE: 24%; TZ: 25%; UG: 20%) and diarrhoea (dehydration status) (NA: 29%; KE: 19%; TZ: 20%; UG: 39%) varied widely and were highest when assessing children with the actual diagnosis of pneumonia and diarrhoea. Adherence rates tended to be higher in children ≤ 24 months, at hospitals, among higher-qualified staff (physician/ non-physician clinician) and among those with recent IMCI re-training.\nConclusion: Despite nationwide training in IMCI the adherence rates for assessment and physical examination remained low in all four countries. IMCI training should continue to be provided to all health staff, particularly nurses, midwives, and auxiliary staff, with periodic re-training and an emphasis to equally target children of all age groups.","container-title":"BMC Health Services Research","DOI":"10.1186/s12913-017-2781-3","ISSN":"1472-6963","issue":"1","journalAbbreviation":"BMC Health Serv Res","language":"en","page":"822","source":"DOI.org (Crossref)","title":"Adherence to the integrated management of childhood illness guidelines in Namibia, Kenya, Tanzania and Uganda: evidence from the national service provision assessment surveys","title-short":"Adherence to the integrated management of childhood illness guidelines in Namibia, Kenya, Tanzania and Uganda","volume":"17","author":[{"family":"Krüger","given":"Carsten"},{"family":"Heinzel-Gutenbrunner","given":"Monika"},{"family":"Ali","given":"Mohammed"}],"issued":{"date-parts":[["2017",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w:t>
            </w:r>
            <w:r>
              <w:rPr>
                <w:rFonts w:ascii="Times" w:eastAsia="Times New Roman" w:hAnsi="Times" w:cs="Times New Roman"/>
                <w:color w:val="000000"/>
                <w:sz w:val="16"/>
                <w:szCs w:val="16"/>
              </w:rPr>
              <w:fldChar w:fldCharType="end"/>
            </w:r>
          </w:p>
        </w:tc>
        <w:tc>
          <w:tcPr>
            <w:tcW w:w="709" w:type="dxa"/>
            <w:noWrap/>
            <w:hideMark/>
          </w:tcPr>
          <w:p w14:paraId="203E969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1C2447AC" w14:textId="2874BFEE"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Namibia, Kenya, Tanzania</w:t>
            </w:r>
            <w:r w:rsidR="00E15533">
              <w:rPr>
                <w:rFonts w:ascii="Times" w:eastAsia="Times New Roman" w:hAnsi="Times" w:cs="Times New Roman"/>
                <w:color w:val="000000"/>
                <w:sz w:val="16"/>
                <w:szCs w:val="16"/>
              </w:rPr>
              <w:t>,</w:t>
            </w:r>
            <w:r w:rsidRPr="00C0069F">
              <w:rPr>
                <w:rFonts w:ascii="Times" w:eastAsia="Times New Roman" w:hAnsi="Times" w:cs="Times New Roman"/>
                <w:color w:val="000000"/>
                <w:sz w:val="16"/>
                <w:szCs w:val="16"/>
              </w:rPr>
              <w:t xml:space="preserve"> Uganda</w:t>
            </w:r>
          </w:p>
        </w:tc>
        <w:tc>
          <w:tcPr>
            <w:tcW w:w="708" w:type="dxa"/>
            <w:noWrap/>
            <w:hideMark/>
          </w:tcPr>
          <w:p w14:paraId="36DE4E0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0964336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District hospitals, health centres, dispensaries</w:t>
            </w:r>
          </w:p>
        </w:tc>
        <w:tc>
          <w:tcPr>
            <w:tcW w:w="992" w:type="dxa"/>
            <w:noWrap/>
            <w:hideMark/>
          </w:tcPr>
          <w:p w14:paraId="64145CC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7C38ACF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254F612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Adherence to IMCI guideline</w:t>
            </w:r>
          </w:p>
        </w:tc>
        <w:tc>
          <w:tcPr>
            <w:tcW w:w="988" w:type="dxa"/>
            <w:noWrap/>
            <w:hideMark/>
          </w:tcPr>
          <w:p w14:paraId="7150146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82C76F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Non-physician clinician, nurse-midwife, auxiliary staff</w:t>
            </w:r>
          </w:p>
        </w:tc>
        <w:tc>
          <w:tcPr>
            <w:tcW w:w="1276" w:type="dxa"/>
            <w:noWrap/>
            <w:hideMark/>
          </w:tcPr>
          <w:p w14:paraId="4CDC7B6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4178106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61A8A1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IMCI</w:t>
            </w:r>
          </w:p>
        </w:tc>
        <w:tc>
          <w:tcPr>
            <w:tcW w:w="2268" w:type="dxa"/>
            <w:noWrap/>
            <w:hideMark/>
          </w:tcPr>
          <w:p w14:paraId="3330C7E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Training and re-training in IMCI</w:t>
            </w:r>
          </w:p>
        </w:tc>
        <w:tc>
          <w:tcPr>
            <w:tcW w:w="1134" w:type="dxa"/>
            <w:noWrap/>
            <w:hideMark/>
          </w:tcPr>
          <w:p w14:paraId="71710B0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18C11B4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433F757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748927F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Adherence rate higher in physicians and NPCs compared with nurses and auxiliary staff</w:t>
            </w:r>
          </w:p>
        </w:tc>
        <w:tc>
          <w:tcPr>
            <w:tcW w:w="2449" w:type="dxa"/>
            <w:gridSpan w:val="2"/>
            <w:noWrap/>
            <w:hideMark/>
          </w:tcPr>
          <w:p w14:paraId="4CCE5C1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1E8B7C18" w14:textId="77777777" w:rsidTr="00E15533">
        <w:trPr>
          <w:trHeight w:val="20"/>
        </w:trPr>
        <w:tc>
          <w:tcPr>
            <w:tcW w:w="567" w:type="dxa"/>
            <w:noWrap/>
            <w:hideMark/>
          </w:tcPr>
          <w:p w14:paraId="1F7AC113" w14:textId="6B51B823" w:rsidR="00F02432" w:rsidRPr="00C0069F" w:rsidRDefault="00F02432" w:rsidP="00F02432">
            <w:pPr>
              <w:ind w:right="160"/>
              <w:rPr>
                <w:rFonts w:ascii="Times" w:eastAsia="Times New Roman" w:hAnsi="Times" w:cs="Times New Roman"/>
                <w:noProof/>
                <w:color w:val="000000"/>
                <w:sz w:val="16"/>
                <w:szCs w:val="16"/>
              </w:rPr>
            </w:pPr>
            <w:r>
              <w:rPr>
                <w:rFonts w:ascii="Times" w:eastAsia="Times New Roman" w:hAnsi="Times" w:cs="Times New Roman"/>
                <w:noProof/>
                <w:color w:val="000000"/>
                <w:sz w:val="16"/>
                <w:szCs w:val="16"/>
              </w:rPr>
              <w:fldChar w:fldCharType="begin"/>
            </w:r>
            <w:r>
              <w:rPr>
                <w:rFonts w:ascii="Times" w:eastAsia="Times New Roman" w:hAnsi="Times" w:cs="Times New Roman"/>
                <w:noProof/>
                <w:color w:val="000000"/>
                <w:sz w:val="16"/>
                <w:szCs w:val="16"/>
              </w:rPr>
              <w:instrText xml:space="preserve"> ADDIN ZOTERO_ITEM CSL_CITATION {"citationID":"CGnY4cxb","properties":{"formattedCitation":"(9)","plainCitation":"(9)","noteIndex":0},"citationItems":[{"id":4275,"uris":["http://zotero.org/users/4975241/items/M8SWXXA4"],"uri":["http://zotero.org/users/4975241/items/M8SWXXA4"],"itemData":{"id":4275,"type":"article-journal","abstract":"Objectives To describe the case mix, interventions, procedures and management of patients in public emergency departments (ED) in Kenya.\nMethods An observational study over 24 h, of patients who presented to 15 public ED during the 3-month period from 1 October to 31 December 2010. The study was conducted across Kenya in two national referral hospitals, ﬁve secondary level hospitals and eight primary level hospitals. All patients presenting alive to the ED during the 24-h study period that were seen by a doctor or clinical ofﬁcer were included in the study. A data collection form was completed by the primary investigator at the time of the initial ED consultation documenting patient demographics, presenting complaints, investigations ordered, procedures done, initial diagnosis and outcome of ED consultation.\nResults Data on 1887 patient presentations were described. Adults ($13 years) accounted for the majority (70%) of patients. Two peak age groups, 0e9 and 20e29 years, accounted for 27% and 25% of patients, respectively. Respiratory and trauma presentations each accounted for 21% of presentations, with a wide spread of other presentations. Over half (58%) of the patients were investigated in the department. 385 patients received immediate treatment in the ED before discharge. Fewer than one in three patients admitted or transferred to specialist units received any therapy in the ED.\nConclusions ED in Kenya provide care to an undifferentiated patient population yet most of the immediate therapy is provided only to patients with minor conditions who are subsequently discharged. Sicker patients have to await transfer to wards or specialist units to start receiving treatment.","container-title":"Emergency Medicine Journal","DOI":"10.1136/emj.2011.113753","ISSN":"1472-0205, 1472-0213","issue":"6","journalAbbreviation":"Emerg Med J","language":"en","page":"473-476","source":"DOI.org (Crossref)","title":"An analysis of the clinical practice of emergency medicine in public emergency departments in Kenya","volume":"29","author":[{"family":"Wachira","given":"Benjamin W"},{"family":"Wallis","given":"Lee A"},{"family":"Geduld","given":"Heike"}],"issued":{"date-parts":[["2012",6]]}}}],"schema":"https://github.com/citation-style-language/schema/raw/master/csl-citation.json"} </w:instrText>
            </w:r>
            <w:r>
              <w:rPr>
                <w:rFonts w:ascii="Times" w:eastAsia="Times New Roman" w:hAnsi="Times" w:cs="Times New Roman"/>
                <w:noProof/>
                <w:color w:val="000000"/>
                <w:sz w:val="16"/>
                <w:szCs w:val="16"/>
              </w:rPr>
              <w:fldChar w:fldCharType="separate"/>
            </w:r>
            <w:r>
              <w:rPr>
                <w:rFonts w:ascii="Times" w:eastAsia="Times New Roman" w:hAnsi="Times" w:cs="Times New Roman"/>
                <w:noProof/>
                <w:color w:val="000000"/>
                <w:sz w:val="16"/>
                <w:szCs w:val="16"/>
              </w:rPr>
              <w:t>(9)</w:t>
            </w:r>
            <w:r>
              <w:rPr>
                <w:rFonts w:ascii="Times" w:eastAsia="Times New Roman" w:hAnsi="Times" w:cs="Times New Roman"/>
                <w:noProof/>
                <w:color w:val="000000"/>
                <w:sz w:val="16"/>
                <w:szCs w:val="16"/>
              </w:rPr>
              <w:fldChar w:fldCharType="end"/>
            </w:r>
          </w:p>
        </w:tc>
        <w:tc>
          <w:tcPr>
            <w:tcW w:w="709" w:type="dxa"/>
            <w:noWrap/>
            <w:hideMark/>
          </w:tcPr>
          <w:p w14:paraId="434DAD9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2012</w:t>
            </w:r>
          </w:p>
        </w:tc>
        <w:tc>
          <w:tcPr>
            <w:tcW w:w="851" w:type="dxa"/>
            <w:noWrap/>
            <w:hideMark/>
          </w:tcPr>
          <w:p w14:paraId="1608B8A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67A150E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32A9DDD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National referral hospital, secondary and primary level hospital</w:t>
            </w:r>
          </w:p>
        </w:tc>
        <w:tc>
          <w:tcPr>
            <w:tcW w:w="992" w:type="dxa"/>
            <w:noWrap/>
            <w:hideMark/>
          </w:tcPr>
          <w:p w14:paraId="39B0BA8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4BF1A29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0FF66B5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the case mix, interventions, procedures and patient management of emergency department</w:t>
            </w:r>
          </w:p>
        </w:tc>
        <w:tc>
          <w:tcPr>
            <w:tcW w:w="988" w:type="dxa"/>
            <w:noWrap/>
            <w:hideMark/>
          </w:tcPr>
          <w:p w14:paraId="7B81D50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ED7671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689B5BB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2B1B2ED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CE0A50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Acute care investigation, diagnosis and treatment</w:t>
            </w:r>
          </w:p>
        </w:tc>
        <w:tc>
          <w:tcPr>
            <w:tcW w:w="2268" w:type="dxa"/>
            <w:noWrap/>
            <w:hideMark/>
          </w:tcPr>
          <w:p w14:paraId="6127DCD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year training without specific training in emergency medicine</w:t>
            </w:r>
          </w:p>
        </w:tc>
        <w:tc>
          <w:tcPr>
            <w:tcW w:w="1134" w:type="dxa"/>
            <w:noWrap/>
            <w:hideMark/>
          </w:tcPr>
          <w:p w14:paraId="515072D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Sometimes clinical officers work alongside medical officer</w:t>
            </w:r>
          </w:p>
        </w:tc>
        <w:tc>
          <w:tcPr>
            <w:tcW w:w="1134" w:type="dxa"/>
            <w:noWrap/>
            <w:hideMark/>
          </w:tcPr>
          <w:p w14:paraId="165234D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AC1DF5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AA0FDA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7D2F66E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7A1C536C" w14:textId="77777777" w:rsidTr="00E15533">
        <w:trPr>
          <w:trHeight w:val="20"/>
        </w:trPr>
        <w:tc>
          <w:tcPr>
            <w:tcW w:w="567" w:type="dxa"/>
            <w:noWrap/>
            <w:hideMark/>
          </w:tcPr>
          <w:p w14:paraId="682465FB" w14:textId="120F62B2" w:rsidR="00F02432" w:rsidRPr="00C0069F" w:rsidRDefault="00F02432"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wgBZwdh8","properties":{"formattedCitation":"(10)","plainCitation":"(10)","noteIndex":0},"citationItems":[{"id":4314,"uris":["http://zotero.org/users/4975241/items/SLRGNBIP"],"uri":["http://zotero.org/users/4975241/items/SLRGNBIP"],"itemData":{"id":4314,"type":"article-journal","abstract":"As less than twenty five per cent of persons suffering from malaria seek formal treatment in most of sub-Saharan Africa, Facility-based morbidity statistics are inadequate for monitoring malaria control programmes. This explorative study assessed whether a health centre equipped with a microscope and trained personnel could monitor malaria transmission within its catchment area. The study was conducted at Chemase Health Centre in Nandi District in Kenya, an area holoendemic for malaria with Anopheles gambiae as the main vector and Plasmodium falciparum as the commonest cause of malaria. From first August to 31 October 1991, first seven children under five years of age on each working day accompanied by their mothers to the maternal and child health clinic were studied. A general examination was performed by a Registered Clinical Officer (Medical Assistant) and thin and thick blood smears made, stained with Giemsa stain and examined for malaria parasites by a Medical Laboratory Technologist. Mothers were interviewed by enrolled community nurses on antimalarial measures they were using in their homes. Four hundred and fifty five children mostly under five years of age, consisting of 48.1% males and 51.9% females, were studied. Malaria parasites were present in 209 (45.9%) blood smears of the children. The percentage of blood smears positive for malaria parasites was high in children below 36 months of age. There was a tendency for low percentage of blood smears positive for malaria in children whose mothers reported using mosquito nets or insecticide sprays. The study did not interrupt the routine of the health centre. Periodic monitoring of new malaria illnesses. and percentage of blood smears positive for malaria parasites in children aged 0 to 35 months should be introduced into health centre practice in Kenya. This catchment area approach could be used to monitor malaria control programmes as well as predicting malaria epidemics.","container-title":"East African Medical Journal","ISSN":"0012-835X","issue":"9","journalAbbreviation":"East Afr Med J","language":"eng","note":"00000 \nPMID: 9487433","page":"573-575","source":"PubMed","title":"An evaluation of surveillance of malaria at primary health care level in Kenya","volume":"74","author":[{"family":"Some","given":"E. S."},{"family":"Koech","given":"D. K."},{"family":"Ochogo","given":"J. O."},{"family":"Ocholla","given":"F."},{"family":"Mumbi","given":"F."}],"issued":{"date-parts":[["1997",9]]}}}],"schema":"https://github.com/citation-style-language/schema/raw/master/csl-citation.json"}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(10)</w:t>
            </w:r>
            <w:r>
              <w:rPr>
                <w:rFonts w:ascii="Times" w:eastAsia="Times New Roman" w:hAnsi="Times" w:cs="Times New Roman"/>
                <w:color w:val="000000"/>
                <w:sz w:val="16"/>
                <w:szCs w:val="16"/>
              </w:rPr>
              <w:fldChar w:fldCharType="end"/>
            </w:r>
          </w:p>
        </w:tc>
        <w:tc>
          <w:tcPr>
            <w:tcW w:w="709" w:type="dxa"/>
            <w:noWrap/>
            <w:hideMark/>
          </w:tcPr>
          <w:p w14:paraId="5769300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1997</w:t>
            </w:r>
          </w:p>
        </w:tc>
        <w:tc>
          <w:tcPr>
            <w:tcW w:w="851" w:type="dxa"/>
            <w:noWrap/>
            <w:hideMark/>
          </w:tcPr>
          <w:p w14:paraId="7964D20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2BD9A9E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5857396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Maternal and child health clinic</w:t>
            </w:r>
          </w:p>
        </w:tc>
        <w:tc>
          <w:tcPr>
            <w:tcW w:w="992" w:type="dxa"/>
            <w:noWrap/>
            <w:hideMark/>
          </w:tcPr>
          <w:p w14:paraId="25426A1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under five</w:t>
            </w:r>
          </w:p>
        </w:tc>
        <w:tc>
          <w:tcPr>
            <w:tcW w:w="992" w:type="dxa"/>
            <w:noWrap/>
            <w:hideMark/>
          </w:tcPr>
          <w:p w14:paraId="7FEC618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2A67215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malaria treatment and surveillance in the health facility</w:t>
            </w:r>
          </w:p>
        </w:tc>
        <w:tc>
          <w:tcPr>
            <w:tcW w:w="988" w:type="dxa"/>
            <w:noWrap/>
            <w:hideMark/>
          </w:tcPr>
          <w:p w14:paraId="517796A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w:t>
            </w:r>
          </w:p>
        </w:tc>
        <w:tc>
          <w:tcPr>
            <w:tcW w:w="1417" w:type="dxa"/>
            <w:noWrap/>
            <w:hideMark/>
          </w:tcPr>
          <w:p w14:paraId="73DC0C9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community nurse</w:t>
            </w:r>
          </w:p>
        </w:tc>
        <w:tc>
          <w:tcPr>
            <w:tcW w:w="1276" w:type="dxa"/>
            <w:noWrap/>
            <w:hideMark/>
          </w:tcPr>
          <w:p w14:paraId="5BDAE67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Malaria</w:t>
            </w:r>
          </w:p>
        </w:tc>
        <w:tc>
          <w:tcPr>
            <w:tcW w:w="992" w:type="dxa"/>
            <w:noWrap/>
            <w:hideMark/>
          </w:tcPr>
          <w:p w14:paraId="77C89B0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65F04B0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Malaria screening through blood smear</w:t>
            </w:r>
          </w:p>
        </w:tc>
        <w:tc>
          <w:tcPr>
            <w:tcW w:w="2268" w:type="dxa"/>
            <w:noWrap/>
            <w:hideMark/>
          </w:tcPr>
          <w:p w14:paraId="4E7B7CE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72735B3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E7F611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07BD736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A01C09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045355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5E2DA0A0" w14:textId="77777777" w:rsidTr="00E15533">
        <w:trPr>
          <w:trHeight w:val="20"/>
        </w:trPr>
        <w:tc>
          <w:tcPr>
            <w:tcW w:w="567" w:type="dxa"/>
            <w:noWrap/>
            <w:hideMark/>
          </w:tcPr>
          <w:p w14:paraId="2BB94A00" w14:textId="519282DE" w:rsidR="00F02432" w:rsidRPr="00C0069F" w:rsidRDefault="00F02432"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NH8uP3KA","properties":{"formattedCitation":"(11)","plainCitation":"(11)","noteIndex":0},"citationItems":[{"id":4273,"uris":["http://zotero.org/users/4975241/items/DUMPUITV"],"uri":["http://zotero.org/users/4975241/items/DUMPUITV"],"itemData":{"id":4273,"type":"article-journal","abstract":"Introduction: The increase in resistance of many pathogens to currently available antibiotics has been recognized as life-threatening problem. The development of drug resistance is promoted by irrational prescribing behavior. Inappropriate use of antibiotics is attributed by overprescription, inadequate dosage and use for non-bacterial infections. The purpose of this study was to assess antibiotic prescribing practices in the management of diarrhoea and cough among children attending hospitals in Moshi municipal, Tanzania. Methods: We conducted a cross-sectional descriptive hospital based study, from September 2010 to March 2011. All children presenting with diarrhoea and cough, aged between one month and 5years attended at the two hospitals were enrolled. Data were collected by a standard questionnaire. Information on the prescribed drugs was obtained from patient files. Results: A total of 384 children were enrolled. Of these, 326 (84.9%) received antibiotics; common prescribed antibiotics were penicillins, sulphonamides, aminoglycosides and macrolides. Eighty percent of children with acute watery diarrhoea and 68.9% with common cold were given antibiotics inappropriately. Inappropriate antibiotic prescription was significantly associated with prescriber being a clinical officer and assistant medical officer, and child having diarrhoea. Inappropriate antibiotic dosage was significantly occurred when prescriber was clinical officer with reference to medical officer. Conclusion: This study observed a high antibiotic prescription rate by clinicians and treatment guidelines for management of patients who presented with cough and/or diarrhoea are followed. Continuing professional development programmes for clinicians on prescription would help in reducing irrational prescribing practices.","language":"en","page":"8","source":"Zotero","title":"Antibiotic prescribing practice in management of cough and/or diarrhoea in Moshi Municipality, Northern Tanzania: cross-sectional descriptive study","author":[{"family":"Gwimile","given":"Judith John"},{"family":"Shekalaghe","given":"Seif Abdallah"},{"family":"Kapanda","given":"Gibson Nsokolo"},{"family":"Kisanga","given":"Elton Richard"}]}}],"schema":"https://github.com/citation-style-language/schema/raw/master/csl-citation.json"}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(11)</w:t>
            </w:r>
            <w:r>
              <w:rPr>
                <w:rFonts w:ascii="Times" w:eastAsia="Times New Roman" w:hAnsi="Times" w:cs="Times New Roman"/>
                <w:color w:val="000000"/>
                <w:sz w:val="16"/>
                <w:szCs w:val="16"/>
              </w:rPr>
              <w:fldChar w:fldCharType="end"/>
            </w:r>
          </w:p>
        </w:tc>
        <w:tc>
          <w:tcPr>
            <w:tcW w:w="709" w:type="dxa"/>
            <w:noWrap/>
            <w:hideMark/>
          </w:tcPr>
          <w:p w14:paraId="7E58BC4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2012</w:t>
            </w:r>
          </w:p>
        </w:tc>
        <w:tc>
          <w:tcPr>
            <w:tcW w:w="851" w:type="dxa"/>
            <w:noWrap/>
            <w:hideMark/>
          </w:tcPr>
          <w:p w14:paraId="2D3C380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Tanzania</w:t>
            </w:r>
          </w:p>
        </w:tc>
        <w:tc>
          <w:tcPr>
            <w:tcW w:w="708" w:type="dxa"/>
            <w:noWrap/>
            <w:hideMark/>
          </w:tcPr>
          <w:p w14:paraId="7A3D3F0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1AA7C00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Paediatric ward and outpatient clinics in regional hospital</w:t>
            </w:r>
          </w:p>
        </w:tc>
        <w:tc>
          <w:tcPr>
            <w:tcW w:w="992" w:type="dxa"/>
            <w:noWrap/>
            <w:hideMark/>
          </w:tcPr>
          <w:p w14:paraId="307E369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7501103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44D864F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antibiotic prescribe practice for cough and diarrhoea</w:t>
            </w:r>
          </w:p>
        </w:tc>
        <w:tc>
          <w:tcPr>
            <w:tcW w:w="988" w:type="dxa"/>
            <w:noWrap/>
            <w:hideMark/>
          </w:tcPr>
          <w:p w14:paraId="3CA59D1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887400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assistant medical officer</w:t>
            </w:r>
          </w:p>
        </w:tc>
        <w:tc>
          <w:tcPr>
            <w:tcW w:w="1276" w:type="dxa"/>
            <w:noWrap/>
            <w:hideMark/>
          </w:tcPr>
          <w:p w14:paraId="37B06F3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06A7519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BF1178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Cough and/or diarrhoea treatment</w:t>
            </w:r>
          </w:p>
        </w:tc>
        <w:tc>
          <w:tcPr>
            <w:tcW w:w="2268" w:type="dxa"/>
            <w:noWrap/>
            <w:hideMark/>
          </w:tcPr>
          <w:p w14:paraId="4B21109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E86CD5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4817EC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6E9FDF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9C022B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Inappropriate prescription was more frequent among clinical officers than assistant medical officers and medical officers (48.9% vs. 30.1% and 13.0% respectively)</w:t>
            </w:r>
          </w:p>
        </w:tc>
        <w:tc>
          <w:tcPr>
            <w:tcW w:w="2449" w:type="dxa"/>
            <w:gridSpan w:val="2"/>
            <w:noWrap/>
            <w:hideMark/>
          </w:tcPr>
          <w:p w14:paraId="4B001B8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7625D228" w14:textId="77777777" w:rsidTr="00E15533">
        <w:trPr>
          <w:trHeight w:val="20"/>
        </w:trPr>
        <w:tc>
          <w:tcPr>
            <w:tcW w:w="567" w:type="dxa"/>
            <w:noWrap/>
            <w:hideMark/>
          </w:tcPr>
          <w:p w14:paraId="17780101" w14:textId="749EB76B" w:rsidR="00F02432" w:rsidRPr="00C0069F" w:rsidRDefault="00F02432"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8xUhM7ox","properties":{"formattedCitation":"(12)","plainCitation":"(12)","noteIndex":0},"citationItems":[{"id":4272,"uris":["http://zotero.org/users/4975241/items/PESTZ38G"],"uri":["http://zotero.org/users/4975241/items/PESTZ38G"],"itemData":{"id":4272,"type":"article-journal","abstract":"Introduction: Lesotho has the third highest HIV prevalence in the world (an adult prevalence of 23.2%). Despite a lack of resources for health, the country has implemented state-of-the-art antiretroviral treatment guidelines, including early initiation of treatment (&lt;350 cells/mm3), tenofovir in first line, and nurse-initiated and managed HIV care, including antiretroviral therapy (ART), at primary health care level.","container-title":"Journal of the International AIDS Society","DOI":"10.1186/1758-2652-12-23","ISSN":"17582652","issue":"1","journalAbbreviation":"Journal of the International AIDS Society","language":"en","page":"23-23","source":"DOI.org (Crossref)","title":"Antiretroviral treatment outcomes from a nurse-driven, community-supported HIV/AIDS treatment programme in rural Lesotho: observational cohort assessment at two years","title-short":"Antiretroviral treatment outcomes from a nurse-driven, community-supported HIV/AIDS treatment programme in rural Lesotho","volume":"12","author":[{"family":"Cohen","given":"Rachel"},{"family":"Lynch","given":"Sharonann"},{"family":"Bygrave","given":"Helen"},{"family":"Eggers","given":"Evi"},{"family":"Vlahakis","given":"Natalie"},{"family":"Hilderbrand","given":"Katherine"},{"family":"Knight","given":"Louise"},{"family":"Pillay","given":"Prinitha"},{"family":"Saranchuk","given":"Peter"},{"family":"Goemaere","given":"Eric"},{"family":"Makakole","given":"Lipontso"},{"family":"Ford","given":"Nathan"}],"issued":{"date-parts":[["2009",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(12)</w:t>
            </w:r>
            <w:r>
              <w:rPr>
                <w:rFonts w:ascii="Times" w:eastAsia="Times New Roman" w:hAnsi="Times" w:cs="Times New Roman"/>
                <w:color w:val="000000"/>
                <w:sz w:val="16"/>
                <w:szCs w:val="16"/>
              </w:rPr>
              <w:fldChar w:fldCharType="end"/>
            </w:r>
          </w:p>
        </w:tc>
        <w:tc>
          <w:tcPr>
            <w:tcW w:w="709" w:type="dxa"/>
            <w:noWrap/>
            <w:hideMark/>
          </w:tcPr>
          <w:p w14:paraId="71CB45E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2009</w:t>
            </w:r>
          </w:p>
        </w:tc>
        <w:tc>
          <w:tcPr>
            <w:tcW w:w="851" w:type="dxa"/>
            <w:noWrap/>
            <w:hideMark/>
          </w:tcPr>
          <w:p w14:paraId="1E456DC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Lesotho</w:t>
            </w:r>
          </w:p>
        </w:tc>
        <w:tc>
          <w:tcPr>
            <w:tcW w:w="708" w:type="dxa"/>
            <w:noWrap/>
            <w:hideMark/>
          </w:tcPr>
          <w:p w14:paraId="68917AC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Cohort</w:t>
            </w:r>
          </w:p>
        </w:tc>
        <w:tc>
          <w:tcPr>
            <w:tcW w:w="1418" w:type="dxa"/>
            <w:noWrap/>
            <w:hideMark/>
          </w:tcPr>
          <w:p w14:paraId="30201E6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One district hospital, 14 clinics</w:t>
            </w:r>
          </w:p>
        </w:tc>
        <w:tc>
          <w:tcPr>
            <w:tcW w:w="992" w:type="dxa"/>
            <w:noWrap/>
            <w:hideMark/>
          </w:tcPr>
          <w:p w14:paraId="5B3C184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2B7C767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60D8C9A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outcome of nurse-driven community supported HIV/AIDS treatment program</w:t>
            </w:r>
          </w:p>
        </w:tc>
        <w:tc>
          <w:tcPr>
            <w:tcW w:w="988" w:type="dxa"/>
            <w:noWrap/>
            <w:hideMark/>
          </w:tcPr>
          <w:p w14:paraId="77BD0E7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w:t>
            </w:r>
          </w:p>
        </w:tc>
        <w:tc>
          <w:tcPr>
            <w:tcW w:w="1417" w:type="dxa"/>
            <w:noWrap/>
            <w:hideMark/>
          </w:tcPr>
          <w:p w14:paraId="2AE1D72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nursing assistant</w:t>
            </w:r>
          </w:p>
        </w:tc>
        <w:tc>
          <w:tcPr>
            <w:tcW w:w="1276" w:type="dxa"/>
            <w:noWrap/>
            <w:hideMark/>
          </w:tcPr>
          <w:p w14:paraId="3507FC3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0E6385E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B15949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25F12C6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Quarterly intensive in-service theoretical and practical one week training; Targeted training provided on the basis of weakness identified via evaluations and supervision.</w:t>
            </w:r>
          </w:p>
        </w:tc>
        <w:tc>
          <w:tcPr>
            <w:tcW w:w="1134" w:type="dxa"/>
            <w:noWrap/>
            <w:hideMark/>
          </w:tcPr>
          <w:p w14:paraId="30407D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Weekly or bi-weekly visit by doctor or nurse clinician</w:t>
            </w:r>
          </w:p>
        </w:tc>
        <w:tc>
          <w:tcPr>
            <w:tcW w:w="1134" w:type="dxa"/>
            <w:noWrap/>
            <w:hideMark/>
          </w:tcPr>
          <w:p w14:paraId="3526DEE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F428EC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76B2A2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53BE75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Satisfactory outcome with 80% patients still alive and in care by 12 months and 76.5% still in care at 24 months</w:t>
            </w:r>
          </w:p>
        </w:tc>
      </w:tr>
      <w:tr w:rsidR="00591F5E" w:rsidRPr="00C0069F" w14:paraId="6C2D6E6B" w14:textId="77777777" w:rsidTr="00E15533">
        <w:trPr>
          <w:trHeight w:val="20"/>
        </w:trPr>
        <w:tc>
          <w:tcPr>
            <w:tcW w:w="567" w:type="dxa"/>
            <w:noWrap/>
            <w:hideMark/>
          </w:tcPr>
          <w:p w14:paraId="23FC5087" w14:textId="4CD6D358" w:rsidR="00F02432" w:rsidRPr="00C0069F" w:rsidRDefault="00F02432"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Lbi573O8","properties":{"formattedCitation":"(13)","plainCitation":"(13)","noteIndex":0},"citationItems":[{"id":4316,"uris":["http://zotero.org/users/4975241/items/J8HMHG82"],"uri":["http://zotero.org/users/4975241/items/J8HMHG82"],"itemData":{"id":4316,"type":"thesis","abstract":"Background: A world-wide human resources for health crisis has stimulated a call for further investment in human resource training and a search for alternative health service delivery models to fill large existing service delivery gaps. The overall lack of trained health workers and difficulties in posting and retaining highly trained health workers in rural areas for the provision of primary health care, has led a number of countries to pragmatically shift their attention to the creation of new, or the strengthening of existing, non-physician clinician programs. In the 1970’s Nigeria created a non-physician clinician cadre of community health extension workers who together with nurses, has come to provide the bulk of the public primary health services in the country. Last year, with the Nigerian Federal Government’s new task-shifting strategy, the responsibilities for provision of primary care by these non-physician clinicians has been expanded and more clearly defined. Little is known, however, about the knowledge that these cadres have regarding the provision of primary care, especially as compared to physicians. The overall aim of this dissertation was to estimate the differences in knowledge of clinical guidelines for the overall delivery of primary care (paper 1) and specifically, the treatment of childhood pneumonia (paper 2) and screening of type II Diabetes (paper 3), between non-physician clinicians and medical officers in Nigeria. We defined non-physician clinicians as Community Health Officers (CHOs), Nurse Officers, Nurse Midwives, Community Health Extension Workers (CHEWs) and Junior Community Health Extension Workers (JCHEWs). \nMethods: We used data collected by the World Bank’s Service Delivery Indicator Survey from 12 Nigerian states in 2013. The survey interviewed a total of 5,192 health workers from 2,480 health facilities using clinical vignettes to assess their knowledge for the consultation of five hypothetical cases: (1) of a child presenting with diarrhea, (2) a child with pneumonia, (3) an adult with type II Diabetes, (4) an adult with Tuberculosis and (5) a child with malaria. For paper 1, using the Nigerian Standing Orders (clinical guidelines) we created aggregate variables for (i) the knowledge of consultation process guidelines, (ii) diagnostic accuracy and  (iii) knowledge of treatment guidelines for each health worker across the five cases as indicators of overall primary care knowledge. We used facility-level fixed-effects regression models with controls for health worker characteristics for each of our aggregate variables to estimate differences in knowledge between Medical Officers and non-physician clinician cadres. For paper 2, we focused our attention on the differences between Medical Officer and non-physician clinician knowledge of the treatment guidelines for a case of pneumonia. We used facility-level fixed effect logistic regression models with controls for health worker characteristics to estimate differences in knowledge of each treatment component as well as the provision of a full treatment.  For paper 3, we focused on the differences in knowledge between Medical Officers and non-physician clinician cadres for the screening of a case of type II diabetes. We used facility-level fixed effects logistic regression model with controls for health worker characteristics to estimate the differences in knowledge of the clinical guidelines for screening and the diagnostic accuracy between these cadres. \nResults: Across our three papers we found low overall health worker knowledge of clinical guidelines for consultation, diagnosis and treatment. Results from Paper 1 point to small, albeit significant differences in the knowledge of consultation process clinical guidelines between Medical Officers and non-physician clinician cadres, significant differences in diagnostic accuracy for CHEWs and JCHEWs but not other cadres, and no significant differences in knowledge of treatment guidelines between these cadres. With analyses from Paper 2, we find that although Medical Officers have significantly greater knowledge of the consultation process guidelines and are better able to identify a case of pneumonia; they are equally or less likely to know to prescribe the full treatment to a child with this illness than are non-physician clinicians. Our findings suggest that non-physician clinicians compare favorably with Medical Officers in their knowledge to prescribe recommended or effective antibiotics, equally or more likely to know to recommend paracetamol and more likely to know to recommend follow-up, as are Medical Officers, when treating a childhood case of pneumonia. In Paper 3 we find that Medical Officers are more likely to know the clinical guidelines for the screening of a patient with type II Diabetes when compared to CHOs, CHEWs and JCHEWs but not Nurse Officers or Nurse Midwives. Although Medical Officers have greater knowledge of the guidelines, they are not more accurate in their identification of a hypothetical type II Diabetes case than are all non-physician clinician cadres except for JCHEWs. Our overall analyses suggest no differences in the effects of gender nor experience on health worker knowledge but, point to significantly greater differences in the knowledge of health workers who ask more non-essential questions during the vignettes interviews than those who do not. \nConclusion: Our overall results suggest that non-physician clinicians display similar or equal levels of knowledge for the provision of primary care, pneumonia treatment and screening of type II diabetes than Medical Officers and could, hence, deliver equal quality primary health services as physicians. Although task-shifting might not undermine the quality of primary care delivered in Nigeria, the low levels of overall knowledge across all cadres call for greater efforts to improve health worker knowledge.","genre":"Thesis","language":"en_US","note":"00000 \nAccepted: 2016-12-15T07:41:22Z","publisher":"Johns Hopkins University","source":"jscholarship.library.jhu.edu","title":"As Good As Doctors?: Task-Shifting Primary Care to Non-Physician Clinicians in Nigeria","title-short":"As Good As Doctors?","URL":"https://dspace-prod.mse.jhu.edu/handle/1774.2/39670","author":[{"family":"Villar Uribe","given":"Manuela"}],"accessed":{"date-parts":[["2021",3,7]]},"issued":{"date-parts":[["2016",1,11]]}}}],"schema":"https://github.com/citation-style-language/schema/raw/master/csl-citation.json"}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(13)</w:t>
            </w:r>
            <w:r>
              <w:rPr>
                <w:rFonts w:ascii="Times" w:eastAsia="Times New Roman" w:hAnsi="Times" w:cs="Times New Roman"/>
                <w:color w:val="000000"/>
                <w:sz w:val="16"/>
                <w:szCs w:val="16"/>
              </w:rPr>
              <w:fldChar w:fldCharType="end"/>
            </w:r>
          </w:p>
        </w:tc>
        <w:tc>
          <w:tcPr>
            <w:tcW w:w="709" w:type="dxa"/>
            <w:noWrap/>
            <w:hideMark/>
          </w:tcPr>
          <w:p w14:paraId="21AA189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2016</w:t>
            </w:r>
          </w:p>
        </w:tc>
        <w:tc>
          <w:tcPr>
            <w:tcW w:w="851" w:type="dxa"/>
            <w:noWrap/>
            <w:hideMark/>
          </w:tcPr>
          <w:p w14:paraId="157E58F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Nigeria</w:t>
            </w:r>
          </w:p>
        </w:tc>
        <w:tc>
          <w:tcPr>
            <w:tcW w:w="708" w:type="dxa"/>
            <w:noWrap/>
            <w:hideMark/>
          </w:tcPr>
          <w:p w14:paraId="2B28864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4CB322C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and secondary facilities</w:t>
            </w:r>
          </w:p>
        </w:tc>
        <w:tc>
          <w:tcPr>
            <w:tcW w:w="992" w:type="dxa"/>
            <w:noWrap/>
            <w:hideMark/>
          </w:tcPr>
          <w:p w14:paraId="0F4960B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under five</w:t>
            </w:r>
          </w:p>
        </w:tc>
        <w:tc>
          <w:tcPr>
            <w:tcW w:w="992" w:type="dxa"/>
            <w:noWrap/>
            <w:hideMark/>
          </w:tcPr>
          <w:p w14:paraId="0D0F359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1B8728F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knowledge, diagnostics accuracy of health workers</w:t>
            </w:r>
          </w:p>
        </w:tc>
        <w:tc>
          <w:tcPr>
            <w:tcW w:w="988" w:type="dxa"/>
            <w:noWrap/>
            <w:hideMark/>
          </w:tcPr>
          <w:p w14:paraId="2B3C2A8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E396FB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Non-physician clinician including community health officer, nurse officer, nurse midwife, community health extension workers</w:t>
            </w:r>
          </w:p>
        </w:tc>
        <w:tc>
          <w:tcPr>
            <w:tcW w:w="1276" w:type="dxa"/>
            <w:noWrap/>
            <w:hideMark/>
          </w:tcPr>
          <w:p w14:paraId="3C7F891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03B9EC8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EB3B5F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IMCI</w:t>
            </w:r>
          </w:p>
        </w:tc>
        <w:tc>
          <w:tcPr>
            <w:tcW w:w="2268" w:type="dxa"/>
            <w:noWrap/>
            <w:hideMark/>
          </w:tcPr>
          <w:p w14:paraId="1F594E3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Training provided</w:t>
            </w:r>
          </w:p>
        </w:tc>
        <w:tc>
          <w:tcPr>
            <w:tcW w:w="1134" w:type="dxa"/>
            <w:noWrap/>
            <w:hideMark/>
          </w:tcPr>
          <w:p w14:paraId="4019E99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D22673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BDEBFB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Medical officers show significantly higher knowledge of the consultation process, significantly higher diagnostic accuracy, but significantly lower knowledge of the treatment guidelines than non-physician clinicians.</w:t>
            </w:r>
          </w:p>
        </w:tc>
        <w:tc>
          <w:tcPr>
            <w:tcW w:w="2448" w:type="dxa"/>
            <w:gridSpan w:val="2"/>
            <w:noWrap/>
            <w:hideMark/>
          </w:tcPr>
          <w:p w14:paraId="5B6E7AD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Medical officers asked more physical examination and history taking questions, accurately diagnose cases, prescribed accurate treatment than other cadres</w:t>
            </w:r>
          </w:p>
        </w:tc>
        <w:tc>
          <w:tcPr>
            <w:tcW w:w="2449" w:type="dxa"/>
            <w:gridSpan w:val="2"/>
            <w:noWrap/>
            <w:hideMark/>
          </w:tcPr>
          <w:p w14:paraId="386A96F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6850E62E" w14:textId="77777777" w:rsidTr="00E15533">
        <w:trPr>
          <w:trHeight w:val="20"/>
        </w:trPr>
        <w:tc>
          <w:tcPr>
            <w:tcW w:w="567" w:type="dxa"/>
            <w:noWrap/>
            <w:hideMark/>
          </w:tcPr>
          <w:p w14:paraId="25F1FB07" w14:textId="277F3389"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sY09nAYc","properties":{"formattedCitation":"(14)","plainCitation":"(14)","noteIndex":0},"citationItems":[{"id":4269,"uris":["http://zotero.org/users/4975241/items/DRANESTZ"],"uri":["http://zotero.org/users/4975241/items/DRANESTZ"],"itemData":{"id":4269,"type":"article-journal","abstract":"Background: The density of the nursing and maternal child health nursing workforce in Mozambique (0.32/1000) is well below the WHO minimum standard of 1 nurse per 1000. Two levels of education were being offered for both nurses and maternal child health nurses, in programmes ranging from 18 to 30 months in length. The health care workforce in Mozambique also includes Medical Technicians and Medical Agents, who are also educated at either basic or mid-level. The Ministry of Health determined the need to document the tasks that each of the six cadres was performing within various health facilities to identify gaps, and duplications, in order to identify strategies for streamlining workforce production, while retaining highest educational and competency standards. The methodology of task analysis (TA) was used to achieve this objective. This article provides information about the TA methodology, and selected outcomes of the very broad study.\nMethods: A cross-sectional descriptive task analysis survey was conducted over a 15 month period (2008–2009). A stratified sample of 1295 individuals was recruited from every type of health facility in all of Mozambique’s 10 provinces and in Maputo City. Respondents indicated how frequently they performed any of 233 patient care tasks. Data analysis focused on identifying areas where identical tasks were performed by the various cadres. Analyses addressed frequency of performance, grouped by level of educational preparation, within various types of health facilities.\nResults: Task sharing ranged from 74% to 88% between basic and general nurse cadres and from 54% to 88% between maternal and child health nurse cadres, within various health facility types. Conversely, there was distinction between scope of practice for nursing and maternal/child health nursing cadres.\nConclusion: The educational pathways to general nursing and maternal/child health nursing careers were consolidated into one 24 month programme for each career. The scopes of practice were affirmed based on task analysis survey data.","container-title":"Human Resources for Health","DOI":"10.1186/1478-4491-12-5","ISSN":"1478-4491","issue":"1","journalAbbreviation":"Hum Resour Health","language":"en","page":"5","source":"DOI.org (Crossref)","title":"Assessment of the nursing skill mix in Mozambique using a task analysis methodology","volume":"12","author":[{"family":"Dgedge","given":"Martinho"},{"family":"Mendoza","given":"Angel"},{"family":"Necochea","given":"Edgar"},{"family":"Bossemeyer","given":"Debora"},{"family":"Rajabo","given":"Maharifa"},{"family":"Fullerton","given":"Judith"}],"issued":{"date-parts":[["2014",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(14)</w:t>
            </w:r>
            <w:r>
              <w:rPr>
                <w:rFonts w:ascii="Times" w:eastAsia="Times New Roman" w:hAnsi="Times" w:cs="Times New Roman"/>
                <w:color w:val="000000"/>
                <w:sz w:val="16"/>
                <w:szCs w:val="16"/>
              </w:rPr>
              <w:fldChar w:fldCharType="end"/>
            </w:r>
          </w:p>
        </w:tc>
        <w:tc>
          <w:tcPr>
            <w:tcW w:w="709" w:type="dxa"/>
            <w:noWrap/>
            <w:hideMark/>
          </w:tcPr>
          <w:p w14:paraId="4F3814A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357C639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Mozambique</w:t>
            </w:r>
          </w:p>
        </w:tc>
        <w:tc>
          <w:tcPr>
            <w:tcW w:w="708" w:type="dxa"/>
            <w:noWrap/>
            <w:hideMark/>
          </w:tcPr>
          <w:p w14:paraId="00048DE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49C5147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types of facility</w:t>
            </w:r>
          </w:p>
        </w:tc>
        <w:tc>
          <w:tcPr>
            <w:tcW w:w="992" w:type="dxa"/>
            <w:noWrap/>
            <w:hideMark/>
          </w:tcPr>
          <w:p w14:paraId="28AFC80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7A99298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60DB055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Task analysis assessing nursing skill mix</w:t>
            </w:r>
          </w:p>
        </w:tc>
        <w:tc>
          <w:tcPr>
            <w:tcW w:w="988" w:type="dxa"/>
            <w:noWrap/>
            <w:hideMark/>
          </w:tcPr>
          <w:p w14:paraId="4D68F0F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417" w:type="dxa"/>
            <w:noWrap/>
            <w:hideMark/>
          </w:tcPr>
          <w:p w14:paraId="4DF1E29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Medical technician, medical agent</w:t>
            </w:r>
          </w:p>
        </w:tc>
        <w:tc>
          <w:tcPr>
            <w:tcW w:w="1276" w:type="dxa"/>
            <w:noWrap/>
            <w:hideMark/>
          </w:tcPr>
          <w:p w14:paraId="538E9C0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Others</w:t>
            </w:r>
          </w:p>
        </w:tc>
        <w:tc>
          <w:tcPr>
            <w:tcW w:w="992" w:type="dxa"/>
            <w:noWrap/>
            <w:hideMark/>
          </w:tcPr>
          <w:p w14:paraId="2104F5A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6513FE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Nursing care</w:t>
            </w:r>
          </w:p>
        </w:tc>
        <w:tc>
          <w:tcPr>
            <w:tcW w:w="2268" w:type="dxa"/>
            <w:noWrap/>
            <w:hideMark/>
          </w:tcPr>
          <w:p w14:paraId="060DE6F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Pre-service education</w:t>
            </w:r>
          </w:p>
        </w:tc>
        <w:tc>
          <w:tcPr>
            <w:tcW w:w="1134" w:type="dxa"/>
            <w:noWrap/>
            <w:hideMark/>
          </w:tcPr>
          <w:p w14:paraId="5E61C42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67AFF29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3FBBCC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B85807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B9E708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7F4A00AF" w14:textId="77777777" w:rsidTr="00E15533">
        <w:trPr>
          <w:trHeight w:val="20"/>
        </w:trPr>
        <w:tc>
          <w:tcPr>
            <w:tcW w:w="567" w:type="dxa"/>
            <w:noWrap/>
            <w:hideMark/>
          </w:tcPr>
          <w:p w14:paraId="029B5073" w14:textId="6EC6B881"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ZhzBVmoc","properties":{"formattedCitation":"(15)","plainCitation":"(15)","noteIndex":0},"citationItems":[{"id":4265,"uris":["http://zotero.org/users/4975241/items/4DQ7DXEW"],"uri":["http://zotero.org/users/4975241/items/4DQ7DXEW"],"itemData":{"id":4265,"type":"article-journal","container-title":"Tropical Medicine &amp; International Health","DOI":"10.1111/tmi.12326","ISSN":"13602276","issue":"8","journalAbbreviation":"Trop Med Int Health","language":"en","page":"978-987","source":"DOI.org (Crossref)","title":"CD4 count outperforms World Health Organization clinical algorithm for point-of-care HIV diagnosis among hospitalised HIV-exposed Malawian infants","volume":"19","author":[{"family":"Maliwichi","given":"Madalitso"},{"family":"Rosenberg","given":"Nora E."},{"family":"Macfie","given":"Rebekah"},{"family":"Olson","given":"Dan"},{"family":"Hoffman","given":"Irving"},{"family":"Horst","given":"Charles M.","non-dropping-particle":"van der"},{"family":"Kazembe","given":"Peter N."},{"family":"Hosseinipour","given":"Mina C."},{"family":"McCollum","given":"Eric D."}],"issued":{"date-parts":[["2014",8]]}}}],"schema":"https://github.com/citation-style-language/schema/raw/master/csl-citation.json"}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(15)</w:t>
            </w:r>
            <w:r>
              <w:rPr>
                <w:rFonts w:ascii="Times" w:eastAsia="Times New Roman" w:hAnsi="Times" w:cs="Times New Roman"/>
                <w:color w:val="000000"/>
                <w:sz w:val="16"/>
                <w:szCs w:val="16"/>
              </w:rPr>
              <w:fldChar w:fldCharType="end"/>
            </w:r>
          </w:p>
        </w:tc>
        <w:tc>
          <w:tcPr>
            <w:tcW w:w="709" w:type="dxa"/>
            <w:noWrap/>
            <w:hideMark/>
          </w:tcPr>
          <w:p w14:paraId="1B6A082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4DC842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16BB43E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RCT</w:t>
            </w:r>
          </w:p>
        </w:tc>
        <w:tc>
          <w:tcPr>
            <w:tcW w:w="1418" w:type="dxa"/>
            <w:noWrap/>
            <w:hideMark/>
          </w:tcPr>
          <w:p w14:paraId="2928C04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Paediatric ward in central hospital</w:t>
            </w:r>
          </w:p>
        </w:tc>
        <w:tc>
          <w:tcPr>
            <w:tcW w:w="992" w:type="dxa"/>
            <w:noWrap/>
            <w:hideMark/>
          </w:tcPr>
          <w:p w14:paraId="1B65F31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Infant (0-12m)</w:t>
            </w:r>
          </w:p>
        </w:tc>
        <w:tc>
          <w:tcPr>
            <w:tcW w:w="992" w:type="dxa"/>
            <w:noWrap/>
            <w:hideMark/>
          </w:tcPr>
          <w:p w14:paraId="312C484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0ADE5E4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WHO algorithm and CD4 count for HIV diagnosis</w:t>
            </w:r>
          </w:p>
        </w:tc>
        <w:tc>
          <w:tcPr>
            <w:tcW w:w="988" w:type="dxa"/>
            <w:noWrap/>
            <w:hideMark/>
          </w:tcPr>
          <w:p w14:paraId="0FD2CAD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24BD65A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10F1FB6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2E45A32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0913D7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 diagnosis</w:t>
            </w:r>
          </w:p>
        </w:tc>
        <w:tc>
          <w:tcPr>
            <w:tcW w:w="2268" w:type="dxa"/>
            <w:noWrap/>
            <w:hideMark/>
          </w:tcPr>
          <w:p w14:paraId="1EEF51A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Half day training in WHO algorithm</w:t>
            </w:r>
          </w:p>
        </w:tc>
        <w:tc>
          <w:tcPr>
            <w:tcW w:w="1134" w:type="dxa"/>
            <w:noWrap/>
            <w:hideMark/>
          </w:tcPr>
          <w:p w14:paraId="5E1C243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78A66D2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3B6783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A2DAF9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Fair agreement level in HIV diagnosis using WHO algorithm, different kappa for other conditions (0.28 for sepsis, 0.62 for oral candida)</w:t>
            </w:r>
          </w:p>
        </w:tc>
        <w:tc>
          <w:tcPr>
            <w:tcW w:w="2449" w:type="dxa"/>
            <w:gridSpan w:val="2"/>
            <w:noWrap/>
            <w:hideMark/>
          </w:tcPr>
          <w:p w14:paraId="35B5174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585BDF8D" w14:textId="77777777" w:rsidTr="00E15533">
        <w:trPr>
          <w:trHeight w:val="20"/>
        </w:trPr>
        <w:tc>
          <w:tcPr>
            <w:tcW w:w="567" w:type="dxa"/>
            <w:noWrap/>
            <w:hideMark/>
          </w:tcPr>
          <w:p w14:paraId="5509453D" w14:textId="7B7888E5"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P1DQag27","properties":{"formattedCitation":"(16)","plainCitation":"(16)","noteIndex":0},"citationItems":[{"id":4262,"uris":["http://zotero.org/users/4975241/items/QXAMVH25"],"uri":["http://zotero.org/users/4975241/items/QXAMVH25"],"itemData":{"id":4262,"type":"article-journal","abstract":"The chest radiograph (CXR) is considered a key diagnostic tool for pediatric tuberculosis (TB) in clinical management and endpoint determination in TB vaccine trials. We set out to compare interrater agreement for TB diagnosis in western Kenya. A pediatric pulmonologist and radiologist (experts), a medical officer (M.O), and four clinical officers (C.Os) with basic training in pediatric CXR reading blindly assessed CXRs of infants who were TB suspects in a cohort study. C.Os had access to clinical findings for patient management. Weighted kappa scores summarized interrater agreement on lymphadenopathy and abnormalities consistent with TB. Sensitivity and specificity of raters were determined using microbiologically confirmed TB as the gold standard\n              \n                (\n                n\n                =\n                8\n                )\n              \n              . A total of 691 radiographs were reviewed. Agreement on abnormalities consistent with TB was poor;\n              \n                k\n                =\n                0.14\n              \n              (95% CI: 0.10–0.18) and on lymphadenopathy moderate\n              \n                k\n                =\n                0.26\n              \n              (95% CI: 0.18–0.36). M.O [75% (95% CI: 34.9%–96.8%)] and C.Os [63% (95% CI: 24.5%–91.5%)] had high sensitivity for culture confirmed TB. TB vaccine trials utilizing expert agreement on CXR as a nonmicrobiologically confirmed endpoint will have reduced specificity and will underestimate vaccine efficacy. C.Os detected many of the bacteriologically confirmed cases; however, this must be interpreted cautiously as they were unblinded to clinical features.","container-title":"Interdisciplinary Perspectives on Infectious Diseases","DOI":"10.1155/2014/291841","ISSN":"1687-708X, 1687-7098","journalAbbreviation":"Interdisciplinary Perspectives on Infectious Diseases","language":"en","page":"1-8","source":"DOI.org (Crossref)","title":"Chest Radiographs for Pediatric TB Diagnosis: Interrater Agreement and Utility","title-short":"Chest Radiographs for Pediatric TB Diagnosis","volume":"2014","author":[{"family":"Kaguthi","given":"G."},{"family":"Nduba","given":"V."},{"family":"Nyokabi","given":"J."},{"family":"Onchiri","given":"F."},{"family":"Gie","given":"R."},{"family":"Borgdorff","given":"M."}],"issued":{"date-parts":[["2014"]]}}}],"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(16)</w:t>
            </w:r>
            <w:r>
              <w:rPr>
                <w:rFonts w:ascii="Times" w:eastAsia="Times New Roman" w:hAnsi="Times" w:cs="Times New Roman"/>
                <w:color w:val="000000"/>
                <w:sz w:val="16"/>
                <w:szCs w:val="16"/>
              </w:rPr>
              <w:fldChar w:fldCharType="end"/>
            </w:r>
          </w:p>
        </w:tc>
        <w:tc>
          <w:tcPr>
            <w:tcW w:w="709" w:type="dxa"/>
            <w:noWrap/>
            <w:hideMark/>
          </w:tcPr>
          <w:p w14:paraId="5FB2252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50491E6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201FC38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7D9C429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verification ward in one county</w:t>
            </w:r>
          </w:p>
        </w:tc>
        <w:tc>
          <w:tcPr>
            <w:tcW w:w="992" w:type="dxa"/>
            <w:noWrap/>
            <w:hideMark/>
          </w:tcPr>
          <w:p w14:paraId="6EB492E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BCG vaccinated infants 0-6 weeks</w:t>
            </w:r>
          </w:p>
        </w:tc>
        <w:tc>
          <w:tcPr>
            <w:tcW w:w="992" w:type="dxa"/>
            <w:noWrap/>
            <w:hideMark/>
          </w:tcPr>
          <w:p w14:paraId="2075346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4B678CE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interrater agreement and utility of chest radiograph for TB diagnosis (CO was used for initial screening)</w:t>
            </w:r>
          </w:p>
        </w:tc>
        <w:tc>
          <w:tcPr>
            <w:tcW w:w="988" w:type="dxa"/>
            <w:noWrap/>
            <w:hideMark/>
          </w:tcPr>
          <w:p w14:paraId="5E95A36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2DAAA1A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clinical officer</w:t>
            </w:r>
          </w:p>
        </w:tc>
        <w:tc>
          <w:tcPr>
            <w:tcW w:w="1276" w:type="dxa"/>
            <w:noWrap/>
            <w:hideMark/>
          </w:tcPr>
          <w:p w14:paraId="06093BF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Tuberculosis</w:t>
            </w:r>
          </w:p>
        </w:tc>
        <w:tc>
          <w:tcPr>
            <w:tcW w:w="992" w:type="dxa"/>
            <w:noWrap/>
            <w:hideMark/>
          </w:tcPr>
          <w:p w14:paraId="2B4E75E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7C0F075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TB screening</w:t>
            </w:r>
          </w:p>
        </w:tc>
        <w:tc>
          <w:tcPr>
            <w:tcW w:w="2268" w:type="dxa"/>
            <w:noWrap/>
            <w:hideMark/>
          </w:tcPr>
          <w:p w14:paraId="6798C92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Training on reading and identifying TB on radiographs</w:t>
            </w:r>
          </w:p>
        </w:tc>
        <w:tc>
          <w:tcPr>
            <w:tcW w:w="1134" w:type="dxa"/>
            <w:noWrap/>
            <w:hideMark/>
          </w:tcPr>
          <w:p w14:paraId="6B69BA7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222D37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D16BE6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C93C7F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1C6B384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305BE18C" w14:textId="77777777" w:rsidTr="00E15533">
        <w:trPr>
          <w:trHeight w:val="20"/>
        </w:trPr>
        <w:tc>
          <w:tcPr>
            <w:tcW w:w="567" w:type="dxa"/>
            <w:noWrap/>
            <w:hideMark/>
          </w:tcPr>
          <w:p w14:paraId="579C0E8B" w14:textId="52FAA005"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wrNPXcuj","properties":{"formattedCitation":"(17)","plainCitation":"(17)","noteIndex":0},"citationItems":[{"id":4259,"uris":["http://zotero.org/users/4975241/items/LQ5KB6SP"],"uri":["http://zotero.org/users/4975241/items/LQ5KB6SP"],"itemData":{"id":4259,"type":"article-journal","abstract":"Introduction: To combat the AIDS epidemic and increase HIV treatment access, the South African government implemented a nurse-based, doctor-supported model of care that decentralizes administration of antiretroviral treatment (ART) for HIV positive patients through nurse initiated and managed ART. Me´decins Sans Frontie`res (MSF) implemented a mentorship programme to ensure successful task-shifting, subsequently assessing the quality of clinical care provided by nurses.\nMethods: A before-after cross-sectional study was conducted on nurses completing the mentorship programme in Khayelitsha, South Africa, from February 2011-September 2012. Routine clinical data from 229 patient folders and 21 selfassessment questionnaires was collected to determine the number of patients initiated on ART by nurses; quality of ART management before-after mentorship; patient characteristics for doctor and nurse ART initiations; and nurse selfassessments after mentorship.\nResults: Twenty one nurses were authorized by one nurse mentor with one part-time medical officer’s support, resulting in nurses initiating 77% of ART eligible patients. Improvements in ART management were found for drawing required bloods (91% vs 99%, p = 0.03), assessing adherence (50% vs 78%, p,0.001) and WHO staging (63% vs 91%, p,0.001). Nurse ART initiation indicators were successfully completed at 95–100% for 11 of 16 indicators: clinical presentation; patient weight; baseline blood work (CD4, creatinine, haemoglobin); STI screening; WHO stage, correlating medical history; medications prescribed appropriately; ART start date; and documented return date. Doctors initiated more patients with TB/HIV coinfection and WHO Stage 3 and 4 disease than nurses. Nurse confidence improved for managing HIV-infected children and pregnant women, blood result interpretation and long-term side effects.\nConclusions: Implementation of a clinical mentorship programme in Khayelitsha led to nurse initiation of a majority of eligible patients, enabling medical officers to manage complex cases. As mentorship can increase clinical confidence and enhance professional development, it should be considered essential for universal ART access in resource limited settings.","container-title":"PLoS ONE","DOI":"10.1371/journal.pone.0098389","ISSN":"1932-6203","issue":"6","journalAbbreviation":"PLoS ONE","language":"en","page":"e98389","source":"DOI.org (Crossref)","title":"Clinical Mentorship of Nurse Initiated Antiretroviral Therapy in Khayelitsha, South Africa: A Quality of Care Assessment","title-short":"Clinical Mentorship of Nurse Initiated Antiretroviral Therapy in Khayelitsha, South Africa","volume":"9","author":[{"family":"Green","given":"Ann"},{"family":"Azevedo","given":"Virginia","non-dropping-particle":"de"},{"family":"Patten","given":"Gabriela"},{"family":"Davies","given":"Mary-Ann"},{"family":"Ibeto","given":"Mary"},{"family":"Cox","given":"Vivian"}],"editor":[{"family":"Sued","given":"Omar"}],"issued":{"date-parts":[["2014",6,2]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(17)</w:t>
            </w:r>
            <w:r>
              <w:rPr>
                <w:rFonts w:ascii="Times" w:eastAsia="Times New Roman" w:hAnsi="Times" w:cs="Times New Roman"/>
                <w:color w:val="000000"/>
                <w:sz w:val="16"/>
                <w:szCs w:val="16"/>
              </w:rPr>
              <w:fldChar w:fldCharType="end"/>
            </w:r>
          </w:p>
        </w:tc>
        <w:tc>
          <w:tcPr>
            <w:tcW w:w="709" w:type="dxa"/>
            <w:noWrap/>
            <w:hideMark/>
          </w:tcPr>
          <w:p w14:paraId="18E6E10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6C53D76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Africa</w:t>
            </w:r>
          </w:p>
        </w:tc>
        <w:tc>
          <w:tcPr>
            <w:tcW w:w="708" w:type="dxa"/>
            <w:noWrap/>
            <w:hideMark/>
          </w:tcPr>
          <w:p w14:paraId="677A9E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66203EF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care clinics</w:t>
            </w:r>
          </w:p>
        </w:tc>
        <w:tc>
          <w:tcPr>
            <w:tcW w:w="992" w:type="dxa"/>
            <w:noWrap/>
            <w:hideMark/>
          </w:tcPr>
          <w:p w14:paraId="7E1B693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7CA0F9C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469B8FE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quality of care provided by nurse after the mentorship program</w:t>
            </w:r>
          </w:p>
        </w:tc>
        <w:tc>
          <w:tcPr>
            <w:tcW w:w="988" w:type="dxa"/>
            <w:noWrap/>
            <w:hideMark/>
          </w:tcPr>
          <w:p w14:paraId="58EB67F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w:t>
            </w:r>
          </w:p>
        </w:tc>
        <w:tc>
          <w:tcPr>
            <w:tcW w:w="1417" w:type="dxa"/>
            <w:noWrap/>
            <w:hideMark/>
          </w:tcPr>
          <w:p w14:paraId="59FFE4D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48FAE6D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5C76C50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371B89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4CC28BC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 training course; 40 hour one-on-one mentorship</w:t>
            </w:r>
          </w:p>
        </w:tc>
        <w:tc>
          <w:tcPr>
            <w:tcW w:w="1134" w:type="dxa"/>
            <w:noWrap/>
            <w:hideMark/>
          </w:tcPr>
          <w:p w14:paraId="5E787FB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FC7B0E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3ADB1EB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Increase in nurse graduate's self-assessment</w:t>
            </w:r>
          </w:p>
        </w:tc>
        <w:tc>
          <w:tcPr>
            <w:tcW w:w="2448" w:type="dxa"/>
            <w:gridSpan w:val="2"/>
            <w:noWrap/>
            <w:hideMark/>
          </w:tcPr>
          <w:p w14:paraId="0336D35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Improvement in quality of nurse managed ART in collection of required blood test, patient HIV staging and nurse adherence assessment and documentation</w:t>
            </w:r>
          </w:p>
        </w:tc>
        <w:tc>
          <w:tcPr>
            <w:tcW w:w="2449" w:type="dxa"/>
            <w:gridSpan w:val="2"/>
            <w:noWrap/>
            <w:hideMark/>
          </w:tcPr>
          <w:p w14:paraId="6956573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4D67D04A" w14:textId="77777777" w:rsidTr="00E15533">
        <w:trPr>
          <w:trHeight w:val="20"/>
        </w:trPr>
        <w:tc>
          <w:tcPr>
            <w:tcW w:w="567" w:type="dxa"/>
            <w:noWrap/>
            <w:hideMark/>
          </w:tcPr>
          <w:p w14:paraId="4FE8942C" w14:textId="5551D221"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AFV8QnP4","properties":{"formattedCitation":"(18)","plainCitation":"(18)","noteIndex":0},"citationItems":[{"id":4257,"uris":["http://zotero.org/users/4975241/items/EVX7AMXE"],"uri":["http://zotero.org/users/4975241/items/EVX7AMXE"],"itemData":{"id":4257,"type":"article-journal","abstract":"Objective To report early clinical and immunologic outcomes of children enrolled in the pediatric treatment program. Design, Setting, and Patients Open cohort assessment using routinely collected clinical and outcome data from an electronic medical record system in use at 18 government primary health facilities in Lusaka, Zambia. Care was provided primarily by nurses and clinical officers (“physician extenders” akin to physician assistants in the United States). Patients were children (</w:instrText>
            </w:r>
            <w:r>
              <w:rPr>
                <w:rFonts w:ascii="Cambria" w:eastAsia="Times New Roman" w:hAnsi="Cambria" w:cs="Cambria"/>
                <w:color w:val="000000"/>
                <w:sz w:val="16"/>
                <w:szCs w:val="16"/>
              </w:rPr>
              <w:instrText>Ͻ</w:instrText>
            </w:r>
            <w:r>
              <w:rPr>
                <w:rFonts w:ascii="Times" w:eastAsia="Times New Roman" w:hAnsi="Times" w:cs="Times New Roman"/>
                <w:color w:val="000000"/>
                <w:sz w:val="16"/>
                <w:szCs w:val="16"/>
              </w:rPr>
              <w:instrText xml:space="preserve">16 years of age) presenting for HIV care between May 1, 2004, and June 29, 2007. Intervention Three-drug ART (zidovudine or stavudine plus lamivudine plus nevirapine or efavirenz) for children who met national treatment criteria. Main Outcome Measures Survival, weight gain, CD4 cell count, and hemoglobin response.\nResults After enrollment of 4975 children into HIV care, 2938 (59.1%) started ART. Of those initiating ART, the median age was 81 months (interquartile range, 36-125), 1531 (52.1%) were female, and 2087 (72.4%) with World Health Organization stage information were in stage III or IV. At the time of analysis, 158 children (5.4%) had withdrawn from care and 382 (13.0%) were at least 30 days late for follow-up. Of the remaining 2398 children receiving ART, 198 (8.3%) died over 3018 child-years of follow-up (mortality rate, 6.6 deaths per 100 child-years; 95% confidence interval [CI], 5.77.5); of these deaths, 112 (56.6%) occurred within 90 days of therapy initiation (early mortality rate, 17.4/100 child-years; post–90-day mortality rate, 2.9/100 child-years). Mortality was associated with CD4 cell depletion, lower weight-for-age, younger age, and anemia in multivariate analysis. The mean CD4 cell percentage at ART initiation among the 1561 children who had at least 1 repeat measurement was 12.9% (95% CI, 12.5%13.3%) and increased to 23.7% (95% CI, 23.1%-24.3%) at 6 months, 27.0% (95% CI, 26.3%-27.6%) at 12 months, 28.0% (95% CI, 27.2%-28.8%) at 18 months, and 28.4% (95% CI, 27.4%-29.4%) at 24 months.\nConclusions Care provided by clinicians such as nurses and clinical officers can result in good outcomes for HIV-infected children in primary health care settings in subSaharan Africa. Mortality during the first 90 days of therapy is high, pointing to a need for earlier intervention.","container-title":"JAMA","DOI":"10.1001/jama.298.16.1888","ISSN":"0098-7484","issue":"16","journalAbbreviation":"JAMA","language":"en","page":"1888","source":"DOI.org (Crossref)","title":"Clinical Outcomes and CD4 Cell Response in Children Receiving Antiretroviral Therapy at Primary Health Care Facilities in Zambia","volume":"298","author":[{"family":"Bolton-Moore","given":"Carolyn"},{"family":"Mubiana-Mbewe","given":"Mwangelwa"},{"family":"Cantrell","given":"Ronald A."},{"family":"Chintu","given":"Namwinga"},{"family":"Stringer","given":"Elizabeth M."},{"family":"Chi","given":"Benjamin H."},{"family":"Sinkala","given":"Moses"},{"family":"Kankasa","given":"Chipepo"},{"family":"Wilson","given":"Craig M."},{"family":"Wilfert","given":"Catherine M."},{"family":"Mwango","given":"Albert"},{"family":"Levy","given":"Jens"},{"family":"Abrams","given":"Elaine J."},{"family":"Bulterys","given":"Marc"},{"family":"Stringer","given":"Jeffrey S. A."}],"issued":{"date-parts":[["2007",10,24]]}}}],"schema":"https://github.com/citation-style-language/schema/raw/master/csl-citation.json"}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(18)</w:t>
            </w:r>
            <w:r>
              <w:rPr>
                <w:rFonts w:ascii="Times" w:eastAsia="Times New Roman" w:hAnsi="Times" w:cs="Times New Roman"/>
                <w:color w:val="000000"/>
                <w:sz w:val="16"/>
                <w:szCs w:val="16"/>
              </w:rPr>
              <w:fldChar w:fldCharType="end"/>
            </w:r>
          </w:p>
        </w:tc>
        <w:tc>
          <w:tcPr>
            <w:tcW w:w="709" w:type="dxa"/>
            <w:noWrap/>
            <w:hideMark/>
          </w:tcPr>
          <w:p w14:paraId="28892D6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2007</w:t>
            </w:r>
          </w:p>
        </w:tc>
        <w:tc>
          <w:tcPr>
            <w:tcW w:w="851" w:type="dxa"/>
            <w:noWrap/>
            <w:hideMark/>
          </w:tcPr>
          <w:p w14:paraId="31A0BFC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Zambia</w:t>
            </w:r>
          </w:p>
        </w:tc>
        <w:tc>
          <w:tcPr>
            <w:tcW w:w="708" w:type="dxa"/>
            <w:noWrap/>
            <w:hideMark/>
          </w:tcPr>
          <w:p w14:paraId="7EEB42C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Cohort</w:t>
            </w:r>
          </w:p>
        </w:tc>
        <w:tc>
          <w:tcPr>
            <w:tcW w:w="1418" w:type="dxa"/>
            <w:noWrap/>
            <w:hideMark/>
          </w:tcPr>
          <w:p w14:paraId="226E0A0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care clinics</w:t>
            </w:r>
          </w:p>
        </w:tc>
        <w:tc>
          <w:tcPr>
            <w:tcW w:w="992" w:type="dxa"/>
            <w:noWrap/>
            <w:hideMark/>
          </w:tcPr>
          <w:p w14:paraId="7282EBA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239677D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5E7FA8B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Report clinical outcomes of children receiving ART</w:t>
            </w:r>
          </w:p>
        </w:tc>
        <w:tc>
          <w:tcPr>
            <w:tcW w:w="988" w:type="dxa"/>
            <w:noWrap/>
            <w:hideMark/>
          </w:tcPr>
          <w:p w14:paraId="6277CD1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902F08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and nurse</w:t>
            </w:r>
          </w:p>
        </w:tc>
        <w:tc>
          <w:tcPr>
            <w:tcW w:w="1276" w:type="dxa"/>
            <w:noWrap/>
            <w:hideMark/>
          </w:tcPr>
          <w:p w14:paraId="70D30FD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6C14656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6584063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14EEB94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545CD9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01EC6DE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63FEC4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3D598CE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2F7F9AF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Mortality rate (6.6 per 100)</w:t>
            </w:r>
          </w:p>
        </w:tc>
      </w:tr>
      <w:tr w:rsidR="00591F5E" w:rsidRPr="00C0069F" w14:paraId="0AE9CFC9" w14:textId="77777777" w:rsidTr="00E15533">
        <w:trPr>
          <w:trHeight w:val="20"/>
        </w:trPr>
        <w:tc>
          <w:tcPr>
            <w:tcW w:w="567" w:type="dxa"/>
            <w:noWrap/>
            <w:hideMark/>
          </w:tcPr>
          <w:p w14:paraId="22AE7E54" w14:textId="26D27FB7"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TJxV55Fs","properties":{"formattedCitation":"(19)","plainCitation":"(19)","noteIndex":0},"citationItems":[{"id":4250,"uris":["http://zotero.org/users/4975241/items/QHT62KYA"],"uri":["http://zotero.org/users/4975241/items/QHT62KYA"],"itemData":{"id":4250,"type":"article-journal","abstract":"Objectives  The re-emergence of community-based health workers such as the auxiliary midwives (AMWs) in Myanmar, who are local female volunteers, has been an important strategy to address global health workforce shortages. The Myanmar government recommends one AMW for every village. The aim of this study is to investigate the current knowledge of critical danger signs and practices for safe childbirth and immediate newborn care of AMWs to inform potential task shifting of additional healthcare responsibilities.\nMethods  A cross-sectional survey was conducted from July 2015 to June 2016 in three hard-to-reach areas in Myanmar. Face-to-face interviews were conducted using a pretested questionnaire.\nResults  Among 262 AMWs participating in the study, only 8% of AMWs were able to identify at least 80% of 20 critical danger signs. Factors associated with greater knowledge of critical danger signs included older age over 35 years (adjusted OR (AOR) 2.19, 95% CI 0.99 to 4.83), having received refresher training within the last year (AOR 2.20, 95% CI 1.21 to 4.01) and receiving adequate supervision (AOR 5.04, 95% CI 2.74 to 9.29). Those who employed all six safe childbirth and immediate newborn care practices were more likely to report greater knowledge of danger signs (AOR 2.81, 95% CI 1.50 to 5.26), adequate work supervision (AOR 3.18 95% CI 1.62 to 6.24) and less education (AOR 0.44, 95% CI 0.23 to 0.88).\nConclusion  The low level of knowledge of critical danger signs and reported practices for safe childbirth identified suggest that an evaluation of the current AMW training and supervision programme needs to be revisited to ensure that existing practices, including recognition of danger signs, meet quality care standards before new interventions are introduced or new responsibilities given to AMWs.","container-title":"BMJ Open","DOI":"10.1136/bmjopen-2017-017180","ISSN":"2044-6055, 2044-6055","issue":"6","journalAbbreviation":"BMJ Open","language":"en","page":"e017180","source":"DOI.org (Crossref)","title":"Determinants of knowledge of critical danger signs, safe childbirth and immediate newborn care practices among auxiliary midwives: a cross sectional survey in Myanmar","title-short":"Determinants of knowledge of critical danger signs, safe childbirth and immediate newborn care practices among auxiliary midwives","volume":"7","author":[{"family":"Than","given":"Kyu Kyu"},{"family":"Morgan","given":"Alison"},{"family":"Pham","given":"Minh Duc"},{"family":"Beeson","given":"James G"},{"family":"Luchters","given":"Stanley"}],"issued":{"date-parts":[["2017",6]]}}}],"schema":"https://github.com/citation-style-language/schema/raw/master/csl-citation.json"}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(19)</w:t>
            </w:r>
            <w:r>
              <w:rPr>
                <w:rFonts w:ascii="Times" w:eastAsia="Times New Roman" w:hAnsi="Times" w:cs="Times New Roman"/>
                <w:color w:val="000000"/>
                <w:sz w:val="16"/>
                <w:szCs w:val="16"/>
              </w:rPr>
              <w:fldChar w:fldCharType="end"/>
            </w:r>
          </w:p>
        </w:tc>
        <w:tc>
          <w:tcPr>
            <w:tcW w:w="709" w:type="dxa"/>
            <w:noWrap/>
            <w:hideMark/>
          </w:tcPr>
          <w:p w14:paraId="1B310F0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4419F6A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Myanmar</w:t>
            </w:r>
          </w:p>
        </w:tc>
        <w:tc>
          <w:tcPr>
            <w:tcW w:w="708" w:type="dxa"/>
            <w:noWrap/>
            <w:hideMark/>
          </w:tcPr>
          <w:p w14:paraId="331740B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1E1AE8E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Rural health centre</w:t>
            </w:r>
          </w:p>
        </w:tc>
        <w:tc>
          <w:tcPr>
            <w:tcW w:w="992" w:type="dxa"/>
            <w:noWrap/>
            <w:hideMark/>
          </w:tcPr>
          <w:p w14:paraId="09669F4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Newborn</w:t>
            </w:r>
          </w:p>
        </w:tc>
        <w:tc>
          <w:tcPr>
            <w:tcW w:w="992" w:type="dxa"/>
            <w:noWrap/>
            <w:hideMark/>
          </w:tcPr>
          <w:p w14:paraId="40F8E55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2784360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knowledge of critical danger signs and practices</w:t>
            </w:r>
          </w:p>
        </w:tc>
        <w:tc>
          <w:tcPr>
            <w:tcW w:w="988" w:type="dxa"/>
            <w:noWrap/>
            <w:hideMark/>
          </w:tcPr>
          <w:p w14:paraId="161A173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Midwife</w:t>
            </w:r>
          </w:p>
        </w:tc>
        <w:tc>
          <w:tcPr>
            <w:tcW w:w="1417" w:type="dxa"/>
            <w:noWrap/>
            <w:hideMark/>
          </w:tcPr>
          <w:p w14:paraId="01FA77C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Auxiliary Midwives</w:t>
            </w:r>
          </w:p>
        </w:tc>
        <w:tc>
          <w:tcPr>
            <w:tcW w:w="1276" w:type="dxa"/>
            <w:noWrap/>
            <w:hideMark/>
          </w:tcPr>
          <w:p w14:paraId="00D2918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29256EF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C1DD2F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Danger sign</w:t>
            </w:r>
          </w:p>
        </w:tc>
        <w:tc>
          <w:tcPr>
            <w:tcW w:w="2268" w:type="dxa"/>
            <w:noWrap/>
            <w:hideMark/>
          </w:tcPr>
          <w:p w14:paraId="3F31FB2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6 month training and refresher training</w:t>
            </w:r>
          </w:p>
        </w:tc>
        <w:tc>
          <w:tcPr>
            <w:tcW w:w="1134" w:type="dxa"/>
            <w:noWrap/>
            <w:hideMark/>
          </w:tcPr>
          <w:p w14:paraId="7B7C943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Supervision from midwife</w:t>
            </w:r>
          </w:p>
        </w:tc>
        <w:tc>
          <w:tcPr>
            <w:tcW w:w="1134" w:type="dxa"/>
            <w:noWrap/>
            <w:hideMark/>
          </w:tcPr>
          <w:p w14:paraId="754FEFE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6B45C6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Only 8% of AMWs could identify at least 80% of critical danger signs</w:t>
            </w:r>
          </w:p>
        </w:tc>
        <w:tc>
          <w:tcPr>
            <w:tcW w:w="2448" w:type="dxa"/>
            <w:gridSpan w:val="2"/>
            <w:noWrap/>
            <w:hideMark/>
          </w:tcPr>
          <w:p w14:paraId="20496DE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3C0AF1C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778C3BB5" w14:textId="77777777" w:rsidTr="00E15533">
        <w:trPr>
          <w:trHeight w:val="20"/>
        </w:trPr>
        <w:tc>
          <w:tcPr>
            <w:tcW w:w="567" w:type="dxa"/>
            <w:noWrap/>
            <w:hideMark/>
          </w:tcPr>
          <w:p w14:paraId="46D514DB" w14:textId="60ACB053"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nOKiSvqQ","properties":{"formattedCitation":"(20)","plainCitation":"(20)","noteIndex":0},"citationItems":[{"id":4249,"uris":["http://zotero.org/users/4975241/items/2ATLPI25"],"uri":["http://zotero.org/users/4975241/items/2ATLPI25"],"itemData":{"id":4249,"type":"article-journal","abstract":"Background: Although pneumonia is the leading cause of child mortality worldwide, little is known about the quality of routine pneumonia care in high burden settings like Malawi that utilize World Health Organization’s Integrated Management of Childhood Illnesses (IMCI) guidelines. Due to severe human resource constraints, the majority of clinical care in Malawi is delivered by non-physician clinicians called Clinical Officers (COs). Aim: To assess the quality of child pneumonia care delivered by Malawian COs in routine care conditions.\nMethods: At an outpatient district-level clinic in Lilongwe, Malawi, 10 COs caring for 695 children who presented with fever, cough, or difficulty breathing were compared to IMCI pneumonia diagnostic and treatment guidelines.\nResults: Fewer than 1% of patients received an evaluation by COs that included all 16 elements of the history and physical examination. The respiratory rate was only determined in 16.1% of patients presenting with cough or difficulty breathing. Of the 274 children with IMCI-defined pneumonia, COs correctly diagnosed 30%, and administered correct pneumonia care in less than 25%. COs failed to hospitalize 40.8% of children with severe or very severe pneumonia.\nConclusions: IMCI pneumonia care quality at this Malawian government clinic is alarmingly low. Along with reassessing current pneumonia training and supervision approaches, novel quality improvement interventions are necessary to improve care.","container-title":"Paediatrics and International Child Health","DOI":"10.1179/2046905513Y.0000000070","ISSN":"2046-9047, 2046-9055","issue":"1","journalAbbreviation":"Paediatrics and International Child Health","language":"en","page":"29-36","source":"DOI.org (Crossref)","title":"Determining the quality of IMCI pneumonia care in Malawian children","volume":"34","author":[{"family":"Bjornstad","given":"Erica"},{"family":"Preidis","given":"Geoffrey A."},{"family":"Lufesi","given":"Norman"},{"family":"Olson","given":"Dan"},{"family":"Kamthunzi","given":"Portia"},{"family":"Hosseinipour","given":"Mina C."},{"family":"McCollum","given":"Eric D."}],"issued":{"date-parts":[["2014",2]]}}}],"schema":"https://github.com/citation-style-language/schema/raw/master/csl-citation.json"}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(20)</w:t>
            </w:r>
            <w:r>
              <w:rPr>
                <w:rFonts w:ascii="Times" w:eastAsia="Times New Roman" w:hAnsi="Times" w:cs="Times New Roman"/>
                <w:color w:val="000000"/>
                <w:sz w:val="16"/>
                <w:szCs w:val="16"/>
              </w:rPr>
              <w:fldChar w:fldCharType="end"/>
            </w:r>
          </w:p>
        </w:tc>
        <w:tc>
          <w:tcPr>
            <w:tcW w:w="709" w:type="dxa"/>
            <w:noWrap/>
            <w:hideMark/>
          </w:tcPr>
          <w:p w14:paraId="778DF04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1B486C2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446AC8C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4FA61AC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Outpatient district level clinic</w:t>
            </w:r>
          </w:p>
        </w:tc>
        <w:tc>
          <w:tcPr>
            <w:tcW w:w="992" w:type="dxa"/>
            <w:noWrap/>
            <w:hideMark/>
          </w:tcPr>
          <w:p w14:paraId="325DB72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504941B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256AF9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quality of pneumonia care delivered by CO</w:t>
            </w:r>
          </w:p>
        </w:tc>
        <w:tc>
          <w:tcPr>
            <w:tcW w:w="988" w:type="dxa"/>
            <w:noWrap/>
            <w:hideMark/>
          </w:tcPr>
          <w:p w14:paraId="13FDEBA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0F46A97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24DFB90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Lower respiratory infections</w:t>
            </w:r>
          </w:p>
        </w:tc>
        <w:tc>
          <w:tcPr>
            <w:tcW w:w="992" w:type="dxa"/>
            <w:noWrap/>
            <w:hideMark/>
          </w:tcPr>
          <w:p w14:paraId="35CA455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BD307D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IMCI - pneumonia care</w:t>
            </w:r>
          </w:p>
        </w:tc>
        <w:tc>
          <w:tcPr>
            <w:tcW w:w="2268" w:type="dxa"/>
            <w:noWrap/>
            <w:hideMark/>
          </w:tcPr>
          <w:p w14:paraId="59E1099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year education, with or without one year internship</w:t>
            </w:r>
          </w:p>
        </w:tc>
        <w:tc>
          <w:tcPr>
            <w:tcW w:w="1134" w:type="dxa"/>
            <w:noWrap/>
            <w:hideMark/>
          </w:tcPr>
          <w:p w14:paraId="2939C61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870365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73E1A25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321DAB5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 correctly diagnosed 30%, administered correct care 25% and failed to hospitalize 40.8% severe pneumonia</w:t>
            </w:r>
          </w:p>
        </w:tc>
        <w:tc>
          <w:tcPr>
            <w:tcW w:w="2449" w:type="dxa"/>
            <w:gridSpan w:val="2"/>
            <w:noWrap/>
            <w:hideMark/>
          </w:tcPr>
          <w:p w14:paraId="3741EF7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3EA062ED" w14:textId="77777777" w:rsidTr="00E15533">
        <w:trPr>
          <w:trHeight w:val="20"/>
        </w:trPr>
        <w:tc>
          <w:tcPr>
            <w:tcW w:w="567" w:type="dxa"/>
            <w:noWrap/>
            <w:hideMark/>
          </w:tcPr>
          <w:p w14:paraId="59DB97A6" w14:textId="63069447"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snimqlET","properties":{"formattedCitation":"(21)","plainCitation":"(21)","noteIndex":0},"citationItems":[{"id":4248,"uris":["http://zotero.org/users/4975241/items/V7A6AYNT"],"uri":["http://zotero.org/users/4975241/items/V7A6AYNT"],"itemData":{"id":4248,"type":"article-journal","container-title":"Health Policy and Planning","DOI":"10.1093/heapol/5.3.255","ISSN":"0268-1080, 1460-2237","issue":"3","journalAbbreviation":"Health Policy Plan","language":"en","page":"255-260","source":"DOI.org (Crossref)","title":"Diagnosis and management of acute respiratory infections in Lesotho","volume":"5","author":[{"family":"Redd","given":"Stephen"},{"family":"Moteetee","given":"Mpolai"},{"family":"Waldman","given":"Ronald"}],"issued":{"date-parts":[["1990"]]}}}],"schema":"https://github.com/citation-style-language/schema/raw/master/csl-citation.json"}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(21)</w:t>
            </w:r>
            <w:r>
              <w:rPr>
                <w:rFonts w:ascii="Times" w:eastAsia="Times New Roman" w:hAnsi="Times" w:cs="Times New Roman"/>
                <w:color w:val="000000"/>
                <w:sz w:val="16"/>
                <w:szCs w:val="16"/>
              </w:rPr>
              <w:fldChar w:fldCharType="end"/>
            </w:r>
          </w:p>
        </w:tc>
        <w:tc>
          <w:tcPr>
            <w:tcW w:w="709" w:type="dxa"/>
            <w:noWrap/>
            <w:hideMark/>
          </w:tcPr>
          <w:p w14:paraId="58558FB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1990</w:t>
            </w:r>
          </w:p>
        </w:tc>
        <w:tc>
          <w:tcPr>
            <w:tcW w:w="851" w:type="dxa"/>
            <w:noWrap/>
            <w:hideMark/>
          </w:tcPr>
          <w:p w14:paraId="6578876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Lesotho</w:t>
            </w:r>
          </w:p>
        </w:tc>
        <w:tc>
          <w:tcPr>
            <w:tcW w:w="708" w:type="dxa"/>
            <w:noWrap/>
            <w:hideMark/>
          </w:tcPr>
          <w:p w14:paraId="5BF02FC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28667EB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Peripheral health centres</w:t>
            </w:r>
          </w:p>
        </w:tc>
        <w:tc>
          <w:tcPr>
            <w:tcW w:w="992" w:type="dxa"/>
            <w:noWrap/>
            <w:hideMark/>
          </w:tcPr>
          <w:p w14:paraId="7F18625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658162F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2FBF9DE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diagnosis and management practice of acute respiratory infection</w:t>
            </w:r>
          </w:p>
        </w:tc>
        <w:tc>
          <w:tcPr>
            <w:tcW w:w="988" w:type="dxa"/>
            <w:noWrap/>
            <w:hideMark/>
          </w:tcPr>
          <w:p w14:paraId="6518F1B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08FDFB0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clinician, nurse</w:t>
            </w:r>
          </w:p>
        </w:tc>
        <w:tc>
          <w:tcPr>
            <w:tcW w:w="1276" w:type="dxa"/>
            <w:noWrap/>
            <w:hideMark/>
          </w:tcPr>
          <w:p w14:paraId="12943DE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Lower respiratory infections</w:t>
            </w:r>
          </w:p>
        </w:tc>
        <w:tc>
          <w:tcPr>
            <w:tcW w:w="992" w:type="dxa"/>
            <w:noWrap/>
            <w:hideMark/>
          </w:tcPr>
          <w:p w14:paraId="5C183C4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8CE77A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Acute respiratory infection</w:t>
            </w:r>
          </w:p>
        </w:tc>
        <w:tc>
          <w:tcPr>
            <w:tcW w:w="2268" w:type="dxa"/>
            <w:noWrap/>
            <w:hideMark/>
          </w:tcPr>
          <w:p w14:paraId="13D1B43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18 month course</w:t>
            </w:r>
          </w:p>
        </w:tc>
        <w:tc>
          <w:tcPr>
            <w:tcW w:w="1134" w:type="dxa"/>
            <w:noWrap/>
            <w:hideMark/>
          </w:tcPr>
          <w:p w14:paraId="6EFB545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Supervisory visit</w:t>
            </w:r>
          </w:p>
        </w:tc>
        <w:tc>
          <w:tcPr>
            <w:tcW w:w="1134" w:type="dxa"/>
            <w:noWrap/>
            <w:hideMark/>
          </w:tcPr>
          <w:p w14:paraId="3ADF1D1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C6CD27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Nurse-clinicians less likely to prescribe antimicrobial drugs for mild ARI, moderate and severe ALRI;</w:t>
            </w:r>
          </w:p>
        </w:tc>
        <w:tc>
          <w:tcPr>
            <w:tcW w:w="2448" w:type="dxa"/>
            <w:gridSpan w:val="2"/>
            <w:noWrap/>
            <w:hideMark/>
          </w:tcPr>
          <w:p w14:paraId="15D27BB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46E0F19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203A8C8F" w14:textId="77777777" w:rsidTr="00E15533">
        <w:trPr>
          <w:trHeight w:val="20"/>
        </w:trPr>
        <w:tc>
          <w:tcPr>
            <w:tcW w:w="567" w:type="dxa"/>
            <w:noWrap/>
            <w:hideMark/>
          </w:tcPr>
          <w:p w14:paraId="2A0005BA" w14:textId="49AA6F22"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Fg7QepWg","properties":{"formattedCitation":"(22)","plainCitation":"(22)","noteIndex":0},"citationItems":[{"id":4243,"uris":["http://zotero.org/users/4975241/items/RJINSDLZ"],"uri":["http://zotero.org/users/4975241/items/RJINSDLZ"],"itemData":{"id":4243,"type":"article-journal","language":"en","page":"1","source":"Zotero","title":"Early HIV infection rate trends in exposed infants pre &amp; post Option B+ in Mozambique","author":[{"family":"Sebastian","given":"Thresia"},{"family":"Brusamento","given":"Serena"},{"family":"Ahoua","given":"Laurence"},{"family":"Aly","given":"Dario"},{"family":"Arpadi","given":"Stephen"},{"family":"Teasdale","given":"Chloe A"},{"family":"Tsiouris","given":"Fatima"},{"family":"Abrams","given":"Elaine J"}]}}],"schema":"https://github.com/citation-style-language/schema/raw/master/csl-citation.json"}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(22)</w:t>
            </w:r>
            <w:r>
              <w:rPr>
                <w:rFonts w:ascii="Times" w:eastAsia="Times New Roman" w:hAnsi="Times" w:cs="Times New Roman"/>
                <w:color w:val="000000"/>
                <w:sz w:val="16"/>
                <w:szCs w:val="16"/>
              </w:rPr>
              <w:fldChar w:fldCharType="end"/>
            </w:r>
          </w:p>
        </w:tc>
        <w:tc>
          <w:tcPr>
            <w:tcW w:w="709" w:type="dxa"/>
            <w:noWrap/>
            <w:hideMark/>
          </w:tcPr>
          <w:p w14:paraId="5DE86C1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3886843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Mozambique</w:t>
            </w:r>
          </w:p>
        </w:tc>
        <w:tc>
          <w:tcPr>
            <w:tcW w:w="708" w:type="dxa"/>
            <w:noWrap/>
            <w:hideMark/>
          </w:tcPr>
          <w:p w14:paraId="1B8A389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20AA158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Clinics</w:t>
            </w:r>
          </w:p>
        </w:tc>
        <w:tc>
          <w:tcPr>
            <w:tcW w:w="992" w:type="dxa"/>
            <w:noWrap/>
            <w:hideMark/>
          </w:tcPr>
          <w:p w14:paraId="3808D4F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Infant (&lt;=2m)</w:t>
            </w:r>
          </w:p>
        </w:tc>
        <w:tc>
          <w:tcPr>
            <w:tcW w:w="992" w:type="dxa"/>
            <w:noWrap/>
            <w:hideMark/>
          </w:tcPr>
          <w:p w14:paraId="45DF5B1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24B6DDF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the HIV infection rate before and after option b+</w:t>
            </w:r>
          </w:p>
        </w:tc>
        <w:tc>
          <w:tcPr>
            <w:tcW w:w="988" w:type="dxa"/>
            <w:noWrap/>
            <w:hideMark/>
          </w:tcPr>
          <w:p w14:paraId="166D5D2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417" w:type="dxa"/>
            <w:noWrap/>
            <w:hideMark/>
          </w:tcPr>
          <w:p w14:paraId="7C9BDC5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0260C56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5581EB7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743409E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0B6CDE8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6AA295F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7A60479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5AA89A9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114082F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72ED9A0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Proportion of HIV-exposed infants tested positive reduced from 6% to 4% after option B</w:t>
            </w:r>
          </w:p>
        </w:tc>
      </w:tr>
      <w:tr w:rsidR="00591F5E" w:rsidRPr="00C0069F" w14:paraId="0EC12C47" w14:textId="77777777" w:rsidTr="00E15533">
        <w:trPr>
          <w:trHeight w:val="20"/>
        </w:trPr>
        <w:tc>
          <w:tcPr>
            <w:tcW w:w="567" w:type="dxa"/>
            <w:noWrap/>
            <w:hideMark/>
          </w:tcPr>
          <w:p w14:paraId="012EFC3B" w14:textId="5DF91079"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Lb6bAumJ","properties":{"formattedCitation":"(23)","plainCitation":"(23)","noteIndex":0},"citationItems":[{"id":4239,"uris":["http://zotero.org/users/4975241/items/SPK9DQGV"],"uri":["http://zotero.org/users/4975241/items/SPK9DQGV"],"itemData":{"id":4239,"type":"article-journal","abstract":"Background Nigeria has the second highest burden of HIV in children younger than 15 years (220</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000) and adolescents 10</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–19 years (230</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 xml:space="preserve">000) in the world. Unfortunately, fewer than a quarter of these children and adolescents are identified and given access to treatment. Decentralisation of HIV testing services to high-yield service delivery points can facilitate identification of undiagnosed HIV-positive children and adolescents. However, decentralisation of testing services is still uncommon, partly due to existing health-care professional boundaries. We evaluated the effectiveness of task-shifting HIV testing services from specialised laboratory personnel to nurses to improve HIV case identification in paediatric and adolescent clients.","container-title":"The Lancet Global Health","DOI":"10.1016/S2214-109X(19)30108-1","ISSN":"2214109X","journalAbbreviation":"The Lancet Global Health","language":"en","page":"S23","source":"DOI.org (Crossref)","title":"Effect of task-shifting HIV testing from laboratory personnel to nurses on paediatric and adolescent HIV testing rate and yield in rural Nigeria: a prospective before-and-after study","title-short":"Effect of task-shifting HIV testing from laboratory personnel to nurses on paediatric and adolescent HIV testing rate and yield in rural Nigeria","volume":"7","author":[{"family":"Ofem","given":"Oriaku"},{"family":"Jasper","given":"Tongdiyen Laura"},{"family":"Torbunde","given":"Nguavese"},{"family":"Yashimankut","given":"Murna"},{"family":"Sadiq","given":"Hussaini"},{"family":"Ejekam","given":"Rosemary"},{"family":"Ikeda","given":"Daniel"},{"family":"Aiyenigba","given":"Emmanuel"},{"family":"Agins","given":"Bruce"},{"family":"Sam-Agudu","given":"Nadia"}],"issued":{"date-parts":[["2019",3]]}}}],"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(23)</w:t>
            </w:r>
            <w:r>
              <w:rPr>
                <w:rFonts w:ascii="Times" w:eastAsia="Times New Roman" w:hAnsi="Times" w:cs="Times New Roman"/>
                <w:color w:val="000000"/>
                <w:sz w:val="16"/>
                <w:szCs w:val="16"/>
              </w:rPr>
              <w:fldChar w:fldCharType="end"/>
            </w:r>
          </w:p>
        </w:tc>
        <w:tc>
          <w:tcPr>
            <w:tcW w:w="709" w:type="dxa"/>
            <w:noWrap/>
            <w:hideMark/>
          </w:tcPr>
          <w:p w14:paraId="028F125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45BF623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Nigeria</w:t>
            </w:r>
          </w:p>
        </w:tc>
        <w:tc>
          <w:tcPr>
            <w:tcW w:w="708" w:type="dxa"/>
            <w:noWrap/>
            <w:hideMark/>
          </w:tcPr>
          <w:p w14:paraId="5A275EF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3373BEF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Secondary health-care facility</w:t>
            </w:r>
          </w:p>
        </w:tc>
        <w:tc>
          <w:tcPr>
            <w:tcW w:w="992" w:type="dxa"/>
            <w:noWrap/>
            <w:hideMark/>
          </w:tcPr>
          <w:p w14:paraId="7A71E64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and adolescent 0-19y</w:t>
            </w:r>
          </w:p>
        </w:tc>
        <w:tc>
          <w:tcPr>
            <w:tcW w:w="992" w:type="dxa"/>
            <w:noWrap/>
            <w:hideMark/>
          </w:tcPr>
          <w:p w14:paraId="7E9BA50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3417E8B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effectiveness of task shifting HIV testing services to improve HIV case identification</w:t>
            </w:r>
          </w:p>
        </w:tc>
        <w:tc>
          <w:tcPr>
            <w:tcW w:w="988" w:type="dxa"/>
            <w:noWrap/>
            <w:hideMark/>
          </w:tcPr>
          <w:p w14:paraId="1447C49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Lab technician</w:t>
            </w:r>
          </w:p>
        </w:tc>
        <w:tc>
          <w:tcPr>
            <w:tcW w:w="1417" w:type="dxa"/>
            <w:noWrap/>
            <w:hideMark/>
          </w:tcPr>
          <w:p w14:paraId="204CD3D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3E674E1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1C2BE60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B2394C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 testing</w:t>
            </w:r>
          </w:p>
        </w:tc>
        <w:tc>
          <w:tcPr>
            <w:tcW w:w="2268" w:type="dxa"/>
            <w:noWrap/>
            <w:hideMark/>
          </w:tcPr>
          <w:p w14:paraId="7F10272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Trained by lab personnel to provide testing</w:t>
            </w:r>
          </w:p>
        </w:tc>
        <w:tc>
          <w:tcPr>
            <w:tcW w:w="1134" w:type="dxa"/>
            <w:noWrap/>
            <w:hideMark/>
          </w:tcPr>
          <w:p w14:paraId="29BBFE1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C0F348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5E5F3B7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67A34C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1948891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Proportion of patient underwent testing increased and newly identified increased.</w:t>
            </w:r>
          </w:p>
        </w:tc>
      </w:tr>
      <w:tr w:rsidR="00F02432" w:rsidRPr="00C0069F" w14:paraId="47475A07" w14:textId="77777777" w:rsidTr="00E15533">
        <w:trPr>
          <w:trHeight w:val="20"/>
        </w:trPr>
        <w:tc>
          <w:tcPr>
            <w:tcW w:w="567" w:type="dxa"/>
            <w:noWrap/>
            <w:hideMark/>
          </w:tcPr>
          <w:p w14:paraId="23CC543F" w14:textId="735CFE20"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8X9SXKaL","properties":{"formattedCitation":"(24)","plainCitation":"(24)","noteIndex":0},"citationItems":[{"id":4233,"uris":["http://zotero.org/users/4975241/items/P7XRU7KC"],"uri":["http://zotero.org/users/4975241/items/P7XRU7KC"],"itemData":{"id":4233,"type":"article-journal","abstract":"Background Mid-level care providers serve as the backbone of primary care in many parts of subSaharan Africa. Despite this, research suggests that the quality and consistency of this care is uneven. This study assessed the degree to which a set of four simple, low-cost interventions could improve adherence to a set of clinical quality measures (CQMs) associated with four common health conditions seen in a resource-constrained primary care setting.","container-title":"Health Policy and Planning","DOI":"10.1093/heapol/czx004","ISSN":"0268-1080, 1460-2237","issue":"6","language":"en","page":"761-768","source":"DOI.org (Crossref)","title":"Evaluating the effects of organizational and educational interventions on adherence to clinical practice guidelines in a low-resource primary-care setting in Kenya","volume":"32","author":[{"family":"Egger","given":"Joseph R"},{"family":"Stankevitz","given":"Kayla"},{"family":"Korom","given":"Robert"},{"family":"Angwenyi","given":"Philip"},{"family":"Sullivan","given":"Brittney"},{"family":"Wang","given":"Jun"},{"family":"Hatfield","given":"Sonia"},{"family":"Smith","given":"Emma"},{"family":"Popli","given":"Karishma"},{"family":"Gross","given":"Jessica"}],"issued":{"date-parts":[["2017",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(24)</w:t>
            </w:r>
            <w:r>
              <w:rPr>
                <w:rFonts w:ascii="Times" w:eastAsia="Times New Roman" w:hAnsi="Times" w:cs="Times New Roman"/>
                <w:color w:val="000000"/>
                <w:sz w:val="16"/>
                <w:szCs w:val="16"/>
              </w:rPr>
              <w:fldChar w:fldCharType="end"/>
            </w:r>
          </w:p>
        </w:tc>
        <w:tc>
          <w:tcPr>
            <w:tcW w:w="709" w:type="dxa"/>
            <w:noWrap/>
            <w:hideMark/>
          </w:tcPr>
          <w:p w14:paraId="70C8AE0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5DCA3FA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32F7D6B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68F5BC9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care clinics</w:t>
            </w:r>
          </w:p>
        </w:tc>
        <w:tc>
          <w:tcPr>
            <w:tcW w:w="992" w:type="dxa"/>
            <w:noWrap/>
            <w:hideMark/>
          </w:tcPr>
          <w:p w14:paraId="364FF17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33EE9C6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63F2C3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effect of organizational and educational interventions on adherence to guideline</w:t>
            </w:r>
          </w:p>
        </w:tc>
        <w:tc>
          <w:tcPr>
            <w:tcW w:w="988" w:type="dxa"/>
            <w:noWrap/>
            <w:hideMark/>
          </w:tcPr>
          <w:p w14:paraId="734E8C0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75DD7D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562ED02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Diarrheal disease</w:t>
            </w:r>
          </w:p>
        </w:tc>
        <w:tc>
          <w:tcPr>
            <w:tcW w:w="992" w:type="dxa"/>
            <w:noWrap/>
            <w:hideMark/>
          </w:tcPr>
          <w:p w14:paraId="5CF3B7E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CE366C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Childhood diarrheal treatment</w:t>
            </w:r>
          </w:p>
        </w:tc>
        <w:tc>
          <w:tcPr>
            <w:tcW w:w="2268" w:type="dxa"/>
            <w:noWrap/>
            <w:hideMark/>
          </w:tcPr>
          <w:p w14:paraId="0AE985F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year pre-service training and one year internship</w:t>
            </w:r>
          </w:p>
        </w:tc>
        <w:tc>
          <w:tcPr>
            <w:tcW w:w="1134" w:type="dxa"/>
            <w:noWrap/>
            <w:hideMark/>
          </w:tcPr>
          <w:p w14:paraId="3BC4AFF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039E834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 clinical quality assurance system</w:t>
            </w:r>
          </w:p>
        </w:tc>
        <w:tc>
          <w:tcPr>
            <w:tcW w:w="2448" w:type="dxa"/>
            <w:noWrap/>
            <w:hideMark/>
          </w:tcPr>
          <w:p w14:paraId="731EDC4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1F5BDC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Childhood diarrhoea adherence rate for CO 39.9% where control group CO 10.8%</w:t>
            </w:r>
          </w:p>
        </w:tc>
        <w:tc>
          <w:tcPr>
            <w:tcW w:w="2449" w:type="dxa"/>
            <w:gridSpan w:val="2"/>
            <w:noWrap/>
            <w:hideMark/>
          </w:tcPr>
          <w:p w14:paraId="4B7E4C7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296E027C" w14:textId="77777777" w:rsidTr="00E15533">
        <w:trPr>
          <w:trHeight w:val="20"/>
        </w:trPr>
        <w:tc>
          <w:tcPr>
            <w:tcW w:w="567" w:type="dxa"/>
            <w:noWrap/>
            <w:hideMark/>
          </w:tcPr>
          <w:p w14:paraId="17559A42" w14:textId="37287540"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lastRenderedPageBreak/>
              <w:fldChar w:fldCharType="begin"/>
            </w:r>
            <w:r>
              <w:rPr>
                <w:rFonts w:ascii="Times" w:eastAsia="Times New Roman" w:hAnsi="Times" w:cs="Times New Roman"/>
                <w:color w:val="000000"/>
                <w:sz w:val="16"/>
                <w:szCs w:val="16"/>
              </w:rPr>
              <w:instrText xml:space="preserve"> ADDIN ZOTERO_ITEM CSL_CITATION {"citationID":"LB4ehgv9","properties":{"formattedCitation":"(25)","plainCitation":"(25)","noteIndex":0},"citationItems":[{"id":4224,"uris":["http://zotero.org/users/4975241/items/YJTT7EL2"],"uri":["http://zotero.org/users/4975241/items/YJTT7EL2"],"itemData":{"id":4224,"type":"article-journal","abstract":"Lower respiratory tract infections (LRTIs) are the leading cause of deaths in children &lt; 5 years old worldwide, particularly affecting low-resource settings such as Aweil, South Sudan. In these settings, diagnosis can be difﬁcult because of either lack of access to radiography or clinical algorithms that overtreat children with antibiotics who only have viral LRTIs. Point-of-care ultrasound (POCUS) has been applied to LRTIs, but not by nonphysician clinicians, and with limited data from low-resource settings. Our goal was to examine the feasibility of training the mid-level provider cadre clinical ofﬁcers (COs) in a Me´ decins Sans Frontie` res project in South Sudan to perform a POCUS algorithm to differentiate among causes of LRTI. Six COs underwent POCUS training, and each subsequently performed 60 lung POCUS studies on hospitalized pediatric patients &lt; 5 years old with criteria for pneumonia. Two blinded experts, with a tiebreaker expert adjudicating discordant results, served as a reference standard to calculate test performance characteristics, assessed image quality and CO interpretation. The COs performed 360 studies. Reviewers rated 99.1% of the images acceptable and 86.0% CO interpretations appropriate. The inter-rater agreement (κ) between COs and experts for lung consolidation with air bronchograms was 0.73 (0.63–0.82) and for viral LRTI/bronchiolitis was 0.81 (0.74–0.87). It is feasible to train COs in South Sudan to use a POCUS algorithm to diagnose pneumonia and other pulmonary diseases in children &lt; 5 years old.","container-title":"The American Journal of Tropical Medicine and Hygiene","DOI":"10.4269/ajtmh.18-0745","ISSN":"0002-9637, 1476-1645","issue":"3","language":"en","page":"689-695","source":"DOI.org (Crossref)","title":"Feasibility of Training Clinical Officers in Point-of-Care Ultrasound for Pediatric Respiratory Diseases in Aweil, South Sudan","volume":"101","author":[{"family":"Nadimpalli","given":"Adi"},{"family":"Tsung","given":"James W."},{"family":"Sanchez","given":"Ramon"},{"family":"Shah","given":"Sachita"},{"family":"Zelikova","given":"Evgenia"},{"family":"Umphrey","given":"Lisa"},{"family":"Hurtado","given":"Northan"},{"family":"Gonzalez","given":"Alan"},{"family":"Teicher","given":"Carrie"}],"issued":{"date-parts":[["2019",9,4]]}}}],"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(25)</w:t>
            </w:r>
            <w:r>
              <w:rPr>
                <w:rFonts w:ascii="Times" w:eastAsia="Times New Roman" w:hAnsi="Times" w:cs="Times New Roman"/>
                <w:color w:val="000000"/>
                <w:sz w:val="16"/>
                <w:szCs w:val="16"/>
              </w:rPr>
              <w:fldChar w:fldCharType="end"/>
            </w:r>
          </w:p>
        </w:tc>
        <w:tc>
          <w:tcPr>
            <w:tcW w:w="709" w:type="dxa"/>
            <w:noWrap/>
            <w:hideMark/>
          </w:tcPr>
          <w:p w14:paraId="4A0B960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3987E31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Sudan</w:t>
            </w:r>
          </w:p>
        </w:tc>
        <w:tc>
          <w:tcPr>
            <w:tcW w:w="708" w:type="dxa"/>
            <w:noWrap/>
            <w:hideMark/>
          </w:tcPr>
          <w:p w14:paraId="2D1F9A9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307A2CE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State hospital</w:t>
            </w:r>
          </w:p>
        </w:tc>
        <w:tc>
          <w:tcPr>
            <w:tcW w:w="992" w:type="dxa"/>
            <w:noWrap/>
            <w:hideMark/>
          </w:tcPr>
          <w:p w14:paraId="5A1A886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&lt; 5</w:t>
            </w:r>
          </w:p>
        </w:tc>
        <w:tc>
          <w:tcPr>
            <w:tcW w:w="992" w:type="dxa"/>
            <w:noWrap/>
            <w:hideMark/>
          </w:tcPr>
          <w:p w14:paraId="46EF4DA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6583CE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feasibility of training CO to differentiate causes of LRTI</w:t>
            </w:r>
          </w:p>
        </w:tc>
        <w:tc>
          <w:tcPr>
            <w:tcW w:w="988" w:type="dxa"/>
            <w:noWrap/>
            <w:hideMark/>
          </w:tcPr>
          <w:p w14:paraId="0C96BB0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0D90E46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0A97823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Lower respiratory infections</w:t>
            </w:r>
          </w:p>
        </w:tc>
        <w:tc>
          <w:tcPr>
            <w:tcW w:w="992" w:type="dxa"/>
            <w:noWrap/>
            <w:hideMark/>
          </w:tcPr>
          <w:p w14:paraId="716A307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1D16A6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Point-of-care ultrasound for LRTIs</w:t>
            </w:r>
          </w:p>
        </w:tc>
        <w:tc>
          <w:tcPr>
            <w:tcW w:w="2268" w:type="dxa"/>
            <w:noWrap/>
            <w:hideMark/>
          </w:tcPr>
          <w:p w14:paraId="29EC5F0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two 6-hour training sessions, including a 1-hour didactic session, a 2-hour bedside teaching session, a 3-hour window to practice using the device. </w:t>
            </w:r>
          </w:p>
        </w:tc>
        <w:tc>
          <w:tcPr>
            <w:tcW w:w="1134" w:type="dxa"/>
            <w:noWrap/>
            <w:hideMark/>
          </w:tcPr>
          <w:p w14:paraId="6C05F59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BAC8E1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5D393D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0DAB11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Experts rated 99.1% acceptable and 86.0% CO interpretation appropriate, kappa was 0.73 for lung consolidation with air bronchograms and 0.81 for viral LRTI</w:t>
            </w:r>
          </w:p>
        </w:tc>
        <w:tc>
          <w:tcPr>
            <w:tcW w:w="2449" w:type="dxa"/>
            <w:gridSpan w:val="2"/>
            <w:noWrap/>
            <w:hideMark/>
          </w:tcPr>
          <w:p w14:paraId="60C9667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4D30C1CC" w14:textId="77777777" w:rsidTr="00E15533">
        <w:trPr>
          <w:trHeight w:val="20"/>
        </w:trPr>
        <w:tc>
          <w:tcPr>
            <w:tcW w:w="567" w:type="dxa"/>
            <w:noWrap/>
            <w:hideMark/>
          </w:tcPr>
          <w:p w14:paraId="7C622702" w14:textId="7B8F80BC"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rIyFepzs","properties":{"formattedCitation":"(26)","plainCitation":"(26)","noteIndex":0},"citationItems":[{"id":4215,"uris":["http://zotero.org/users/4975241/items/SDQGHGTX"],"uri":["http://zotero.org/users/4975241/items/SDQGHGTX"],"itemData":{"id":4215,"type":"article-journal","abstract":"Objectives—To compare compliance with national paediatric HIV treatment guidelines between nurse prescribers and doctors at a paediatric referral centre in Gaborone, Botswana.","language":"en","page":"8","source":"Zotero","title":"HIV management by nurse prescribers compared with doctors at a paediatric centre in Gaborone, Botswana","author":[{"family":"Monyatsi","given":"Gadzikanani"},{"family":"Mullan","given":"Paul C"},{"family":"Phelps","given":"Benjamin R"},{"family":"Tolle","given":"Michael A"}],"issued":{"date-parts":[["2013"]]}}}],"schema":"https://github.com/citation-style-language/schema/raw/master/csl-citation.json"}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(26)</w:t>
            </w:r>
            <w:r>
              <w:rPr>
                <w:rFonts w:ascii="Times" w:eastAsia="Times New Roman" w:hAnsi="Times" w:cs="Times New Roman"/>
                <w:color w:val="000000"/>
                <w:sz w:val="16"/>
                <w:szCs w:val="16"/>
              </w:rPr>
              <w:fldChar w:fldCharType="end"/>
            </w:r>
          </w:p>
        </w:tc>
        <w:tc>
          <w:tcPr>
            <w:tcW w:w="709" w:type="dxa"/>
            <w:noWrap/>
            <w:hideMark/>
          </w:tcPr>
          <w:p w14:paraId="5C7F815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2292E6E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Botswana</w:t>
            </w:r>
          </w:p>
        </w:tc>
        <w:tc>
          <w:tcPr>
            <w:tcW w:w="708" w:type="dxa"/>
            <w:noWrap/>
            <w:hideMark/>
          </w:tcPr>
          <w:p w14:paraId="78B16AD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495C66B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Centre of Excellence</w:t>
            </w:r>
          </w:p>
        </w:tc>
        <w:tc>
          <w:tcPr>
            <w:tcW w:w="992" w:type="dxa"/>
            <w:noWrap/>
            <w:hideMark/>
          </w:tcPr>
          <w:p w14:paraId="78DC4AC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Paediatric patient</w:t>
            </w:r>
          </w:p>
        </w:tc>
        <w:tc>
          <w:tcPr>
            <w:tcW w:w="992" w:type="dxa"/>
            <w:noWrap/>
            <w:hideMark/>
          </w:tcPr>
          <w:p w14:paraId="362D69C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07405E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compliance to guideline by nurse and doctor</w:t>
            </w:r>
          </w:p>
        </w:tc>
        <w:tc>
          <w:tcPr>
            <w:tcW w:w="988" w:type="dxa"/>
            <w:noWrap/>
            <w:hideMark/>
          </w:tcPr>
          <w:p w14:paraId="4B85625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w:t>
            </w:r>
          </w:p>
        </w:tc>
        <w:tc>
          <w:tcPr>
            <w:tcW w:w="1417" w:type="dxa"/>
            <w:noWrap/>
            <w:hideMark/>
          </w:tcPr>
          <w:p w14:paraId="571A73B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2CD5A0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1A8A6F9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BE8047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Paediatric HIV treatment including documentation of eight variables</w:t>
            </w:r>
          </w:p>
        </w:tc>
        <w:tc>
          <w:tcPr>
            <w:tcW w:w="2268" w:type="dxa"/>
            <w:noWrap/>
            <w:hideMark/>
          </w:tcPr>
          <w:p w14:paraId="1F0038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Four weeks of training including didactics and practicum; an additional month of clinical mentorship attached to a licensed physician with paediatric HIV experience. </w:t>
            </w:r>
          </w:p>
        </w:tc>
        <w:tc>
          <w:tcPr>
            <w:tcW w:w="1134" w:type="dxa"/>
            <w:noWrap/>
            <w:hideMark/>
          </w:tcPr>
          <w:p w14:paraId="668FD5B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706544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08DCD5C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1B01276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Nurses and doctors correctly documented 96.0% and 94.9% of the time, respectively. Higher proportion of social history documentation by the nurse though without statistical significance.</w:t>
            </w:r>
          </w:p>
        </w:tc>
        <w:tc>
          <w:tcPr>
            <w:tcW w:w="2449" w:type="dxa"/>
            <w:gridSpan w:val="2"/>
            <w:noWrap/>
            <w:hideMark/>
          </w:tcPr>
          <w:p w14:paraId="16516F8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6E384E9B" w14:textId="77777777" w:rsidTr="00E15533">
        <w:trPr>
          <w:trHeight w:val="20"/>
        </w:trPr>
        <w:tc>
          <w:tcPr>
            <w:tcW w:w="567" w:type="dxa"/>
            <w:noWrap/>
            <w:hideMark/>
          </w:tcPr>
          <w:p w14:paraId="62877F95" w14:textId="160F1F56"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ZGlKkFcx","properties":{"formattedCitation":"(27)","plainCitation":"(27)","noteIndex":0},"citationItems":[{"id":4318,"uris":["http://zotero.org/users/4975241/items/LDNI2DLJ"],"uri":["http://zotero.org/users/4975241/items/LDNI2DLJ"],"itemData":{"id":4318,"type":"article-journal","abstract":"Background and Aims Sierra Leone has one of the highest infant mortality rates in the world, with 113 out of every 1000 live births dying in their first year of life. Many of these deaths occur in the first month of life from birth asphyxia, complications of low birth weight and prematurity and neonatal sepsis. Sierra Leone has a critical shortage of health workers, especially those with skills in neonatal care. We aimed to develop and evaluate the impact of a two-day training programme designed to give non-medical health workers the knowledge and skills required to provide essential neonatal care to sick and low birth weight neonates.\nMethods Twenty-six health workers competed the training programme which was run in the central government hospitals in two neighbouring districts in Sierra Leone. The programme included interactive lectures, practical demonstrations and small-group facilitated sessions, which gave participants the opportunity to practise their newly acquired skills in simulated clinical scenarios. Simplified neonatal treatment guidelines, based on World Health Organisation best practise, were developed and given to each participant to be used during the workshop and as an ongoing reference. Participants were asked to complete a confidence questionnaire before and after the programme: pre and post course confidence scores were analysed.\nResults Participants included 18 nursing staff, 5 community health officers and 3 nursing aides. In one district a neonatal unit had just opened in the central government hospital, and in the other district a neonatal unit was planned with the opening of a new Africa Development Bank funded maternity unit. Health workers showed a significant (p &lt; 0.001) increase in their confidence in managing common neontal problems as illustrated in Table 1.\nConclusion A two-day training programme, coupled with the provision of clinical guidelines, significantly increased the confidence of non-medical health workers in managing the most commonly encountered neonatal problems in Sierra Leone. This demonstrates the potential of the task-shifting approach to expand access to essential neonatal services in similar resource-constrained settings. Further work is required to assess whether changes to practise are sustained, and to evaluate their effects on neonatal outcomes. &lt;img class=\"highwire-fragment fragment-image\" alt=\"Abstract G151(P) Table 1\" src=\"https://adc.bmj.com/content/archdischild/98/Suppl_1/A70.1/F1.medium.gif\" width=\"440\" height=\"162\"/&gt;Download figure Open in new tab Download powerpoint Abstract G151(P) Table 1","container-title":"Archives of Disease in Childhood","DOI":"10.1136/archdischild-2013-304107.163","ISSN":"0003-9888, 1468-2044","issue":"Suppl 1","language":"en","note":"00000 \npublisher: BMJ Publishing Group Ltd\nsection: International Child Health/British Association of General Paediatrics","page":"A70-A70","source":"adc.bmj.com","title":"G151(P) Impact of a Training Programme on Non-Medical Health Workers Confidence in Managing Common Neonatal Problems in Sierra Leone","volume":"98","author":[{"family":"Morrissey","given":"B."},{"family":"Kenny","given":"T."},{"family":"Williams","given":"S."},{"family":"Waddington","given":"D."}],"issued":{"date-parts":[["2013",6,1]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(27)</w:t>
            </w:r>
            <w:r>
              <w:rPr>
                <w:rFonts w:ascii="Times" w:eastAsia="Times New Roman" w:hAnsi="Times" w:cs="Times New Roman"/>
                <w:color w:val="000000"/>
                <w:sz w:val="16"/>
                <w:szCs w:val="16"/>
              </w:rPr>
              <w:fldChar w:fldCharType="end"/>
            </w:r>
          </w:p>
        </w:tc>
        <w:tc>
          <w:tcPr>
            <w:tcW w:w="709" w:type="dxa"/>
            <w:noWrap/>
            <w:hideMark/>
          </w:tcPr>
          <w:p w14:paraId="0336541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5645C65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Sierra Leone</w:t>
            </w:r>
          </w:p>
        </w:tc>
        <w:tc>
          <w:tcPr>
            <w:tcW w:w="708" w:type="dxa"/>
            <w:noWrap/>
            <w:hideMark/>
          </w:tcPr>
          <w:p w14:paraId="4DD6970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3C6BCFF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Central government hospital</w:t>
            </w:r>
          </w:p>
        </w:tc>
        <w:tc>
          <w:tcPr>
            <w:tcW w:w="992" w:type="dxa"/>
            <w:noWrap/>
            <w:hideMark/>
          </w:tcPr>
          <w:p w14:paraId="0F15FEF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Neonates</w:t>
            </w:r>
          </w:p>
        </w:tc>
        <w:tc>
          <w:tcPr>
            <w:tcW w:w="992" w:type="dxa"/>
            <w:noWrap/>
            <w:hideMark/>
          </w:tcPr>
          <w:p w14:paraId="59E3011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74AE253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impact of training on knowledge and skills for essential neonatal care</w:t>
            </w:r>
          </w:p>
        </w:tc>
        <w:tc>
          <w:tcPr>
            <w:tcW w:w="988" w:type="dxa"/>
            <w:noWrap/>
            <w:hideMark/>
          </w:tcPr>
          <w:p w14:paraId="57D5FE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479CE04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nurse aid, community health officer</w:t>
            </w:r>
          </w:p>
        </w:tc>
        <w:tc>
          <w:tcPr>
            <w:tcW w:w="1276" w:type="dxa"/>
            <w:noWrap/>
            <w:hideMark/>
          </w:tcPr>
          <w:p w14:paraId="6853F90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78854C1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CC52AA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Essential neonatal care</w:t>
            </w:r>
          </w:p>
        </w:tc>
        <w:tc>
          <w:tcPr>
            <w:tcW w:w="2268" w:type="dxa"/>
            <w:noWrap/>
            <w:hideMark/>
          </w:tcPr>
          <w:p w14:paraId="2302454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Two day training including interactive lectures, practical demonstrations and small-group facilitated sessions</w:t>
            </w:r>
          </w:p>
        </w:tc>
        <w:tc>
          <w:tcPr>
            <w:tcW w:w="1134" w:type="dxa"/>
            <w:noWrap/>
            <w:hideMark/>
          </w:tcPr>
          <w:p w14:paraId="29286AE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0E998C3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Simplified neonatal treatment guideline</w:t>
            </w:r>
          </w:p>
        </w:tc>
        <w:tc>
          <w:tcPr>
            <w:tcW w:w="2448" w:type="dxa"/>
            <w:noWrap/>
            <w:hideMark/>
          </w:tcPr>
          <w:p w14:paraId="33A4D63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Increase in confidence in managing common neonatal problems</w:t>
            </w:r>
          </w:p>
        </w:tc>
        <w:tc>
          <w:tcPr>
            <w:tcW w:w="2448" w:type="dxa"/>
            <w:gridSpan w:val="2"/>
            <w:noWrap/>
            <w:hideMark/>
          </w:tcPr>
          <w:p w14:paraId="55BB240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762A3F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17B5FA1E" w14:textId="77777777" w:rsidTr="00E15533">
        <w:trPr>
          <w:trHeight w:val="20"/>
        </w:trPr>
        <w:tc>
          <w:tcPr>
            <w:tcW w:w="567" w:type="dxa"/>
            <w:noWrap/>
            <w:hideMark/>
          </w:tcPr>
          <w:p w14:paraId="012C8C65" w14:textId="4B1E078F"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SRsWrGFm","properties":{"formattedCitation":"(28)","plainCitation":"(28)","noteIndex":0},"citationItems":[{"id":4210,"uris":["http://zotero.org/users/4975241/items/VWTT2CU6"],"uri":["http://zotero.org/users/4975241/items/VWTT2CU6"],"itemData":{"id":4210,"type":"article-journal","abstract":"Background The Integrated Management of Childhood Illness (IMCI) strategy includes guidelines for the management of sick children at first-level facilities. These guidelines intend to improve quality of care by ensuring a complete assessment of the child’s health and by providing algorithms that combine presenting symptoms into a set of illness classifications for management by IMCI-trained service providers at first-level facilities.\nObjectives To investigate the sustainability of improvements in under-five case management by two cadres of first-level government service providers with different levels of pre-service training following implementation of IMCI training and supportive supervision.\nMethods Twenty first-level health facilities in the rural sub-district of Matlab in Bangladesh were randomly assigned to IMCI intervention or comparison groups. Health workers in IMCI facilities received training in case management and monthly supportive supervision that involved observations of case management and reinforcement of skills by trained physicians. Health workers in comparison facilities were supervised according to Government of Bangladesh standards. Health facility surveys involving observations of case management were carried out at baseline (2000) and at two points (2003 and 2005) after implementation of IMCI in intervention facilities. Findings Improvement in the management of sick under-five children by IMCI trained service providers with only 18 months of pre-service training was equivalent to that of service providers with 4 years of pre-service training. The improvements in quality of care were sustained over a 2-year period across both cadres of providers in intervention facilities.\nConclusion IMCI training coupled with regular supervision can sustain improvements in the","container-title":"Health Policy and Planning","DOI":"10.1093/heapol/czt059","ISSN":"0268-1080, 1460-2237","issue":"6","journalAbbreviation":"Health Policy and Planning","language":"en","page":"753-762","source":"DOI.org (Crossref)","title":"Improving and sustaining quality of child health care through IMCI training and supervision: experience from rural Bangladesh","title-short":"Improving and sustaining quality of child health care through IMCI training and supervision","volume":"29","author":[{"family":"Hoque","given":"D. M. E."},{"family":"Arifeen","given":"S. E."},{"family":"Rahman","given":"M."},{"family":"Chowdhury","given":"E. K."},{"family":"Haque","given":"T. M."},{"family":"Begum","given":"K."},{"family":"Hossain","given":"M. A."},{"family":"Akter","given":"T."},{"family":"Haque","given":"F."},{"family":"Anwar","given":"T."},{"family":"Billah","given":"S. M."},{"family":"Rahman","given":"A. E."},{"family":"Huque","given":"M. H."},{"family":"Christou","given":"A."},{"family":"Baqui","given":"A. H."},{"family":"Bryce","given":"J."},{"family":"Black","given":"R. E."}],"issued":{"date-parts":[["2014",9,1]]}}}],"schema":"https://github.com/citation-style-language/schema/raw/master/csl-citation.json"}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(28)</w:t>
            </w:r>
            <w:r>
              <w:rPr>
                <w:rFonts w:ascii="Times" w:eastAsia="Times New Roman" w:hAnsi="Times" w:cs="Times New Roman"/>
                <w:color w:val="000000"/>
                <w:sz w:val="16"/>
                <w:szCs w:val="16"/>
              </w:rPr>
              <w:fldChar w:fldCharType="end"/>
            </w:r>
          </w:p>
        </w:tc>
        <w:tc>
          <w:tcPr>
            <w:tcW w:w="709" w:type="dxa"/>
            <w:noWrap/>
            <w:hideMark/>
          </w:tcPr>
          <w:p w14:paraId="2512AA6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581EFAB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Bangladesh</w:t>
            </w:r>
          </w:p>
        </w:tc>
        <w:tc>
          <w:tcPr>
            <w:tcW w:w="708" w:type="dxa"/>
            <w:noWrap/>
            <w:hideMark/>
          </w:tcPr>
          <w:p w14:paraId="3786368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32E5F58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First-level government facilities</w:t>
            </w:r>
          </w:p>
        </w:tc>
        <w:tc>
          <w:tcPr>
            <w:tcW w:w="992" w:type="dxa"/>
            <w:noWrap/>
            <w:hideMark/>
          </w:tcPr>
          <w:p w14:paraId="3B09809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7696989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0A6999A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if quality of care given regular supervision could be sustained</w:t>
            </w:r>
          </w:p>
        </w:tc>
        <w:tc>
          <w:tcPr>
            <w:tcW w:w="988" w:type="dxa"/>
            <w:noWrap/>
            <w:hideMark/>
          </w:tcPr>
          <w:p w14:paraId="103759D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w:t>
            </w:r>
          </w:p>
        </w:tc>
        <w:tc>
          <w:tcPr>
            <w:tcW w:w="1417" w:type="dxa"/>
            <w:noWrap/>
            <w:hideMark/>
          </w:tcPr>
          <w:p w14:paraId="367DF78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Paramedics and female reproductive health worker</w:t>
            </w:r>
          </w:p>
        </w:tc>
        <w:tc>
          <w:tcPr>
            <w:tcW w:w="1276" w:type="dxa"/>
            <w:noWrap/>
            <w:hideMark/>
          </w:tcPr>
          <w:p w14:paraId="198DC3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6EA0F77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04270D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IMCI</w:t>
            </w:r>
          </w:p>
        </w:tc>
        <w:tc>
          <w:tcPr>
            <w:tcW w:w="2268" w:type="dxa"/>
            <w:noWrap/>
            <w:hideMark/>
          </w:tcPr>
          <w:p w14:paraId="7FEEBAA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11 day IMCI training</w:t>
            </w:r>
          </w:p>
        </w:tc>
        <w:tc>
          <w:tcPr>
            <w:tcW w:w="1134" w:type="dxa"/>
            <w:noWrap/>
            <w:hideMark/>
          </w:tcPr>
          <w:p w14:paraId="047B390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Monthly supervision with checklist</w:t>
            </w:r>
          </w:p>
        </w:tc>
        <w:tc>
          <w:tcPr>
            <w:tcW w:w="1134" w:type="dxa"/>
            <w:noWrap/>
            <w:hideMark/>
          </w:tcPr>
          <w:p w14:paraId="0647FA1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Drug, supplies, recording and reporting system (form), case management guideline</w:t>
            </w:r>
          </w:p>
        </w:tc>
        <w:tc>
          <w:tcPr>
            <w:tcW w:w="2448" w:type="dxa"/>
            <w:noWrap/>
            <w:hideMark/>
          </w:tcPr>
          <w:p w14:paraId="12522CC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758DBC9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Both providers performed better in assessing, classifying, correct treatment and prescription following IMCI guideline compared with baseline; improvements in quality of care were sustained over the 2-year period.</w:t>
            </w:r>
          </w:p>
        </w:tc>
        <w:tc>
          <w:tcPr>
            <w:tcW w:w="2449" w:type="dxa"/>
            <w:gridSpan w:val="2"/>
            <w:noWrap/>
            <w:hideMark/>
          </w:tcPr>
          <w:p w14:paraId="5989D4C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35A71F3E" w14:textId="77777777" w:rsidTr="00E15533">
        <w:trPr>
          <w:trHeight w:val="20"/>
        </w:trPr>
        <w:tc>
          <w:tcPr>
            <w:tcW w:w="567" w:type="dxa"/>
            <w:noWrap/>
            <w:hideMark/>
          </w:tcPr>
          <w:p w14:paraId="3B492079" w14:textId="4958D351"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2KeBzyuz","properties":{"formattedCitation":"(29)","plainCitation":"(29)","noteIndex":0},"citationItems":[{"id":4205,"uris":["http://zotero.org/users/4975241/items/I85IGZZT"],"uri":["http://zotero.org/users/4975241/items/I85IGZZT"],"itemData":{"id":4205,"type":"article-journal","container-title":"Tropical Medicine &amp; International Health","DOI":"10.1111/j.1365-3156.2008.02129.x","ISSN":"13602276, 13653156","issue":"9","language":"en","page":"1213-1219","source":"DOI.org (Crossref)","title":"Inter-observer variation in paediatric clinical signs between different grades of staff examining children admitted to hospital in Tanzania","volume":"13","author":[{"family":"Nadjm","given":"B."},{"family":"Jeffs","given":"B."},{"family":"Mtove","given":"G."},{"family":"Msuya","given":"W."},{"family":"Mndeme","given":"L."},{"family":"Mtei","given":"F."},{"family":"Chonya","given":"S."},{"family":"Reyburn","given":"H."}],"issued":{"date-parts":[["2008",9]]}}}],"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(29)</w:t>
            </w:r>
            <w:r>
              <w:rPr>
                <w:rFonts w:ascii="Times" w:eastAsia="Times New Roman" w:hAnsi="Times" w:cs="Times New Roman"/>
                <w:color w:val="000000"/>
                <w:sz w:val="16"/>
                <w:szCs w:val="16"/>
              </w:rPr>
              <w:fldChar w:fldCharType="end"/>
            </w:r>
          </w:p>
        </w:tc>
        <w:tc>
          <w:tcPr>
            <w:tcW w:w="709" w:type="dxa"/>
            <w:noWrap/>
            <w:hideMark/>
          </w:tcPr>
          <w:p w14:paraId="7F6F980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2008</w:t>
            </w:r>
          </w:p>
        </w:tc>
        <w:tc>
          <w:tcPr>
            <w:tcW w:w="851" w:type="dxa"/>
            <w:noWrap/>
            <w:hideMark/>
          </w:tcPr>
          <w:p w14:paraId="7728F93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Tanzania</w:t>
            </w:r>
          </w:p>
        </w:tc>
        <w:tc>
          <w:tcPr>
            <w:tcW w:w="708" w:type="dxa"/>
            <w:noWrap/>
            <w:hideMark/>
          </w:tcPr>
          <w:p w14:paraId="79EECD8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594EFC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District hospital</w:t>
            </w:r>
          </w:p>
        </w:tc>
        <w:tc>
          <w:tcPr>
            <w:tcW w:w="992" w:type="dxa"/>
            <w:noWrap/>
            <w:hideMark/>
          </w:tcPr>
          <w:p w14:paraId="463A63B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(2m - 13y)</w:t>
            </w:r>
          </w:p>
        </w:tc>
        <w:tc>
          <w:tcPr>
            <w:tcW w:w="992" w:type="dxa"/>
            <w:noWrap/>
            <w:hideMark/>
          </w:tcPr>
          <w:p w14:paraId="4911394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34D0318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inter-observer variation in clinical sign</w:t>
            </w:r>
          </w:p>
        </w:tc>
        <w:tc>
          <w:tcPr>
            <w:tcW w:w="988" w:type="dxa"/>
            <w:noWrap/>
            <w:hideMark/>
          </w:tcPr>
          <w:p w14:paraId="32094A8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97E181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and nurse</w:t>
            </w:r>
          </w:p>
        </w:tc>
        <w:tc>
          <w:tcPr>
            <w:tcW w:w="1276" w:type="dxa"/>
            <w:noWrap/>
            <w:hideMark/>
          </w:tcPr>
          <w:p w14:paraId="656F9A9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0589E04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56DECB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Paediatric sign examination mostly in IMCI</w:t>
            </w:r>
          </w:p>
        </w:tc>
        <w:tc>
          <w:tcPr>
            <w:tcW w:w="2268" w:type="dxa"/>
            <w:noWrap/>
            <w:hideMark/>
          </w:tcPr>
          <w:p w14:paraId="351E278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Video clips that demonstrated the signs in the study; 1-h training session on clinical examination using the same training materials followed an interactive teaching session</w:t>
            </w:r>
          </w:p>
        </w:tc>
        <w:tc>
          <w:tcPr>
            <w:tcW w:w="1134" w:type="dxa"/>
            <w:noWrap/>
            <w:hideMark/>
          </w:tcPr>
          <w:p w14:paraId="60DF4F1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71EA188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3CBB872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13BA42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Mean (median) Kappa scores for all signs examined were 0.54 (0.57) for RCO–RCO, 0.49 (0.49) for RCO–HCO and 0.50 (0.49) for RCO–HN </w:t>
            </w:r>
          </w:p>
        </w:tc>
        <w:tc>
          <w:tcPr>
            <w:tcW w:w="2449" w:type="dxa"/>
            <w:gridSpan w:val="2"/>
            <w:noWrap/>
            <w:hideMark/>
          </w:tcPr>
          <w:p w14:paraId="68162C1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31E169EA" w14:textId="77777777" w:rsidTr="00E15533">
        <w:trPr>
          <w:trHeight w:val="20"/>
        </w:trPr>
        <w:tc>
          <w:tcPr>
            <w:tcW w:w="567" w:type="dxa"/>
            <w:noWrap/>
            <w:hideMark/>
          </w:tcPr>
          <w:p w14:paraId="67665022" w14:textId="7DCCF271"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vlXm21mV","properties":{"formattedCitation":"(30)","plainCitation":"(30)","noteIndex":0},"citationItems":[{"id":4204,"uris":["http://zotero.org/users/4975241/items/PNBVNZ49"],"uri":["http://zotero.org/users/4975241/items/PNBVNZ49"],"itemData":{"id":4204,"type":"article-journal","abstract":"We assessed the inter-observer agreement in identification of a range of 24 clinical signs associated with disease presentation in 327 children aged &lt;5 years admitted to hospital in January-June 1999 in Ifakara, southern Tanzania. Children with diagnoses of malaria, pneumonia, diarrhoea, anaemia and malnutrition were examined independently by 2 clinical officers. Findings were recorded on a standard proforma. The Kappa-statistic was used to assess inter-observer agreement for each sign. Physical signs were more likely to be agreed upon by clinicians if they involved inspection than if they involved auscultation. The signs included in the Integrated Management of Childhood Illness (IMCI) algorithm were found to be largely appropriate (Kappa-scores &gt;0.41) although there was only fair agreement (Kappa-score 0.210.40) in the detection of neck stiffness and chest indrawing and slight agreement in the detection of dehydration (Kappa-score 0.199). All objective neurological signs were less reliably assessed in infants than in older children. The difficulties surrounding the diagnosis of impaired consciousness in young children should increase vigilance in the diagnosis and management of neurological complications of illnesses in infancy.","container-title":"Transactions of the Royal Society of Tropical Medicine and Hygiene","DOI":"10.1016/S0035-9203(02)90290-7","ISSN":"00359203","issue":"2","journalAbbreviation":"Transactions of the Royal Society of Tropical Medicine and Hygiene","language":"en","page":"162-166","source":"DOI.org (Crossref)","title":"Inter-observer variation in the assessment of clinical signs in sick Tanzanian children","volume":"96","author":[{"family":"Kahigwa","given":"E."},{"family":"Schellenberg","given":"D."},{"family":"Armstrong Schellenberg","given":"J."},{"family":"Aponte","given":"J.J."},{"family":"Alonso","given":"P.L."},{"family":"Menendez","given":"C."}],"issued":{"date-parts":[["2002",3]]}}}],"schema":"https://github.com/citation-style-language/schema/raw/master/csl-citation.json"}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(30)</w:t>
            </w:r>
            <w:r>
              <w:rPr>
                <w:rFonts w:ascii="Times" w:eastAsia="Times New Roman" w:hAnsi="Times" w:cs="Times New Roman"/>
                <w:color w:val="000000"/>
                <w:sz w:val="16"/>
                <w:szCs w:val="16"/>
              </w:rPr>
              <w:fldChar w:fldCharType="end"/>
            </w:r>
          </w:p>
        </w:tc>
        <w:tc>
          <w:tcPr>
            <w:tcW w:w="709" w:type="dxa"/>
            <w:noWrap/>
            <w:hideMark/>
          </w:tcPr>
          <w:p w14:paraId="5B1D148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2002</w:t>
            </w:r>
          </w:p>
        </w:tc>
        <w:tc>
          <w:tcPr>
            <w:tcW w:w="851" w:type="dxa"/>
            <w:noWrap/>
            <w:hideMark/>
          </w:tcPr>
          <w:p w14:paraId="05AA23C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Tanzania</w:t>
            </w:r>
          </w:p>
        </w:tc>
        <w:tc>
          <w:tcPr>
            <w:tcW w:w="708" w:type="dxa"/>
            <w:noWrap/>
            <w:hideMark/>
          </w:tcPr>
          <w:p w14:paraId="6B2BC98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09E0503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District hospital</w:t>
            </w:r>
          </w:p>
        </w:tc>
        <w:tc>
          <w:tcPr>
            <w:tcW w:w="992" w:type="dxa"/>
            <w:noWrap/>
            <w:hideMark/>
          </w:tcPr>
          <w:p w14:paraId="7D72ED2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(4m-6y)</w:t>
            </w:r>
          </w:p>
        </w:tc>
        <w:tc>
          <w:tcPr>
            <w:tcW w:w="992" w:type="dxa"/>
            <w:noWrap/>
            <w:hideMark/>
          </w:tcPr>
          <w:p w14:paraId="3D01E05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0C075EC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inter-observer variation in clinical sign</w:t>
            </w:r>
          </w:p>
        </w:tc>
        <w:tc>
          <w:tcPr>
            <w:tcW w:w="988" w:type="dxa"/>
            <w:noWrap/>
            <w:hideMark/>
          </w:tcPr>
          <w:p w14:paraId="11CB48C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EB4411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243171F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17EEA29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8E0771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Paediatric sign examination mostly in IMCI</w:t>
            </w:r>
          </w:p>
        </w:tc>
        <w:tc>
          <w:tcPr>
            <w:tcW w:w="2268" w:type="dxa"/>
            <w:noWrap/>
            <w:hideMark/>
          </w:tcPr>
          <w:p w14:paraId="164566F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Trained to assess clinical signs and complete the surveillance forms in a standardized way, </w:t>
            </w:r>
          </w:p>
        </w:tc>
        <w:tc>
          <w:tcPr>
            <w:tcW w:w="1134" w:type="dxa"/>
            <w:noWrap/>
            <w:hideMark/>
          </w:tcPr>
          <w:p w14:paraId="7F8C527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Daily supervision before study commenced</w:t>
            </w:r>
          </w:p>
        </w:tc>
        <w:tc>
          <w:tcPr>
            <w:tcW w:w="1134" w:type="dxa"/>
            <w:noWrap/>
            <w:hideMark/>
          </w:tcPr>
          <w:p w14:paraId="4543C02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532F387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595EBB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At least fair agreement in most clinical signs between COs</w:t>
            </w:r>
          </w:p>
        </w:tc>
        <w:tc>
          <w:tcPr>
            <w:tcW w:w="2449" w:type="dxa"/>
            <w:gridSpan w:val="2"/>
            <w:noWrap/>
            <w:hideMark/>
          </w:tcPr>
          <w:p w14:paraId="7380DE6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68F6BA6B" w14:textId="77777777" w:rsidTr="00E15533">
        <w:trPr>
          <w:trHeight w:val="20"/>
        </w:trPr>
        <w:tc>
          <w:tcPr>
            <w:tcW w:w="567" w:type="dxa"/>
            <w:noWrap/>
            <w:hideMark/>
          </w:tcPr>
          <w:p w14:paraId="2FA914F1" w14:textId="58E9BE7A"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Q90IXNM9","properties":{"formattedCitation":"(31)","plainCitation":"(31)","noteIndex":0},"citationItems":[{"id":4197,"uris":["http://zotero.org/users/4975241/items/PMTL6IB8"],"uri":["http://zotero.org/users/4975241/items/PMTL6IB8"],"itemData":{"id":4197,"type":"article-journal","abstract":"Objective: To describe long-term treatment outcomes of a pediatric HIV cohort in Mozambique. Design: Retrospective analysis of routine monitoring data. Setting: Secondary health care facilities in the Chamanculo Health District of Maputo. Subjects: A total of 1,335 antiretroviral treatment (ART) na¨ıve children B15 years of age enrolled in HIV care between 2002 and 2010. Intervention: HIV care, ART (since 2003), task shifting to lower cadre nurses, counseling by lay counselors, active patient tracing, nutritional support, support by a psychologist, targeted viral load testing, and switch to second-line treatment. Main outcome measures: KaplanÁMeier estimates for retention in care (RIC), CD4 cell percentage, body mass index for age z-score, and adjusted incidence rate ratios for attrition (death or loss to follow-up) as calculated by Poisson regression.\nResults: The RIC at 6 years in the pre-ART cohort was 44% (95% confidence interval: 38Á49), and the one at 8 years in the ART cohort was 70% (64Á75). Risk factors for attrition included young age, low CD4 percentage, underweight, active tuberculosis, and enrollment/treatment initiation after 2006. The mean CD4 percentage increased strongly at 1 year on treatment and remained high thereafter. The body mass index for age z-score sharply increased at 1 year after treatment initiation before stabilizing at pre-ART levels thereafter.\nConclusions: Good clinical and immunological treatment outcomes up to 8 years of follow-up on ART can be achieved in a context of shortage of health workers and a high level of task-shifting approach.","container-title":"Global Health Action","DOI":"10.3402/gha.v8.26652","ISSN":"1654-9716, 1654-9880","issue":"1","journalAbbreviation":"Global Health Action","language":"en","page":"26652","source":"DOI.org (Crossref)","title":"Long-term outcomes of a pediatric HIV treatment program in Maputo, Mozambique: a cohort study","title-short":"Long-term outcomes of a pediatric HIV treatment program in Maputo, Mozambique","volume":"8","author":[{"family":"Walter","given":"Jan"},{"family":"Molfino","given":"Lucas"},{"family":"Moreno","given":"Verena"},{"family":"Edwards","given":"Celeste G."},{"family":"Chissano","given":"Mafalda"},{"family":"Prieto","given":"Angels"},{"family":"Bocharnikova","given":"Tatiana"},{"family":"Antierens","given":"Annick"},{"family":"Lujan","given":"Johnny"}],"issued":{"date-parts":[["2015",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(31)</w:t>
            </w:r>
            <w:r>
              <w:rPr>
                <w:rFonts w:ascii="Times" w:eastAsia="Times New Roman" w:hAnsi="Times" w:cs="Times New Roman"/>
                <w:color w:val="000000"/>
                <w:sz w:val="16"/>
                <w:szCs w:val="16"/>
              </w:rPr>
              <w:fldChar w:fldCharType="end"/>
            </w:r>
          </w:p>
        </w:tc>
        <w:tc>
          <w:tcPr>
            <w:tcW w:w="709" w:type="dxa"/>
            <w:noWrap/>
            <w:hideMark/>
          </w:tcPr>
          <w:p w14:paraId="049540B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2015</w:t>
            </w:r>
          </w:p>
        </w:tc>
        <w:tc>
          <w:tcPr>
            <w:tcW w:w="851" w:type="dxa"/>
            <w:noWrap/>
            <w:hideMark/>
          </w:tcPr>
          <w:p w14:paraId="6CE053D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Mozambique</w:t>
            </w:r>
          </w:p>
        </w:tc>
        <w:tc>
          <w:tcPr>
            <w:tcW w:w="708" w:type="dxa"/>
            <w:noWrap/>
            <w:hideMark/>
          </w:tcPr>
          <w:p w14:paraId="74FC60A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Cohort</w:t>
            </w:r>
          </w:p>
        </w:tc>
        <w:tc>
          <w:tcPr>
            <w:tcW w:w="1418" w:type="dxa"/>
            <w:noWrap/>
            <w:hideMark/>
          </w:tcPr>
          <w:p w14:paraId="1113C2F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Secondary health care facilities</w:t>
            </w:r>
          </w:p>
        </w:tc>
        <w:tc>
          <w:tcPr>
            <w:tcW w:w="992" w:type="dxa"/>
            <w:noWrap/>
            <w:hideMark/>
          </w:tcPr>
          <w:p w14:paraId="3E2AC29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0978CED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7AA2C9D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long-term treatment outcomes of paediatric HIV cohort</w:t>
            </w:r>
          </w:p>
        </w:tc>
        <w:tc>
          <w:tcPr>
            <w:tcW w:w="988" w:type="dxa"/>
            <w:noWrap/>
            <w:hideMark/>
          </w:tcPr>
          <w:p w14:paraId="52272E5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442A115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1CE7AD2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7EEB027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8C98F4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Followup of HIV/AIDS</w:t>
            </w:r>
          </w:p>
        </w:tc>
        <w:tc>
          <w:tcPr>
            <w:tcW w:w="2268" w:type="dxa"/>
            <w:noWrap/>
            <w:hideMark/>
          </w:tcPr>
          <w:p w14:paraId="0789812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12CE5D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Close program supervision was conducted by a referent physician who was also in charge of ART initiation and diagnosis, and the treatment of complicated cases. </w:t>
            </w:r>
          </w:p>
        </w:tc>
        <w:tc>
          <w:tcPr>
            <w:tcW w:w="1134" w:type="dxa"/>
            <w:noWrap/>
            <w:hideMark/>
          </w:tcPr>
          <w:p w14:paraId="727A9B8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4ACB6B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0EAB1A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6ADE9F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6% of children who initiated ART died, 15% loss to follow-up.</w:t>
            </w:r>
          </w:p>
        </w:tc>
      </w:tr>
      <w:tr w:rsidR="00F02432" w:rsidRPr="00C0069F" w14:paraId="3149A94E" w14:textId="77777777" w:rsidTr="00E15533">
        <w:trPr>
          <w:trHeight w:val="20"/>
        </w:trPr>
        <w:tc>
          <w:tcPr>
            <w:tcW w:w="567" w:type="dxa"/>
            <w:noWrap/>
            <w:hideMark/>
          </w:tcPr>
          <w:p w14:paraId="5C5A9275" w14:textId="367EBD69"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e5KsFzR6","properties":{"formattedCitation":"(32)","plainCitation":"(32)","noteIndex":0},"citationItems":[{"id":4321,"uris":["http://zotero.org/users/4975241/items/CFCMVZ7H"],"uri":["http://zotero.org/users/4975241/items/CFCMVZ7H"],"itemData":{"id":4321,"type":"article-journal","abstract":"PROBLEM: Many resource-poor countries have started scaling up antiretroviral therapy (ART). While reports from individual clinics point to successful implementation, there is limited information about progress in government institutions at a national level.\nAPPROACH: Malawi started national ART scale-up in 2004 using a structured approach. There is a focus on one generic, fixed-dose combination treatment with stavudine, lamivudine and nevirapine. Treatment is delivered free of charge to eligible patients with HIV and there is a standardized system for recruiting patients, monthly follow-up, registration, monitoring and reporting of cases and outcomes. All treatment sites receive quarterly supervision and evaluation.\nLOCAL SETTING: In January 2004, there were nine public sector facilities delivering ART to an estimated 4 000 patients. By December 2005, there were 60 public sector facilities providing free ART to 37,840 patients using national standardized systems. Analysis of quarterly cohort treatment outcomes at 12 months showed 80% of patients were alive, 10% dead, 9% lost to follow-up and 1% had stopped treatment.\nLESSONS LEARNED: Achievements were the result of clear national ART guidelines, implementing partners working together, an intensive training schedule focused on clinical officers and nurses, a structured system of accrediting facilities for ART delivery, quarterly supervision and monitoring, and no stock-outs of antiretroviral drugs. The main challenges are to increase the numbers of children, pregnant women and patients with tuberculosis being started on ART, and to avert high early mortality and losses to follow-up. The capacity of the health sector to cope with escalating case loads and to scale up prevention alongside treatment will determine the future success of ART delivery in Malawi.","container-title":"Bulletin of the World Health Organization","DOI":"10.2471/blt.05.033688","ISSN":"0042-9686","issue":"2","journalAbbreviation":"Bull World Health Organ","language":"eng","note":"00000 \nPMID: 17308738\nPMCID: PMC2636281","page":"156-160","source":"PubMed","title":"Malawi's contribution to \"3 by 5\": achievements and challenges","title-short":"Malawi's contribution to \"3 by 5\"","volume":"85","author":[{"family":"Libamba","given":"Edwin"},{"family":"Makombe","given":"Simon D."},{"family":"Harries","given":"Anthony D."},{"family":"Schouten","given":"Erik J."},{"family":"Yu","given":"Joseph Kwong-Leung"},{"family":"Pasulani","given":"Olesi"},{"family":"Mhango","given":"Eustice"},{"family":"Aberle-Grasse","given":"John"},{"family":"Hochgesang","given":"Mindy"},{"family":"Limbambala","given":"Eddie"},{"family":"Lungu","given":"Douglas"}],"issued":{"date-parts":[["2007",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(32)</w:t>
            </w:r>
            <w:r>
              <w:rPr>
                <w:rFonts w:ascii="Times" w:eastAsia="Times New Roman" w:hAnsi="Times" w:cs="Times New Roman"/>
                <w:color w:val="000000"/>
                <w:sz w:val="16"/>
                <w:szCs w:val="16"/>
              </w:rPr>
              <w:fldChar w:fldCharType="end"/>
            </w:r>
          </w:p>
        </w:tc>
        <w:tc>
          <w:tcPr>
            <w:tcW w:w="709" w:type="dxa"/>
            <w:noWrap/>
            <w:hideMark/>
          </w:tcPr>
          <w:p w14:paraId="19B1687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2007</w:t>
            </w:r>
          </w:p>
        </w:tc>
        <w:tc>
          <w:tcPr>
            <w:tcW w:w="851" w:type="dxa"/>
            <w:noWrap/>
            <w:hideMark/>
          </w:tcPr>
          <w:p w14:paraId="4600C45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267A13A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3450CEC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1B196B5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39384B5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3FAF14C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achievement and challenge of ART scale-up</w:t>
            </w:r>
          </w:p>
        </w:tc>
        <w:tc>
          <w:tcPr>
            <w:tcW w:w="988" w:type="dxa"/>
            <w:noWrap/>
            <w:hideMark/>
          </w:tcPr>
          <w:p w14:paraId="3ABE18A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9C37A4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nurse, medical assistant</w:t>
            </w:r>
          </w:p>
        </w:tc>
        <w:tc>
          <w:tcPr>
            <w:tcW w:w="1276" w:type="dxa"/>
            <w:noWrap/>
            <w:hideMark/>
          </w:tcPr>
          <w:p w14:paraId="4B36F2E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16122E9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292FF9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6C63694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5-day training module and a certification of competence linked to a formal exam- nation, and successful participants then undertook a 2-week practical clinical attachment at one of the experienced ART sites </w:t>
            </w:r>
          </w:p>
        </w:tc>
        <w:tc>
          <w:tcPr>
            <w:tcW w:w="1134" w:type="dxa"/>
            <w:noWrap/>
            <w:hideMark/>
          </w:tcPr>
          <w:p w14:paraId="3CCA3EC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5D63F1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773E378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8E62E4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2189749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74% alive and on ART at the initial ART registration site, 10% dead, though not all children</w:t>
            </w:r>
          </w:p>
        </w:tc>
      </w:tr>
      <w:tr w:rsidR="00591F5E" w:rsidRPr="00C0069F" w14:paraId="69D30077" w14:textId="77777777" w:rsidTr="00E15533">
        <w:trPr>
          <w:trHeight w:val="20"/>
        </w:trPr>
        <w:tc>
          <w:tcPr>
            <w:tcW w:w="567" w:type="dxa"/>
            <w:noWrap/>
            <w:hideMark/>
          </w:tcPr>
          <w:p w14:paraId="71F0EBE0" w14:textId="6F4BD85C"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hSSum7LR","properties":{"formattedCitation":"(33)","plainCitation":"(33)","noteIndex":0},"citationItems":[{"id":4194,"uris":["http://zotero.org/users/4975241/items/B8D6WZIQ"],"uri":["http://zotero.org/users/4975241/items/B8D6WZIQ"],"itemData":{"id":4194,"type":"article-journal","abstract":"Background: In Malawi, as in other sub-Saharan African countries, nurses manage patients of all ages on antiretroviral treatment (ART). Nurse management of children is rarely studied. We compare ART prescribing between nurses and clinical officers during routine clinic visits at an urban, public clinic to inform policy in paediatric ART management.\nMethods: Caregivers of children on first-line ART provided information about visit dates, pill counts, ART dosage and formulation to a nurse and, subsequently, to a clinical officer. Nurses and clinical officers independently calculated adherence, dosage based on body weight, and set next appointment date. Clinical officers, but not nurses, accessed an electronic data system that made the calculations for them based on information from prior visits, actual and expected pill consumption, and standard drug supplies. Nurses calculated with pen and paper. For numerical variables, Bland-Altman graphs plot differences of each nurseÁ clinical officer pair against the mean, show the 95% limits of agreement (LoA), and also show the mean difference across all reviews. Kappa statistics assess agreement for categorical variables.\nResults: A total of 704 matched nurseÁclinical officer reviews of 367 children attending the ART clinics between March and July 2010 were analyzed. Eight nurses and 18 clinical officers were involved; two nurses and five clinical officers managed 100 visits or more. Overall, there was a good agreement between the two cadres. Differences between nurses and clinical officers were within narrow LoA and mean differences showed little deviation from zero, indicating little skewing towards one cadre. LoA of adherence and morning and evening ART dosages varied from (24% to 24%, (0.4 to 0.4 and (0.41 to 0.40 tablets, respectively, with mean differences (95% CI) of 0.003 ( (0.9, 0.91), (0.005 ((0.02, 0.01) and (0.009 ((0.02, 0.01). Next appointment calculations differed more between cadres with LoA from (40 to 42 days [mean difference: 0.96 days (95% CI: (0.6 to 2.5)], but agreement in the ART formulation prescribed was very good (kappa 0.93).\nConclusions: Nurses’ ART prescribing practices and calculations of adherence and next appointments are similar to clinical officers, although clinical officers used an electronic system. Our findings support the decision of Malawi’s health officials to utilize nurses to manage paediatric ART patients.","container-title":"Journal of the International AIDS Society","DOI":"10.7448/IAS.15.2.17432","ISSN":"1758-2652","issue":"2","journalAbbreviation":"Journal of the International AIDS Society","language":"en","source":"DOI.org (Crossref)","title":"Managing HIV-infected children in a low-resource, public clinic: a comparison of nurse vs. clinical officer practices in ART refill, calculation of adherence and subsequent appointments","title-short":"Managing HIV-infected children in a low-resource, public clinic","URL":"http://doi.wiley.com/10.7448/IAS.15.2.17432","volume":"15","author":[{"family":"Weigel","given":"Ralf"},{"family":"Feldacker","given":"Caryl"},{"family":"Tweya","given":"Hannock"},{"family":"Gondwe","given":"Chimwemwe"},{"family":"Chiwoko","given":"Jane"},{"family":"Gumulira","given":"Joe"},{"family":"Kalulu","given":"Mike"},{"family":"Phiri","given":"Sam"}],"accessed":{"date-parts":[["2021",2,24]]},"issued":{"date-parts":[["2012",8,17]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(33)</w:t>
            </w:r>
            <w:r>
              <w:rPr>
                <w:rFonts w:ascii="Times" w:eastAsia="Times New Roman" w:hAnsi="Times" w:cs="Times New Roman"/>
                <w:color w:val="000000"/>
                <w:sz w:val="16"/>
                <w:szCs w:val="16"/>
              </w:rPr>
              <w:fldChar w:fldCharType="end"/>
            </w:r>
          </w:p>
        </w:tc>
        <w:tc>
          <w:tcPr>
            <w:tcW w:w="709" w:type="dxa"/>
            <w:noWrap/>
            <w:hideMark/>
          </w:tcPr>
          <w:p w14:paraId="4295E8B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2012</w:t>
            </w:r>
          </w:p>
        </w:tc>
        <w:tc>
          <w:tcPr>
            <w:tcW w:w="851" w:type="dxa"/>
            <w:noWrap/>
            <w:hideMark/>
          </w:tcPr>
          <w:p w14:paraId="0C0D5D2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77BC064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034A7CF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the Martin Preuss Centre (MPC) and the Lighthouse clinic at Kamuzu Central Hospital </w:t>
            </w:r>
          </w:p>
        </w:tc>
        <w:tc>
          <w:tcPr>
            <w:tcW w:w="992" w:type="dxa"/>
            <w:noWrap/>
            <w:hideMark/>
          </w:tcPr>
          <w:p w14:paraId="5BA98E4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&lt;15y</w:t>
            </w:r>
          </w:p>
        </w:tc>
        <w:tc>
          <w:tcPr>
            <w:tcW w:w="992" w:type="dxa"/>
            <w:noWrap/>
            <w:hideMark/>
          </w:tcPr>
          <w:p w14:paraId="12C37B7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7063FD2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nurse and clinical officer practice in ART refill, adherence, etc.</w:t>
            </w:r>
          </w:p>
        </w:tc>
        <w:tc>
          <w:tcPr>
            <w:tcW w:w="988" w:type="dxa"/>
            <w:noWrap/>
            <w:hideMark/>
          </w:tcPr>
          <w:p w14:paraId="46F4F16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DDEDE7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and nurse</w:t>
            </w:r>
          </w:p>
        </w:tc>
        <w:tc>
          <w:tcPr>
            <w:tcW w:w="1276" w:type="dxa"/>
            <w:noWrap/>
            <w:hideMark/>
          </w:tcPr>
          <w:p w14:paraId="2A08EBA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3344FB2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7864A5D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483B27A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Nurses underwent a two-hour refresher training on the paediatric dosing charts, adherence and appointment calculation and entered a three-day pilot phase with intense supervision by the study coordinator to clarify questions and to ensure that all operations followed the study protocol </w:t>
            </w:r>
          </w:p>
        </w:tc>
        <w:tc>
          <w:tcPr>
            <w:tcW w:w="1134" w:type="dxa"/>
            <w:noWrap/>
            <w:hideMark/>
          </w:tcPr>
          <w:p w14:paraId="206D504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1CAE152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Formulas and dosage charts </w:t>
            </w:r>
          </w:p>
        </w:tc>
        <w:tc>
          <w:tcPr>
            <w:tcW w:w="2448" w:type="dxa"/>
            <w:noWrap/>
            <w:hideMark/>
          </w:tcPr>
          <w:p w14:paraId="5D6F479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11199F4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Agreement rate in response to questions on adherence, dose, formulation and next appointment was high</w:t>
            </w:r>
          </w:p>
        </w:tc>
        <w:tc>
          <w:tcPr>
            <w:tcW w:w="2449" w:type="dxa"/>
            <w:gridSpan w:val="2"/>
            <w:noWrap/>
            <w:hideMark/>
          </w:tcPr>
          <w:p w14:paraId="1F004E9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05FE8D64" w14:textId="77777777" w:rsidTr="00E15533">
        <w:trPr>
          <w:trHeight w:val="20"/>
        </w:trPr>
        <w:tc>
          <w:tcPr>
            <w:tcW w:w="567" w:type="dxa"/>
            <w:noWrap/>
            <w:hideMark/>
          </w:tcPr>
          <w:p w14:paraId="5EC5D5BB" w14:textId="72A2EE51"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bNcRNDFN","properties":{"formattedCitation":"(34)","plainCitation":"(34)","noteIndex":0},"citationItems":[{"id":4193,"uris":["http://zotero.org/users/4975241/items/GCZ6YZ6E"],"uri":["http://zotero.org/users/4975241/items/GCZ6YZ6E"],"itemData":{"id":4193,"type":"article-journal","container-title":"PLOS ONE","DOI":"10.1371/journal.pone.0170267","ISSN":"1932-6203","issue":"1","journalAbbreviation":"PLoS ONE","language":"en","page":"e0170267","source":"DOI.org (Crossref)","title":"Managing Neonatal and Early Childhood Syndromic Sepsis in Sub-District Hospitals in Resource Poor Settings: Improvement in Quality of Care through Introduction of a Package of Interventions in Rural Bangladesh","title-short":"Managing Neonatal and Early Childhood Syndromic Sepsis in Sub-District Hospitals in Resource Poor Settings","volume":"12","author":[{"family":"Rahman","given":"Ahmed Ehsanur"},{"family":"Iqbal","given":"Afrin"},{"family":"Hoque","given":"D. M. Emdadul"},{"family":"Moinuddin","given":"Md."},{"family":"Zaman","given":"Sojib Bin"},{"family":"Rahman","given":"Qazi Sadeq-ur"},{"family":"Begum","given":"Tahmina"},{"family":"Chowdhury","given":"Atique Iqbal"},{"family":"Haider","given":"Rafiqul"},{"family":"Arifeen","given":"Shams El"},{"family":"Kissoon","given":"Niranjan"},{"family":"Larson","given":"Charles P."}],"editor":[{"family":"Simeoni","given":"Umberto"}],"issued":{"date-parts":[["2017",1,23]]}}}],"schema":"https://github.com/citation-style-language/schema/raw/master/csl-citation.json"}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(34)</w:t>
            </w:r>
            <w:r>
              <w:rPr>
                <w:rFonts w:ascii="Times" w:eastAsia="Times New Roman" w:hAnsi="Times" w:cs="Times New Roman"/>
                <w:color w:val="000000"/>
                <w:sz w:val="16"/>
                <w:szCs w:val="16"/>
              </w:rPr>
              <w:fldChar w:fldCharType="end"/>
            </w:r>
          </w:p>
        </w:tc>
        <w:tc>
          <w:tcPr>
            <w:tcW w:w="709" w:type="dxa"/>
            <w:noWrap/>
            <w:hideMark/>
          </w:tcPr>
          <w:p w14:paraId="66A5547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6FA6BB9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Bangladesh</w:t>
            </w:r>
          </w:p>
        </w:tc>
        <w:tc>
          <w:tcPr>
            <w:tcW w:w="708" w:type="dxa"/>
            <w:noWrap/>
            <w:hideMark/>
          </w:tcPr>
          <w:p w14:paraId="6A775F9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009A94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First level referral sub-district hospitals</w:t>
            </w:r>
          </w:p>
        </w:tc>
        <w:tc>
          <w:tcPr>
            <w:tcW w:w="992" w:type="dxa"/>
            <w:noWrap/>
            <w:hideMark/>
          </w:tcPr>
          <w:p w14:paraId="454B1C6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&lt; 5</w:t>
            </w:r>
          </w:p>
        </w:tc>
        <w:tc>
          <w:tcPr>
            <w:tcW w:w="992" w:type="dxa"/>
            <w:noWrap/>
            <w:hideMark/>
          </w:tcPr>
          <w:p w14:paraId="6D8D10B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57C6AFA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Quality improvement in managing neonatal and early childhood syndromic sepsis</w:t>
            </w:r>
          </w:p>
        </w:tc>
        <w:tc>
          <w:tcPr>
            <w:tcW w:w="988" w:type="dxa"/>
            <w:noWrap/>
            <w:hideMark/>
          </w:tcPr>
          <w:p w14:paraId="7C4E0AB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58FDCEE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Paramedics and nurse</w:t>
            </w:r>
          </w:p>
        </w:tc>
        <w:tc>
          <w:tcPr>
            <w:tcW w:w="1276" w:type="dxa"/>
            <w:noWrap/>
            <w:hideMark/>
          </w:tcPr>
          <w:p w14:paraId="1BF7EF4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11A4465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662AA07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identify and admit of sepsis</w:t>
            </w:r>
          </w:p>
        </w:tc>
        <w:tc>
          <w:tcPr>
            <w:tcW w:w="2268" w:type="dxa"/>
            <w:noWrap/>
            <w:hideMark/>
          </w:tcPr>
          <w:p w14:paraId="0C5AC58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One day training and refresher (quarterly in year one and six monthly in year two) to reinforce education and promote knowledge retention</w:t>
            </w:r>
          </w:p>
        </w:tc>
        <w:tc>
          <w:tcPr>
            <w:tcW w:w="1134" w:type="dxa"/>
            <w:noWrap/>
            <w:hideMark/>
          </w:tcPr>
          <w:p w14:paraId="1159A7A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780E3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Standard operating procedure, flow chart</w:t>
            </w:r>
          </w:p>
        </w:tc>
        <w:tc>
          <w:tcPr>
            <w:tcW w:w="2448" w:type="dxa"/>
            <w:noWrap/>
            <w:hideMark/>
          </w:tcPr>
          <w:p w14:paraId="66B38D3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113CC28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62FFAF8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Significant improvement in the rate of establishing vascular access and choice of recommended first line parenteral antibiotic over time, increase in proportion of patients discharged with medical advice.</w:t>
            </w:r>
          </w:p>
        </w:tc>
      </w:tr>
      <w:tr w:rsidR="00591F5E" w:rsidRPr="00C0069F" w14:paraId="3571D252" w14:textId="77777777" w:rsidTr="00E15533">
        <w:trPr>
          <w:trHeight w:val="20"/>
        </w:trPr>
        <w:tc>
          <w:tcPr>
            <w:tcW w:w="567" w:type="dxa"/>
            <w:noWrap/>
            <w:hideMark/>
          </w:tcPr>
          <w:p w14:paraId="1182EEA7" w14:textId="6CAB8440"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MZXnr0xp","properties":{"formattedCitation":"(35)","plainCitation":"(35)","noteIndex":0},"citationItems":[{"id":4188,"uris":["http://zotero.org/users/4975241/items/BBSCJ7VQ"],"uri":["http://zotero.org/users/4975241/items/BBSCJ7VQ"],"itemData":{"id":4188,"type":"article-journal","container-title":"Archives of Disease in Childhood","DOI":"10.1136/archdischild-2012-301885.109","ISSN":"0003-9888, 1468-2044","issue":"Suppl 1","journalAbbreviation":"Arch Dis Child","language":"en","page":"A44.2-A45","source":"DOI.org (Crossref)","title":"Nurse-led antiretroviral treatment for HIV infected children: A comparative study from Lilongwe, Malawi","title-short":"Nurse-led antiretroviral treatment for HIV infected children","volume":"97","author":[{"family":"Weigel","given":"R"},{"family":"Feldacker","given":"C"},{"family":"Tweya","given":"H"},{"family":"Chiwoko","given":"J"},{"family":"Gumulira","given":"J"},{"family":"Phiri","given":"S"}],"issued":{"date-parts":[["2012",5]]}}}],"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(35)</w:t>
            </w:r>
            <w:r>
              <w:rPr>
                <w:rFonts w:ascii="Times" w:eastAsia="Times New Roman" w:hAnsi="Times" w:cs="Times New Roman"/>
                <w:color w:val="000000"/>
                <w:sz w:val="16"/>
                <w:szCs w:val="16"/>
              </w:rPr>
              <w:fldChar w:fldCharType="end"/>
            </w:r>
          </w:p>
        </w:tc>
        <w:tc>
          <w:tcPr>
            <w:tcW w:w="709" w:type="dxa"/>
            <w:noWrap/>
            <w:hideMark/>
          </w:tcPr>
          <w:p w14:paraId="670A2E6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2012</w:t>
            </w:r>
          </w:p>
        </w:tc>
        <w:tc>
          <w:tcPr>
            <w:tcW w:w="851" w:type="dxa"/>
            <w:noWrap/>
            <w:hideMark/>
          </w:tcPr>
          <w:p w14:paraId="0CA3B01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7EA7277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6DA0DFA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4FB1267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5A1E905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6194D21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ART prescription between nurse and clinician</w:t>
            </w:r>
          </w:p>
        </w:tc>
        <w:tc>
          <w:tcPr>
            <w:tcW w:w="988" w:type="dxa"/>
            <w:noWrap/>
            <w:hideMark/>
          </w:tcPr>
          <w:p w14:paraId="254BBC4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w:t>
            </w:r>
          </w:p>
        </w:tc>
        <w:tc>
          <w:tcPr>
            <w:tcW w:w="1417" w:type="dxa"/>
            <w:noWrap/>
            <w:hideMark/>
          </w:tcPr>
          <w:p w14:paraId="6583C5E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0B4C8A1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125A2CE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87A967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01EBB55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A9991F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0081A12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080F24C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8031C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Good agreement rate and mean differences between nurses and clinician were -0.005 and -0.009 for morning and evening dosage</w:t>
            </w:r>
          </w:p>
        </w:tc>
        <w:tc>
          <w:tcPr>
            <w:tcW w:w="2449" w:type="dxa"/>
            <w:gridSpan w:val="2"/>
            <w:noWrap/>
            <w:hideMark/>
          </w:tcPr>
          <w:p w14:paraId="3A78556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28827AE8" w14:textId="77777777" w:rsidTr="00E15533">
        <w:trPr>
          <w:trHeight w:val="20"/>
        </w:trPr>
        <w:tc>
          <w:tcPr>
            <w:tcW w:w="567" w:type="dxa"/>
            <w:noWrap/>
            <w:hideMark/>
          </w:tcPr>
          <w:p w14:paraId="6A9E7591" w14:textId="41BDC4D2"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2o1F4mQH","properties":{"formattedCitation":"(36)","plainCitation":"(36)","noteIndex":0},"citationItems":[{"id":4181,"uris":["http://zotero.org/users/4975241/items/UC6IAKQ2"],"uri":["http://zotero.org/users/4975241/items/UC6IAKQ2"],"itemData":{"id":4181,"type":"article-journal","abstract":"Background: To accelerate access to pediatric HIV care in Cameroon, operational challenges in implementing HIV pediatric care need to be identified. The aim of this study was to assess the knowledge, attitudes, and practices of health care workers regarding pediatric HIV infection in Cameroon.\nMethods: A descriptive cross-sectional study was conducted over a 4-month period (April to August 2014) in 12 health facilities in 7 regions of Cameroon selected using systematic random sampling. Data were collected from interviews with health care providers and managers using standardized self-administered questionnaires and stored in the ACCESS software.\nResults: In total, 103 health care providers were included in this study, of which 59 (57.3%) were health workers and 44 (42.7%) community agents. Most of the health workers in charge of HIV pediatric care were nurses, requiring effective medical task shifting that was institutionalized in Cameroon. The knowledge of health care providers in relation to pediatric HIV care was acceptable. Indications for prescription of test for early infant diagnosis were known (96.1%), but their attitudes and practices regarding initiating antiretroviral therapy (ART) in infants less than 2</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 xml:space="preserve">years (5.2%) and first-line ART protocols (25.4%) were insufficient, due to little information about standard procedures.\nConclusion: Capacity building of health care providers and large-scale dissemination of normative national documents are imperative to improve HIV pediatric care in the health care facilities.","container-title":"Clinical Medicine Insights: Pediatrics","DOI":"10.1177/1179556519846110","ISSN":"1179-5565, 1179-5565","journalAbbreviation":"Clin Med Insights Pediatr","language":"en","page":"117955651984611","source":"DOI.org (Crossref)","title":"Practices of Care to HIV-Infected Children: Current Situation in Cameroon","title-short":"Practices of Care to HIV-Infected Children","volume":"13","author":[{"family":"Penda","given":"Calixte Ida"},{"family":"Ndongo","given":"Francis A"},{"family":"Bissek","given":"Anne-Cécile Z-K"},{"family":"Téjiokem","given":"Mathurin C"},{"family":"Sofeu","given":"Casimir"},{"family":"Moukoko Eboumbou","given":"Else C"},{"family":"Mindjouli","given":"Sandrine"},{"family":"Desmonde","given":"Sophie"},{"family":"Njock","given":"Louis R"}],"issued":{"date-parts":[["2019",1]]}}}],"schema":"https://github.com/citation-style-language/schema/raw/master/csl-citation.json"}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(36)</w:t>
            </w:r>
            <w:r>
              <w:rPr>
                <w:rFonts w:ascii="Times" w:eastAsia="Times New Roman" w:hAnsi="Times" w:cs="Times New Roman"/>
                <w:color w:val="000000"/>
                <w:sz w:val="16"/>
                <w:szCs w:val="16"/>
              </w:rPr>
              <w:fldChar w:fldCharType="end"/>
            </w:r>
          </w:p>
        </w:tc>
        <w:tc>
          <w:tcPr>
            <w:tcW w:w="709" w:type="dxa"/>
            <w:noWrap/>
            <w:hideMark/>
          </w:tcPr>
          <w:p w14:paraId="5C113D7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1C6F55B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Cameroon</w:t>
            </w:r>
          </w:p>
        </w:tc>
        <w:tc>
          <w:tcPr>
            <w:tcW w:w="708" w:type="dxa"/>
            <w:noWrap/>
            <w:hideMark/>
          </w:tcPr>
          <w:p w14:paraId="76375D3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4500C34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Health facilities</w:t>
            </w:r>
          </w:p>
        </w:tc>
        <w:tc>
          <w:tcPr>
            <w:tcW w:w="992" w:type="dxa"/>
            <w:noWrap/>
            <w:hideMark/>
          </w:tcPr>
          <w:p w14:paraId="494F633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059DFD3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1907DE5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knowledge, attitude and practices of health workers regarding paediatric HIV</w:t>
            </w:r>
          </w:p>
        </w:tc>
        <w:tc>
          <w:tcPr>
            <w:tcW w:w="988" w:type="dxa"/>
            <w:noWrap/>
            <w:hideMark/>
          </w:tcPr>
          <w:p w14:paraId="5DEA057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75DFF60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nurse's aid, assistant lab technician</w:t>
            </w:r>
          </w:p>
        </w:tc>
        <w:tc>
          <w:tcPr>
            <w:tcW w:w="1276" w:type="dxa"/>
            <w:noWrap/>
            <w:hideMark/>
          </w:tcPr>
          <w:p w14:paraId="2BEF326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126E7A6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35AB67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 paediatric care including ART</w:t>
            </w:r>
          </w:p>
        </w:tc>
        <w:tc>
          <w:tcPr>
            <w:tcW w:w="2268" w:type="dxa"/>
            <w:noWrap/>
            <w:hideMark/>
          </w:tcPr>
          <w:p w14:paraId="3A1675B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0AAE540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CD98D7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116008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Knowledge on HIV transmission, treatment, PMTCT was acceptable though only 5.2% of staff knew that HIV-infected infants aged less than 2 years were an indication initiation of ART</w:t>
            </w:r>
          </w:p>
        </w:tc>
        <w:tc>
          <w:tcPr>
            <w:tcW w:w="2448" w:type="dxa"/>
            <w:gridSpan w:val="2"/>
            <w:noWrap/>
            <w:hideMark/>
          </w:tcPr>
          <w:p w14:paraId="641F082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Viral load exam as a follow-up biomarker was not requested by 40.7% of the health workers</w:t>
            </w:r>
          </w:p>
        </w:tc>
        <w:tc>
          <w:tcPr>
            <w:tcW w:w="2449" w:type="dxa"/>
            <w:gridSpan w:val="2"/>
            <w:noWrap/>
            <w:hideMark/>
          </w:tcPr>
          <w:p w14:paraId="158849C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747D97C4" w14:textId="77777777" w:rsidTr="00E15533">
        <w:trPr>
          <w:trHeight w:val="20"/>
        </w:trPr>
        <w:tc>
          <w:tcPr>
            <w:tcW w:w="567" w:type="dxa"/>
            <w:noWrap/>
            <w:hideMark/>
          </w:tcPr>
          <w:p w14:paraId="30B1F18C" w14:textId="2DD611EA"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ihZojIjw","properties":{"formattedCitation":"(37)","plainCitation":"(37)","noteIndex":0},"citationItems":[{"id":4138,"uris":["http://zotero.org/users/4975241/items/DNC7RJW2"],"uri":["http://zotero.org/users/4975241/items/DNC7RJW2"],"itemData":{"id":4138,"type":"article-journal","container-title":"Tropical Medicine &amp; International Health","DOI":"10.1111/tmi.12839","ISSN":"13602276","issue":"4","journalAbbreviation":"Trop Med Int Health","language":"en","page":"431-441","source":"DOI.org (Crossref)","title":"Task-sharing with nurses to enhance access to HIV treatment in Côte d'Ivoire","volume":"22","author":[{"family":"McNairy","given":"Margaret L."},{"family":"Bashi","given":"Jules B."},{"family":"Chung","given":"Hannah"},{"family":"Wemin","given":"Louise"},{"family":"Lorng","given":"Marie-Nicole Akpro"},{"family":"Brou","given":"Hermann"},{"family":"Nioble","given":"Cyprien"},{"family":"Lokossue","given":"A."},{"family":"Abo","given":"Kouame"},{"family":"Achi","given":"Delphine"},{"family":"Ouattara","given":"Kiyali"},{"family":"Sess","given":"Daniel"},{"family":"Sanogo","given":"Pongathie Adama"},{"family":"Ekra","given":"Alexandre"},{"family":"Ettiegne-Traore","given":"Virginie"},{"family":"Diabate","given":"Conombo J."},{"family":"Abrams","given":"Elaine J."},{"family":"El-Sadr","given":"Wafaa M."}],"issued":{"date-parts":[["2017",4]]}}}],"schema":"https://github.com/citation-style-language/schema/raw/master/csl-citation.json"}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(37)</w:t>
            </w:r>
            <w:r>
              <w:rPr>
                <w:rFonts w:ascii="Times" w:eastAsia="Times New Roman" w:hAnsi="Times" w:cs="Times New Roman"/>
                <w:color w:val="000000"/>
                <w:sz w:val="16"/>
                <w:szCs w:val="16"/>
              </w:rPr>
              <w:fldChar w:fldCharType="end"/>
            </w:r>
          </w:p>
        </w:tc>
        <w:tc>
          <w:tcPr>
            <w:tcW w:w="709" w:type="dxa"/>
            <w:noWrap/>
            <w:hideMark/>
          </w:tcPr>
          <w:p w14:paraId="358C447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612BD42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Cote d'Ivoire</w:t>
            </w:r>
          </w:p>
        </w:tc>
        <w:tc>
          <w:tcPr>
            <w:tcW w:w="708" w:type="dxa"/>
            <w:noWrap/>
            <w:hideMark/>
          </w:tcPr>
          <w:p w14:paraId="6976180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7285CD0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and secondary facility</w:t>
            </w:r>
          </w:p>
        </w:tc>
        <w:tc>
          <w:tcPr>
            <w:tcW w:w="992" w:type="dxa"/>
            <w:noWrap/>
            <w:hideMark/>
          </w:tcPr>
          <w:p w14:paraId="1216FCE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16F1EE4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5A4F265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feasibility of nurse-led HIV care</w:t>
            </w:r>
          </w:p>
        </w:tc>
        <w:tc>
          <w:tcPr>
            <w:tcW w:w="988" w:type="dxa"/>
            <w:noWrap/>
            <w:hideMark/>
          </w:tcPr>
          <w:p w14:paraId="297F67F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17C4790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6764A70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1B68F0C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3E969A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4C869BA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 month training on HIV management and ART initiation</w:t>
            </w:r>
          </w:p>
        </w:tc>
        <w:tc>
          <w:tcPr>
            <w:tcW w:w="1134" w:type="dxa"/>
            <w:noWrap/>
            <w:hideMark/>
          </w:tcPr>
          <w:p w14:paraId="630D74A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supervising physician visiting the facility on a weekly or twice- a-week </w:t>
            </w:r>
            <w:r w:rsidRPr="00C0069F">
              <w:rPr>
                <w:rFonts w:ascii="Times" w:eastAsia="Times New Roman" w:hAnsi="Times" w:cs="Times New Roman"/>
                <w:color w:val="000000"/>
                <w:sz w:val="16"/>
                <w:szCs w:val="16"/>
              </w:rPr>
              <w:lastRenderedPageBreak/>
              <w:t xml:space="preserve">basis to provide mentorship and review cases. </w:t>
            </w:r>
          </w:p>
        </w:tc>
        <w:tc>
          <w:tcPr>
            <w:tcW w:w="1134" w:type="dxa"/>
            <w:noWrap/>
            <w:hideMark/>
          </w:tcPr>
          <w:p w14:paraId="1640627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lastRenderedPageBreak/>
              <w:t>0</w:t>
            </w:r>
          </w:p>
        </w:tc>
        <w:tc>
          <w:tcPr>
            <w:tcW w:w="2448" w:type="dxa"/>
            <w:noWrap/>
            <w:hideMark/>
          </w:tcPr>
          <w:p w14:paraId="3F0D38A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79425F7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2543B8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Nursing with visiting physician has 5.3% mortality vs. nurse with onsite physician 3.6% mortality, retained rate 89.9% vs 82.7%</w:t>
            </w:r>
          </w:p>
        </w:tc>
      </w:tr>
      <w:tr w:rsidR="00F02432" w:rsidRPr="00C0069F" w14:paraId="14E0BD27" w14:textId="77777777" w:rsidTr="00E15533">
        <w:trPr>
          <w:trHeight w:val="20"/>
        </w:trPr>
        <w:tc>
          <w:tcPr>
            <w:tcW w:w="567" w:type="dxa"/>
            <w:noWrap/>
            <w:hideMark/>
          </w:tcPr>
          <w:p w14:paraId="11342A9A" w14:textId="233989EE"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Hh8kUWyf","properties":{"formattedCitation":"(38)","plainCitation":"(38)","noteIndex":0},"citationItems":[{"id":4127,"uris":["http://zotero.org/users/4975241/items/MRBZV9K9"],"uri":["http://zotero.org/users/4975241/items/MRBZV9K9"],"itemData":{"id":4127,"type":"article-journal","abstract":"Background: Reducing under-five mortality rates is a global priority. Although under-five mortality has decreased in South Africa, it is still unacceptably high. The implementation of the Integrated Management of Childhood Illness (IMCI) guideline is a key World Health Organization intervention aimed at reducing under-five mortality. Most primary care consultations are with professional nurses and they are usually trained in IMCI in a year-long primary healthcare diploma, which qualifies them to be a clinical nurse practitioner. This study aimed to evaluate the effect on training outcomes of introducing an automated IMCI guideline.\nMethods: Thirty professional nurses enrolled for the diploma course were purposively allocated in a quasi-experimental design to train with either paper-based or automated versions of the guideline. Their knowledge of IMCI was evaluated before and after the initial 12 hours of classroom teaching. Data on assessment, classification and management of children was extracted from the medical records of their consultations during supervised clinical training.\nResults: Both groups improved their knowledge of IMCI, but were not significantly different at the end of classroom teaching. Nurses in the automated group performed significantly better in use of the IMCI guideline (p &lt; 0.05): checking immunisations (68% vs. 93%), making a complete assessment (62% vs 100%), prescribing correct medication (50% vs 85%) and correct dose (42% vs 85%).\nConclusion: Use of automated IMCI guidelines showed potential for improved training outcomes. The potential for improved quality of care and clinical outcomes needs to be further studied along with a cost–benefit analysis.","container-title":"South African Family Practice","DOI":"10.1080/20786190.2014.995914","ISSN":"2078-6190, 2078-6204","issue":"2","journalAbbreviation":"South African Family Practice","language":"en","page":"100-105","source":"DOI.org (Crossref)","title":"The effect of an automated integrated management of childhood illness guideline on the training of professional nurses in the Western Cape, South Africa","volume":"57","author":[{"family":"Rhode","given":"Hilary"},{"family":"Mash","given":"Bob"}],"issued":{"date-parts":[["2015",3,4]]}}}],"schema":"https://github.com/citation-style-language/schema/raw/master/csl-citation.json"}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(38)</w:t>
            </w:r>
            <w:r>
              <w:rPr>
                <w:rFonts w:ascii="Times" w:eastAsia="Times New Roman" w:hAnsi="Times" w:cs="Times New Roman"/>
                <w:color w:val="000000"/>
                <w:sz w:val="16"/>
                <w:szCs w:val="16"/>
              </w:rPr>
              <w:fldChar w:fldCharType="end"/>
            </w:r>
          </w:p>
        </w:tc>
        <w:tc>
          <w:tcPr>
            <w:tcW w:w="709" w:type="dxa"/>
            <w:noWrap/>
            <w:hideMark/>
          </w:tcPr>
          <w:p w14:paraId="19530BD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2015</w:t>
            </w:r>
          </w:p>
        </w:tc>
        <w:tc>
          <w:tcPr>
            <w:tcW w:w="851" w:type="dxa"/>
            <w:noWrap/>
            <w:hideMark/>
          </w:tcPr>
          <w:p w14:paraId="21F941C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Africa</w:t>
            </w:r>
          </w:p>
        </w:tc>
        <w:tc>
          <w:tcPr>
            <w:tcW w:w="708" w:type="dxa"/>
            <w:noWrap/>
            <w:hideMark/>
          </w:tcPr>
          <w:p w14:paraId="725CEB2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71B6D13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care facilities</w:t>
            </w:r>
          </w:p>
        </w:tc>
        <w:tc>
          <w:tcPr>
            <w:tcW w:w="992" w:type="dxa"/>
            <w:noWrap/>
            <w:hideMark/>
          </w:tcPr>
          <w:p w14:paraId="0D845FA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2A575B1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744D989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the effect of automated IMCI guideline on training outcomes</w:t>
            </w:r>
          </w:p>
        </w:tc>
        <w:tc>
          <w:tcPr>
            <w:tcW w:w="988" w:type="dxa"/>
            <w:noWrap/>
            <w:hideMark/>
          </w:tcPr>
          <w:p w14:paraId="5FE44EB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54ABDB2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600354D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7ADB792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0C2AE7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IMCI</w:t>
            </w:r>
          </w:p>
        </w:tc>
        <w:tc>
          <w:tcPr>
            <w:tcW w:w="2268" w:type="dxa"/>
            <w:noWrap/>
            <w:hideMark/>
          </w:tcPr>
          <w:p w14:paraId="57AC16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Three four hour workshops over three non-consecutive days on IMCI</w:t>
            </w:r>
          </w:p>
        </w:tc>
        <w:tc>
          <w:tcPr>
            <w:tcW w:w="1134" w:type="dxa"/>
            <w:noWrap/>
            <w:hideMark/>
          </w:tcPr>
          <w:p w14:paraId="7FE8DFD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3E0B1D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Automated version of IMCI guideline</w:t>
            </w:r>
          </w:p>
        </w:tc>
        <w:tc>
          <w:tcPr>
            <w:tcW w:w="2448" w:type="dxa"/>
            <w:noWrap/>
            <w:hideMark/>
          </w:tcPr>
          <w:p w14:paraId="7E138AD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Knowledge test score improved for both control and intervention group</w:t>
            </w:r>
          </w:p>
        </w:tc>
        <w:tc>
          <w:tcPr>
            <w:tcW w:w="2448" w:type="dxa"/>
            <w:gridSpan w:val="2"/>
            <w:noWrap/>
            <w:hideMark/>
          </w:tcPr>
          <w:p w14:paraId="4EC2AF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Nurses in the automated group performed significantly better in use of the IMCI guideline (p &lt; 0.05): checking immunisations (68% vs. 93%), making a complete assessment (62% vs 100%), prescribing correct medication (50% vs 85%) and correct dose (42% vs 85%). </w:t>
            </w:r>
          </w:p>
        </w:tc>
        <w:tc>
          <w:tcPr>
            <w:tcW w:w="2449" w:type="dxa"/>
            <w:gridSpan w:val="2"/>
            <w:noWrap/>
            <w:hideMark/>
          </w:tcPr>
          <w:p w14:paraId="1DDF26D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209A1EDE" w14:textId="77777777" w:rsidTr="00E15533">
        <w:trPr>
          <w:trHeight w:val="20"/>
        </w:trPr>
        <w:tc>
          <w:tcPr>
            <w:tcW w:w="567" w:type="dxa"/>
            <w:noWrap/>
            <w:hideMark/>
          </w:tcPr>
          <w:p w14:paraId="0CC52E81" w14:textId="0ECBB6BF"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m08Z75R4","properties":{"formattedCitation":"(39)","plainCitation":"(39)","noteIndex":0},"citationItems":[{"id":4118,"uris":["http://zotero.org/users/4975241/items/W86FIPF5"],"uri":["http://zotero.org/users/4975241/items/W86FIPF5"],"itemData":{"id":4118,"type":"article-journal","abstract":"Conclusion: Deployment of eLearning in institutions of higher learning does not guarantee the acceptability and sustainability. As institutions in sub-Saharan Africa embrace eLearning, careful evaluation of technology fit and actual use has potential to assess implementation effectiveness and impact sustainability. Our study reveals that age and gender are significant factors that may negatively affect technology acceptance.","container-title":"Annals of Global Health","DOI":"10.1016/j.aogh.2014.08.044","ISSN":"2214-9996","issue":"3","language":"en","page":"172","source":"DOI.org (Crossref)","title":"Training emergency care practitioners and creating access to acute care services in Uganda: The pilot phase","title-short":"Training emergency care practitioners and creating access to acute care services in Uganda","volume":"80","author":[{"family":"Nelson","given":"S.W."},{"family":"Stolz","given":"U."},{"family":"Dreifuss","given":"B.A."},{"family":"Chamberlain","given":"S."},{"family":"Hammerstedt","given":"H.S."},{"family":"Alfunsi","given":"B."},{"family":"Bisanzo","given":"M."}],"issued":{"date-parts":[["2014",9,25]]}}}],"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(39)</w:t>
            </w:r>
            <w:r>
              <w:rPr>
                <w:rFonts w:ascii="Times" w:eastAsia="Times New Roman" w:hAnsi="Times" w:cs="Times New Roman"/>
                <w:color w:val="000000"/>
                <w:sz w:val="16"/>
                <w:szCs w:val="16"/>
              </w:rPr>
              <w:fldChar w:fldCharType="end"/>
            </w:r>
          </w:p>
        </w:tc>
        <w:tc>
          <w:tcPr>
            <w:tcW w:w="709" w:type="dxa"/>
            <w:noWrap/>
            <w:hideMark/>
          </w:tcPr>
          <w:p w14:paraId="0395BA3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2215C86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38B57A3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251DB02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Laroli Lwanga Hospital</w:t>
            </w:r>
          </w:p>
        </w:tc>
        <w:tc>
          <w:tcPr>
            <w:tcW w:w="992" w:type="dxa"/>
            <w:noWrap/>
            <w:hideMark/>
          </w:tcPr>
          <w:p w14:paraId="7EFB6F6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0EEEAFB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75D7065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patient outcome treated by student ECPs</w:t>
            </w:r>
          </w:p>
        </w:tc>
        <w:tc>
          <w:tcPr>
            <w:tcW w:w="988" w:type="dxa"/>
            <w:noWrap/>
            <w:hideMark/>
          </w:tcPr>
          <w:p w14:paraId="551A5C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6F60EC4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Emergency care practitioner</w:t>
            </w:r>
          </w:p>
        </w:tc>
        <w:tc>
          <w:tcPr>
            <w:tcW w:w="1276" w:type="dxa"/>
            <w:noWrap/>
            <w:hideMark/>
          </w:tcPr>
          <w:p w14:paraId="74560EF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r>
              <w:rPr>
                <w:rFonts w:ascii="Times" w:eastAsia="Times New Roman" w:hAnsi="Times" w:cs="Times New Roman"/>
                <w:color w:val="000000"/>
                <w:sz w:val="16"/>
                <w:szCs w:val="16"/>
              </w:rPr>
              <w:t>, malaria</w:t>
            </w:r>
          </w:p>
        </w:tc>
        <w:tc>
          <w:tcPr>
            <w:tcW w:w="992" w:type="dxa"/>
            <w:noWrap/>
            <w:hideMark/>
          </w:tcPr>
          <w:p w14:paraId="24887D7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342C59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Acute care including malaria, trauma, pneumonia</w:t>
            </w:r>
          </w:p>
        </w:tc>
        <w:tc>
          <w:tcPr>
            <w:tcW w:w="2268" w:type="dxa"/>
            <w:noWrap/>
            <w:hideMark/>
          </w:tcPr>
          <w:p w14:paraId="53A390B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 year education using semi-weekly didactic, simulation, etc.</w:t>
            </w:r>
          </w:p>
        </w:tc>
        <w:tc>
          <w:tcPr>
            <w:tcW w:w="1134" w:type="dxa"/>
            <w:noWrap/>
            <w:hideMark/>
          </w:tcPr>
          <w:p w14:paraId="44F2B7C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Supervised by emergency physician</w:t>
            </w:r>
          </w:p>
        </w:tc>
        <w:tc>
          <w:tcPr>
            <w:tcW w:w="1134" w:type="dxa"/>
            <w:noWrap/>
            <w:hideMark/>
          </w:tcPr>
          <w:p w14:paraId="2E81598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33559DF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769AC0F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29EA67B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fatality rate 2.3% and 2.6% for malaria and pneumonia</w:t>
            </w:r>
          </w:p>
        </w:tc>
      </w:tr>
      <w:tr w:rsidR="00F02432" w:rsidRPr="00C0069F" w14:paraId="1AC56500" w14:textId="77777777" w:rsidTr="00E15533">
        <w:trPr>
          <w:trHeight w:val="20"/>
        </w:trPr>
        <w:tc>
          <w:tcPr>
            <w:tcW w:w="567" w:type="dxa"/>
            <w:noWrap/>
            <w:hideMark/>
          </w:tcPr>
          <w:p w14:paraId="539EEB63" w14:textId="70069581"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UH6jWnTb","properties":{"formattedCitation":"(40)","plainCitation":"(40)","noteIndex":0},"citationItems":[{"id":3883,"uris":["http://zotero.org/users/4975241/items/RHHKFVFZ"],"uri":["http://zotero.org/users/4975241/items/RHHKFVFZ"],"itemData":{"id":3883,"type":"article-journal","abstract":"Background: Although a number of studies have shown good results in treating children with antiretroviral drugs (ARVs) in hospital settings, there is limited published information on results in pediatric programs that are nurse-centered and based in health centers, in particular on the psychosocial aspects of care.\nMethods: Program treatment and outcome data were reported from two government-run health centers that were supported by Médecins Sans Frontières (MSF) in Kigali, Rwanda between October 2003 and June 2007. Interviews were held with health center staff and MSF program records were reviewed to describe the organization of the program. Important aspects included adequate training and supervision of nurses to manage ARV treatment. The program also emphasized family-centered care addressing the psychosocial needs of both caregivers and children to encourage early diagnosis, good adherence and follow-up.\nResults: A total of 315 children (&lt; 15 years) were started on ARVs, at a median age of 7.2 years (range: 0.7–14.9). Sixty percent were in WHO clinical stage I/II, with a median CD4% of 14%. Eighty-nine percent (n = 281) started a stavudine-containing regimen, mainly using the adult fixeddose combination. The median follow-up time after ARV initiation was 2 years (interquartile range 1.2–2.6). Eighty-four percent (n = 265) of children were still on treatment in the program. Thirty (9.5%) were transferred out, eight (2.6%) died and 12 (3.8%) were lost to follow-up. An important feature of the study was that viral loads were done at a median time period of 18 months after starting ARVs and were available for 87% of the children. Of the 174 samples, VL was &lt; 400 copies/ ml in 82.8% (n = 144). Two children were started on second-line ARVs. Treatment was changed due to toxicity for 26 children (8.3%), mainly related to nevirapine.\nConclusion: This report suggests that providing ARVs to children in a health center/nurse-based program is both feasible and very effective. Adequate numbers and training of nursing staff and an emphasis on the psychosocial needs of caregivers and children have been key elements for the successful scaling-up of ARVs at this level of the health system.","container-title":"BMC Pediatrics","DOI":"10.1186/1471-2431-8-39","ISSN":"1471-2431","issue":"1","journalAbbreviation":"BMC Pediatr","language":"en","note":"00100","page":"39","source":"DOI.org (Crossref)","title":"Success with antiretroviral treatment for children in Kigali, Rwanda: Experience with health center/nurse-based care","title-short":"Success with antiretroviral treatment for children in Kigali, Rwanda","volume":"8","author":[{"family":"Griensven","given":"Johan","non-dropping-particle":"van"},{"family":"De Naeyer","given":"Ludwig"},{"family":"Uwera","given":"Jeanine"},{"family":"Asiimwe","given":"Anita"},{"family":"Gazille","given":"Claire"},{"family":"Reid","given":"Tony"}],"issued":{"date-parts":[["2008",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(40)</w:t>
            </w:r>
            <w:r>
              <w:rPr>
                <w:rFonts w:ascii="Times" w:eastAsia="Times New Roman" w:hAnsi="Times" w:cs="Times New Roman"/>
                <w:color w:val="000000"/>
                <w:sz w:val="16"/>
                <w:szCs w:val="16"/>
              </w:rPr>
              <w:fldChar w:fldCharType="end"/>
            </w:r>
          </w:p>
        </w:tc>
        <w:tc>
          <w:tcPr>
            <w:tcW w:w="709" w:type="dxa"/>
            <w:noWrap/>
            <w:hideMark/>
          </w:tcPr>
          <w:p w14:paraId="12B90C6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2008</w:t>
            </w:r>
          </w:p>
        </w:tc>
        <w:tc>
          <w:tcPr>
            <w:tcW w:w="851" w:type="dxa"/>
            <w:noWrap/>
            <w:hideMark/>
          </w:tcPr>
          <w:p w14:paraId="601DCAA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Rwanda</w:t>
            </w:r>
          </w:p>
        </w:tc>
        <w:tc>
          <w:tcPr>
            <w:tcW w:w="708" w:type="dxa"/>
            <w:noWrap/>
            <w:hideMark/>
          </w:tcPr>
          <w:p w14:paraId="71F4061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399B6F2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Health centres</w:t>
            </w:r>
          </w:p>
        </w:tc>
        <w:tc>
          <w:tcPr>
            <w:tcW w:w="992" w:type="dxa"/>
            <w:noWrap/>
            <w:hideMark/>
          </w:tcPr>
          <w:p w14:paraId="1B035B1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6AC994B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525AD56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experience of nurse-based care for ART for children</w:t>
            </w:r>
          </w:p>
        </w:tc>
        <w:tc>
          <w:tcPr>
            <w:tcW w:w="988" w:type="dxa"/>
            <w:noWrap/>
            <w:hideMark/>
          </w:tcPr>
          <w:p w14:paraId="01BA58D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64EF0A5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416BB9F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5CC92E5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D0386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7B50FC8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theoretical and bed-side training in comprehensive HIV care in general, and in paediatric aspects </w:t>
            </w:r>
          </w:p>
        </w:tc>
        <w:tc>
          <w:tcPr>
            <w:tcW w:w="1134" w:type="dxa"/>
            <w:noWrap/>
            <w:hideMark/>
          </w:tcPr>
          <w:p w14:paraId="6CF55ED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Mentoring and supervision by physician</w:t>
            </w:r>
          </w:p>
        </w:tc>
        <w:tc>
          <w:tcPr>
            <w:tcW w:w="1134" w:type="dxa"/>
            <w:noWrap/>
            <w:hideMark/>
          </w:tcPr>
          <w:p w14:paraId="1C43A81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A9408F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C28D5A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59A47E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Mortality 2.6% during follow-up, satisfactory viral suppression in 86.8%, safety (toxicity for ART) 8.3%</w:t>
            </w:r>
          </w:p>
        </w:tc>
      </w:tr>
      <w:tr w:rsidR="00591F5E" w:rsidRPr="00C0069F" w14:paraId="0CD432C0" w14:textId="77777777" w:rsidTr="00E15533">
        <w:trPr>
          <w:gridAfter w:val="1"/>
          <w:wAfter w:w="1954" w:type="dxa"/>
          <w:trHeight w:val="20"/>
        </w:trPr>
        <w:tc>
          <w:tcPr>
            <w:tcW w:w="567" w:type="dxa"/>
            <w:noWrap/>
            <w:hideMark/>
          </w:tcPr>
          <w:p w14:paraId="21C0830C" w14:textId="5C7E1EB6"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fvpLX0Ak","properties":{"formattedCitation":"(41)","plainCitation":"(41)","noteIndex":0},"citationItems":[{"id":3892,"uris":["http://zotero.org/users/4975241/items/AA799BRY"],"uri":["http://zotero.org/users/4975241/items/AA799BRY"],"itemData":{"id":3892,"type":"article-journal","abstract":"Objective Clinical outcomes of HIV-infected children on antiretroviral treatment (ART) in a decentralised, nurse/ counsellor-led programme. Design Clinical cohort. Setting KwaZulu-Natal, South Africa. Patients HIV-infected children aged ≤15 years on ART, June 2004–2008. Main outcome measures Survival according to baseline characteristics including age, WHO clinical stage, haemoglobin and CD4%, was assessed in Kaplan–Meier analyses. Hazard ratios for mortality were estimated using Cox proportional hazards regression and changes in laboratory parameters and weight-for-age z scores after 6–12 months’ treatment were calculated.\nResults 477 HIV-infected children began ART at a median age of 74 months (range 4–180), median CD4 count (CD4%) of 433 cells/mm3 (17%) and median HIV viral load of log 4.2 copies/ml; 105 (22%) were on treatment for tuberculosis and 317 (76.6%) were WHO stage 3/4. There were signiﬁcant increases after ART initiation in CD4% (17% vs 22%; p&lt;0.001), haemoglobin (9.9 vs 11.7 g/l; p≤0.001) and albumin (30 vs 36 g/l; p≤0.001). 32 (6.7%) children died over 732 child-years of follow-up (43.7 deaths/1000 child-years; 95% CI 32.7 to 58.2), 17 (53.1%) within 90 days of treatment initiation; median age of death was 84 (IQR 10–181) months. Children with baseline haemoglobin ≤8 g/l were more likely to die (adjusted HR 4.5; 95% CI 1.6 to 12.3), as were those aged &lt;18 months compared with &gt;60 months (adjusted HR 3.2; 95% CI 1.2 to 9.1).\nConclusions Good clinical outcomes in HIV-infected children on ART are possible in a rural, decentralised service. Few young children are on ART, highlighting the urgent need to identify HIV-exposed infants.","container-title":"Archives of Disease in Childhood","DOI":"10.1136/adc.2009.169367","ISSN":"0003-9888, 1468-2044","issue":"6","journalAbbreviation":"Archives of Disease in Childhood","language":"en","note":"00000","page":"414-421","source":"DOI.org (Crossref)","title":"Successful paediatric HIV treatment in rural primary care in Africa","volume":"95","author":[{"family":"Janssen","given":"N."},{"family":"Ndirangu","given":"J."},{"family":"Newell","given":"M.-L."},{"family":"Bland","given":"R."}],"issued":{"date-parts":[["2010",6,1]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(41)</w:t>
            </w:r>
            <w:r>
              <w:rPr>
                <w:rFonts w:ascii="Times" w:eastAsia="Times New Roman" w:hAnsi="Times" w:cs="Times New Roman"/>
                <w:color w:val="000000"/>
                <w:sz w:val="16"/>
                <w:szCs w:val="16"/>
              </w:rPr>
              <w:fldChar w:fldCharType="end"/>
            </w:r>
          </w:p>
        </w:tc>
        <w:tc>
          <w:tcPr>
            <w:tcW w:w="709" w:type="dxa"/>
            <w:noWrap/>
            <w:hideMark/>
          </w:tcPr>
          <w:p w14:paraId="7170393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2009</w:t>
            </w:r>
          </w:p>
        </w:tc>
        <w:tc>
          <w:tcPr>
            <w:tcW w:w="851" w:type="dxa"/>
            <w:noWrap/>
            <w:hideMark/>
          </w:tcPr>
          <w:p w14:paraId="7950460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Africa</w:t>
            </w:r>
          </w:p>
        </w:tc>
        <w:tc>
          <w:tcPr>
            <w:tcW w:w="708" w:type="dxa"/>
            <w:noWrap/>
            <w:hideMark/>
          </w:tcPr>
          <w:p w14:paraId="179C54C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Cohort</w:t>
            </w:r>
          </w:p>
        </w:tc>
        <w:tc>
          <w:tcPr>
            <w:tcW w:w="1418" w:type="dxa"/>
            <w:noWrap/>
            <w:hideMark/>
          </w:tcPr>
          <w:p w14:paraId="636D8AC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healthcare clinics</w:t>
            </w:r>
          </w:p>
        </w:tc>
        <w:tc>
          <w:tcPr>
            <w:tcW w:w="992" w:type="dxa"/>
            <w:noWrap/>
            <w:hideMark/>
          </w:tcPr>
          <w:p w14:paraId="7C727D8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4F46F14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6FA2D1A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clinical outcomes of decentralized nurse-counsellor-led ART program</w:t>
            </w:r>
          </w:p>
        </w:tc>
        <w:tc>
          <w:tcPr>
            <w:tcW w:w="988" w:type="dxa"/>
            <w:noWrap/>
            <w:hideMark/>
          </w:tcPr>
          <w:p w14:paraId="54531CC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1385235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and lay staff</w:t>
            </w:r>
          </w:p>
        </w:tc>
        <w:tc>
          <w:tcPr>
            <w:tcW w:w="1276" w:type="dxa"/>
            <w:noWrap/>
            <w:hideMark/>
          </w:tcPr>
          <w:p w14:paraId="75A8A66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62049E4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6639C49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ART</w:t>
            </w:r>
          </w:p>
        </w:tc>
        <w:tc>
          <w:tcPr>
            <w:tcW w:w="2268" w:type="dxa"/>
            <w:noWrap/>
            <w:hideMark/>
          </w:tcPr>
          <w:p w14:paraId="5136CB4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Standardised training on issues including HIV counsel- ling and testing, HIV treatment and adherence, and drug side- effect</w:t>
            </w:r>
          </w:p>
        </w:tc>
        <w:tc>
          <w:tcPr>
            <w:tcW w:w="1134" w:type="dxa"/>
            <w:noWrap/>
            <w:hideMark/>
          </w:tcPr>
          <w:p w14:paraId="3E219CD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A8ABE7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695" w:type="dxa"/>
            <w:gridSpan w:val="2"/>
            <w:noWrap/>
            <w:hideMark/>
          </w:tcPr>
          <w:p w14:paraId="27B9DDA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696" w:type="dxa"/>
            <w:gridSpan w:val="2"/>
            <w:noWrap/>
            <w:hideMark/>
          </w:tcPr>
          <w:p w14:paraId="207A3F1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Mortality (6.7%), including 53.1% within 90 days of treatment initiation. CD4% and other parameters. </w:t>
            </w:r>
          </w:p>
        </w:tc>
      </w:tr>
      <w:tr w:rsidR="00F02432" w:rsidRPr="00C0069F" w14:paraId="2A64A71D" w14:textId="77777777" w:rsidTr="00E15533">
        <w:trPr>
          <w:trHeight w:val="20"/>
        </w:trPr>
        <w:tc>
          <w:tcPr>
            <w:tcW w:w="567" w:type="dxa"/>
            <w:noWrap/>
            <w:hideMark/>
          </w:tcPr>
          <w:p w14:paraId="43ABA2DA" w14:textId="30817532"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Lwqd0Aaj","properties":{"formattedCitation":"(42)","plainCitation":"(42)","noteIndex":0},"citationItems":[{"id":3889,"uris":["http://zotero.org/users/4975241/items/4Z9RB6FG"],"uri":["http://zotero.org/users/4975241/items/4Z9RB6FG"],"itemData":{"id":3889,"type":"article-journal","abstract":"B A C K G R O U N D : Little is known about the integration of tuberculosis (TB) and human immunodeficiency virus (HIV) treatment in pediatric populations.","language":"en","note":"00016","page":"7","source":"Zotero","title":"Outcomes of integrated treatment for tuberculosis and HIV in children at the primary health care level","author":[{"family":"Patel","given":"M R"},{"family":"Yotebieng","given":"M"},{"family":"Behets","given":"F"},{"family":"Driessche","given":"K Vanden"},{"family":"Nana","given":"M"},{"family":"Rie","given":"A Van"}]}}],"schema":"https://github.com/citation-style-language/schema/raw/master/csl-citation.json"}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(42)</w:t>
            </w:r>
            <w:r>
              <w:rPr>
                <w:rFonts w:ascii="Times" w:eastAsia="Times New Roman" w:hAnsi="Times" w:cs="Times New Roman"/>
                <w:color w:val="000000"/>
                <w:sz w:val="16"/>
                <w:szCs w:val="16"/>
              </w:rPr>
              <w:fldChar w:fldCharType="end"/>
            </w:r>
          </w:p>
        </w:tc>
        <w:tc>
          <w:tcPr>
            <w:tcW w:w="709" w:type="dxa"/>
            <w:noWrap/>
            <w:hideMark/>
          </w:tcPr>
          <w:p w14:paraId="2A935A6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71FF75F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DR Congo</w:t>
            </w:r>
          </w:p>
        </w:tc>
        <w:tc>
          <w:tcPr>
            <w:tcW w:w="708" w:type="dxa"/>
            <w:noWrap/>
            <w:hideMark/>
          </w:tcPr>
          <w:p w14:paraId="705D2AB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Cohort</w:t>
            </w:r>
          </w:p>
        </w:tc>
        <w:tc>
          <w:tcPr>
            <w:tcW w:w="1418" w:type="dxa"/>
            <w:noWrap/>
            <w:hideMark/>
          </w:tcPr>
          <w:p w14:paraId="413CB24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healthcare clinics</w:t>
            </w:r>
          </w:p>
        </w:tc>
        <w:tc>
          <w:tcPr>
            <w:tcW w:w="992" w:type="dxa"/>
            <w:noWrap/>
            <w:hideMark/>
          </w:tcPr>
          <w:p w14:paraId="50903B1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4838A1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3FA7D0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clinical outcomes of tuberculosis and HIV for children at primary health care level</w:t>
            </w:r>
          </w:p>
        </w:tc>
        <w:tc>
          <w:tcPr>
            <w:tcW w:w="988" w:type="dxa"/>
            <w:noWrap/>
            <w:hideMark/>
          </w:tcPr>
          <w:p w14:paraId="23FC067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169193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69E391A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 Tuberculosis</w:t>
            </w:r>
          </w:p>
        </w:tc>
        <w:tc>
          <w:tcPr>
            <w:tcW w:w="992" w:type="dxa"/>
            <w:noWrap/>
            <w:hideMark/>
          </w:tcPr>
          <w:p w14:paraId="5A57AF3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70EA0BB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 and TB treatment</w:t>
            </w:r>
          </w:p>
        </w:tc>
        <w:tc>
          <w:tcPr>
            <w:tcW w:w="2268" w:type="dxa"/>
            <w:noWrap/>
            <w:hideMark/>
          </w:tcPr>
          <w:p w14:paraId="5DCFC4B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Trained</w:t>
            </w:r>
          </w:p>
        </w:tc>
        <w:tc>
          <w:tcPr>
            <w:tcW w:w="1134" w:type="dxa"/>
            <w:noWrap/>
            <w:hideMark/>
          </w:tcPr>
          <w:p w14:paraId="06BB8A7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63BB97B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Standard algorithms </w:t>
            </w:r>
          </w:p>
        </w:tc>
        <w:tc>
          <w:tcPr>
            <w:tcW w:w="2448" w:type="dxa"/>
            <w:noWrap/>
            <w:hideMark/>
          </w:tcPr>
          <w:p w14:paraId="2EB9742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1BA98FA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2F8B5D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Mortality (6.5%) during anti-tuberculosis treatment, 74.2% initiated ART; CD4 count and BMI increased for children</w:t>
            </w:r>
          </w:p>
        </w:tc>
      </w:tr>
      <w:tr w:rsidR="00591F5E" w:rsidRPr="00C0069F" w14:paraId="3437F370" w14:textId="77777777" w:rsidTr="00E15533">
        <w:trPr>
          <w:trHeight w:val="20"/>
        </w:trPr>
        <w:tc>
          <w:tcPr>
            <w:tcW w:w="567" w:type="dxa"/>
            <w:noWrap/>
            <w:hideMark/>
          </w:tcPr>
          <w:p w14:paraId="726BCB3D" w14:textId="77BB28DB"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0anEDKYQ","properties":{"formattedCitation":"(43)","plainCitation":"(43)","noteIndex":0},"citationItems":[{"id":4113,"uris":["http://zotero.org/users/4975241/items/Z8NPUH4Z"],"uri":["http://zotero.org/users/4975241/items/Z8NPUH4Z"],"itemData":{"id":4113,"type":"article-journal","abstract":"The World Health Organization advocates task-shifting, the process of delegating clinical care functions from more specialized to less specialized health workers, as a strategy to achieve the United Nations Millennium Development Goals. However, there is a dearth of literature describing task shifting in sub-Saharan Africa, where services for antiretroviral therapy (ART) have scaled up rapidly in the face of generalized human resource crises. As part of ART services expansion in Lusaka, Zambia, we implemented a comprehensive task-shifting program among existing health providers and community-based workers. Training begins with didactic sessions targeting specialized skill sets. This is followed by an intensive period of practical mentorship, where providers are paired with trainers before working independently. We provide on-going quality assessment using key indicators of clinical care quality at each site. Program performance is reviewed with clinic-based staff quarterly. When problems are identified, clinic staff members design and implement specific interventions to address targeted areas. From 2005 to 2007, we trained 516 health providers in adult HIV treatment; 270 in pediatric HIV treatment; 341 in adherence counseling; 91 in a specialty nurse \"triage\" course, and 93 in an intensive clinical mentorship program. On-going quality assessment demonstrated improvement across clinical care quality indicators, despite rapidly growing patient volumes. Our task-shifting strategy was designed to address current health care worker needs and to sustain ART scale-up activities. While this approach has been successful, long-term solutions to the human resource crisis are also urgently needed to expand the number of providers and to slow staff migration out of the region.","container-title":"BMC Health Services Research","DOI":"10.1186/1472-6963-9-5","ISSN":"1472-6963","issue":"1","journalAbbreviation":"BMC Health Serv Res","language":"en","page":"5","source":"DOI.org (Crossref)","title":"Use of task-shifting to rapidly scale-up HIV treatment services: experiences from Lusaka, Zambia","title-short":"Use of task-shifting to rapidly scale-up HIV treatment services","volume":"9","author":[{"family":"Morris","given":"Mary B"},{"family":"Chapula","given":"Bushimbwa Tambatamba"},{"family":"Chi","given":"Benjamin H"},{"family":"Mwango","given":"Albert"},{"family":"Chi","given":"Harmony F"},{"family":"Mwanza","given":"Joyce"},{"family":"Manda","given":"Handson"},{"family":"Bolton","given":"Carolyn"},{"family":"Pankratz","given":"Debra S"},{"family":"Stringer","given":"Jeffrey SA"},{"family":"Reid","given":"Stewart E"}],"issued":{"date-parts":[["2009",12]]}}}],"schema":"https://github.com/citation-style-language/schema/raw/master/csl-citation.json"}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(43)</w:t>
            </w:r>
            <w:r>
              <w:rPr>
                <w:rFonts w:ascii="Times" w:eastAsia="Times New Roman" w:hAnsi="Times" w:cs="Times New Roman"/>
                <w:color w:val="000000"/>
                <w:sz w:val="16"/>
                <w:szCs w:val="16"/>
              </w:rPr>
              <w:fldChar w:fldCharType="end"/>
            </w:r>
          </w:p>
        </w:tc>
        <w:tc>
          <w:tcPr>
            <w:tcW w:w="709" w:type="dxa"/>
            <w:noWrap/>
            <w:hideMark/>
          </w:tcPr>
          <w:p w14:paraId="2C60DCD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2009</w:t>
            </w:r>
          </w:p>
        </w:tc>
        <w:tc>
          <w:tcPr>
            <w:tcW w:w="851" w:type="dxa"/>
            <w:noWrap/>
            <w:hideMark/>
          </w:tcPr>
          <w:p w14:paraId="1B0523B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Zambia</w:t>
            </w:r>
          </w:p>
        </w:tc>
        <w:tc>
          <w:tcPr>
            <w:tcW w:w="708" w:type="dxa"/>
            <w:noWrap/>
            <w:hideMark/>
          </w:tcPr>
          <w:p w14:paraId="2F37BD6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086A12C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685F27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257C013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21487EE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experience of using task shifting to scale up HIV/AIDS treatment service</w:t>
            </w:r>
          </w:p>
        </w:tc>
        <w:tc>
          <w:tcPr>
            <w:tcW w:w="988" w:type="dxa"/>
            <w:noWrap/>
            <w:hideMark/>
          </w:tcPr>
          <w:p w14:paraId="7538C2B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Doctors and clinical officers</w:t>
            </w:r>
          </w:p>
        </w:tc>
        <w:tc>
          <w:tcPr>
            <w:tcW w:w="1417" w:type="dxa"/>
            <w:noWrap/>
            <w:hideMark/>
          </w:tcPr>
          <w:p w14:paraId="1D93218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officers and nurses</w:t>
            </w:r>
          </w:p>
        </w:tc>
        <w:tc>
          <w:tcPr>
            <w:tcW w:w="1276" w:type="dxa"/>
            <w:noWrap/>
            <w:hideMark/>
          </w:tcPr>
          <w:p w14:paraId="307913B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2FF6937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183643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Initial consultation, lab test, ART, triage, etc</w:t>
            </w:r>
          </w:p>
        </w:tc>
        <w:tc>
          <w:tcPr>
            <w:tcW w:w="2268" w:type="dxa"/>
            <w:noWrap/>
            <w:hideMark/>
          </w:tcPr>
          <w:p w14:paraId="48A7753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Didactic sessions targeting specialized skill sets followed by an intensive period of practical mentorship, where providers are paired with trainers before working independently</w:t>
            </w:r>
          </w:p>
        </w:tc>
        <w:tc>
          <w:tcPr>
            <w:tcW w:w="1134" w:type="dxa"/>
            <w:noWrap/>
            <w:hideMark/>
          </w:tcPr>
          <w:p w14:paraId="5B49329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225F89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Targeted chart review, monthly site report, feedback and training, exchange programme</w:t>
            </w:r>
          </w:p>
        </w:tc>
        <w:tc>
          <w:tcPr>
            <w:tcW w:w="2448" w:type="dxa"/>
            <w:noWrap/>
            <w:hideMark/>
          </w:tcPr>
          <w:p w14:paraId="25BE5B6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12C527C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3093E15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162D2F52" w14:textId="77777777" w:rsidTr="00E15533">
        <w:trPr>
          <w:trHeight w:val="20"/>
        </w:trPr>
        <w:tc>
          <w:tcPr>
            <w:tcW w:w="567" w:type="dxa"/>
            <w:noWrap/>
            <w:hideMark/>
          </w:tcPr>
          <w:p w14:paraId="6182D1B3" w14:textId="2E9DC12A"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6EA3aIac","properties":{"formattedCitation":"(44)","plainCitation":"(44)","noteIndex":0},"citationItems":[{"id":4212,"uris":["http://zotero.org/users/4975241/items/QGZNAHA4"],"uri":["http://zotero.org/users/4975241/items/QGZNAHA4"],"itemData":{"id":4212,"type":"article-journal","abstract":"Background: Integrated Management of Childhood Illness (IMCI) and Emergency Triage, Assessment and Treatment (ETAT) are guidelines developed by the World Health Organization to reach targets for reducing under-5 mortality. They were set out in the Millennium Development Goals. Each guideline was established separately so the purpose of this study was to understand how these systems have been integrated in a primary care setting and identify barriers and facilitators to this integration using a systems approach.\nMethod: Interviews were carried out with members of staff of different levels within a primary healthcare clinic in Malawi. Along with observations from the clinic this provided a well-rounded view of the running of the clinic. This data was then analysed using the SEIPS 2.0 work systems framework. The work system elements specified in this model were used to identify and categorise themes that influenced the clinic’s efficiency.\nResults: A process map of the flow of patients through the clinic was created, showing the tasks undertaken and the interactions between staff and patients. In their interviews, staff identified several organisational elements that served as barriers to the implementation of care. They included workload, available resources, ineffective time management, delegation of roles and adaptation of care. In terms of the external environment there was a lack of clarity over the two sets of guidelines and how they were to be integrated which was a key barrier to the process. Under the heading of tools and technology a lack of guideline copies was identified as a barrier. However, the health passport system and other forms of recording were highlighted as being important facilitators. Other issues highlighted were the lack of transport provided, challenges regarding teamwork and attitudes of members of staff, patient factors such as their beliefs and regard for the care and education provided by the clinic.\nConclusions: This study provides the first information on the challenges and issues involved in combining IMCI and ETAT and identified a number of barriers. These barriers included a lack of resources, staff training and heavy workload. This provided areas to work on in order to improve implementation.","container-title":"BMC Health Services Research","DOI":"10.1186/s12913-018-3803-5","ISSN":"1472-6963","issue":"1","journalAbbreviation":"BMC Health Serv Res","language":"en","page":"1014","source":"DOI.org (Crossref)","title":"IMCI and ETAT integration at a primary healthcare facility in Malawi: a human factors approach","title-short":"IMCI and ETAT integration at a primary healthcare facility in Malawi","volume":"18","author":[{"family":"Robertson","given":"Sarah Kathryn"},{"family":"Manson","given":"Kristina"},{"family":"Fioratou","given":"Evridiki"}],"issued":{"date-parts":[["2018",12]]}}}],"schema":"https://github.com/citation-style-language/schema/raw/master/csl-citation.json"}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(44)</w:t>
            </w:r>
            <w:r>
              <w:rPr>
                <w:rFonts w:ascii="Times" w:eastAsia="Times New Roman" w:hAnsi="Times" w:cs="Times New Roman"/>
                <w:color w:val="000000"/>
                <w:sz w:val="16"/>
                <w:szCs w:val="16"/>
              </w:rPr>
              <w:fldChar w:fldCharType="end"/>
            </w:r>
          </w:p>
        </w:tc>
        <w:tc>
          <w:tcPr>
            <w:tcW w:w="709" w:type="dxa"/>
            <w:noWrap/>
            <w:hideMark/>
          </w:tcPr>
          <w:p w14:paraId="72B39AD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2018</w:t>
            </w:r>
          </w:p>
        </w:tc>
        <w:tc>
          <w:tcPr>
            <w:tcW w:w="851" w:type="dxa"/>
            <w:noWrap/>
            <w:hideMark/>
          </w:tcPr>
          <w:p w14:paraId="6F4809A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39A6A2D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Interview</w:t>
            </w:r>
          </w:p>
        </w:tc>
        <w:tc>
          <w:tcPr>
            <w:tcW w:w="1418" w:type="dxa"/>
            <w:noWrap/>
            <w:hideMark/>
          </w:tcPr>
          <w:p w14:paraId="48C19F8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care clinics</w:t>
            </w:r>
          </w:p>
        </w:tc>
        <w:tc>
          <w:tcPr>
            <w:tcW w:w="992" w:type="dxa"/>
            <w:noWrap/>
            <w:hideMark/>
          </w:tcPr>
          <w:p w14:paraId="4711788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04488F6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6EB2588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Understand how IMCI and ETAT was integrated in a primary care facility</w:t>
            </w:r>
          </w:p>
        </w:tc>
        <w:tc>
          <w:tcPr>
            <w:tcW w:w="988" w:type="dxa"/>
            <w:noWrap/>
            <w:hideMark/>
          </w:tcPr>
          <w:p w14:paraId="4AFA30E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7B32878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Medical assistance</w:t>
            </w:r>
          </w:p>
        </w:tc>
        <w:tc>
          <w:tcPr>
            <w:tcW w:w="1276" w:type="dxa"/>
            <w:noWrap/>
            <w:hideMark/>
          </w:tcPr>
          <w:p w14:paraId="5C86F53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4079A2B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564CDC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IMCI and ETAT</w:t>
            </w:r>
          </w:p>
        </w:tc>
        <w:tc>
          <w:tcPr>
            <w:tcW w:w="2268" w:type="dxa"/>
            <w:noWrap/>
            <w:hideMark/>
          </w:tcPr>
          <w:p w14:paraId="5737301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IMCI training</w:t>
            </w:r>
          </w:p>
        </w:tc>
        <w:tc>
          <w:tcPr>
            <w:tcW w:w="1134" w:type="dxa"/>
            <w:noWrap/>
            <w:hideMark/>
          </w:tcPr>
          <w:p w14:paraId="7B3C082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911329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33CF42F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3148013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3262DFB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47F8AE95" w14:textId="77777777" w:rsidTr="00E15533">
        <w:trPr>
          <w:trHeight w:val="20"/>
        </w:trPr>
        <w:tc>
          <w:tcPr>
            <w:tcW w:w="567" w:type="dxa"/>
            <w:noWrap/>
            <w:hideMark/>
          </w:tcPr>
          <w:p w14:paraId="5E7D2D56" w14:textId="5E77EBD7"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DmA6pgfA","properties":{"formattedCitation":"(45)","plainCitation":"(45)","noteIndex":0},"citationItems":[{"id":4114,"uris":["http://zotero.org/users/4975241/items/WVYHABGF"],"uri":["http://zotero.org/users/4975241/items/WVYHABGF"],"itemData":{"id":4114,"type":"article-journal","abstract":"Background: Targeted clinical interventions have been associated with a decreased risk of neonatal morbidity and mortality. In conflict-affected countries such as South Sudan, however, implementation of lifesaving interventions face barriers and facilitators that are not well understood. We aimed to describe the factors that influence implementation of a package of facility- and community-based neonatal interventions in four displaced person camps in South Sudan using a health systems framework.\nMethods: We used a mixed method case study design to document the implementation of neonatal interventions from June to November 2016 in one hospital, four primary health facilities, and four community health programs operated by International Medical Corps. We collected primary data using focus group discussions among health workers, in-depth interviews among program managers, and observations of health facility readiness. Secondary data were gathered from documents that were associated with the implementation of the intervention during our study period.\nResults: Key bottlenecks for implementing interventions in our study sites were leadership and governance for comprehensive neonatal services, health workforce for skilled care, and service delivery for small and sick newborns. Program managers felt national policies failed to promote integration of key newborn interventions in donor funding and clinical training institutions, resulting in deprioritizing newborn health during humanitarian response. Participants confirmed that severe shortage of skilled care at birth was the main bottleneck for implementing quality newborn care. Solutions to this included authorizing the task-shifting of emergency newborn care to mid-level cadre, transitioning facility-based traditional birth attendants to community health workers, and scaling up institutions to upgrade community midwives into professional midwives. Additionally, ongoing supportive supervision, educational materials, and community acceptance of practices enabled community health workers to identify and refer small and sick newborns.\nConclusions: Improving integration of newborn interventions into national policies, training institutions, health referral systems, and humanitarian supply chain can expand emergency care provided to women and their newborns in these contexts.","container-title":"BMC Pregnancy and Childbirth","DOI":"10.1186/s12884-018-1953-4","ISSN":"1471-2393","issue":"1","journalAbbreviation":"BMC Pregnancy Childbirth","language":"en","page":"325","source":"DOI.org (Crossref)","title":"Understanding health systems to improve community and facility level newborn care among displaced populations in South Sudan: a mixed methods case study","title-short":"Understanding health systems to improve community and facility level newborn care among displaced populations in South Sudan","volume":"18","author":[{"family":"Sami","given":"Samira"},{"family":"Amsalu","given":"Ribka"},{"family":"Dimiti","given":"Alexander"},{"family":"Jackson","given":"Debra"},{"family":"Kenyi","given":"Solomon"},{"family":"Meyers","given":"Janet"},{"family":"Mullany","given":"Luke C."},{"family":"Scudder","given":"Elaine"},{"family":"Tomczyk","given":"Barbara"},{"family":"Kerber","given":"Kate"}],"issued":{"date-parts":[["2018",12]]}}}],"schema":"https://github.com/citation-style-language/schema/raw/master/csl-citation.json"}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(45)</w:t>
            </w:r>
            <w:r>
              <w:rPr>
                <w:rFonts w:ascii="Times" w:eastAsia="Times New Roman" w:hAnsi="Times" w:cs="Times New Roman"/>
                <w:color w:val="000000"/>
                <w:sz w:val="16"/>
                <w:szCs w:val="16"/>
              </w:rPr>
              <w:fldChar w:fldCharType="end"/>
            </w:r>
          </w:p>
        </w:tc>
        <w:tc>
          <w:tcPr>
            <w:tcW w:w="709" w:type="dxa"/>
            <w:noWrap/>
            <w:hideMark/>
          </w:tcPr>
          <w:p w14:paraId="0341203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2018</w:t>
            </w:r>
          </w:p>
        </w:tc>
        <w:tc>
          <w:tcPr>
            <w:tcW w:w="851" w:type="dxa"/>
            <w:noWrap/>
            <w:hideMark/>
          </w:tcPr>
          <w:p w14:paraId="747D03D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Sudan</w:t>
            </w:r>
          </w:p>
        </w:tc>
        <w:tc>
          <w:tcPr>
            <w:tcW w:w="708" w:type="dxa"/>
            <w:noWrap/>
            <w:hideMark/>
          </w:tcPr>
          <w:p w14:paraId="7B093B9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2C40747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care center</w:t>
            </w:r>
          </w:p>
        </w:tc>
        <w:tc>
          <w:tcPr>
            <w:tcW w:w="992" w:type="dxa"/>
            <w:noWrap/>
            <w:hideMark/>
          </w:tcPr>
          <w:p w14:paraId="3FC0B3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Newborn</w:t>
            </w:r>
          </w:p>
        </w:tc>
        <w:tc>
          <w:tcPr>
            <w:tcW w:w="992" w:type="dxa"/>
            <w:noWrap/>
            <w:hideMark/>
          </w:tcPr>
          <w:p w14:paraId="5EC2610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62107D7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factors influencing newborn care implementation</w:t>
            </w:r>
          </w:p>
        </w:tc>
        <w:tc>
          <w:tcPr>
            <w:tcW w:w="988" w:type="dxa"/>
            <w:noWrap/>
            <w:hideMark/>
          </w:tcPr>
          <w:p w14:paraId="2DAB169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178EE4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clinical officer, midwife</w:t>
            </w:r>
          </w:p>
        </w:tc>
        <w:tc>
          <w:tcPr>
            <w:tcW w:w="1276" w:type="dxa"/>
            <w:noWrap/>
            <w:hideMark/>
          </w:tcPr>
          <w:p w14:paraId="5FEFDB9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0FC804C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76B0BE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Danger signs during pregnancy, fetal monitoring using the partograph, neonatal resuscitation, immediate newborn care, breastfeeding support, recognition of newborn danger signs, feeding and kangaroo mother care (KMC) for small babies, management of possible severe infections, and postnatal counselling before patient discharge.</w:t>
            </w:r>
          </w:p>
        </w:tc>
        <w:tc>
          <w:tcPr>
            <w:tcW w:w="2268" w:type="dxa"/>
            <w:noWrap/>
            <w:hideMark/>
          </w:tcPr>
          <w:p w14:paraId="30B346D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Training session including danger signs during pregnancy, fetal monitoring using the partograph, neonatal resuscitation, immediate newborn care, breastfeeding support, recognition of newborn danger signs, feeding and kangaroo mother care (KMC) for small babies, management of possible severe infections, and postnatal counselling before patient discharge</w:t>
            </w:r>
          </w:p>
        </w:tc>
        <w:tc>
          <w:tcPr>
            <w:tcW w:w="1134" w:type="dxa"/>
            <w:noWrap/>
            <w:hideMark/>
          </w:tcPr>
          <w:p w14:paraId="68B1CEB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Supervision with checklist: A checklist was designed for supervisors to observe practices learned in the clinical training during a delivery or home visit. Based on the observation, the supervisor provided feedback to the health worker and recorded areas in need of further attention</w:t>
            </w:r>
          </w:p>
        </w:tc>
        <w:tc>
          <w:tcPr>
            <w:tcW w:w="1134" w:type="dxa"/>
            <w:noWrap/>
            <w:hideMark/>
          </w:tcPr>
          <w:p w14:paraId="085350A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Medical commodities i.e. newborn medical supply kits</w:t>
            </w:r>
          </w:p>
        </w:tc>
        <w:tc>
          <w:tcPr>
            <w:tcW w:w="2448" w:type="dxa"/>
            <w:noWrap/>
            <w:hideMark/>
          </w:tcPr>
          <w:p w14:paraId="7F4A66F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645D106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614C522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18BB7356" w14:textId="77777777" w:rsidTr="00E15533">
        <w:trPr>
          <w:trHeight w:val="20"/>
        </w:trPr>
        <w:tc>
          <w:tcPr>
            <w:tcW w:w="567" w:type="dxa"/>
            <w:noWrap/>
            <w:hideMark/>
          </w:tcPr>
          <w:p w14:paraId="2A4E731B" w14:textId="1517A71B"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gXoNQLp5","properties":{"formattedCitation":"(46)","plainCitation":"(46)","noteIndex":0},"citationItems":[{"id":4175,"uris":["http://zotero.org/users/4975241/items/DYMF9U3V"],"uri":["http://zotero.org/users/4975241/items/DYMF9U3V"],"itemData":{"id":4175,"type":"article-journal","abstract":"Background:  Clinicians in low resource settings in malaria endemic regions face many challenges in diagnosing and treating febrile illnesses in children. Given the change in WHO guidelines in 2010 that recommend malaria testing prior to treatment, clinicians are now required to expand the differential when malaria testing is negative. Prior studies have indicated that resource availability, need for additional training in differentiating non-malarial illnesses, and lack of understanding within the community of when to seek care play a role in effective diagnosis and treatment. The objective of this study was to examine the various factors that influence clinician behavior in diagnosing and managing children presenting with fever to health centres in Kenya.\nMethods:  A total of 20 clinicians (2 paediatricians, 1 medical officer, 2 nurses, and 15 clinical officers) were interviewed, working at 5 different government-sponsored public clinic sites in two areas of Kenya where malaria is prevalent. Clinicians were interviewed one-on-one using a structured interview technique. Interviews were then analysed qualitatively for themes.\nResults:  The following five themes were identified: (1) Strong familiarity with diagnosis of malaria and testing for malaria; (2) Clinician concerns about community understanding of febrile illness, use of traditional medicine, delay in seeking care, and compliance; (3) Reliance on clinical guidelines, history, and physical examination to diagnose febrile illness and recognize danger signs; (4) Clinician discomfort with diagnosis of primary viral illness leading to increased use of empiric antibiotics; and (5) Lack of resources including diagnostic testing, necessary medications, and training modalities contributes to the difficulty clinicians face in assessing and treating febrile illness in children. These themes persisted across all sites, despite variation in levels of medical care. Within these themes, clinicians consistently expressed a need for reliable basic testing, especially haemograms and bacterial cultures. Clinicians discussed the use of counseling and education to improve community understanding of febrile illness in order to decrease preventable deaths in children.\nConclusion:  Results of this study suggest that since malarial testing has become more widespread, clinicians working in resource-poor environments still face difficulty when evaluating a child with fever, especially when malaria testing is negative. Improving access to additional diagnostics, continuing medical education, and ongoing evaluation and revision of clinical guidelines may lead to more consistent management of febrile illness by providers, and may potentially decrease prescription of unnecessary antibiotics. Additional interventions at the community level may also have an important role in managing febrile illness, however, more studies are needed to identify targets for intervention at both the clinic and community levels.","container-title":"Malaria Journal","DOI":"10.1186/s12936-017-2021-7","ISSN":"1475-2875","issue":"1","journalAbbreviation":"Malar J","language":"en","page":"381","source":"DOI.org (Crossref)","title":"Principles, practices and knowledge of clinicians when assessing febrile children: a qualitative study in Kenya","title-short":"Principles, practices and knowledge of clinicians when assessing febrile children","volume":"16","author":[{"family":"Hooft","given":"Anneka M."},{"family":"Ripp","given":"Kelsey"},{"family":"Ndenga","given":"Bryson"},{"family":"Mutuku","given":"Francis"},{"family":"Vu","given":"David"},{"family":"Baltzell","given":"Kimberly"},{"family":"Masese","given":"Linnet N."},{"family":"Vulule","given":"John"},{"family":"Mukoko","given":"Dunstan"},{"family":"LaBeaud","given":"A. Desiree"}],"issued":{"date-parts":[["2017",12]]}}}],"schema":"https://github.com/citation-style-language/schema/raw/master/csl-citation.json"}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(46)</w:t>
            </w:r>
            <w:r>
              <w:rPr>
                <w:rFonts w:ascii="Times" w:eastAsia="Times New Roman" w:hAnsi="Times" w:cs="Times New Roman"/>
                <w:color w:val="000000"/>
                <w:sz w:val="16"/>
                <w:szCs w:val="16"/>
              </w:rPr>
              <w:fldChar w:fldCharType="end"/>
            </w:r>
          </w:p>
        </w:tc>
        <w:tc>
          <w:tcPr>
            <w:tcW w:w="709" w:type="dxa"/>
            <w:noWrap/>
            <w:hideMark/>
          </w:tcPr>
          <w:p w14:paraId="1EA298A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5EC6B08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076E386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Interview</w:t>
            </w:r>
          </w:p>
        </w:tc>
        <w:tc>
          <w:tcPr>
            <w:tcW w:w="1418" w:type="dxa"/>
            <w:noWrap/>
            <w:hideMark/>
          </w:tcPr>
          <w:p w14:paraId="2A76A4B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Public clinics</w:t>
            </w:r>
          </w:p>
        </w:tc>
        <w:tc>
          <w:tcPr>
            <w:tcW w:w="992" w:type="dxa"/>
            <w:noWrap/>
            <w:hideMark/>
          </w:tcPr>
          <w:p w14:paraId="24996CB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2CEBEAA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71965B3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knowledge and practices of clinicians when assessing children with fever</w:t>
            </w:r>
          </w:p>
        </w:tc>
        <w:tc>
          <w:tcPr>
            <w:tcW w:w="988" w:type="dxa"/>
            <w:noWrap/>
            <w:hideMark/>
          </w:tcPr>
          <w:p w14:paraId="3036368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AD7BCE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nurse</w:t>
            </w:r>
          </w:p>
        </w:tc>
        <w:tc>
          <w:tcPr>
            <w:tcW w:w="1276" w:type="dxa"/>
            <w:noWrap/>
            <w:hideMark/>
          </w:tcPr>
          <w:p w14:paraId="3175CEA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Others</w:t>
            </w:r>
          </w:p>
        </w:tc>
        <w:tc>
          <w:tcPr>
            <w:tcW w:w="992" w:type="dxa"/>
            <w:noWrap/>
            <w:hideMark/>
          </w:tcPr>
          <w:p w14:paraId="0F86422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CA579D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Fever including malaria and non-malaria illness</w:t>
            </w:r>
          </w:p>
        </w:tc>
        <w:tc>
          <w:tcPr>
            <w:tcW w:w="2268" w:type="dxa"/>
            <w:noWrap/>
            <w:hideMark/>
          </w:tcPr>
          <w:p w14:paraId="633FD72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32D561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1D4CC4A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5208CF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6CCC9AD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05D5CB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277867F7" w14:textId="77777777" w:rsidTr="00E15533">
        <w:trPr>
          <w:trHeight w:val="20"/>
        </w:trPr>
        <w:tc>
          <w:tcPr>
            <w:tcW w:w="567" w:type="dxa"/>
            <w:noWrap/>
            <w:hideMark/>
          </w:tcPr>
          <w:p w14:paraId="6A447851" w14:textId="615636BE"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AmETP2Yf","properties":{"formattedCitation":"(47)","plainCitation":"(47)","noteIndex":0},"citationItems":[{"id":4199,"uris":["http://zotero.org/users/4975241/items/USYPEWEE"],"uri":["http://zotero.org/users/4975241/items/USYPEWEE"],"itemData":{"id":4199,"type":"article-journal","abstract":"Conclusion: The use of eICMI was widely accepted and perceived as a powerful tool guiding daily practice. Findings suggest that it has positive effects on the health care system beyond the quality of consultation. To support large uptake and sustainability, better training of health workers in infectiology is essential and the medical content of eIMCI should be optimized to include frequent diseases and, for each of them, the appropriate management plan.","container-title":"BMC Public Health","DOI":"10.1186/s12889-019-6692-6","ISSN":"1471-2458","issue":"1","journalAbbreviation":"BMC Public Health","language":"en","page":"449","source":"DOI.org (Crossref)","title":"Large-scale implementation of electronic Integrated Management of Childhood Illness (eIMCI) at the primary care level in Burkina Faso: a qualitative study on health worker perception of its medical content, usability and impact on antibiotic prescription and resistance","title-short":"Large-scale implementation of electronic Integrated Management of Childhood Illness (eIMCI) at the primary care level in Burkina Faso","volume":"19","author":[{"family":"Bessat","given":"Cécile"},{"family":"Zonon","given":"Noël Adannou"},{"family":"D’Acremont","given":"Valérie"}],"issued":{"date-parts":[["2019",12]]}}}],"schema":"https://github.com/citation-style-language/schema/raw/master/csl-citation.json"}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(47)</w:t>
            </w:r>
            <w:r>
              <w:rPr>
                <w:rFonts w:ascii="Times" w:eastAsia="Times New Roman" w:hAnsi="Times" w:cs="Times New Roman"/>
                <w:color w:val="000000"/>
                <w:sz w:val="16"/>
                <w:szCs w:val="16"/>
              </w:rPr>
              <w:fldChar w:fldCharType="end"/>
            </w:r>
          </w:p>
        </w:tc>
        <w:tc>
          <w:tcPr>
            <w:tcW w:w="709" w:type="dxa"/>
            <w:noWrap/>
            <w:hideMark/>
          </w:tcPr>
          <w:p w14:paraId="5FC8ADF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30C700C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Burkina Faso</w:t>
            </w:r>
          </w:p>
        </w:tc>
        <w:tc>
          <w:tcPr>
            <w:tcW w:w="708" w:type="dxa"/>
            <w:noWrap/>
            <w:hideMark/>
          </w:tcPr>
          <w:p w14:paraId="5D7490A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Interview</w:t>
            </w:r>
          </w:p>
        </w:tc>
        <w:tc>
          <w:tcPr>
            <w:tcW w:w="1418" w:type="dxa"/>
            <w:noWrap/>
            <w:hideMark/>
          </w:tcPr>
          <w:p w14:paraId="5BDF2F4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health care facilities</w:t>
            </w:r>
          </w:p>
        </w:tc>
        <w:tc>
          <w:tcPr>
            <w:tcW w:w="992" w:type="dxa"/>
            <w:noWrap/>
            <w:hideMark/>
          </w:tcPr>
          <w:p w14:paraId="1C25053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5344F93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1818EF8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Understand clinicians' view on eIMCI tools</w:t>
            </w:r>
          </w:p>
        </w:tc>
        <w:tc>
          <w:tcPr>
            <w:tcW w:w="988" w:type="dxa"/>
            <w:noWrap/>
            <w:hideMark/>
          </w:tcPr>
          <w:p w14:paraId="0FAA956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1E32EF4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Health officer, nurse, midwife, birth attendant</w:t>
            </w:r>
          </w:p>
        </w:tc>
        <w:tc>
          <w:tcPr>
            <w:tcW w:w="1276" w:type="dxa"/>
            <w:noWrap/>
            <w:hideMark/>
          </w:tcPr>
          <w:p w14:paraId="2311721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6F52E89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AB2F6C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IMCI</w:t>
            </w:r>
          </w:p>
        </w:tc>
        <w:tc>
          <w:tcPr>
            <w:tcW w:w="2268" w:type="dxa"/>
            <w:noWrap/>
            <w:hideMark/>
          </w:tcPr>
          <w:p w14:paraId="1EB2E4A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FF992E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485C4B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Electronic tool guideline including electronic algorithm based on IMCI</w:t>
            </w:r>
          </w:p>
        </w:tc>
        <w:tc>
          <w:tcPr>
            <w:tcW w:w="2448" w:type="dxa"/>
            <w:noWrap/>
            <w:hideMark/>
          </w:tcPr>
          <w:p w14:paraId="0AD98D8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717727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398E69A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58BB8E86" w14:textId="77777777" w:rsidTr="00E15533">
        <w:trPr>
          <w:trHeight w:val="20"/>
        </w:trPr>
        <w:tc>
          <w:tcPr>
            <w:tcW w:w="567" w:type="dxa"/>
            <w:noWrap/>
            <w:hideMark/>
          </w:tcPr>
          <w:p w14:paraId="513933F7" w14:textId="3BE507EA"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Oo9punl8","properties":{"formattedCitation":"(48)","plainCitation":"(48)","noteIndex":0},"citationItems":[{"id":4324,"uris":["http://zotero.org/users/4975241/items/N88V5NNH"],"uri":["http://zotero.org/users/4975241/items/N88V5NNH"],"itemData":{"id":4324,"type":"article-journal","abstract":"There were 3.1 million neonatal deaths in 2010. The majority of these deaths occur in the developing world, particularly in Sub-Saharan Africa and South East Asia. Although the under five-child mortality rate in Ethiopia from has improved from 204 to 68 per 1000 in 2012 (156th worldwide) the neonatal mortality rate has been slow to improve. The neonatal mortality rate for Tigray region is high at 44 per 1000 compared to the national rate of 29 per 1000 (168th worldwide). The commonest causes of neonatal death are sepsis, birth asphyxia, and prematurity. Improvement in knowledge and skills associated with newborn care, early identification of problems and improvement in newborn resuscitation skills can improve outcomes.\nAim Develop a two-day training course for local hospital staff at a district hospital in the Northern Tigray region of Ethiopia on newborn resuscitation and essential newborn care and then train hospital staff.\nMethod A two-day training course was developed using country and regional guidelines and resuscitation standards. Teaching was delivered through lectures, small group work, skills teaching, and scenario practice. The course was delivered to four times in total to 83 hospital staff (doctors, nurses, clinical officers and midwives) overall. Pre and post course written tests and a post course practical test in newborn resuscitation were undertaking by all candidates.\nResults There was a significant improvement between pre course and post course written test scores with a pre course average of 53.2% and a post course average of 66.4% (p &lt; 0.001). The post course practical test score average was 5.5 out of 6. Candidates provided positive feedback on the course.\nConclusion Training in newborn resuscitation and care is essential as part of improving neonatal morbidity and mortality. Local training programmes for hospital staff can improve knowledge and skills, which are then used in routine practice. It is important that these are accessible to all staff through using local languages to teach and training local staff as course faculty.","container-title":"Archives of Disease in Childhood","DOI":"10.1136/archdischild-2015-308599.246","ISSN":"0003-9888, 1468-2044","issue":"Suppl 3","language":"en","note":"00000 \npublisher: BMJ Publishing Group Ltd\nsection: International Child Health Group","page":"A109-A109","source":"adc.bmj.com","title":"G253 Training local staff in northern ethiopia in newborn resuscitation and care","volume":"100","author":[{"family":"Hemming","given":"V."}],"issued":{"date-parts":[["2015",4,1]]}}}],"schema":"https://github.com/citation-style-language/schema/raw/master/csl-citation.json"}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(48)</w:t>
            </w:r>
            <w:r>
              <w:rPr>
                <w:rFonts w:ascii="Times" w:eastAsia="Times New Roman" w:hAnsi="Times" w:cs="Times New Roman"/>
                <w:color w:val="000000"/>
                <w:sz w:val="16"/>
                <w:szCs w:val="16"/>
              </w:rPr>
              <w:fldChar w:fldCharType="end"/>
            </w:r>
          </w:p>
        </w:tc>
        <w:tc>
          <w:tcPr>
            <w:tcW w:w="709" w:type="dxa"/>
            <w:noWrap/>
            <w:hideMark/>
          </w:tcPr>
          <w:p w14:paraId="1A8B5E4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2015</w:t>
            </w:r>
          </w:p>
        </w:tc>
        <w:tc>
          <w:tcPr>
            <w:tcW w:w="851" w:type="dxa"/>
            <w:noWrap/>
            <w:hideMark/>
          </w:tcPr>
          <w:p w14:paraId="6FAC919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Ethiopia</w:t>
            </w:r>
          </w:p>
        </w:tc>
        <w:tc>
          <w:tcPr>
            <w:tcW w:w="708" w:type="dxa"/>
            <w:noWrap/>
            <w:hideMark/>
          </w:tcPr>
          <w:p w14:paraId="4A598EB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68C3F17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District hospital</w:t>
            </w:r>
          </w:p>
        </w:tc>
        <w:tc>
          <w:tcPr>
            <w:tcW w:w="992" w:type="dxa"/>
            <w:noWrap/>
            <w:hideMark/>
          </w:tcPr>
          <w:p w14:paraId="40145CC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Newborn</w:t>
            </w:r>
          </w:p>
        </w:tc>
        <w:tc>
          <w:tcPr>
            <w:tcW w:w="992" w:type="dxa"/>
            <w:noWrap/>
            <w:hideMark/>
          </w:tcPr>
          <w:p w14:paraId="6837BDE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3D7DBDB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training outcome of two day training on newborn resuscitation and care</w:t>
            </w:r>
          </w:p>
        </w:tc>
        <w:tc>
          <w:tcPr>
            <w:tcW w:w="988" w:type="dxa"/>
            <w:noWrap/>
            <w:hideMark/>
          </w:tcPr>
          <w:p w14:paraId="1BE4953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B3D102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clinical officer, midwife</w:t>
            </w:r>
          </w:p>
        </w:tc>
        <w:tc>
          <w:tcPr>
            <w:tcW w:w="1276" w:type="dxa"/>
            <w:noWrap/>
            <w:hideMark/>
          </w:tcPr>
          <w:p w14:paraId="60A0C82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132C992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0FB499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Newborn resuscitation and care</w:t>
            </w:r>
          </w:p>
        </w:tc>
        <w:tc>
          <w:tcPr>
            <w:tcW w:w="2268" w:type="dxa"/>
            <w:noWrap/>
            <w:hideMark/>
          </w:tcPr>
          <w:p w14:paraId="33435EC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Two day training using country and regional guideline, lecture, group work, skill teaching scenario</w:t>
            </w:r>
          </w:p>
        </w:tc>
        <w:tc>
          <w:tcPr>
            <w:tcW w:w="1134" w:type="dxa"/>
            <w:noWrap/>
            <w:hideMark/>
          </w:tcPr>
          <w:p w14:paraId="3A97DD3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6F0EA0E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F3EDB6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Written test score improved from 53.2% to 66.4%; practical test score post course 5.5 out of 6</w:t>
            </w:r>
          </w:p>
        </w:tc>
        <w:tc>
          <w:tcPr>
            <w:tcW w:w="2448" w:type="dxa"/>
            <w:gridSpan w:val="2"/>
            <w:noWrap/>
            <w:hideMark/>
          </w:tcPr>
          <w:p w14:paraId="4973445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6611ECF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70EDB82E" w14:textId="77777777" w:rsidTr="006F65E4">
        <w:trPr>
          <w:trHeight w:val="20"/>
        </w:trPr>
        <w:tc>
          <w:tcPr>
            <w:tcW w:w="25910" w:type="dxa"/>
            <w:gridSpan w:val="21"/>
            <w:noWrap/>
          </w:tcPr>
          <w:p w14:paraId="2E5794A1" w14:textId="4FF665FC" w:rsidR="00F02432" w:rsidRPr="00C0069F" w:rsidRDefault="00F02432"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t>Acute infectious disease and malnutrition + Surgery, injury and intensive care</w:t>
            </w:r>
          </w:p>
        </w:tc>
      </w:tr>
      <w:tr w:rsidR="00F02432" w:rsidRPr="00C0069F" w14:paraId="2BD7FF70" w14:textId="77777777" w:rsidTr="00E15533">
        <w:trPr>
          <w:trHeight w:val="20"/>
        </w:trPr>
        <w:tc>
          <w:tcPr>
            <w:tcW w:w="567" w:type="dxa"/>
            <w:noWrap/>
            <w:hideMark/>
          </w:tcPr>
          <w:p w14:paraId="6ABFB8CA" w14:textId="6B7DADBD"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Nk6fREvx","properties":{"formattedCitation":"(49)","plainCitation":"(49)","noteIndex":0},"citationItems":[{"id":4190,"uris":["http://zotero.org/users/4975241/items/JG9343ZF"],"uri":["http://zotero.org/users/4975241/items/JG9343ZF"],"itemData":{"id":4190,"type":"article-journal","abstract":"Background Due to the dual critical shortages of acute care and healthcare workers in resource-limited settings, many people suffer or die from conditions that could be easily treated if existing resources were used in a more timely and effective manner. In order to address this preventable morbidity and mortality, a novel emergency midlevel provider training program was developed in rural Uganda. This is the first study that assesses this unique application of a task-shifting model to acute care by evaluating the outcomes of 10,105 patients.","container-title":"PLOS ONE","DOI":"10.1371/journal.pone.0122559","ISSN":"1932-6203","issue":"4","journalAbbreviation":"PLoS ONE","language":"en","page":"e0122559","source":"DOI.org (Crossref)","title":"Mortality Related to Acute Illness and Injury in Rural Uganda: Task Shifting to Improve Outcomes","title-short":"Mortality Related to Acute Illness and Injury in Rural Uganda","volume":"10","author":[{"family":"Chamberlain","given":"Stacey"},{"family":"Stolz","given":"Uwe"},{"family":"Dreifuss","given":"Bradley"},{"family":"Nelson","given":"Sara W."},{"family":"Hammerstedt","given":"Heather"},{"family":"Andinda","given":"Jovita"},{"family":"Maling","given":"Samuel"},{"family":"Bisanzo","given":"Mark"}],"editor":[{"family":"Price","given":"Matt A"}],"issued":{"date-parts":[["2015",4,7]]}}}],"schema":"https://github.com/citation-style-language/schema/raw/master/csl-citation.json"}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(49)</w:t>
            </w:r>
            <w:r>
              <w:rPr>
                <w:rFonts w:ascii="Times" w:eastAsia="Times New Roman" w:hAnsi="Times" w:cs="Times New Roman"/>
                <w:color w:val="000000"/>
                <w:sz w:val="16"/>
                <w:szCs w:val="16"/>
              </w:rPr>
              <w:fldChar w:fldCharType="end"/>
            </w:r>
          </w:p>
        </w:tc>
        <w:tc>
          <w:tcPr>
            <w:tcW w:w="709" w:type="dxa"/>
            <w:noWrap/>
            <w:hideMark/>
          </w:tcPr>
          <w:p w14:paraId="582115C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2015</w:t>
            </w:r>
          </w:p>
        </w:tc>
        <w:tc>
          <w:tcPr>
            <w:tcW w:w="851" w:type="dxa"/>
            <w:noWrap/>
            <w:hideMark/>
          </w:tcPr>
          <w:p w14:paraId="084DE29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2EFB810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01916A7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District hospital</w:t>
            </w:r>
          </w:p>
        </w:tc>
        <w:tc>
          <w:tcPr>
            <w:tcW w:w="992" w:type="dxa"/>
            <w:noWrap/>
            <w:hideMark/>
          </w:tcPr>
          <w:p w14:paraId="42AD51C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0E27529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1598C74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mortality rate of patients treated by task shifted midlevel provider</w:t>
            </w:r>
          </w:p>
        </w:tc>
        <w:tc>
          <w:tcPr>
            <w:tcW w:w="988" w:type="dxa"/>
            <w:noWrap/>
            <w:hideMark/>
          </w:tcPr>
          <w:p w14:paraId="212270E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4152DE0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Emergency care practitioner (nurse)</w:t>
            </w:r>
          </w:p>
        </w:tc>
        <w:tc>
          <w:tcPr>
            <w:tcW w:w="1276" w:type="dxa"/>
            <w:noWrap/>
            <w:hideMark/>
          </w:tcPr>
          <w:p w14:paraId="231DB48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Other (Emergency care)</w:t>
            </w:r>
          </w:p>
        </w:tc>
        <w:tc>
          <w:tcPr>
            <w:tcW w:w="992" w:type="dxa"/>
            <w:noWrap/>
            <w:hideMark/>
          </w:tcPr>
          <w:p w14:paraId="45A25E2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103CFB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Acute illness and injury including 9 diagnosis (most common malaria, pneumonia, </w:t>
            </w:r>
            <w:r w:rsidRPr="00C0069F">
              <w:rPr>
                <w:rFonts w:ascii="Times" w:eastAsia="Times New Roman" w:hAnsi="Times" w:cs="Times New Roman"/>
                <w:color w:val="000000"/>
                <w:sz w:val="16"/>
                <w:szCs w:val="16"/>
              </w:rPr>
              <w:lastRenderedPageBreak/>
              <w:t>trauma, malnutrition)</w:t>
            </w:r>
          </w:p>
        </w:tc>
        <w:tc>
          <w:tcPr>
            <w:tcW w:w="2268" w:type="dxa"/>
            <w:noWrap/>
            <w:hideMark/>
          </w:tcPr>
          <w:p w14:paraId="0A44AAD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lastRenderedPageBreak/>
              <w:t>Initially paired with a physician certified in emergency medicine for nine months, continued teaching by rotating volunteer physicians</w:t>
            </w:r>
          </w:p>
        </w:tc>
        <w:tc>
          <w:tcPr>
            <w:tcW w:w="1134" w:type="dxa"/>
            <w:noWrap/>
            <w:hideMark/>
          </w:tcPr>
          <w:p w14:paraId="075B1AF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D26CD7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4A5FC6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ECFEDC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19E2C62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Under-five case fatality rate were 1.9% for malaria, 4.1% for pneumonia, 1.6% for trauma and 6.8% for malnutrition</w:t>
            </w:r>
          </w:p>
        </w:tc>
      </w:tr>
      <w:tr w:rsidR="00591F5E" w:rsidRPr="00C0069F" w14:paraId="5FB8D922" w14:textId="77777777" w:rsidTr="00E15533">
        <w:trPr>
          <w:trHeight w:val="20"/>
        </w:trPr>
        <w:tc>
          <w:tcPr>
            <w:tcW w:w="567" w:type="dxa"/>
            <w:noWrap/>
            <w:hideMark/>
          </w:tcPr>
          <w:p w14:paraId="186F338C" w14:textId="1BFD015C" w:rsidR="00F02432" w:rsidRPr="00C0069F" w:rsidRDefault="006F65E4"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FjUP5hk6","properties":{"formattedCitation":"(50)","plainCitation":"(50)","noteIndex":0},"citationItems":[{"id":4295,"uris":["http://zotero.org/users/4975241/items/VTK82QFY"],"uri":["http://zotero.org/users/4975241/items/VTK82QFY"],"itemData":{"id":4295,"type":"article-journal","container-title":"Archives of Disease in Childhood","issue":"Suppl 2","note":"00000 \npublisher: BMJ Publishing Group Ltd","page":"A120","source":"Google Scholar","title":"G293 (P) Towards emergency triage assessment and treatment (ETAT)++: introducing basic paediatric trauma management skills in rural ghana","title-short":"G293 (P) Towards emergency triage assessment and treatment (ETAT)++","volume":"104","author":[{"family":"James","given":"D. R."},{"family":"Barling","given":"J."},{"family":"Ross","given":"O."},{"family":"Daniel","given":"A. A."},{"family":"Crocker","given":"C."},{"family":"Jarvis","given":"E."},{"family":"Alexander","given":"B."}],"issued":{"date-parts":[["2019"]]}}}],"schema":"https://github.com/citation-style-language/schema/raw/master/csl-citation.json"}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(50)</w:t>
            </w:r>
            <w:r>
              <w:rPr>
                <w:rFonts w:ascii="Times" w:eastAsia="Times New Roman" w:hAnsi="Times" w:cs="Times New Roman"/>
                <w:color w:val="000000"/>
                <w:sz w:val="16"/>
                <w:szCs w:val="16"/>
              </w:rPr>
              <w:fldChar w:fldCharType="end"/>
            </w:r>
          </w:p>
        </w:tc>
        <w:tc>
          <w:tcPr>
            <w:tcW w:w="709" w:type="dxa"/>
            <w:noWrap/>
            <w:hideMark/>
          </w:tcPr>
          <w:p w14:paraId="7D193CC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4C3C891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Ghana</w:t>
            </w:r>
          </w:p>
        </w:tc>
        <w:tc>
          <w:tcPr>
            <w:tcW w:w="708" w:type="dxa"/>
            <w:noWrap/>
            <w:hideMark/>
          </w:tcPr>
          <w:p w14:paraId="4964DEA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3DBE5A3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4A98275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4A29AD9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3BF4444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training outcome of adding trauma alongside ETAT course</w:t>
            </w:r>
          </w:p>
        </w:tc>
        <w:tc>
          <w:tcPr>
            <w:tcW w:w="988" w:type="dxa"/>
            <w:noWrap/>
            <w:hideMark/>
          </w:tcPr>
          <w:p w14:paraId="24ED39C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BCD7DA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Physician assistant, nurse, midwife</w:t>
            </w:r>
          </w:p>
        </w:tc>
        <w:tc>
          <w:tcPr>
            <w:tcW w:w="1276" w:type="dxa"/>
            <w:noWrap/>
            <w:hideMark/>
          </w:tcPr>
          <w:p w14:paraId="555A2FA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7FE31E8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71689A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ETAT and trauma</w:t>
            </w:r>
          </w:p>
        </w:tc>
        <w:tc>
          <w:tcPr>
            <w:tcW w:w="2268" w:type="dxa"/>
            <w:noWrap/>
            <w:hideMark/>
          </w:tcPr>
          <w:p w14:paraId="46AC252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ETAT+ course and one module of trauma teaching</w:t>
            </w:r>
          </w:p>
        </w:tc>
        <w:tc>
          <w:tcPr>
            <w:tcW w:w="1134" w:type="dxa"/>
            <w:noWrap/>
            <w:hideMark/>
          </w:tcPr>
          <w:p w14:paraId="551B618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16794FA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46F0E0A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Confidence increased for injury management after training (3.75 pre and 4.19 8 weeks post), knowledge also increased for injury management (3.82 pre and 4.25 8 weeks post)</w:t>
            </w:r>
          </w:p>
        </w:tc>
        <w:tc>
          <w:tcPr>
            <w:tcW w:w="2448" w:type="dxa"/>
            <w:gridSpan w:val="2"/>
            <w:noWrap/>
            <w:hideMark/>
          </w:tcPr>
          <w:p w14:paraId="21E7489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40D8FEE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591F5E" w14:paraId="262F22AF" w14:textId="77777777" w:rsidTr="006F65E4">
        <w:trPr>
          <w:trHeight w:val="20"/>
        </w:trPr>
        <w:tc>
          <w:tcPr>
            <w:tcW w:w="25910" w:type="dxa"/>
            <w:gridSpan w:val="21"/>
            <w:noWrap/>
          </w:tcPr>
          <w:p w14:paraId="516EE40A" w14:textId="023708F2" w:rsidR="00F02432" w:rsidRPr="00591F5E" w:rsidRDefault="00F02432" w:rsidP="00F02432">
            <w:pPr>
              <w:rPr>
                <w:rFonts w:ascii="Times" w:eastAsia="Times New Roman" w:hAnsi="Times" w:cs="Times New Roman"/>
                <w:b/>
                <w:bCs/>
                <w:color w:val="000000"/>
                <w:sz w:val="16"/>
                <w:szCs w:val="16"/>
              </w:rPr>
            </w:pPr>
            <w:r w:rsidRPr="00591F5E">
              <w:rPr>
                <w:rFonts w:ascii="Times" w:eastAsia="Times New Roman" w:hAnsi="Times" w:cs="Times New Roman"/>
                <w:b/>
                <w:bCs/>
                <w:color w:val="000000"/>
                <w:sz w:val="16"/>
                <w:szCs w:val="16"/>
              </w:rPr>
              <w:t>Surgery, injury and intensive care</w:t>
            </w:r>
          </w:p>
        </w:tc>
      </w:tr>
      <w:tr w:rsidR="00591F5E" w:rsidRPr="00C0069F" w14:paraId="54FCA0D4" w14:textId="77777777" w:rsidTr="00E15533">
        <w:trPr>
          <w:trHeight w:val="20"/>
        </w:trPr>
        <w:tc>
          <w:tcPr>
            <w:tcW w:w="567" w:type="dxa"/>
            <w:noWrap/>
            <w:hideMark/>
          </w:tcPr>
          <w:p w14:paraId="79525F40" w14:textId="1F747A1E"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WztiIHzb","properties":{"formattedCitation":"(51)","plainCitation":"(51)","noteIndex":0},"citationItems":[{"id":4103,"uris":["http://zotero.org/users/4975241/items/ZZJU2QJW"],"uri":["http://zotero.org/users/4975241/items/ZZJU2QJW"],"itemData":{"id":4103,"type":"article-journal","abstract":"Background. In 2011, the Department of Health of the Western Cape Province, South Africa, requested a review of current burn services in the province, with a view to formulating a more efficient and cost-effective service. This article considers the findings of the review and presents strategies to improve delivery of appropriate burn care at primary and secondary levels.\nMethods. Surveys were conducted at eight rural and urban hospitals, two outreach workshops on burn care, four regional hospitals and at least 60 clinics in Cape Town and in the Western Cape as far as Ladismith. A survey on community management of paediatric burns was also included in the study.\nResults. The incidence of burns was highest in the winter months, more than half of those affected were children, and the majority of burns were scalds from hot liquids. Most burn injuries managed at primary level were minor, with 75% of patients treated by nurse practitioners and discharged. The four regional secondary hospitals managed the majority of moderate to severe burns. There is room for improvement in terms of treatment facilities and consumables at all levels, regional hospitals being particularly restricted in terms of outdated equipment, a shortage of intensive care unit beds, and difficulties in transferring patients with major burns to a burns unit when indicated.\nConclusion. The community management of paediatric burns was satisfactory, although considerable delays in transfer and insufficient pain control hampered appropriate care. A great need for ongoing education at all levels was identified. Ten strategies are presented that could, if implemented, lead to tangible improvements in the management of burn patients at primary and secondary levels in the Western Cape.","container-title":"South African Medical Journal","DOI":"10.7196/SAMJnew.8187","ISSN":"2078-5135","issue":"10","journalAbbreviation":"S Afr Med J","language":"en","page":"852","source":"DOI.org (Crossref)","title":"A review of primary and secondary burn services in the Western Cape, South Africa","volume":"105","author":[{"family":"Rode","given":"H"},{"family":"Rogers","given":"A D"},{"family":"Numanoglu","given":"A"},{"family":"Wallis","given":"L"},{"family":"Allgaier","given":"R"},{"family":"Laflamme","given":"L"},{"family":"Hasselberg","given":"M"},{"family":"Blom","given":"L"},{"family":"Duvenage","given":"R"}],"issued":{"date-parts":[["2015",9,19]]}}}],"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(51)</w:t>
            </w:r>
            <w:r>
              <w:rPr>
                <w:rFonts w:ascii="Times" w:eastAsia="Times New Roman" w:hAnsi="Times" w:cs="Times New Roman"/>
                <w:color w:val="000000"/>
                <w:sz w:val="16"/>
                <w:szCs w:val="16"/>
              </w:rPr>
              <w:fldChar w:fldCharType="end"/>
            </w:r>
          </w:p>
        </w:tc>
        <w:tc>
          <w:tcPr>
            <w:tcW w:w="709" w:type="dxa"/>
            <w:noWrap/>
            <w:hideMark/>
          </w:tcPr>
          <w:p w14:paraId="681D059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2015</w:t>
            </w:r>
          </w:p>
        </w:tc>
        <w:tc>
          <w:tcPr>
            <w:tcW w:w="851" w:type="dxa"/>
            <w:noWrap/>
            <w:hideMark/>
          </w:tcPr>
          <w:p w14:paraId="3C6D89D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Africa</w:t>
            </w:r>
          </w:p>
        </w:tc>
        <w:tc>
          <w:tcPr>
            <w:tcW w:w="708" w:type="dxa"/>
            <w:noWrap/>
            <w:hideMark/>
          </w:tcPr>
          <w:p w14:paraId="514DD83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326CB16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Regional hospitals, rural clinics, urban clinics</w:t>
            </w:r>
          </w:p>
        </w:tc>
        <w:tc>
          <w:tcPr>
            <w:tcW w:w="992" w:type="dxa"/>
            <w:noWrap/>
            <w:hideMark/>
          </w:tcPr>
          <w:p w14:paraId="0EDE030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7626D1C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4A4A758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availability of primary and secondary burn service</w:t>
            </w:r>
          </w:p>
        </w:tc>
        <w:tc>
          <w:tcPr>
            <w:tcW w:w="988" w:type="dxa"/>
            <w:noWrap/>
            <w:hideMark/>
          </w:tcPr>
          <w:p w14:paraId="258C1C7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0B2C688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Doctor, nurse </w:t>
            </w:r>
          </w:p>
        </w:tc>
        <w:tc>
          <w:tcPr>
            <w:tcW w:w="1276" w:type="dxa"/>
            <w:noWrap/>
            <w:hideMark/>
          </w:tcPr>
          <w:p w14:paraId="41B1F8F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Fire, heat, and hot substances</w:t>
            </w:r>
          </w:p>
        </w:tc>
        <w:tc>
          <w:tcPr>
            <w:tcW w:w="992" w:type="dxa"/>
            <w:noWrap/>
            <w:hideMark/>
          </w:tcPr>
          <w:p w14:paraId="63A8652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E3E8CE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Burn service</w:t>
            </w:r>
          </w:p>
        </w:tc>
        <w:tc>
          <w:tcPr>
            <w:tcW w:w="2268" w:type="dxa"/>
            <w:noWrap/>
            <w:hideMark/>
          </w:tcPr>
          <w:p w14:paraId="50B1133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43A60B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E9D60D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Referral to higher level facility</w:t>
            </w:r>
          </w:p>
        </w:tc>
        <w:tc>
          <w:tcPr>
            <w:tcW w:w="2448" w:type="dxa"/>
            <w:noWrap/>
            <w:hideMark/>
          </w:tcPr>
          <w:p w14:paraId="3698E47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28139D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295B99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35ECD6A5" w14:textId="77777777" w:rsidTr="00E15533">
        <w:trPr>
          <w:trHeight w:val="20"/>
        </w:trPr>
        <w:tc>
          <w:tcPr>
            <w:tcW w:w="567" w:type="dxa"/>
            <w:noWrap/>
            <w:hideMark/>
          </w:tcPr>
          <w:p w14:paraId="7AB2C4D8" w14:textId="2D75563F"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sSD2br7C","properties":{"formattedCitation":"(52)","plainCitation":"(52)","noteIndex":0},"citationItems":[{"id":3801,"uris":["http://zotero.org/users/4975241/items/LS7WWJ3B"],"uri":["http://zotero.org/users/4975241/items/LS7WWJ3B"],"itemData":{"id":3801,"type":"article-journal","abstract":"BACKGROUND: Specialized pediatric surgeons are unavailable in much of sub-Saharan Africa. Delegating some surgical tasks to non-physician clinical officers can mitigate the dependence of a health system on highly skilled clinicians for specific services.\nMETHODS: We performed a case-control study examining pediatric surgical cases over a 12 month period. Operating surgeon was categorized as physician or clinical officer. Operative acuity, surgical subspecialty, and outcome were then compared between the two groups, using physicians as the control.\nRESULTS: A total of 1186 operations were performed on 1004 pediatric patients. Mean age was 6 years (±5) and 64% of patients were male. Clinical officers performed 40% of the cases. Most general surgery, urology and congenital cases were performed by physicians, while most ENT, neurosurgery, and burn surgery cases were performed by clinical officers. Reoperation rate was higher for patients treated by clinical officers (17%) compared to physicians (7.1%), although this was attributable to multiple burn surgical procedures. Physician and clinical officer cohorts had similar complication rates (4.5% and 4.0%, respectively) and mortality rates (2.5% and 2.1%, respectively).\nDISCUSSION: Fundamental changes in health policy in Africa are imperative as a significant increase in the number of surgeons available in the near future is unlikely. Task-shifting from surgeons to clinical officers may be useful to provide coverage of basic surgical care.","container-title":"International Journal of Surgery (London, England)","DOI":"10.1016/j.ijsu.2014.02.009","ISSN":"1743-9159","issue":"5","journalAbbreviation":"Int J Surg","language":"eng","note":"PMID: 24560846\nPMCID: PMC4028382","page":"509-515","source":"PubMed","title":"Delivery of operative pediatric surgical care by physicians and non-physician clinicians in Malawi","volume":"12","author":[{"family":"Tyson","given":"Anna F."},{"family":"Msiska","given":"Nelson"},{"family":"Kiser","given":"Michelle"},{"family":"Samuel","given":"Jonathan C."},{"family":"Mclean","given":"Sean"},{"family":"Varela","given":"Carlos"},{"family":"Charles","given":"Anthony G."}],"issued":{"date-parts":[["2014"]]}}}],"schema":"https://github.com/citation-style-language/schema/raw/master/csl-citation.json"}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(52)</w:t>
            </w:r>
            <w:r>
              <w:rPr>
                <w:rFonts w:ascii="Times" w:eastAsia="Times New Roman" w:hAnsi="Times" w:cs="Times New Roman"/>
                <w:color w:val="000000"/>
                <w:sz w:val="16"/>
                <w:szCs w:val="16"/>
              </w:rPr>
              <w:fldChar w:fldCharType="end"/>
            </w:r>
          </w:p>
        </w:tc>
        <w:tc>
          <w:tcPr>
            <w:tcW w:w="709" w:type="dxa"/>
            <w:noWrap/>
            <w:hideMark/>
          </w:tcPr>
          <w:p w14:paraId="37369EE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457A2D3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7B25DDD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76BC5DC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Central hospital</w:t>
            </w:r>
          </w:p>
        </w:tc>
        <w:tc>
          <w:tcPr>
            <w:tcW w:w="992" w:type="dxa"/>
            <w:noWrap/>
            <w:hideMark/>
          </w:tcPr>
          <w:p w14:paraId="336702B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and adolescent (&lt;=17y)</w:t>
            </w:r>
          </w:p>
        </w:tc>
        <w:tc>
          <w:tcPr>
            <w:tcW w:w="992" w:type="dxa"/>
            <w:noWrap/>
            <w:hideMark/>
          </w:tcPr>
          <w:p w14:paraId="11E136A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07FB43C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paediatric surgical cases between physician and clinical officer</w:t>
            </w:r>
          </w:p>
        </w:tc>
        <w:tc>
          <w:tcPr>
            <w:tcW w:w="988" w:type="dxa"/>
            <w:noWrap/>
            <w:hideMark/>
          </w:tcPr>
          <w:p w14:paraId="4D649E6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281CF51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79F22A0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Fire, heat, and hot substances; neonatal disorder</w:t>
            </w:r>
          </w:p>
        </w:tc>
        <w:tc>
          <w:tcPr>
            <w:tcW w:w="992" w:type="dxa"/>
            <w:noWrap/>
            <w:hideMark/>
          </w:tcPr>
          <w:p w14:paraId="5A42FF6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74CB00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Burn surgery, neurosurgery, ENT procedures, congenital, VP shunt placement, foreign body removal, general surgery cases such as laparotomy, appendectomy, and incarcerated hernia repair, as well as minor procedures including biopsy and incision and drainage </w:t>
            </w:r>
          </w:p>
        </w:tc>
        <w:tc>
          <w:tcPr>
            <w:tcW w:w="2268" w:type="dxa"/>
            <w:noWrap/>
            <w:hideMark/>
          </w:tcPr>
          <w:p w14:paraId="340959A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year education and one year rotation clinical internship</w:t>
            </w:r>
          </w:p>
        </w:tc>
        <w:tc>
          <w:tcPr>
            <w:tcW w:w="1134" w:type="dxa"/>
            <w:noWrap/>
            <w:hideMark/>
          </w:tcPr>
          <w:p w14:paraId="65C0369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Oversight and supervision</w:t>
            </w:r>
          </w:p>
        </w:tc>
        <w:tc>
          <w:tcPr>
            <w:tcW w:w="1134" w:type="dxa"/>
            <w:noWrap/>
            <w:hideMark/>
          </w:tcPr>
          <w:p w14:paraId="19FB85D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14B59E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2C5055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7B6A3E8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Similar reoperation rate (7.1% for MD, 17% for CO), complication rate (4.5% vs. 4.0%), mortality rate (2.5% vs. 2.1%), and length of stay (10 vs. 24d) considering case mix. Burn cases usually are managed by Cos therefore have longer length of stay for excision and grafting.</w:t>
            </w:r>
          </w:p>
        </w:tc>
      </w:tr>
      <w:tr w:rsidR="00591F5E" w:rsidRPr="00C0069F" w14:paraId="2BC125C6" w14:textId="77777777" w:rsidTr="00E15533">
        <w:trPr>
          <w:trHeight w:val="20"/>
        </w:trPr>
        <w:tc>
          <w:tcPr>
            <w:tcW w:w="567" w:type="dxa"/>
            <w:noWrap/>
            <w:hideMark/>
          </w:tcPr>
          <w:p w14:paraId="59F3547A" w14:textId="4EB7FFB8"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Kl9QZqym","properties":{"formattedCitation":"(53)","plainCitation":"(53)","noteIndex":0},"citationItems":[{"id":4238,"uris":["http://zotero.org/users/4975241/items/UB8T5IQU"],"uri":["http://zotero.org/users/4975241/items/UB8T5IQU"],"itemData":{"id":4238,"type":"article-journal","abstract":"Background: Continuous positive airway pressure (CPAP) is a relatively low-cost technology which can improve outcome in neonatal and paediatric patients with respiratory distress. Prior work in a lower middle-income country demonstrated degradation of CPAP skills and knowledge after the initial training. Aims: To determine if a training-of-trainers (ToT) curriculum can decrease gaps in skills and knowledge between ﬁrst-generation (trained by a United States physician and nurse) and second-generation healthcare providers (trained by local trainers) in Kenya, and to describe the usage pattern, outcome and safety in patients who received CPAP following the trainings.\nMethods: The ﬁrst day of training entailed didactic and simulation sessions. On the second day participants were taught how to train others to use CPAP. First- and second-generation healthcare providers were tested on their skills and knowledge. Unpaired t-tests were used to test for equivalence. Prospective data on CPAP usage was collected following the initial trainings.\nResults: 37 ﬁrst-generation healthcare providers (16 nurses; 21 physicians, medical/clinical o</w:instrText>
            </w:r>
            <w:r>
              <w:rPr>
                <w:rFonts w:ascii="Times New Roman" w:eastAsia="Times New Roman" w:hAnsi="Times New Roman" w:cs="Times New Roman"/>
                <w:color w:val="000000"/>
                <w:sz w:val="16"/>
                <w:szCs w:val="16"/>
              </w:rPr>
              <w:instrText>ﬃ</w:instrText>
            </w:r>
            <w:r>
              <w:rPr>
                <w:rFonts w:ascii="Times" w:eastAsia="Times New Roman" w:hAnsi="Times" w:cs="Times New Roman"/>
                <w:color w:val="000000"/>
                <w:sz w:val="16"/>
                <w:szCs w:val="16"/>
              </w:rPr>
              <w:instrText>cers) were trained as trainers and 40 second-generation healthcare providers (19 nurses, 21 physicians, medical/clinical o</w:instrText>
            </w:r>
            <w:r>
              <w:rPr>
                <w:rFonts w:ascii="Times New Roman" w:eastAsia="Times New Roman" w:hAnsi="Times New Roman" w:cs="Times New Roman"/>
                <w:color w:val="000000"/>
                <w:sz w:val="16"/>
                <w:szCs w:val="16"/>
              </w:rPr>
              <w:instrText>ﬃ</w:instrText>
            </w:r>
            <w:r>
              <w:rPr>
                <w:rFonts w:ascii="Times" w:eastAsia="Times New Roman" w:hAnsi="Times" w:cs="Times New Roman"/>
                <w:color w:val="000000"/>
                <w:sz w:val="16"/>
                <w:szCs w:val="16"/>
              </w:rPr>
              <w:instrText>cers) trained by ﬁrst-generation healthcare providers were available for skills and knowledge testing. There were no statistically signiﬁcant di</w:instrText>
            </w:r>
            <w:r>
              <w:rPr>
                <w:rFonts w:ascii="Times New Roman" w:eastAsia="Times New Roman" w:hAnsi="Times New Roman" w:cs="Times New Roman"/>
                <w:color w:val="000000"/>
                <w:sz w:val="16"/>
                <w:szCs w:val="16"/>
              </w:rPr>
              <w:instrText>ﬀ</w:instrText>
            </w:r>
            <w:r>
              <w:rPr>
                <w:rFonts w:ascii="Times" w:eastAsia="Times New Roman" w:hAnsi="Times" w:cs="Times New Roman"/>
                <w:color w:val="000000"/>
                <w:sz w:val="16"/>
                <w:szCs w:val="16"/>
              </w:rPr>
              <w:instrText xml:space="preserve">erences between ﬁrst- and second-generation healthcare providers’ skills (90%, 95% CI 87–93 vs 89%, 95% CI 86–92) or knowledge scores (91%, 95% CI 88–93 vs 90%, 95% CI 88–93). A total of 1111 patients were placed on CPAP mostly by nurses (61%), prematurity/acute respiratory distress syndrome was the most common indication, nasal injury/bleeding (2%) was the most common reported adverse event, and the overall mortality rate was 24%.\nConclusion: The ToT model was successful, nurses initiated CPAP most commonly, prematurity with acute respiratory distress syndrome was the most common indication, and adverse events were uncommon.","container-title":"Paediatrics and International Child Health","DOI":"10.1080/20469047.2019.1624007","ISSN":"2046-9047, 2046-9055","issue":"3","journalAbbreviation":"Paediatrics and International Child Health","language":"en","page":"193-200","source":"DOI.org (Crossref)","title":"Effective training-of-trainers model for the introduction of continuous positive airway pressure for neonatal and paediatric patients in Kenya","volume":"39","author":[{"family":"Olayo","given":"Bernard"},{"family":"Kirigia","given":"Caroline Kendi"},{"family":"Oliwa","given":"Jacquie Narotso"},{"family":"Agai","given":"Odero Nicholas"},{"family":"Morris","given":"Marilyn"},{"family":"Benckert","given":"Megan"},{"family":"Adudans","given":"Steve"},{"family":"Murila","given":"Florence"},{"family":"Wilson","given":"Patrick T."}],"issued":{"date-parts":[["2019",7,3]]}}}],"schema":"https://github.com/citation-style-language/schema/raw/master/csl-citation.json"}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(53)</w:t>
            </w:r>
            <w:r>
              <w:rPr>
                <w:rFonts w:ascii="Times" w:eastAsia="Times New Roman" w:hAnsi="Times" w:cs="Times New Roman"/>
                <w:color w:val="000000"/>
                <w:sz w:val="16"/>
                <w:szCs w:val="16"/>
              </w:rPr>
              <w:fldChar w:fldCharType="end"/>
            </w:r>
          </w:p>
        </w:tc>
        <w:tc>
          <w:tcPr>
            <w:tcW w:w="709" w:type="dxa"/>
            <w:noWrap/>
            <w:hideMark/>
          </w:tcPr>
          <w:p w14:paraId="66FCB2A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075F4EF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6E655BC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417FD44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Level 4 and 6 hospitals</w:t>
            </w:r>
          </w:p>
        </w:tc>
        <w:tc>
          <w:tcPr>
            <w:tcW w:w="992" w:type="dxa"/>
            <w:noWrap/>
            <w:hideMark/>
          </w:tcPr>
          <w:p w14:paraId="5FFEF3D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Neonate and paediatric patients</w:t>
            </w:r>
          </w:p>
        </w:tc>
        <w:tc>
          <w:tcPr>
            <w:tcW w:w="992" w:type="dxa"/>
            <w:noWrap/>
            <w:hideMark/>
          </w:tcPr>
          <w:p w14:paraId="52DE6A3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399D55E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if training of trainers can increase skills and knowledge of health care providers</w:t>
            </w:r>
          </w:p>
        </w:tc>
        <w:tc>
          <w:tcPr>
            <w:tcW w:w="988" w:type="dxa"/>
            <w:noWrap/>
            <w:hideMark/>
          </w:tcPr>
          <w:p w14:paraId="63F6942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059D9BD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nurse, clinical officer</w:t>
            </w:r>
          </w:p>
        </w:tc>
        <w:tc>
          <w:tcPr>
            <w:tcW w:w="1276" w:type="dxa"/>
            <w:noWrap/>
            <w:hideMark/>
          </w:tcPr>
          <w:p w14:paraId="0A6F750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70E82CD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60CCB3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CPAP</w:t>
            </w:r>
          </w:p>
        </w:tc>
        <w:tc>
          <w:tcPr>
            <w:tcW w:w="2268" w:type="dxa"/>
            <w:noWrap/>
            <w:hideMark/>
          </w:tcPr>
          <w:p w14:paraId="03DBA1D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 day training session</w:t>
            </w:r>
          </w:p>
        </w:tc>
        <w:tc>
          <w:tcPr>
            <w:tcW w:w="1134" w:type="dxa"/>
            <w:noWrap/>
            <w:hideMark/>
          </w:tcPr>
          <w:p w14:paraId="1BDB9D4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32E6CA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370B797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Knowledge score 91% and 90% for 1st and 2nd generation trained providers</w:t>
            </w:r>
          </w:p>
        </w:tc>
        <w:tc>
          <w:tcPr>
            <w:tcW w:w="2448" w:type="dxa"/>
            <w:gridSpan w:val="2"/>
            <w:noWrap/>
            <w:hideMark/>
          </w:tcPr>
          <w:p w14:paraId="4E40B86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Skill score 90% and 89% for 1st and 2nd generation trained providers</w:t>
            </w:r>
          </w:p>
        </w:tc>
        <w:tc>
          <w:tcPr>
            <w:tcW w:w="2449" w:type="dxa"/>
            <w:gridSpan w:val="2"/>
            <w:noWrap/>
            <w:hideMark/>
          </w:tcPr>
          <w:p w14:paraId="23EF3B4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Total mortality rate 24%, 95% no adverse event</w:t>
            </w:r>
          </w:p>
        </w:tc>
      </w:tr>
      <w:tr w:rsidR="00F02432" w:rsidRPr="00C0069F" w14:paraId="235FF1C5" w14:textId="77777777" w:rsidTr="00E15533">
        <w:trPr>
          <w:trHeight w:val="20"/>
        </w:trPr>
        <w:tc>
          <w:tcPr>
            <w:tcW w:w="567" w:type="dxa"/>
            <w:noWrap/>
            <w:hideMark/>
          </w:tcPr>
          <w:p w14:paraId="2BD2EBC1" w14:textId="7B73A564"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mnLfWFvC","properties":{"formattedCitation":"(54)","plainCitation":"(54)","noteIndex":0},"citationItems":[{"id":3824,"uris":["http://zotero.org/users/4975241/items/6LN3GKA5"],"uri":["http://zotero.org/users/4975241/items/6LN3GKA5"],"itemData":{"id":3824,"type":"article-journal","abstract":"In some sub-Saharan African countries non-physician clinicians have to perform major general surgery without medical officers and surgeons. The safety of this practice has not been established. The aim of this study was to evaluate the contribution of clinical officers (COs) to major general surgery at Zomba Central Hospital. We performed a retrospective five-year period study during 2003-2007. The perioperative outcome for three procedures was analysed. During the study 2931 major general surgical procedures were performed: 1437 (49%) by surgeons; 366 (12.5%) by COs assisted by surgeons; and 1128 (38.5%) by COs alone. COs performed 50% of prostatectomies, ventriculo-peritoneal-shuntings and strangulated hernia repairs with bowel resection alone. Baseline parameters and perioperative outcomes of the patients who underwent operations with surgeons present (as operator or assistant, 'surgeon group') or patients operated by COs alone ('CO group') were similar. COs can safely perform major general surgery when adequate training and supervision are provided.","container-title":"Tropical Doctor","DOI":"10.1258/td.2010.100272","ISSN":"1758-1133","issue":"2","journalAbbreviation":"Trop Doct","language":"eng","note":"PMID: 21303987","page":"71-75","source":"PubMed","title":"Efficacy of major general surgery performed by non-physician clinicians at a central hospital in Malawi","volume":"41","author":[{"family":"Wilhelm","given":"Torsten J."},{"family":"Thawe","given":"Innocent K."},{"family":"Mwatibu","given":"Biswick"},{"family":"Mothes","given":"Henning"},{"family":"Post","given":"Stefan"}],"issued":{"date-parts":[["2011",4]]}}}],"schema":"https://github.com/citation-style-language/schema/raw/master/csl-citation.json"}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(54)</w:t>
            </w:r>
            <w:r>
              <w:rPr>
                <w:rFonts w:ascii="Times" w:eastAsia="Times New Roman" w:hAnsi="Times" w:cs="Times New Roman"/>
                <w:color w:val="000000"/>
                <w:sz w:val="16"/>
                <w:szCs w:val="16"/>
              </w:rPr>
              <w:fldChar w:fldCharType="end"/>
            </w:r>
          </w:p>
        </w:tc>
        <w:tc>
          <w:tcPr>
            <w:tcW w:w="709" w:type="dxa"/>
            <w:noWrap/>
            <w:hideMark/>
          </w:tcPr>
          <w:p w14:paraId="55AB284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2011</w:t>
            </w:r>
          </w:p>
        </w:tc>
        <w:tc>
          <w:tcPr>
            <w:tcW w:w="851" w:type="dxa"/>
            <w:noWrap/>
            <w:hideMark/>
          </w:tcPr>
          <w:p w14:paraId="2233F0A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3DA2E7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2D9D5D4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Central hospital</w:t>
            </w:r>
          </w:p>
        </w:tc>
        <w:tc>
          <w:tcPr>
            <w:tcW w:w="992" w:type="dxa"/>
            <w:noWrap/>
            <w:hideMark/>
          </w:tcPr>
          <w:p w14:paraId="0910AA2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5F5BDAC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61E4EAD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outcome of major general surgery performed by clinical officer</w:t>
            </w:r>
          </w:p>
        </w:tc>
        <w:tc>
          <w:tcPr>
            <w:tcW w:w="988" w:type="dxa"/>
            <w:noWrap/>
            <w:hideMark/>
          </w:tcPr>
          <w:p w14:paraId="26133A0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4AA660F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6BE364B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disorder</w:t>
            </w:r>
          </w:p>
        </w:tc>
        <w:tc>
          <w:tcPr>
            <w:tcW w:w="992" w:type="dxa"/>
            <w:noWrap/>
            <w:hideMark/>
          </w:tcPr>
          <w:p w14:paraId="0D9C5B3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26300A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VP shunting</w:t>
            </w:r>
          </w:p>
        </w:tc>
        <w:tc>
          <w:tcPr>
            <w:tcW w:w="2268" w:type="dxa"/>
            <w:noWrap/>
            <w:hideMark/>
          </w:tcPr>
          <w:p w14:paraId="6B1CD3B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year pre-service training and one year internship</w:t>
            </w:r>
          </w:p>
        </w:tc>
        <w:tc>
          <w:tcPr>
            <w:tcW w:w="1134" w:type="dxa"/>
            <w:noWrap/>
            <w:hideMark/>
          </w:tcPr>
          <w:p w14:paraId="4BF2230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Study compared with supervision and without supervision</w:t>
            </w:r>
          </w:p>
        </w:tc>
        <w:tc>
          <w:tcPr>
            <w:tcW w:w="1134" w:type="dxa"/>
            <w:noWrap/>
            <w:hideMark/>
          </w:tcPr>
          <w:p w14:paraId="233611B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C527B5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335274A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7D50E4A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Postoperative mortality rates (6.6% vs 5.9%), wound infection rates (3.3% vs 3.9%), rates of early shunt revision (0 vs. 3.9%) and shunt removal in CO only and surgeron present group. Length of stay shorter in surgeon present group though could due to patients discahrged on weekends without regular ward rounds</w:t>
            </w:r>
          </w:p>
        </w:tc>
      </w:tr>
      <w:tr w:rsidR="00591F5E" w:rsidRPr="00C0069F" w14:paraId="1CE1EA9F" w14:textId="77777777" w:rsidTr="00E15533">
        <w:trPr>
          <w:trHeight w:val="20"/>
        </w:trPr>
        <w:tc>
          <w:tcPr>
            <w:tcW w:w="567" w:type="dxa"/>
            <w:noWrap/>
            <w:hideMark/>
          </w:tcPr>
          <w:p w14:paraId="32CAE104" w14:textId="0B83FC21"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LMbDooSj","properties":{"formattedCitation":"(55)","plainCitation":"(55)","noteIndex":0},"citationItems":[{"id":3821,"uris":["http://zotero.org/users/4975241/items/C86WF9E8"],"uri":["http://zotero.org/users/4975241/items/C86WF9E8"],"itemData":{"id":3821,"type":"article-journal","abstract":"BACKGROUND: A nonphysician clinician (NPC) training program was started in Uganda in 2009. NPC care was initially supervised by a physician and subsequent care was independent. The mortality of children under 5 (U5) was analyzed to evaluate the impact of transitioning NPC care from physician-supervised to independent care.\nMETHODS: A retrospective review was performed of a quality assurance database including 3-day follow-up for all patients presenting to the emergency department (ED). Mortality rates were calculated and χ(2) tests used for significance of proportions. Multiple logistic regression was used to assess independent predictors of mortality.\nRESULTS: Overall, 68.8% of 4985 U5 patients were admitted and 28.6% were \"severely ill.\" The overall mortality was significantly lower in physician-supervised versus independent NPC care (2.90% vs 5.04%, P = .05). No significant mortality difference was seen between supervised and unsupervised care (2.17% vs 3.01%, P = .43) for the majority of patients that were not severely ill. Severely ill patients analyzed separately showed a significant mortality difference (4.07% vs 10.3%, P = .01). Logistic regression revealed physician supervision significantly reduced mortality for patients overall (odds ratio = 0.52, P = .03), but not for nonseverely ill patients analyzed separately (odds ratio = 0.73, P = .47).\nCONCLUSIONS: Though physician supervision reduced mortality for the severely ill subset of patients, physicians are not available full-time in most EDs in Sub-Saharan Africa. Training NPCs in emergency care produced noninferior mortality outcomes for unsupervised NPC care compared with physician-supervised NPC care for the majority of U5 patients.","container-title":"Pediatrics","DOI":"10.1542/peds.2015-3201","ISSN":"1098-4275","issue":"3","journalAbbreviation":"Pediatrics","language":"eng","note":"PMID: 26921282","page":"e20153201","source":"PubMed","title":"Mortality in Children Under Five Receiving Nonphysician Clinician Emergency Care in Uganda","volume":"137","author":[{"family":"Rice","given":"Brian"},{"family":"Periyanayagam","given":"Usha"},{"family":"Chamberlain","given":"Stacey"},{"family":"Dreifuss","given":"Bradley"},{"family":"Hammerstedt","given":"Heather"},{"family":"Nelson","given":"Sara"},{"family":"Maling","given":"Samuel"},{"family":"Bisanzo","given":"Mark"}],"issued":{"date-parts":[["2016",3]]}}}],"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(55)</w:t>
            </w:r>
            <w:r>
              <w:rPr>
                <w:rFonts w:ascii="Times" w:eastAsia="Times New Roman" w:hAnsi="Times" w:cs="Times New Roman"/>
                <w:color w:val="000000"/>
                <w:sz w:val="16"/>
                <w:szCs w:val="16"/>
              </w:rPr>
              <w:fldChar w:fldCharType="end"/>
            </w:r>
          </w:p>
        </w:tc>
        <w:tc>
          <w:tcPr>
            <w:tcW w:w="709" w:type="dxa"/>
            <w:noWrap/>
            <w:hideMark/>
          </w:tcPr>
          <w:p w14:paraId="2C27371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2016</w:t>
            </w:r>
          </w:p>
        </w:tc>
        <w:tc>
          <w:tcPr>
            <w:tcW w:w="851" w:type="dxa"/>
            <w:noWrap/>
            <w:hideMark/>
          </w:tcPr>
          <w:p w14:paraId="777A132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213D7AD0" w14:textId="6BFB69D9" w:rsidR="00F02432" w:rsidRPr="00C0069F" w:rsidRDefault="00690A59"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t>Before-after</w:t>
            </w:r>
          </w:p>
        </w:tc>
        <w:tc>
          <w:tcPr>
            <w:tcW w:w="1418" w:type="dxa"/>
            <w:noWrap/>
            <w:hideMark/>
          </w:tcPr>
          <w:p w14:paraId="4E9D478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Emergency department at Karoli Lwanga “Nyakibale” Hospital</w:t>
            </w:r>
          </w:p>
        </w:tc>
        <w:tc>
          <w:tcPr>
            <w:tcW w:w="992" w:type="dxa"/>
            <w:noWrap/>
            <w:hideMark/>
          </w:tcPr>
          <w:p w14:paraId="02CD778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&lt; 5</w:t>
            </w:r>
          </w:p>
        </w:tc>
        <w:tc>
          <w:tcPr>
            <w:tcW w:w="992" w:type="dxa"/>
            <w:noWrap/>
            <w:hideMark/>
          </w:tcPr>
          <w:p w14:paraId="1F6E86E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6E3AFDA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in-hospital mortality rate of children under five receiving emergency care by non-physician clinician (a new cadre) alone or supervised by physician</w:t>
            </w:r>
          </w:p>
        </w:tc>
        <w:tc>
          <w:tcPr>
            <w:tcW w:w="988" w:type="dxa"/>
            <w:noWrap/>
            <w:hideMark/>
          </w:tcPr>
          <w:p w14:paraId="6820D79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4EFA93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Emergency care practitioner (nurse, new cadre)</w:t>
            </w:r>
          </w:p>
        </w:tc>
        <w:tc>
          <w:tcPr>
            <w:tcW w:w="1276" w:type="dxa"/>
            <w:noWrap/>
            <w:hideMark/>
          </w:tcPr>
          <w:p w14:paraId="7DFEDCB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Other (Emergency care)</w:t>
            </w:r>
          </w:p>
        </w:tc>
        <w:tc>
          <w:tcPr>
            <w:tcW w:w="992" w:type="dxa"/>
            <w:noWrap/>
            <w:hideMark/>
          </w:tcPr>
          <w:p w14:paraId="3566F03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9193DD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Emergency medicine for patients (including but not limited to malnourishment, hypoxias and severe anaemic, etc.)</w:t>
            </w:r>
          </w:p>
        </w:tc>
        <w:tc>
          <w:tcPr>
            <w:tcW w:w="2268" w:type="dxa"/>
            <w:noWrap/>
            <w:hideMark/>
          </w:tcPr>
          <w:p w14:paraId="6865A01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Initially paired with a physician certified in emergency medicine for nine months, continued teaching by rotating volunteer physicians</w:t>
            </w:r>
          </w:p>
        </w:tc>
        <w:tc>
          <w:tcPr>
            <w:tcW w:w="1134" w:type="dxa"/>
            <w:noWrap/>
            <w:hideMark/>
          </w:tcPr>
          <w:p w14:paraId="1DBA92E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initially supervised by a physician and subsequent care was independent </w:t>
            </w:r>
          </w:p>
        </w:tc>
        <w:tc>
          <w:tcPr>
            <w:tcW w:w="1134" w:type="dxa"/>
            <w:noWrap/>
            <w:hideMark/>
          </w:tcPr>
          <w:p w14:paraId="19A282E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0A83DF3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016DC8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818076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day in hospital mortality rate 5.04% for unsupervised, 2.90% for supervised. For majority of patients that not severely ill mortality rate showed no difference (2.17% vs. 3.09%)</w:t>
            </w:r>
          </w:p>
        </w:tc>
      </w:tr>
      <w:tr w:rsidR="00F02432" w:rsidRPr="00C0069F" w14:paraId="43DE3B05" w14:textId="77777777" w:rsidTr="00E15533">
        <w:trPr>
          <w:trHeight w:val="20"/>
        </w:trPr>
        <w:tc>
          <w:tcPr>
            <w:tcW w:w="567" w:type="dxa"/>
            <w:noWrap/>
            <w:hideMark/>
          </w:tcPr>
          <w:p w14:paraId="21F286DC" w14:textId="0E54F1DD"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oW9NYQuU","properties":{"formattedCitation":"(56)","plainCitation":"(56)","noteIndex":0},"citationItems":[{"id":4160,"uris":["http://zotero.org/users/4975241/items/K9MKILCT"],"uri":["http://zotero.org/users/4975241/items/K9MKILCT"],"itemData":{"id":4160,"type":"article-journal","abstract":"This study looks at whether orthopaedic clinical ofﬁcers, a cadre of clinicians who are not doctors, can effectively manipulate idiopathic clubfeet using the Ponseti technique. One hundred consecutive cases of uncomplicated idiopathic clubfeet in newborn babies were manipulated by orthopaedic clinical ofﬁcers. Fifty-seven of these were fully corrected to a plantigrade position by Ponseti manipulation alone, and a further 41 were corrected by manipulation followed by a simple percutaneous tenotomy. Orthopaedic clinical ofﬁcers therefore corrected 98 out of 100 feet; the remaining 2 feet were referred for surgical correction. This shows that the Ponseti method is suitable for use by nonmedical personnel in the developing world to achieve a plantigrade foot.","container-title":"Journal of Pediatric Orthopaedics","DOI":"10.1097/01.bpo.0000164876.97949.6b","ISSN":"0271-6798","issue":"5","journalAbbreviation":"Journal of Pediatric Orthopaedics","language":"en","page":"627-629","source":"DOI.org (Crossref)","title":"Results of Manipulation of Idiopathic Clubfoot Deformity in Malawi by Orthopaedic Clinical Officers Using the Ponseti Method: A Realistic Alternative for the Developing World?","title-short":"Results of Manipulation of Idiopathic Clubfoot Deformity in Malawi by Orthopaedic Clinical Officers Using the Ponseti Method","volume":"25","author":[{"family":"Tindall","given":"Alistair J"},{"family":"Steinlechner","given":"Colin W. B"},{"family":"Lavy","given":"Christopher B. D"},{"family":"Mannion","given":"Steve"},{"family":"Mkandawire","given":"Nyengo"}],"issued":{"date-parts":[["2005",9]]}}}],"schema":"https://github.com/citation-style-language/schema/raw/master/csl-citation.json"}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(56)</w:t>
            </w:r>
            <w:r>
              <w:rPr>
                <w:rFonts w:ascii="Times" w:eastAsia="Times New Roman" w:hAnsi="Times" w:cs="Times New Roman"/>
                <w:color w:val="000000"/>
                <w:sz w:val="16"/>
                <w:szCs w:val="16"/>
              </w:rPr>
              <w:fldChar w:fldCharType="end"/>
            </w:r>
          </w:p>
        </w:tc>
        <w:tc>
          <w:tcPr>
            <w:tcW w:w="709" w:type="dxa"/>
            <w:noWrap/>
            <w:hideMark/>
          </w:tcPr>
          <w:p w14:paraId="702C76E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2005</w:t>
            </w:r>
          </w:p>
        </w:tc>
        <w:tc>
          <w:tcPr>
            <w:tcW w:w="851" w:type="dxa"/>
            <w:noWrap/>
            <w:hideMark/>
          </w:tcPr>
          <w:p w14:paraId="74DAFCC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102004E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37681A8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2FCFAC3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4D0F037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5404B04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outcome of CO performed idiopathic clubfoot deformity</w:t>
            </w:r>
          </w:p>
        </w:tc>
        <w:tc>
          <w:tcPr>
            <w:tcW w:w="988" w:type="dxa"/>
            <w:noWrap/>
            <w:hideMark/>
          </w:tcPr>
          <w:p w14:paraId="52EAF7D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1B32FCD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0E19FEF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Congenital birth defects</w:t>
            </w:r>
          </w:p>
        </w:tc>
        <w:tc>
          <w:tcPr>
            <w:tcW w:w="992" w:type="dxa"/>
            <w:noWrap/>
            <w:hideMark/>
          </w:tcPr>
          <w:p w14:paraId="1656710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D3A7D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Clubfoot deformity</w:t>
            </w:r>
          </w:p>
        </w:tc>
        <w:tc>
          <w:tcPr>
            <w:tcW w:w="2268" w:type="dxa"/>
            <w:noWrap/>
            <w:hideMark/>
          </w:tcPr>
          <w:p w14:paraId="17FC930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day residential course on how to recognize and manage idiopathic clubfoot, and practical workshop that involved practicing casting techniques on dummy feet reinforced the theoretical lectures on the Ponseti technique</w:t>
            </w:r>
          </w:p>
        </w:tc>
        <w:tc>
          <w:tcPr>
            <w:tcW w:w="1134" w:type="dxa"/>
            <w:noWrap/>
            <w:hideMark/>
          </w:tcPr>
          <w:p w14:paraId="4FA26A4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One-on-one teaching and supervision offered</w:t>
            </w:r>
          </w:p>
        </w:tc>
        <w:tc>
          <w:tcPr>
            <w:tcW w:w="1134" w:type="dxa"/>
            <w:noWrap/>
            <w:hideMark/>
          </w:tcPr>
          <w:p w14:paraId="24D34E9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597A4D1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3ED716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7257AA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98 of 100 clubfeet in our study were corrected to plantigrade or better by OCOs, 2% were referred for corrective surgery having failed treatment by conservative treatment</w:t>
            </w:r>
          </w:p>
        </w:tc>
      </w:tr>
      <w:tr w:rsidR="00591F5E" w:rsidRPr="00C0069F" w14:paraId="3B564D8E" w14:textId="77777777" w:rsidTr="00E15533">
        <w:trPr>
          <w:trHeight w:val="20"/>
        </w:trPr>
        <w:tc>
          <w:tcPr>
            <w:tcW w:w="567" w:type="dxa"/>
            <w:noWrap/>
            <w:hideMark/>
          </w:tcPr>
          <w:p w14:paraId="3F8B0210" w14:textId="2604E26B"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2In36sc9","properties":{"formattedCitation":"(57)","plainCitation":"(57)","noteIndex":0},"citationItems":[{"id":3817,"uris":["http://zotero.org/users/4975241/items/PQKNAGLM"],"uri":["http://zotero.org/users/4975241/items/PQKNAGLM"],"itemData":{"id":3817,"type":"article-journal","abstract":"There is a shortage of orthopaedic surgeons in Malawi. Orthopaedic clinical officers (OCOs) treat trauma patients and occasionally perform major orthopaedic surgery. No studies have assessed the efficacy and safety of their work. The aim of this study was to evaluate their contribution to major orthopaedic surgery at Zomba Central Hospital. Data about orthopaedic procedures during 2006-2010 were collected from theatre books. We selected major amputations and open reductions and plating for outcome analysis and collected details from files. We compared patients operated by OCOs alone ('OCOs alone' group) and by surgeons or OCOs assisted by surgeons ('Surgeon present' group). OCOs performed 463/1010 major (45.8%) and 1600/1765 minor operations (90.7%) alone. There was no difference in perioperative outcome between both groups. OCOs carry out a large proportion of orthopaedic procedures with good clinical results. Shifting of clinical tasks including major orthopaedic surgery can be safe. Further prospective studies are recommended.","container-title":"Tropical Doctor","DOI":"10.1177/0049475517717178","ISSN":"1758-1133","issue":"4","journalAbbreviation":"Trop Doct","language":"eng","note":"PMID: 28682219","page":"294-299","source":"PubMed","title":"Task-shifting of orthopaedic surgery to non-physician clinicians in Malawi: effective and safe?","title-short":"Task-shifting of orthopaedic surgery to non-physician clinicians in Malawi","volume":"47","author":[{"family":"Wilhelm","given":"Torsten J."},{"family":"Dzimbiri","given":"Kondwani"},{"family":"Sembereka","given":"Victoria"},{"family":"Gumeni","given":"Martin"},{"family":"Bach","given":"Olaf"},{"family":"Mothes","given":"Henning"}],"issued":{"date-parts":[["2017",10]]}}}],"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(57)</w:t>
            </w:r>
            <w:r>
              <w:rPr>
                <w:rFonts w:ascii="Times" w:eastAsia="Times New Roman" w:hAnsi="Times" w:cs="Times New Roman"/>
                <w:color w:val="000000"/>
                <w:sz w:val="16"/>
                <w:szCs w:val="16"/>
              </w:rPr>
              <w:fldChar w:fldCharType="end"/>
            </w:r>
          </w:p>
        </w:tc>
        <w:tc>
          <w:tcPr>
            <w:tcW w:w="709" w:type="dxa"/>
            <w:noWrap/>
            <w:hideMark/>
          </w:tcPr>
          <w:p w14:paraId="52DAF21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3485FA6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12E4150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5307EF6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Central hospital</w:t>
            </w:r>
          </w:p>
        </w:tc>
        <w:tc>
          <w:tcPr>
            <w:tcW w:w="992" w:type="dxa"/>
            <w:noWrap/>
            <w:hideMark/>
          </w:tcPr>
          <w:p w14:paraId="727758C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6795530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66A04A0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outcome of orthopaedic clinical officer vs. surgeon present in major amputations, open reductions and plating</w:t>
            </w:r>
          </w:p>
        </w:tc>
        <w:tc>
          <w:tcPr>
            <w:tcW w:w="988" w:type="dxa"/>
            <w:noWrap/>
            <w:hideMark/>
          </w:tcPr>
          <w:p w14:paraId="2E44D7B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22156EC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2B47076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Other (Surgery)</w:t>
            </w:r>
          </w:p>
        </w:tc>
        <w:tc>
          <w:tcPr>
            <w:tcW w:w="992" w:type="dxa"/>
            <w:noWrap/>
            <w:hideMark/>
          </w:tcPr>
          <w:p w14:paraId="5EF3EF1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F27CB5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Major amputation, open reduction and internal fixation with plates</w:t>
            </w:r>
          </w:p>
        </w:tc>
        <w:tc>
          <w:tcPr>
            <w:tcW w:w="2268" w:type="dxa"/>
            <w:noWrap/>
            <w:hideMark/>
          </w:tcPr>
          <w:p w14:paraId="44B1038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Diploma in clinical orthopaedics including a structured training of 18 months following a minimum of four years working experience as a Medical Assistant</w:t>
            </w:r>
          </w:p>
        </w:tc>
        <w:tc>
          <w:tcPr>
            <w:tcW w:w="1134" w:type="dxa"/>
            <w:noWrap/>
            <w:hideMark/>
          </w:tcPr>
          <w:p w14:paraId="55E2197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Previous working experience under close supervision for years; study compared with supervision and without supervision</w:t>
            </w:r>
          </w:p>
        </w:tc>
        <w:tc>
          <w:tcPr>
            <w:tcW w:w="1134" w:type="dxa"/>
            <w:noWrap/>
            <w:hideMark/>
          </w:tcPr>
          <w:p w14:paraId="5DF854A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AD57E9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B6719F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D5CC74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Peri-operative outcome between CO alone and surgeon present group: death 15.6% vs 12.9%, blood transfusion 32.5% vs. 41.9%, infection 16.9% vs. 19.4%, re-operation 15.6% vs. 19.4%, length of stay 18d vs 20d</w:t>
            </w:r>
          </w:p>
        </w:tc>
      </w:tr>
      <w:tr w:rsidR="00F02432" w:rsidRPr="00C0069F" w14:paraId="004CC3C1" w14:textId="77777777" w:rsidTr="00E15533">
        <w:trPr>
          <w:trHeight w:val="20"/>
        </w:trPr>
        <w:tc>
          <w:tcPr>
            <w:tcW w:w="567" w:type="dxa"/>
            <w:noWrap/>
            <w:hideMark/>
          </w:tcPr>
          <w:p w14:paraId="78EA1B19" w14:textId="2E60DC0A"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FtMZMrJ9","properties":{"formattedCitation":"(58)","plainCitation":"(58)","noteIndex":0},"citationItems":[{"id":3819,"uris":["http://zotero.org/users/4975241/items/7ASNW7C5"],"uri":["http://zotero.org/users/4975241/items/7ASNW7C5"],"itemData":{"id":3819,"type":"article-journal","abstract":"BACKGROUND: In Malawi the orthopaedic clinical officer (OCO) training programme trains non-physician clinicians in musculoskeletal care. We studied the cost-effectiveness of this program.\nMETHODS: Hospital logbooks were reviewed for data pertaining to activity in seven district hospitals over a 6-month period. The total costs were divided by the total effectiveness, calculated as disability adjusted life years (DALYs) averted.\nRESULTS: The total cost-effectiveness of providing orthopaedic care through the OCO training programme was US$92.06 per DALY averted. The mean per hospital was US$138.75 (95% CI: US$69.58-207.91) per DALY averted which is very cost-effective when compared with other health interventions. Of the 837 patients treated 63% were aged &lt;15 years and 36% were in the 'economically active' demographic of ages 15-74 years.\nCONCLUSION: Training of clinical officers in orthopaedic surgery is very cost-effective and allows transfer of skills into rural areas. The demographics suggest that failure to provide such care would have a negative economic impact.","container-title":"Tropical Doctor","DOI":"10.1177/0049475514535575","ISSN":"1758-1133","issue":"3","journalAbbreviation":"Trop Doct","language":"eng","note":"PMID: 24821618","page":"128-134","source":"PubMed","title":"The cost-effectiveness of orthopaedic clinical officers in Malawi","volume":"44","author":[{"family":"Grimes","given":"Caris E."},{"family":"Mkandawire","given":"Nyengo C."},{"family":"Billingsley","given":"Michael L."},{"family":"Ngulube","given":"Christopher"},{"family":"Cobey","given":"James C."}],"issued":{"date-parts":[["2014",7]]}}}],"schema":"https://github.com/citation-style-language/schema/raw/master/csl-citation.json"}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(58)</w:t>
            </w:r>
            <w:r>
              <w:rPr>
                <w:rFonts w:ascii="Times" w:eastAsia="Times New Roman" w:hAnsi="Times" w:cs="Times New Roman"/>
                <w:color w:val="000000"/>
                <w:sz w:val="16"/>
                <w:szCs w:val="16"/>
              </w:rPr>
              <w:fldChar w:fldCharType="end"/>
            </w:r>
          </w:p>
        </w:tc>
        <w:tc>
          <w:tcPr>
            <w:tcW w:w="709" w:type="dxa"/>
            <w:noWrap/>
            <w:hideMark/>
          </w:tcPr>
          <w:p w14:paraId="481E781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53F27E8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18ED996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Cost effectiveness</w:t>
            </w:r>
          </w:p>
        </w:tc>
        <w:tc>
          <w:tcPr>
            <w:tcW w:w="1418" w:type="dxa"/>
            <w:noWrap/>
            <w:hideMark/>
          </w:tcPr>
          <w:p w14:paraId="6E23B8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District hospital</w:t>
            </w:r>
          </w:p>
        </w:tc>
        <w:tc>
          <w:tcPr>
            <w:tcW w:w="992" w:type="dxa"/>
            <w:noWrap/>
            <w:hideMark/>
          </w:tcPr>
          <w:p w14:paraId="6B79224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2124C5A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1ABF52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the cost-effectiveness of orthopaedic clinical officer programme</w:t>
            </w:r>
          </w:p>
        </w:tc>
        <w:tc>
          <w:tcPr>
            <w:tcW w:w="988" w:type="dxa"/>
            <w:noWrap/>
            <w:hideMark/>
          </w:tcPr>
          <w:p w14:paraId="38D20F2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6D9D3AF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43ECEF9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Other (Surgery)</w:t>
            </w:r>
          </w:p>
        </w:tc>
        <w:tc>
          <w:tcPr>
            <w:tcW w:w="992" w:type="dxa"/>
            <w:noWrap/>
            <w:hideMark/>
          </w:tcPr>
          <w:p w14:paraId="73B0AB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BBBD4E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Amputation, fracture, etc.</w:t>
            </w:r>
          </w:p>
        </w:tc>
        <w:tc>
          <w:tcPr>
            <w:tcW w:w="2268" w:type="dxa"/>
            <w:noWrap/>
            <w:hideMark/>
          </w:tcPr>
          <w:p w14:paraId="4FE37E7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65770E7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373D64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DEF7DB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7B5AF5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7015683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Total cost-effectiveness of providing orthopaedic care through the OCO training programme was US$92.06 per DALY averted</w:t>
            </w:r>
          </w:p>
        </w:tc>
      </w:tr>
      <w:tr w:rsidR="00591F5E" w:rsidRPr="00C0069F" w14:paraId="1184CB86" w14:textId="77777777" w:rsidTr="00E15533">
        <w:trPr>
          <w:trHeight w:val="20"/>
        </w:trPr>
        <w:tc>
          <w:tcPr>
            <w:tcW w:w="567" w:type="dxa"/>
            <w:noWrap/>
            <w:hideMark/>
          </w:tcPr>
          <w:p w14:paraId="1BFE83A1" w14:textId="6961FC58" w:rsidR="00F02432" w:rsidRPr="00C0069F" w:rsidRDefault="00B267C5"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sidR="00E15533">
              <w:rPr>
                <w:rFonts w:ascii="Times" w:eastAsia="Times New Roman" w:hAnsi="Times" w:cs="Times New Roman"/>
                <w:color w:val="000000"/>
                <w:sz w:val="16"/>
                <w:szCs w:val="16"/>
              </w:rPr>
              <w:instrText xml:space="preserve"> ADDIN ZOTERO_ITEM CSL_CITATION {"citationID":"FDwPhJGe","properties":{"formattedCitation":"(59)","plainCitation":"(59)","noteIndex":0},"citationItems":[{"id":4126,"uris":["http://zotero.org/users/4975241/items/HDQPM7GX"],"uri":["http://zotero.org/users/4975241/items/HDQPM7GX"],"itemData":{"id":4126,"type":"article-journal","abstract":"Background: During the past decade, emergency medicine (EM) has emerged as a specialty in Colombia with ﬁve residency programs established throughout the country. Similar to global trends, Colombian residency programs and emergency departments have begun to incorporate point-of-care (POC) ultrasound into their clinical practice to varying degrees. Colombian emergency medicine residency leadership has expressed interest in integrating ultrasound education and training into their residency curriculum in the near future. Study Objectives: The objective of this study was to conduct a nationwide survey of EM practitioners associated with Colombian residency programs to understand the current state of POC ultrasound use and both the potential for, and barriers to, its expanded utilization.\nMethods: An ultrasound needs assessment survey tool was distributed to a convenience sample of all available residents and attending faculty associated with all ﬁve EM residency programs in Colombia. Three programs are located in Bogotá and two in Medellin. This survey collected information regarding previous ultrasound experience, current and expected use of various applications, desire for further ultrasound training and perceived barriers to expanding use. In addition, a focus group session was held at all residency programs with 5-10 residents each, in addition to discussions with EM residency and departmental leadership. These sessions were conducted to gather additional qualitative data regarding practice patterns and the current and potential use of ultrasound at each site. IRB exemption was obtained for this research.\nResults: The survey was completed by 80 clinicians, 69 of whom were emergency physicians included in this analysis. Fifty-two percent of the emergency physician cohort had previously used an ultrasound machine. Of these, 58% indicated that they had performed fewer than ten scans. Only six emergency physicians reported performing more than 40 scans. The most common POC ultrasound applications reported were trauma, obstetrics, vascular access and echocardiography. Trauma was indicated as the most important potential application per 87% of emergency physicians surveyed. Only 25% of respondents had received formal ultrasound training, but all indicated a desire to learn more, with 87% percent indicating a high level of interest. Signiﬁcant barriers to ultrasound training included lack of trained faculty teachers (78%), absence of ultrasound machines (57%), and limited time (41%). In focus group discussions, another barrier expressed was institutional opposition from radiologists.\nConclusions: While current use is limited, emergency physicians in Colombia have a strong interest in further incorporation of POC ultrasound into their practice. Current obstacles include lack of a formalized curriculum taught by certiﬁed faculty members, lack of machines and time, and interdepartmental challenges. Further collaboration is underway to assist our Colombian colleagues with training and integration of ultrasound use into their clinical practice.","container-title":"Annals of Emergency Medicine","DOI":"10.1016/j.annemergmed.2013.07.096","ISSN":"01960644","issue":"4","journalAbbreviation":"Annals of Emergency Medicine","language":"en","page":"S99","source":"DOI.org (Crossref)","title":"The Effect of Geography and Demography on Outcomes of Emergency Department Patients in Rural Uganda","volume":"62","author":[{"family":"Tiemeier","given":"K."},{"family":"Bisanzo","given":"M."},{"family":"Dreifuss","given":"B."},{"family":"Ward","given":"K.C."}],"issued":{"date-parts":[["2013",10]]}}}],"schema":"https://github.com/citation-style-language/schema/raw/master/csl-citation.json"} </w:instrText>
            </w:r>
            <w:r>
              <w:rPr>
                <w:rFonts w:ascii="Times" w:eastAsia="Times New Roman" w:hAnsi="Times" w:cs="Times New Roman"/>
                <w:color w:val="000000"/>
                <w:sz w:val="16"/>
                <w:szCs w:val="16"/>
              </w:rPr>
              <w:fldChar w:fldCharType="separate"/>
            </w:r>
            <w:r w:rsidR="00E15533">
              <w:rPr>
                <w:rFonts w:ascii="Times" w:eastAsia="Times New Roman" w:hAnsi="Times" w:cs="Times New Roman"/>
                <w:noProof/>
                <w:color w:val="000000"/>
                <w:sz w:val="16"/>
                <w:szCs w:val="16"/>
              </w:rPr>
              <w:t>(59)</w:t>
            </w:r>
            <w:r>
              <w:rPr>
                <w:rFonts w:ascii="Times" w:eastAsia="Times New Roman" w:hAnsi="Times" w:cs="Times New Roman"/>
                <w:color w:val="000000"/>
                <w:sz w:val="16"/>
                <w:szCs w:val="16"/>
              </w:rPr>
              <w:fldChar w:fldCharType="end"/>
            </w:r>
          </w:p>
        </w:tc>
        <w:tc>
          <w:tcPr>
            <w:tcW w:w="709" w:type="dxa"/>
            <w:noWrap/>
            <w:hideMark/>
          </w:tcPr>
          <w:p w14:paraId="0E0C7A0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0FB22BC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4146EF0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594BAE3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District hospital</w:t>
            </w:r>
          </w:p>
        </w:tc>
        <w:tc>
          <w:tcPr>
            <w:tcW w:w="992" w:type="dxa"/>
            <w:noWrap/>
            <w:hideMark/>
          </w:tcPr>
          <w:p w14:paraId="4766437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39366EB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7842377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Quantify the effect of geography on patient outcomes</w:t>
            </w:r>
          </w:p>
        </w:tc>
        <w:tc>
          <w:tcPr>
            <w:tcW w:w="988" w:type="dxa"/>
            <w:noWrap/>
            <w:hideMark/>
          </w:tcPr>
          <w:p w14:paraId="1F560FD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43AB907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Non-physician clinician</w:t>
            </w:r>
          </w:p>
        </w:tc>
        <w:tc>
          <w:tcPr>
            <w:tcW w:w="1276" w:type="dxa"/>
            <w:noWrap/>
            <w:hideMark/>
          </w:tcPr>
          <w:p w14:paraId="27D0FB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Other (Emergency care)</w:t>
            </w:r>
          </w:p>
        </w:tc>
        <w:tc>
          <w:tcPr>
            <w:tcW w:w="992" w:type="dxa"/>
            <w:noWrap/>
            <w:hideMark/>
          </w:tcPr>
          <w:p w14:paraId="175C468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4A0B583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Emergency medicine</w:t>
            </w:r>
          </w:p>
        </w:tc>
        <w:tc>
          <w:tcPr>
            <w:tcW w:w="2268" w:type="dxa"/>
            <w:noWrap/>
            <w:hideMark/>
          </w:tcPr>
          <w:p w14:paraId="3043999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C67C90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4984B4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018D3AB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2132AD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460680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3EABCDA3" w14:textId="77777777" w:rsidTr="00E15533">
        <w:trPr>
          <w:trHeight w:val="20"/>
        </w:trPr>
        <w:tc>
          <w:tcPr>
            <w:tcW w:w="567" w:type="dxa"/>
            <w:noWrap/>
            <w:hideMark/>
          </w:tcPr>
          <w:p w14:paraId="2E809B2A" w14:textId="65C87F90"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bwb3TPlO","properties":{"formattedCitation":"(60)","plainCitation":"(60)","noteIndex":0},"citationItems":[{"id":3809,"uris":["http://zotero.org/users/4975241/items/3CJEPV6S"],"uri":["http://zotero.org/users/4975241/items/3CJEPV6S"],"itemData":{"id":3809,"type":"article-journal","abstract":"OBJECTIVE: Neonatal male circumcision (NMC) is not routinely practiced in Zambia, but it is a promising long-term HIV prevention strategy. We studied the feasibility and safety of three different NMC methods.\nMETHODS: We enrolled healthy newborns in a controlled trial of the Mogen, Gomco, and Plastibell devices. Doctors, nurses, and clinical officers were trained to perform Mogen, Gomco, and Plastibell techniques. Each provider performed at least 10 circumcisions using each device. Neonates were reviewed at 1 and 6 weeks after circumcision for adverse events.\nRESULTS: Between October 2009 and March 2011, 17 providers (5 physicians, 9 nurse midwives, and 3 clinical officers) without previous NMC experience were trained, and 640 circumcisions were performed. The median infant birth weight was 3.2 kg (interquartile range: 2.9-3.5 kg), and median age at the time of procedure was 11 days (interquartile range: 7-18 days); 149 babies (23.3%) were exposed to HIV. The overall adverse event rate was 4.9% (n = 31/630), and the moderate-severe adverse event rate was 4.1% (n = 26/630). Rates did not significantly differ by method. Most providers (65%) preferred Mogen clamp over Gomco and Plastibell.\nCONCLUSIONS: Doctors, nurses, and clinical officers can be trained to safely provide NMC in a programmatic setting. The 3 studied techniques had comparable safety profiles. Mogen clamp was the preferred device for most providers.","container-title":"Journal of Acquired Immune Deficiency Syndromes (1999)","DOI":"10.1097/QAI.0b013e318275741b","ISSN":"1944-7884","issue":"1","journalAbbreviation":"J Acquir Immune Defic Syndr","language":"eng","note":"PMID: 23075913\nPMCID: PMC4409132","page":"e1-6","source":"PubMed","title":"A controlled trial of three methods for neonatal circumcision in Lusaka, Zambia","volume":"62","author":[{"family":"Bowa","given":"Kasonde"},{"family":"Li","given":"Michelle S."},{"family":"Mugisa","given":"Bridget"},{"family":"Waters","given":"Emily"},{"family":"Linyama","given":"David M."},{"family":"Chi","given":"Benjamin H."},{"family":"Stringer","given":"Jeffrey S. A."},{"family":"Stringer","given":"Elizabeth M."}],"issued":{"date-parts":[["2013",1,1]]}}}],"schema":"https://github.com/citation-style-language/schema/raw/master/csl-citation.json"}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(60)</w:t>
            </w:r>
            <w:r>
              <w:rPr>
                <w:rFonts w:ascii="Times" w:eastAsia="Times New Roman" w:hAnsi="Times" w:cs="Times New Roman"/>
                <w:color w:val="000000"/>
                <w:sz w:val="16"/>
                <w:szCs w:val="16"/>
              </w:rPr>
              <w:fldChar w:fldCharType="end"/>
            </w:r>
          </w:p>
        </w:tc>
        <w:tc>
          <w:tcPr>
            <w:tcW w:w="709" w:type="dxa"/>
            <w:noWrap/>
            <w:hideMark/>
          </w:tcPr>
          <w:p w14:paraId="16CD58A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5ECFA41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Zambia</w:t>
            </w:r>
          </w:p>
        </w:tc>
        <w:tc>
          <w:tcPr>
            <w:tcW w:w="708" w:type="dxa"/>
            <w:noWrap/>
            <w:hideMark/>
          </w:tcPr>
          <w:p w14:paraId="5ED6C5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70645DE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One University Teaching Hospital and two primary health care clinics</w:t>
            </w:r>
          </w:p>
        </w:tc>
        <w:tc>
          <w:tcPr>
            <w:tcW w:w="992" w:type="dxa"/>
            <w:noWrap/>
            <w:hideMark/>
          </w:tcPr>
          <w:p w14:paraId="55723D0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Neonate (aged 0-28d, Gestational age &gt;37w, weight 2500-5000g)</w:t>
            </w:r>
          </w:p>
        </w:tc>
        <w:tc>
          <w:tcPr>
            <w:tcW w:w="992" w:type="dxa"/>
            <w:noWrap/>
            <w:hideMark/>
          </w:tcPr>
          <w:p w14:paraId="1A9D247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198CD60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the neonatal circumcision outcome of three different devices</w:t>
            </w:r>
          </w:p>
        </w:tc>
        <w:tc>
          <w:tcPr>
            <w:tcW w:w="988" w:type="dxa"/>
            <w:noWrap/>
            <w:hideMark/>
          </w:tcPr>
          <w:p w14:paraId="4AFB9A7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162A65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nurse midwife, clinical officer, nurse</w:t>
            </w:r>
          </w:p>
        </w:tc>
        <w:tc>
          <w:tcPr>
            <w:tcW w:w="1276" w:type="dxa"/>
            <w:noWrap/>
            <w:hideMark/>
          </w:tcPr>
          <w:p w14:paraId="30945E4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46F0A6C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1939E40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Neonatal male circumcision</w:t>
            </w:r>
          </w:p>
        </w:tc>
        <w:tc>
          <w:tcPr>
            <w:tcW w:w="2268" w:type="dxa"/>
            <w:noWrap/>
            <w:hideMark/>
          </w:tcPr>
          <w:p w14:paraId="5CEC9C1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Training package consist of didactic lectures, practice on models of neonatal genitalia and clinical practice</w:t>
            </w:r>
          </w:p>
        </w:tc>
        <w:tc>
          <w:tcPr>
            <w:tcW w:w="1134" w:type="dxa"/>
            <w:noWrap/>
            <w:hideMark/>
          </w:tcPr>
          <w:p w14:paraId="7C2CA16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739BD9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5D2B58B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62F859C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Nurses took longer to train than other providers though not statistically significant</w:t>
            </w:r>
          </w:p>
        </w:tc>
        <w:tc>
          <w:tcPr>
            <w:tcW w:w="2449" w:type="dxa"/>
            <w:gridSpan w:val="2"/>
            <w:noWrap/>
            <w:hideMark/>
          </w:tcPr>
          <w:p w14:paraId="6C98D83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Total adverse event rate 4.9% though including performed by physicians</w:t>
            </w:r>
          </w:p>
        </w:tc>
      </w:tr>
      <w:tr w:rsidR="00591F5E" w:rsidRPr="00C0069F" w14:paraId="3C591BD8" w14:textId="77777777" w:rsidTr="00E15533">
        <w:trPr>
          <w:trHeight w:val="20"/>
        </w:trPr>
        <w:tc>
          <w:tcPr>
            <w:tcW w:w="567" w:type="dxa"/>
            <w:noWrap/>
            <w:hideMark/>
          </w:tcPr>
          <w:p w14:paraId="5FFCB244" w14:textId="7247E24B"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lastRenderedPageBreak/>
              <w:fldChar w:fldCharType="begin"/>
            </w:r>
            <w:r>
              <w:rPr>
                <w:rFonts w:ascii="Times" w:eastAsia="Times New Roman" w:hAnsi="Times" w:cs="Times New Roman"/>
                <w:color w:val="000000"/>
                <w:sz w:val="16"/>
                <w:szCs w:val="16"/>
              </w:rPr>
              <w:instrText xml:space="preserve"> ADDIN ZOTERO_ITEM CSL_CITATION {"citationID":"EHk7AzAo","properties":{"formattedCitation":"(61)","plainCitation":"(61)","noteIndex":0},"citationItems":[{"id":3807,"uris":["http://zotero.org/users/4975241/items/49ZQCPJ6"],"uri":["http://zotero.org/users/4975241/items/49ZQCPJ6"],"itemData":{"id":3807,"type":"article-journal","abstract":"OBJECTIVE: To assess acquisition of knowledge and competence in performing Early Infant Male Circumcision (EIMC) by non-physicians trained using a structured curriculum.\nSUBJECTS AND METHODS: Training in provision of EIMC using the Mogen clamp was conducted for 10 Clinical Officers (COs) and 10 Registered Nurse Midwives (RNMWs), in Rakai, Uganda. Healthy infants whose mothers consented to study participation were assigned to the trainees, each of whom performed at least 10 EIMCs. Ongoing assessment and feedback for competency were done, and safety assessed by adverse events.\nRESULTS: Despite similar baseline knowledge, COs acquired more didactic knowledge than RNMWs (P = 0.043). In all, 100 EIMCs were assessed for gain in competency. The greatest improvement in competency was between the first and third procedures, and all trainees achieved 80% competency and retention of skills by the seventh procedure. The median (interquartile range) time to complete a procedure was 14.5 (10-47) min for the COs, and 15 (10-50) min for the RNMWs (P = 0.180). The procedure times declined by 2.2 min for each subsequent EIMC (P = 0.005), and rates of improvement were similar for COs and RNMWs. Adverse events were comparable between providers (3.5%), of which 1% were of moderate severity.\nCONCLUSION: Competence-based training of non-physicians improved knowledge and competency in EIMC performed by COs and RNMWs in Uganda.","container-title":"BJU international","DOI":"10.1111/bju.13685","ISSN":"1464-410X","issue":"4","journalAbbreviation":"BJU Int","language":"eng","note":"PMID: 27753243","page":"631-637","source":"PubMed","title":"Efficacy of knowledge and competence-based training of non-physicians in the provision of early infant male circumcision using the Mogen clamp in Rakai, Uganda","volume":"119","author":[{"family":"Kankaka","given":"Edward Nelson"},{"family":"Kigozi","given":"Godfrey"},{"family":"Kayiwa","given":"Daniel"},{"family":"Kighoma","given":"Nehemiah"},{"family":"Makumbi","given":"Frederick"},{"family":"Murungi","given":"Teddy"},{"family":"Nabukalu","given":"Dorean"},{"family":"Nampijja","given":"Resty"},{"family":"Watya","given":"Stephen"},{"family":"Namuguzi","given":"Daniel"},{"family":"Nalugoda","given":"Fred"},{"family":"Nakigozi","given":"Gertrude"},{"family":"Serwadda","given":"David"},{"family":"Wawer","given":"Maria"},{"family":"Gray","given":"Ronald H."}],"issued":{"date-parts":[["2017",4]]}}}],"schema":"https://github.com/citation-style-language/schema/raw/master/csl-citation.json"}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(61)</w:t>
            </w:r>
            <w:r>
              <w:rPr>
                <w:rFonts w:ascii="Times" w:eastAsia="Times New Roman" w:hAnsi="Times" w:cs="Times New Roman"/>
                <w:color w:val="000000"/>
                <w:sz w:val="16"/>
                <w:szCs w:val="16"/>
              </w:rPr>
              <w:fldChar w:fldCharType="end"/>
            </w:r>
          </w:p>
        </w:tc>
        <w:tc>
          <w:tcPr>
            <w:tcW w:w="709" w:type="dxa"/>
            <w:noWrap/>
            <w:hideMark/>
          </w:tcPr>
          <w:p w14:paraId="7C4FC28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1AE791F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40D846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441AD01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Government health centres</w:t>
            </w:r>
          </w:p>
        </w:tc>
        <w:tc>
          <w:tcPr>
            <w:tcW w:w="992" w:type="dxa"/>
            <w:noWrap/>
            <w:hideMark/>
          </w:tcPr>
          <w:p w14:paraId="53AE5D1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Infant (1-28d)</w:t>
            </w:r>
          </w:p>
        </w:tc>
        <w:tc>
          <w:tcPr>
            <w:tcW w:w="992" w:type="dxa"/>
            <w:noWrap/>
            <w:hideMark/>
          </w:tcPr>
          <w:p w14:paraId="63355D6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114CCE1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knowledge and competence in early infant male circumcision after training</w:t>
            </w:r>
          </w:p>
        </w:tc>
        <w:tc>
          <w:tcPr>
            <w:tcW w:w="988" w:type="dxa"/>
            <w:noWrap/>
            <w:hideMark/>
          </w:tcPr>
          <w:p w14:paraId="4A8A755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CC4343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nurse-midwife</w:t>
            </w:r>
          </w:p>
        </w:tc>
        <w:tc>
          <w:tcPr>
            <w:tcW w:w="1276" w:type="dxa"/>
            <w:noWrap/>
            <w:hideMark/>
          </w:tcPr>
          <w:p w14:paraId="4E130E5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4C1B32C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4A787F3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Early infant male circumcision</w:t>
            </w:r>
          </w:p>
        </w:tc>
        <w:tc>
          <w:tcPr>
            <w:tcW w:w="2268" w:type="dxa"/>
            <w:noWrap/>
            <w:hideMark/>
          </w:tcPr>
          <w:p w14:paraId="0BB6642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5 day didactic training, and hands-on surgical training on 15 cases</w:t>
            </w:r>
          </w:p>
        </w:tc>
        <w:tc>
          <w:tcPr>
            <w:tcW w:w="1134" w:type="dxa"/>
            <w:noWrap/>
            <w:hideMark/>
          </w:tcPr>
          <w:p w14:paraId="6F2C5AC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13A413E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89C965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Both (CO and RNMW)' knowledge score increased. CO's knowledge score higher than RNMW after training (100% vs. 60%)</w:t>
            </w:r>
          </w:p>
        </w:tc>
        <w:tc>
          <w:tcPr>
            <w:tcW w:w="2448" w:type="dxa"/>
            <w:gridSpan w:val="2"/>
            <w:noWrap/>
            <w:hideMark/>
          </w:tcPr>
          <w:p w14:paraId="4A40EA3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Competency score increased for both group though modest.</w:t>
            </w:r>
          </w:p>
        </w:tc>
        <w:tc>
          <w:tcPr>
            <w:tcW w:w="2449" w:type="dxa"/>
            <w:gridSpan w:val="2"/>
            <w:noWrap/>
            <w:hideMark/>
          </w:tcPr>
          <w:p w14:paraId="3765181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Pain score similar in two groups, adverse event rate 3.5%</w:t>
            </w:r>
          </w:p>
        </w:tc>
      </w:tr>
      <w:tr w:rsidR="00F02432" w:rsidRPr="00C0069F" w14:paraId="130856E4" w14:textId="77777777" w:rsidTr="00E15533">
        <w:trPr>
          <w:trHeight w:val="20"/>
        </w:trPr>
        <w:tc>
          <w:tcPr>
            <w:tcW w:w="567" w:type="dxa"/>
            <w:noWrap/>
            <w:hideMark/>
          </w:tcPr>
          <w:p w14:paraId="418DF4E0" w14:textId="5BD09108"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S0E2gPNf","properties":{"formattedCitation":"(62)","plainCitation":"(62)","noteIndex":0},"citationItems":[{"id":4156,"uris":["http://zotero.org/users/4975241/items/LHRI84AU"],"uri":["http://zotero.org/users/4975241/items/LHRI84AU"],"itemData":{"id":4156,"type":"article-journal","abstract":"Background: Male circumcision reduces the risk of heterosexually acquired HIV infection in men by approximately 60%. The Government of Kenya is rolling out voluntary medical male circumcision (VMMC) services, but struggles with health worker shortages, particularly with physician shortages.\nObjective: To evaluate the safety of male circumcision performed by non-physician clinicians in Kenya.\nMethods: Between December 2009 and December 2010, we conducted a prospective study of VMMC procedures performed by 15 nurses and 11 clinical officers, all trained to competence, in 11 public health facilities in Nyanza Province, Kenya. Providers reported surgical complications and adverse events (AEs), based on standardized definitions, immediately after the procedure and at 7 days and 60 days post-circumcision. We also assessed clients’ satisfaction with the circumcision at 60 days.\nResults: We recruited 2,244 men and boys, ages 13–54. The retention rate was high, with 2,192 participants (98%) returning for the 7-day follow-up visit and 1,845 (82%) for the 60-day visit. There was no difference in rates of moderate and severe AEs between participants whose circumcision was performed by a nurse (2.1%) or a clinical officer (1.9%) at 7 days post-circumcision. The most common AE was excess swelling (1.1%). Risk factors associated with an AE at 7 days post-circumcision included being employed and participant age &gt; 18 years. Participants circumcised by a provider with &gt; 6 years of professional experience were less likely to have an AE. Nearly all participants reported being satisfied with their circumcision at the 60-day follow-up visit.\nConclusions: Trained nurses and clinical officers provided safe VMMC in Nyanza Province, Kenya. AE rates in this study were similar to those reported in typical service-delivery settings. These results add to the current body of evidence suggesting that trained non-physicians can provide safe medical male circumcision, thereby facilitating increased availability and access to circumcision services.","container-title":"Global Health: Science and Practice","DOI":"10.9745/GHSP-D-13-00120","ISSN":"2169-575X","issue":"1","journalAbbreviation":"Glob Health Sci Pract","language":"en","page":"93-102","source":"DOI.org (Crossref)","title":"Safety of adult medical male circumcision performed by non-physician clinicians in Kenya: a prospective cohort study","title-short":"Safety of adult medical male circumcision performed by non-physician clinicians in Kenya","volume":"2","author":[{"family":"Frajzyngier","given":"Vera"},{"family":"Odingo","given":"George"},{"family":"Barone","given":"Mark"},{"family":"Perchal","given":"Paul"},{"family":"Pavin","given":"Melinda"}],"issued":{"date-parts":[["2014",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(62)</w:t>
            </w:r>
            <w:r>
              <w:rPr>
                <w:rFonts w:ascii="Times" w:eastAsia="Times New Roman" w:hAnsi="Times" w:cs="Times New Roman"/>
                <w:color w:val="000000"/>
                <w:sz w:val="16"/>
                <w:szCs w:val="16"/>
              </w:rPr>
              <w:fldChar w:fldCharType="end"/>
            </w:r>
          </w:p>
        </w:tc>
        <w:tc>
          <w:tcPr>
            <w:tcW w:w="709" w:type="dxa"/>
            <w:noWrap/>
            <w:hideMark/>
          </w:tcPr>
          <w:p w14:paraId="7DF8132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3104DBC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2271065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650CFA4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Hospital, health centre and dispensary</w:t>
            </w:r>
          </w:p>
        </w:tc>
        <w:tc>
          <w:tcPr>
            <w:tcW w:w="992" w:type="dxa"/>
            <w:noWrap/>
            <w:hideMark/>
          </w:tcPr>
          <w:p w14:paraId="3DEADC0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adolescent</w:t>
            </w:r>
          </w:p>
        </w:tc>
        <w:tc>
          <w:tcPr>
            <w:tcW w:w="992" w:type="dxa"/>
            <w:noWrap/>
            <w:hideMark/>
          </w:tcPr>
          <w:p w14:paraId="7608992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42E8D42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safety of male circumcision performed by non-physician clinician</w:t>
            </w:r>
          </w:p>
        </w:tc>
        <w:tc>
          <w:tcPr>
            <w:tcW w:w="988" w:type="dxa"/>
            <w:noWrap/>
            <w:hideMark/>
          </w:tcPr>
          <w:p w14:paraId="792075D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6D54F15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and nurse</w:t>
            </w:r>
          </w:p>
        </w:tc>
        <w:tc>
          <w:tcPr>
            <w:tcW w:w="1276" w:type="dxa"/>
            <w:noWrap/>
            <w:hideMark/>
          </w:tcPr>
          <w:p w14:paraId="6EBAD6B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10CB208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5BAC18A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Male circumcision</w:t>
            </w:r>
          </w:p>
        </w:tc>
        <w:tc>
          <w:tcPr>
            <w:tcW w:w="2268" w:type="dxa"/>
            <w:noWrap/>
            <w:hideMark/>
          </w:tcPr>
          <w:p w14:paraId="743BE78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Training program on WHO/UNAIDS "Manual for Male Circumcision Under Local Anaesthesia"</w:t>
            </w:r>
          </w:p>
        </w:tc>
        <w:tc>
          <w:tcPr>
            <w:tcW w:w="1134" w:type="dxa"/>
            <w:noWrap/>
            <w:hideMark/>
          </w:tcPr>
          <w:p w14:paraId="392D62A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1D2FA22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476D609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A1EEB8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1F3D704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Adverse event rate (2.1% for nurses and 1.9% for clinical officers) and client satisfaction over 99%</w:t>
            </w:r>
          </w:p>
        </w:tc>
      </w:tr>
      <w:tr w:rsidR="00591F5E" w:rsidRPr="00C0069F" w14:paraId="10486B64" w14:textId="77777777" w:rsidTr="00E15533">
        <w:trPr>
          <w:trHeight w:val="20"/>
        </w:trPr>
        <w:tc>
          <w:tcPr>
            <w:tcW w:w="567" w:type="dxa"/>
            <w:noWrap/>
            <w:hideMark/>
          </w:tcPr>
          <w:p w14:paraId="41FA242C" w14:textId="38310D1D"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aWsBnRCE","properties":{"formattedCitation":"(63)","plainCitation":"(63)","noteIndex":0},"citationItems":[{"id":4155,"uris":["http://zotero.org/users/4975241/items/QYFWUQTK"],"uri":["http://zotero.org/users/4975241/items/QYFWUQTK"],"itemData":{"id":4155,"type":"article-journal","abstract":"Background: Several sub-Saharan African countries plan to scale-up infant male circumcision (IMC) for cost-efficient HIV prevention. Little data exist about the safety of IMC in East and southern Africa. We calculated adverse event (AE) rate and risks for AEs associated with introduction of IMC services at five government health facilities in western Kenya.\nMethods: AE data were analyzed for IMC procedures performed between September, 2009 and November, 2011. Healthy infants aged #2 months and weighing $2.5 kg were eligible for IMC. Following parental consent, trained clinicians provided IMC services free of charge under local anesthesia using the Mogen clamp. Odds ratios and 95% confidence intervals were used to explore AE risk factors. Findings: A total of 1,239 IMC procedures were performed. Median age of infants was 4 days (IQR = 1, 16). The overall AE rate among infants reviewed post-operatively was 2.7% (18/678; 95%CI: 1.4, 3.9). There was one severe AE involving excision of a small piece of the lateral aspect of the glans penis. Other AEs were mild or moderate and were treated conservatively. Babies one month of age or older were more likely to have an AE (OR 3.20; 95%CI: 1.23, 8.36). AE rate did not differ by nurse versus clinical officer or number of previous procedures performed.\nConclusion: IMC services provided in Kenyan Government hospitals in the context of routine IMC programming have AE rates comparable to those in developed countries. The optimal time for IMC is within the first month of life.","container-title":"PLOS ONE","issue":"10","language":"en","page":"5","source":"Zotero","title":"Safety of over Twelve Hundred Infant Male Circumcisions Using the Mogen Clamp in Kenya","volume":"7","author":[{"family":"Young","given":"Marisa R"},{"family":"Bailey","given":"Robert C"},{"family":"Odoyo-June","given":"Elijah"},{"family":"Irwin","given":"Tracy E"},{"family":"Obiero","given":"Walter"},{"family":"Ongong’a","given":"Dedan O"},{"family":"Badia","given":"Jacinta A"},{"family":"Agot","given":"Kawango"},{"family":"Nordstrom","given":"Sherry K"}],"issued":{"date-parts":[["2012"]]}}}],"schema":"https://github.com/citation-style-language/schema/raw/master/csl-citation.json"}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(63)</w:t>
            </w:r>
            <w:r>
              <w:rPr>
                <w:rFonts w:ascii="Times" w:eastAsia="Times New Roman" w:hAnsi="Times" w:cs="Times New Roman"/>
                <w:color w:val="000000"/>
                <w:sz w:val="16"/>
                <w:szCs w:val="16"/>
              </w:rPr>
              <w:fldChar w:fldCharType="end"/>
            </w:r>
          </w:p>
        </w:tc>
        <w:tc>
          <w:tcPr>
            <w:tcW w:w="709" w:type="dxa"/>
            <w:noWrap/>
            <w:hideMark/>
          </w:tcPr>
          <w:p w14:paraId="344A806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2012</w:t>
            </w:r>
          </w:p>
        </w:tc>
        <w:tc>
          <w:tcPr>
            <w:tcW w:w="851" w:type="dxa"/>
            <w:noWrap/>
            <w:hideMark/>
          </w:tcPr>
          <w:p w14:paraId="292DCAA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5CC39E6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57A1221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Government health facilities</w:t>
            </w:r>
          </w:p>
        </w:tc>
        <w:tc>
          <w:tcPr>
            <w:tcW w:w="992" w:type="dxa"/>
            <w:noWrap/>
            <w:hideMark/>
          </w:tcPr>
          <w:p w14:paraId="5BA6E26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Infant &lt; 2m</w:t>
            </w:r>
          </w:p>
        </w:tc>
        <w:tc>
          <w:tcPr>
            <w:tcW w:w="992" w:type="dxa"/>
            <w:noWrap/>
            <w:hideMark/>
          </w:tcPr>
          <w:p w14:paraId="2C47FC1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609E7EB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safety of infant male circumcision</w:t>
            </w:r>
          </w:p>
        </w:tc>
        <w:tc>
          <w:tcPr>
            <w:tcW w:w="988" w:type="dxa"/>
            <w:noWrap/>
            <w:hideMark/>
          </w:tcPr>
          <w:p w14:paraId="3B70A24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6B0D54A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and nurse</w:t>
            </w:r>
          </w:p>
        </w:tc>
        <w:tc>
          <w:tcPr>
            <w:tcW w:w="1276" w:type="dxa"/>
            <w:noWrap/>
            <w:hideMark/>
          </w:tcPr>
          <w:p w14:paraId="7976727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50126F1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6E3C84D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Early infant male circumcision</w:t>
            </w:r>
          </w:p>
        </w:tc>
        <w:tc>
          <w:tcPr>
            <w:tcW w:w="2268" w:type="dxa"/>
            <w:noWrap/>
            <w:hideMark/>
          </w:tcPr>
          <w:p w14:paraId="22C0405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471DBC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F08DFF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7284166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05CAFA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ECAAC8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Adverse event rate (2.7%) and patient satisfaction rate 96%</w:t>
            </w:r>
          </w:p>
        </w:tc>
      </w:tr>
      <w:tr w:rsidR="00F02432" w:rsidRPr="00C0069F" w14:paraId="010465EA" w14:textId="77777777" w:rsidTr="00E15533">
        <w:trPr>
          <w:trHeight w:val="20"/>
        </w:trPr>
        <w:tc>
          <w:tcPr>
            <w:tcW w:w="567" w:type="dxa"/>
            <w:noWrap/>
            <w:hideMark/>
          </w:tcPr>
          <w:p w14:paraId="454C9A58" w14:textId="75F6ADE5"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pOzcaxeZ","properties":{"formattedCitation":"(64)","plainCitation":"(64)","noteIndex":0},"citationItems":[{"id":4294,"uris":["http://zotero.org/users/4975241/items/6YIHJJPP"],"uri":["http://zotero.org/users/4975241/items/6YIHJJPP"],"itemData":{"id":4294,"type":"paper-conference","container-title":"Journal of the International Aids Society","note":"00001","page":"136–137","publisher":"INT AIDS SOCIETY AVENUE DE FRANCE 23, GENEVA, 1202, SWITZERLAND","source":"Google Scholar","title":"Service delivery trends in Kenya's voluntary medical male circumcision scale-up from 2008-2011","volume":"15","author":[{"family":"Mwandi","given":"Z."},{"family":"Ochieng","given":"A."},{"family":"Grund","given":"J."},{"family":"Mwalili","given":"S."},{"family":"Kimanga","given":"D."},{"family":"Otieno","given":"G."},{"family":"Ohaga","given":"S."},{"family":"Oyaro","given":"P."},{"family":"Mwangi","given":"C."},{"family":"Knight","given":"N."}],"issued":{"date-parts":[["2012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(64)</w:t>
            </w:r>
            <w:r>
              <w:rPr>
                <w:rFonts w:ascii="Times" w:eastAsia="Times New Roman" w:hAnsi="Times" w:cs="Times New Roman"/>
                <w:color w:val="000000"/>
                <w:sz w:val="16"/>
                <w:szCs w:val="16"/>
              </w:rPr>
              <w:fldChar w:fldCharType="end"/>
            </w:r>
          </w:p>
        </w:tc>
        <w:tc>
          <w:tcPr>
            <w:tcW w:w="709" w:type="dxa"/>
            <w:noWrap/>
            <w:hideMark/>
          </w:tcPr>
          <w:p w14:paraId="26C9F29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2012</w:t>
            </w:r>
          </w:p>
        </w:tc>
        <w:tc>
          <w:tcPr>
            <w:tcW w:w="851" w:type="dxa"/>
            <w:noWrap/>
            <w:hideMark/>
          </w:tcPr>
          <w:p w14:paraId="2C6C75C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57EF34D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0ECB55B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29A3B14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07D5F22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35B77C7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service trend in voluntary male circumcision</w:t>
            </w:r>
          </w:p>
        </w:tc>
        <w:tc>
          <w:tcPr>
            <w:tcW w:w="988" w:type="dxa"/>
            <w:noWrap/>
            <w:hideMark/>
          </w:tcPr>
          <w:p w14:paraId="5B2EA0D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6DD607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and nurse</w:t>
            </w:r>
          </w:p>
        </w:tc>
        <w:tc>
          <w:tcPr>
            <w:tcW w:w="1276" w:type="dxa"/>
            <w:noWrap/>
            <w:hideMark/>
          </w:tcPr>
          <w:p w14:paraId="15CAF24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25BD4BF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6A18D33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Male circumcision</w:t>
            </w:r>
          </w:p>
        </w:tc>
        <w:tc>
          <w:tcPr>
            <w:tcW w:w="2268" w:type="dxa"/>
            <w:noWrap/>
            <w:hideMark/>
          </w:tcPr>
          <w:p w14:paraId="556CE36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D5D36F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0C11A8C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C856D8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5C6CE1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76DC6B1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Adverse event rate 1.4% for CO and nurse respectively and 0% for MO</w:t>
            </w:r>
          </w:p>
        </w:tc>
      </w:tr>
      <w:tr w:rsidR="00591F5E" w:rsidRPr="00C0069F" w14:paraId="749D0668" w14:textId="77777777" w:rsidTr="00E15533">
        <w:trPr>
          <w:trHeight w:val="20"/>
        </w:trPr>
        <w:tc>
          <w:tcPr>
            <w:tcW w:w="567" w:type="dxa"/>
            <w:noWrap/>
            <w:hideMark/>
          </w:tcPr>
          <w:p w14:paraId="20C66381" w14:textId="0F7FB000"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sIThe1tQ","properties":{"formattedCitation":"(65)","plainCitation":"(65)","noteIndex":0},"citationItems":[{"id":3814,"uris":["http://zotero.org/users/4975241/items/EPUBD42D"],"uri":["http://zotero.org/users/4975241/items/EPUBD42D"],"itemData":{"id":3814,"type":"article-journal","abstract":"INTRODUCTION AND OBJECTIVES:\n      Voluntary medical male circumcision (VMMC) has shown to reduce HIV transmission by\n         60%. The WHO and UNAIDS have recommended that VMMC be made available in 14 sub-Saharan\n         African countries with high HIV prevalence and low male circumcision (MC) rates. Thus,\n         device-assisted MC has been proposed as a method to simplify MC and enable safe task-shifting\n         to non-physician healthcare providers, especially in regions lacking medical resources\n         and trained physicians. The ShangRing (SR) is a WHO-prequalified MC device usable\n         across all ages. The integration of topical anesthesia (TA) with SR MC would further\n         simplify the procedure and broaden its appeal. In this randomized clinical trial (RCT),\n         we compared the safety and efficacy of TA vs. injectable anesthesia (IA) with SR MC.\n      \n      METHODS:\n      344 males aged 10-54 years were enrolled in a two center RCT in Kenya. Participants\n         were randomized in 2 to 1 fashion to TA using 2.5% lidocaine + 2.5% prilocaine cream\n         vs. IA using 1% lidocaine. All participants were circumcised using the no-flip SR\n         technique, which involves the insertion of an inner plastic ring under the foreskin\n         followed by secure clamping of an outer ring to provide hemostatic occlusion. The\n         foreskin distal to the device is then excised. Data on pain scores using the Visual\n         Analogue Pain Scale, rate of adverse events (AEs), operative time, and time to complete\n         wound healing were collected.\n      \n      RESULTS:\n      226 participants were allocated to TA vs. 118 to IA. All (100%) participants were\n         successfully circumcised. 21 of the 226 participants initially assigned to TA required\n         IA due to inadequate application of TA. Mean pain scores during application of anesthesia\n         was significantly lower (0.02 vs. 1.2, p&lt;0.001) with TA. Mean pain scores during MC\n         were similar (0.2 vs. 0.1, p=0.11) for both groups but lower with TA 20 minutes post-operatively\n         (0.3 vs. 1.6, p&lt;0.001). No AEs were encountered. Mean operative time (5.0 vs. 5.1,\n         p=0.61) and rates of complete wound healing on day 42 post-circumcision were similar\n         (86.0% vs. 87.6%, p=0.80) between the two groups (Table 1).\n      \n      CONCLUSIONS:\n      TA was safe and efficacious with SR MC, demonstrating a superior anesthetic effect\n         pre and post-operatively to IA. The use of TA could potentially increase recruitment\n         of patients for MC, which would further the goal of increasing the rate of MC in sub-Saharan\n         Africa.\n      \n      \n         \n            \n               \n                  \n                     \n                        \n                           \n                           \n                        \n                     \n                  \n               \n            \n         \n      \n      \n      Source of Funding:\n      Bill &amp; Melinda Gates Foundation","container-title":"Journal of Urology","DOI":"10.1097/01.JU.0000555257.13144.3e","issue":"Supplement 4","journalAbbreviation":"Journal of Urology","note":"publisher: WoltersKluwer","page":"e152-e153","source":"auajournals.org (Atypon)","title":"Pd08-11 use of topical anesthesia with the shangring male circumcision device: a randomized clinical trial in kenya","title-short":"Pd08-11 use of topical anesthesia with the shangring male circumcision device","volume":"201","author":[{"literal":"Al Hussein Alawamlh* Omar"},{"literal":"Kim Soo Jeong"},{"literal":"Barone Mark"},{"literal":"Awori Quentin"},{"literal":"Oketch Jairus"},{"literal":"Otiende Patrick"},{"literal":"Nyangweso Nixon"},{"literal":"Maina Mary"},{"literal":"Kiswi Nicholas"},{"literal":"Goldstein Marc"},{"literal":"Li Philip S."},{"literal":"Lee Richard K."}],"issued":{"date-parts":[["2019",4,1]]}}}],"schema":"https://github.com/citation-style-language/schema/raw/master/csl-citation.json"}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(65)</w:t>
            </w:r>
            <w:r>
              <w:rPr>
                <w:rFonts w:ascii="Times" w:eastAsia="Times New Roman" w:hAnsi="Times" w:cs="Times New Roman"/>
                <w:color w:val="000000"/>
                <w:sz w:val="16"/>
                <w:szCs w:val="16"/>
              </w:rPr>
              <w:fldChar w:fldCharType="end"/>
            </w:r>
          </w:p>
        </w:tc>
        <w:tc>
          <w:tcPr>
            <w:tcW w:w="709" w:type="dxa"/>
            <w:noWrap/>
            <w:hideMark/>
          </w:tcPr>
          <w:p w14:paraId="75E406C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47E41CF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1538729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RCT</w:t>
            </w:r>
          </w:p>
        </w:tc>
        <w:tc>
          <w:tcPr>
            <w:tcW w:w="1418" w:type="dxa"/>
            <w:noWrap/>
            <w:hideMark/>
          </w:tcPr>
          <w:p w14:paraId="3192026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4972C53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adolescent</w:t>
            </w:r>
          </w:p>
        </w:tc>
        <w:tc>
          <w:tcPr>
            <w:tcW w:w="992" w:type="dxa"/>
            <w:noWrap/>
            <w:hideMark/>
          </w:tcPr>
          <w:p w14:paraId="5304B7B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7709583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safety of MC device vs. topical anaesthesia in male circumcision</w:t>
            </w:r>
          </w:p>
        </w:tc>
        <w:tc>
          <w:tcPr>
            <w:tcW w:w="988" w:type="dxa"/>
            <w:noWrap/>
            <w:hideMark/>
          </w:tcPr>
          <w:p w14:paraId="3C8A740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690F00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Non-physician clinician</w:t>
            </w:r>
          </w:p>
        </w:tc>
        <w:tc>
          <w:tcPr>
            <w:tcW w:w="1276" w:type="dxa"/>
            <w:noWrap/>
            <w:hideMark/>
          </w:tcPr>
          <w:p w14:paraId="21560A9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7CE079C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4AAD837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Male circumcision</w:t>
            </w:r>
          </w:p>
        </w:tc>
        <w:tc>
          <w:tcPr>
            <w:tcW w:w="2268" w:type="dxa"/>
            <w:noWrap/>
            <w:hideMark/>
          </w:tcPr>
          <w:p w14:paraId="7D9A405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1A2C24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7C0365F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96BCEE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7EE79C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2C2575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Mean pain score similar in two treatment groups, no adverse event, mean operate time and rate of complete wound healing similar across two groups</w:t>
            </w:r>
          </w:p>
        </w:tc>
      </w:tr>
      <w:tr w:rsidR="00F02432" w:rsidRPr="00C0069F" w14:paraId="61F7A2C0" w14:textId="77777777" w:rsidTr="00E15533">
        <w:trPr>
          <w:trHeight w:val="20"/>
        </w:trPr>
        <w:tc>
          <w:tcPr>
            <w:tcW w:w="567" w:type="dxa"/>
            <w:noWrap/>
            <w:hideMark/>
          </w:tcPr>
          <w:p w14:paraId="470BBC45" w14:textId="170623AB"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NrLh3Drq","properties":{"formattedCitation":"(66)","plainCitation":"(66)","noteIndex":0},"citationItems":[{"id":4164,"uris":["http://zotero.org/users/4975241/items/26YPEPBY"],"uri":["http://zotero.org/users/4975241/items/26YPEPBY"],"itemData":{"id":4164,"type":"article-journal","container-title":"BJU International","DOI":"10.1111/bju.13589","ISSN":"14644096","issue":"1","journalAbbreviation":"BJU Int","language":"en","page":"164-170","source":"DOI.org (Crossref)","title":"Randomised trial of early infant circumcision performed by clinical officers and registered nurse midwives using the Mogen clamp in Rakai, Uganda","volume":"119","author":[{"family":"Kankaka","given":"Edward N."},{"family":"Murungi","given":"Teddy"},{"family":"Kigozi","given":"Godfrey"},{"family":"Makumbi","given":"Frederick"},{"family":"Nabukalu","given":"Dorean"},{"family":"Watya","given":"Stephen"},{"family":"Kighoma","given":"Nehemiah"},{"family":"Nampijja","given":"Resty"},{"family":"Kayiwa","given":"Daniel"},{"family":"Nalugoda","given":"Fred"},{"family":"Serwadda","given":"David"},{"family":"Wawer","given":"Maria"},{"family":"Gray","given":"Ronald H."}],"issued":{"date-parts":[["2017",1]]}}}],"schema":"https://github.com/citation-style-language/schema/raw/master/csl-citation.json"}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(66)</w:t>
            </w:r>
            <w:r>
              <w:rPr>
                <w:rFonts w:ascii="Times" w:eastAsia="Times New Roman" w:hAnsi="Times" w:cs="Times New Roman"/>
                <w:color w:val="000000"/>
                <w:sz w:val="16"/>
                <w:szCs w:val="16"/>
              </w:rPr>
              <w:fldChar w:fldCharType="end"/>
            </w:r>
          </w:p>
        </w:tc>
        <w:tc>
          <w:tcPr>
            <w:tcW w:w="709" w:type="dxa"/>
            <w:noWrap/>
            <w:hideMark/>
          </w:tcPr>
          <w:p w14:paraId="2842709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2016</w:t>
            </w:r>
          </w:p>
        </w:tc>
        <w:tc>
          <w:tcPr>
            <w:tcW w:w="851" w:type="dxa"/>
            <w:noWrap/>
            <w:hideMark/>
          </w:tcPr>
          <w:p w14:paraId="17E7372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1C3C10F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RCT</w:t>
            </w:r>
          </w:p>
        </w:tc>
        <w:tc>
          <w:tcPr>
            <w:tcW w:w="1418" w:type="dxa"/>
            <w:noWrap/>
            <w:hideMark/>
          </w:tcPr>
          <w:p w14:paraId="47638AE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Health centre</w:t>
            </w:r>
          </w:p>
        </w:tc>
        <w:tc>
          <w:tcPr>
            <w:tcW w:w="992" w:type="dxa"/>
            <w:noWrap/>
            <w:hideMark/>
          </w:tcPr>
          <w:p w14:paraId="50D3A79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Infant (1-28d)</w:t>
            </w:r>
          </w:p>
        </w:tc>
        <w:tc>
          <w:tcPr>
            <w:tcW w:w="992" w:type="dxa"/>
            <w:noWrap/>
            <w:hideMark/>
          </w:tcPr>
          <w:p w14:paraId="62D11B2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0B0AA19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safety and acceptability of early infant circumcision by CO and nurse midwives</w:t>
            </w:r>
          </w:p>
        </w:tc>
        <w:tc>
          <w:tcPr>
            <w:tcW w:w="988" w:type="dxa"/>
            <w:noWrap/>
            <w:hideMark/>
          </w:tcPr>
          <w:p w14:paraId="31E53D0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4263DB7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nurse-midwife</w:t>
            </w:r>
          </w:p>
        </w:tc>
        <w:tc>
          <w:tcPr>
            <w:tcW w:w="1276" w:type="dxa"/>
            <w:noWrap/>
            <w:hideMark/>
          </w:tcPr>
          <w:p w14:paraId="0BE813F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HIV/AIDS</w:t>
            </w:r>
          </w:p>
        </w:tc>
        <w:tc>
          <w:tcPr>
            <w:tcW w:w="992" w:type="dxa"/>
            <w:noWrap/>
            <w:hideMark/>
          </w:tcPr>
          <w:p w14:paraId="6153B8F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63EC80D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Early infant male circumcision</w:t>
            </w:r>
          </w:p>
        </w:tc>
        <w:tc>
          <w:tcPr>
            <w:tcW w:w="2268" w:type="dxa"/>
            <w:noWrap/>
            <w:hideMark/>
          </w:tcPr>
          <w:p w14:paraId="0317F4D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Trained though no detail of training</w:t>
            </w:r>
          </w:p>
        </w:tc>
        <w:tc>
          <w:tcPr>
            <w:tcW w:w="1134" w:type="dxa"/>
            <w:noWrap/>
            <w:hideMark/>
          </w:tcPr>
          <w:p w14:paraId="491917E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62B5CD8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739BC7F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3A53CAA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3B91C32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Adverse event rate low (2.4% and 1.6% for CO and NW) and maternal satisfaction high (99.6% and 100% respectively)</w:t>
            </w:r>
          </w:p>
        </w:tc>
      </w:tr>
      <w:tr w:rsidR="00F02432" w:rsidRPr="00C0069F" w14:paraId="465F7F70" w14:textId="77777777" w:rsidTr="006F65E4">
        <w:trPr>
          <w:trHeight w:val="20"/>
        </w:trPr>
        <w:tc>
          <w:tcPr>
            <w:tcW w:w="25910" w:type="dxa"/>
            <w:gridSpan w:val="21"/>
            <w:noWrap/>
          </w:tcPr>
          <w:p w14:paraId="742B90D0" w14:textId="344442D9" w:rsidR="00F02432" w:rsidRPr="00C0069F" w:rsidRDefault="00F02432"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t>Chronic conditions</w:t>
            </w:r>
          </w:p>
        </w:tc>
      </w:tr>
      <w:tr w:rsidR="00F02432" w:rsidRPr="00C0069F" w14:paraId="254684BC" w14:textId="77777777" w:rsidTr="00E15533">
        <w:trPr>
          <w:trHeight w:val="20"/>
        </w:trPr>
        <w:tc>
          <w:tcPr>
            <w:tcW w:w="567" w:type="dxa"/>
            <w:noWrap/>
            <w:hideMark/>
          </w:tcPr>
          <w:p w14:paraId="1D81DFE5" w14:textId="04221602" w:rsidR="00E15533" w:rsidRDefault="00E15533" w:rsidP="00E15533">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oNm1Y0ux","properties":{"formattedCitation":"(67)","plainCitation":"(67)","noteIndex":0},"citationItems":[{"id":3826,"uris":["http://zotero.org/users/4975241/items/25FSUV6F"],"uri":["http://zotero.org/users/4975241/items/25FSUV6F"],"itemData":{"id":3826,"type":"article-journal","container-title":"Global Heart","issue":"4","note":"publisher: Elsevier","page":"495","source":"Google Scholar","title":"PO552 Assessment of the Impact of a Training Program on Knowledge and Clinical Practices of Health Workers Regarding Rheumatic Heart Disease Prevention In Lower Level Health Centers In Gulu Municipality, Uganda","volume":"13","author":[{"family":"Aliku","given":"T. O."},{"family":"Adong","given":"C."},{"family":"Kamarembo","given":"J."},{"family":"Akech","given":"R."},{"family":"Odong","given":"F."},{"family":"Apiyo","given":"P."}],"issued":{"date-parts":[["2018"]]}}}],"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(67)</w:t>
            </w:r>
            <w:r>
              <w:rPr>
                <w:rFonts w:ascii="Times" w:eastAsia="Times New Roman" w:hAnsi="Times" w:cs="Times New Roman"/>
                <w:color w:val="000000"/>
                <w:sz w:val="16"/>
                <w:szCs w:val="16"/>
              </w:rPr>
              <w:fldChar w:fldCharType="end"/>
            </w:r>
          </w:p>
          <w:p w14:paraId="58A8B989" w14:textId="51F42024" w:rsidR="00E15533" w:rsidRPr="00E15533" w:rsidRDefault="00E15533" w:rsidP="00E15533">
            <w:pPr>
              <w:rPr>
                <w:rFonts w:ascii="Times" w:eastAsia="Times New Roman" w:hAnsi="Times" w:cs="Times New Roman"/>
                <w:sz w:val="16"/>
                <w:szCs w:val="16"/>
              </w:rPr>
            </w:pPr>
          </w:p>
        </w:tc>
        <w:tc>
          <w:tcPr>
            <w:tcW w:w="709" w:type="dxa"/>
            <w:noWrap/>
            <w:hideMark/>
          </w:tcPr>
          <w:p w14:paraId="5BE2B26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2018</w:t>
            </w:r>
          </w:p>
        </w:tc>
        <w:tc>
          <w:tcPr>
            <w:tcW w:w="851" w:type="dxa"/>
            <w:noWrap/>
            <w:hideMark/>
          </w:tcPr>
          <w:p w14:paraId="22E3205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7E5D6EC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617047D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Lower level health centres</w:t>
            </w:r>
          </w:p>
        </w:tc>
        <w:tc>
          <w:tcPr>
            <w:tcW w:w="992" w:type="dxa"/>
            <w:noWrap/>
            <w:hideMark/>
          </w:tcPr>
          <w:p w14:paraId="2B82260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3AF9C99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1BB760A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impact of training program on knowledge and practice for RHD prevention</w:t>
            </w:r>
          </w:p>
        </w:tc>
        <w:tc>
          <w:tcPr>
            <w:tcW w:w="988" w:type="dxa"/>
            <w:noWrap/>
            <w:hideMark/>
          </w:tcPr>
          <w:p w14:paraId="650496E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7C1CFA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nurse, nurse assistant, midwife</w:t>
            </w:r>
          </w:p>
        </w:tc>
        <w:tc>
          <w:tcPr>
            <w:tcW w:w="1276" w:type="dxa"/>
            <w:noWrap/>
            <w:hideMark/>
          </w:tcPr>
          <w:p w14:paraId="7ED2162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5CA7E26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2FA5715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RHD prevention and monthly benzathine penicillin G administration</w:t>
            </w:r>
          </w:p>
        </w:tc>
        <w:tc>
          <w:tcPr>
            <w:tcW w:w="2268" w:type="dxa"/>
            <w:noWrap/>
            <w:hideMark/>
          </w:tcPr>
          <w:p w14:paraId="78FA145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month RHD education training program</w:t>
            </w:r>
          </w:p>
        </w:tc>
        <w:tc>
          <w:tcPr>
            <w:tcW w:w="1134" w:type="dxa"/>
            <w:noWrap/>
            <w:hideMark/>
          </w:tcPr>
          <w:p w14:paraId="2CEAF92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D64A21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8AAEED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Knowledge score regarding recognition and prevention of acute rheumatic fever improved (from 10% and 7.5% for recognition and prevention of ARF to 72.5% and 50%)</w:t>
            </w:r>
          </w:p>
        </w:tc>
        <w:tc>
          <w:tcPr>
            <w:tcW w:w="2448" w:type="dxa"/>
            <w:gridSpan w:val="2"/>
            <w:noWrap/>
            <w:hideMark/>
          </w:tcPr>
          <w:p w14:paraId="4098DD6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4372C6E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BPG adherence level remained similar and without any adverse event following BPG </w:t>
            </w:r>
            <w:r>
              <w:rPr>
                <w:rFonts w:ascii="Times" w:eastAsia="Times New Roman" w:hAnsi="Times" w:cs="Times New Roman"/>
                <w:color w:val="000000"/>
                <w:sz w:val="16"/>
                <w:szCs w:val="16"/>
              </w:rPr>
              <w:t>decentralization</w:t>
            </w:r>
            <w:r w:rsidRPr="00C0069F">
              <w:rPr>
                <w:rFonts w:ascii="Times" w:eastAsia="Times New Roman" w:hAnsi="Times" w:cs="Times New Roman"/>
                <w:color w:val="000000"/>
                <w:sz w:val="16"/>
                <w:szCs w:val="16"/>
              </w:rPr>
              <w:t xml:space="preserve"> (95.8% vs 94.5)</w:t>
            </w:r>
          </w:p>
        </w:tc>
      </w:tr>
      <w:tr w:rsidR="00591F5E" w:rsidRPr="00C0069F" w14:paraId="7EB1A9AA" w14:textId="77777777" w:rsidTr="00E15533">
        <w:trPr>
          <w:trHeight w:val="20"/>
        </w:trPr>
        <w:tc>
          <w:tcPr>
            <w:tcW w:w="567" w:type="dxa"/>
            <w:noWrap/>
            <w:hideMark/>
          </w:tcPr>
          <w:p w14:paraId="1D5EE5D5" w14:textId="796C588B"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XANcUziJ","properties":{"formattedCitation":"(68)","plainCitation":"(68)","noteIndex":0},"citationItems":[{"id":4297,"uris":["http://zotero.org/users/4975241/items/36UJ74AN"],"uri":["http://zotero.org/users/4975241/items/36UJ74AN"],"itemData":{"id":4297,"type":"article-journal","container-title":"Circulation","issue":"suppl_3","note":"00000 \npublisher: Am Heart Assoc","page":"A18009–A18009","source":"Google Scholar","title":"Clinical-officer Led Echocardiographic Screening is Sensitive for Diagnosing Rheumatic Heart Disease in Malawi, Africa","volume":"132","author":[{"family":"Sims","given":"Amy E."},{"family":"Sable","given":"Craig A."},{"family":"Hosseinipour","given":"Mina"},{"family":"Karlsten","given":"Melissa"},{"family":"Kazembe","given":"Peter N."},{"family":"Minard","given":"Charles G."},{"family":"Penny","given":"Daniel J."}],"issued":{"date-parts":[["2015"]]}}}],"schema":"https://github.com/citation-style-language/schema/raw/master/csl-citation.json"}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(68)</w:t>
            </w:r>
            <w:r>
              <w:rPr>
                <w:rFonts w:ascii="Times" w:eastAsia="Times New Roman" w:hAnsi="Times" w:cs="Times New Roman"/>
                <w:color w:val="000000"/>
                <w:sz w:val="16"/>
                <w:szCs w:val="16"/>
              </w:rPr>
              <w:fldChar w:fldCharType="end"/>
            </w:r>
          </w:p>
        </w:tc>
        <w:tc>
          <w:tcPr>
            <w:tcW w:w="709" w:type="dxa"/>
            <w:noWrap/>
            <w:hideMark/>
          </w:tcPr>
          <w:p w14:paraId="5CA3E56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2015</w:t>
            </w:r>
          </w:p>
        </w:tc>
        <w:tc>
          <w:tcPr>
            <w:tcW w:w="851" w:type="dxa"/>
            <w:noWrap/>
            <w:hideMark/>
          </w:tcPr>
          <w:p w14:paraId="16A5B0F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6D838F5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6B1E9D4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108467C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428D7BE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48D650F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agreement rate between paediatric cardiologist and clinical officer for RHD screening</w:t>
            </w:r>
          </w:p>
        </w:tc>
        <w:tc>
          <w:tcPr>
            <w:tcW w:w="988" w:type="dxa"/>
            <w:noWrap/>
            <w:hideMark/>
          </w:tcPr>
          <w:p w14:paraId="60EDC31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1C631B2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2114BA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3352D15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0B35AA8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RHD screening using ECG</w:t>
            </w:r>
          </w:p>
        </w:tc>
        <w:tc>
          <w:tcPr>
            <w:tcW w:w="2268" w:type="dxa"/>
            <w:noWrap/>
            <w:hideMark/>
          </w:tcPr>
          <w:p w14:paraId="24DBF88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half day didactic and computer module based training and 2 days clinical attachment</w:t>
            </w:r>
          </w:p>
        </w:tc>
        <w:tc>
          <w:tcPr>
            <w:tcW w:w="1134" w:type="dxa"/>
            <w:noWrap/>
            <w:hideMark/>
          </w:tcPr>
          <w:p w14:paraId="25DA13B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A32D73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4B77A90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89D67E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Kappa between specialist and CO was 0.72; overall sensitivity 0.92, specificity 0.80</w:t>
            </w:r>
          </w:p>
        </w:tc>
        <w:tc>
          <w:tcPr>
            <w:tcW w:w="2449" w:type="dxa"/>
            <w:gridSpan w:val="2"/>
            <w:noWrap/>
            <w:hideMark/>
          </w:tcPr>
          <w:p w14:paraId="59A7353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2DB7D0BC" w14:textId="77777777" w:rsidTr="00E15533">
        <w:trPr>
          <w:trHeight w:val="20"/>
        </w:trPr>
        <w:tc>
          <w:tcPr>
            <w:tcW w:w="567" w:type="dxa"/>
            <w:noWrap/>
            <w:hideMark/>
          </w:tcPr>
          <w:p w14:paraId="00C6D66C" w14:textId="26606778"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kVIAqL8z","properties":{"formattedCitation":"(69)","plainCitation":"(69)","noteIndex":0},"citationItems":[{"id":4299,"uris":["http://zotero.org/users/4975241/items/UC86QURZ"],"uri":["http://zotero.org/users/4975241/items/UC86QURZ"],"itemData":{"id":4299,"type":"article-journal","container-title":"Malawi Medical Journal","issue":"3","note":"00000","page":"221–222","source":"Google Scholar","title":"Education: The prevention of acute rheumatic fever and rheumatic heart disease in Malawi","title-short":"Education","volume":"31","author":[{"family":"Sanyahumbi","given":"Amy"}],"issued":{"date-parts":[["2019"]]}}}],"schema":"https://github.com/citation-style-language/schema/raw/master/csl-citation.json"}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(69)</w:t>
            </w:r>
            <w:r>
              <w:rPr>
                <w:rFonts w:ascii="Times" w:eastAsia="Times New Roman" w:hAnsi="Times" w:cs="Times New Roman"/>
                <w:color w:val="000000"/>
                <w:sz w:val="16"/>
                <w:szCs w:val="16"/>
              </w:rPr>
              <w:fldChar w:fldCharType="end"/>
            </w:r>
          </w:p>
        </w:tc>
        <w:tc>
          <w:tcPr>
            <w:tcW w:w="709" w:type="dxa"/>
            <w:noWrap/>
            <w:hideMark/>
          </w:tcPr>
          <w:p w14:paraId="671CA3D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50C6F25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7B4C84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418983E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Central hospital</w:t>
            </w:r>
          </w:p>
        </w:tc>
        <w:tc>
          <w:tcPr>
            <w:tcW w:w="992" w:type="dxa"/>
            <w:noWrap/>
            <w:hideMark/>
          </w:tcPr>
          <w:p w14:paraId="53955C2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23FC2E7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1C8F41D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the outcome of an education program on RHD</w:t>
            </w:r>
          </w:p>
        </w:tc>
        <w:tc>
          <w:tcPr>
            <w:tcW w:w="988" w:type="dxa"/>
            <w:noWrap/>
            <w:hideMark/>
          </w:tcPr>
          <w:p w14:paraId="3EDE31F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6D30C96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nurses, clinical officer</w:t>
            </w:r>
          </w:p>
        </w:tc>
        <w:tc>
          <w:tcPr>
            <w:tcW w:w="1276" w:type="dxa"/>
            <w:noWrap/>
            <w:hideMark/>
          </w:tcPr>
          <w:p w14:paraId="03AB05A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5304A91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74D8A86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RHD treatment</w:t>
            </w:r>
          </w:p>
        </w:tc>
        <w:tc>
          <w:tcPr>
            <w:tcW w:w="2268" w:type="dxa"/>
            <w:noWrap/>
            <w:hideMark/>
          </w:tcPr>
          <w:p w14:paraId="36C0923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 half-day workshop</w:t>
            </w:r>
          </w:p>
        </w:tc>
        <w:tc>
          <w:tcPr>
            <w:tcW w:w="1134" w:type="dxa"/>
            <w:noWrap/>
            <w:hideMark/>
          </w:tcPr>
          <w:p w14:paraId="14B52C8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05792E6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4F4E6B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Improvement in knowledge score from 43.8% to 78.5% and more comfortable prescribing or injecting benzathine penicillin</w:t>
            </w:r>
          </w:p>
        </w:tc>
        <w:tc>
          <w:tcPr>
            <w:tcW w:w="2448" w:type="dxa"/>
            <w:gridSpan w:val="2"/>
            <w:noWrap/>
            <w:hideMark/>
          </w:tcPr>
          <w:p w14:paraId="12443CD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EDF0B0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030D27F5" w14:textId="77777777" w:rsidTr="00E15533">
        <w:trPr>
          <w:trHeight w:val="20"/>
        </w:trPr>
        <w:tc>
          <w:tcPr>
            <w:tcW w:w="567" w:type="dxa"/>
            <w:noWrap/>
            <w:hideMark/>
          </w:tcPr>
          <w:p w14:paraId="7FCF7C0F" w14:textId="2B0DFC74"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whcx2iw9","properties":{"formattedCitation":"(70)","plainCitation":"(70)","noteIndex":0},"citationItems":[{"id":4302,"uris":["http://zotero.org/users/4975241/items/TE8R2WDQ"],"uri":["http://zotero.org/users/4975241/items/TE8R2WDQ"],"itemData":{"id":4302,"type":"article-journal","container-title":"Journal of the American College of Cardiology","issue":"11S","note":"00001 \npublisher: American College of Cardiology Foundation Washington, DC","page":"A656–A656","source":"Google Scholar","title":"Heart failure as an entry point for severe cardiovascular disease in sub-saharan Africa: 10-year experience with nurse-led diagnosis and treatment at district hospitals in rural Rwanda","title-short":"Heart failure as an entry point for severe cardiovascular disease in sub-saharan Africa","volume":"71","author":[{"family":"Eberly","given":"Lauren"},{"family":"Rusingiza","given":"Emmanuel"},{"family":"Park","given":"Paul"},{"family":"Ngoga","given":"Gedeon"},{"family":"Dusabeyezu","given":"Symaque"},{"family":"Mutabazi","given":"Francis"},{"family":"Harerimana","given":"Emmanuel"},{"family":"Mucumbitsi","given":"Joseph"},{"family":"Nyembo","given":"Philippe F."},{"family":"Borg","given":"Ryan"}],"issued":{"date-parts":[["2018"]]}}}],"schema":"https://github.com/citation-style-language/schema/raw/master/csl-citation.json"}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(70)</w:t>
            </w:r>
            <w:r>
              <w:rPr>
                <w:rFonts w:ascii="Times" w:eastAsia="Times New Roman" w:hAnsi="Times" w:cs="Times New Roman"/>
                <w:color w:val="000000"/>
                <w:sz w:val="16"/>
                <w:szCs w:val="16"/>
              </w:rPr>
              <w:fldChar w:fldCharType="end"/>
            </w:r>
          </w:p>
        </w:tc>
        <w:tc>
          <w:tcPr>
            <w:tcW w:w="709" w:type="dxa"/>
            <w:noWrap/>
            <w:hideMark/>
          </w:tcPr>
          <w:p w14:paraId="55D73B6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2018</w:t>
            </w:r>
          </w:p>
        </w:tc>
        <w:tc>
          <w:tcPr>
            <w:tcW w:w="851" w:type="dxa"/>
            <w:noWrap/>
            <w:hideMark/>
          </w:tcPr>
          <w:p w14:paraId="3D0E538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Rwanda</w:t>
            </w:r>
          </w:p>
        </w:tc>
        <w:tc>
          <w:tcPr>
            <w:tcW w:w="708" w:type="dxa"/>
            <w:noWrap/>
            <w:hideMark/>
          </w:tcPr>
          <w:p w14:paraId="69A83B7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75FE05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District clinic</w:t>
            </w:r>
          </w:p>
        </w:tc>
        <w:tc>
          <w:tcPr>
            <w:tcW w:w="992" w:type="dxa"/>
            <w:noWrap/>
            <w:hideMark/>
          </w:tcPr>
          <w:p w14:paraId="2D2B545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72509AA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1949BFD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Describe validity (diagnosis accuracy) of nurse-diagnosis of heart failure and patient outcomes </w:t>
            </w:r>
          </w:p>
        </w:tc>
        <w:tc>
          <w:tcPr>
            <w:tcW w:w="988" w:type="dxa"/>
            <w:noWrap/>
            <w:hideMark/>
          </w:tcPr>
          <w:p w14:paraId="3D51D74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07BB8FE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418CB96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4EB29E5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571EA6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Echocardiography diagnosis and heart failure treatment based on algorithms</w:t>
            </w:r>
          </w:p>
        </w:tc>
        <w:tc>
          <w:tcPr>
            <w:tcW w:w="2268" w:type="dxa"/>
            <w:noWrap/>
            <w:hideMark/>
          </w:tcPr>
          <w:p w14:paraId="6E39D64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BDEDE8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700BAE7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0B30173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EF8787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Nurse-performed echocardiography had sensitivity and specificity of 81% and 91% for other RHD;  </w:t>
            </w:r>
          </w:p>
        </w:tc>
        <w:tc>
          <w:tcPr>
            <w:tcW w:w="2449" w:type="dxa"/>
            <w:gridSpan w:val="2"/>
            <w:noWrap/>
            <w:hideMark/>
          </w:tcPr>
          <w:p w14:paraId="2D32705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0B61922C" w14:textId="77777777" w:rsidTr="00E15533">
        <w:trPr>
          <w:trHeight w:val="20"/>
        </w:trPr>
        <w:tc>
          <w:tcPr>
            <w:tcW w:w="567" w:type="dxa"/>
            <w:noWrap/>
            <w:hideMark/>
          </w:tcPr>
          <w:p w14:paraId="2AC28DC3" w14:textId="01179BB3"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x5HIgKzd","properties":{"formattedCitation":"(71)","plainCitation":"(71)","noteIndex":0},"citationItems":[{"id":4309,"uris":["http://zotero.org/users/4975241/items/CEGN5MEP"],"uri":["http://zotero.org/users/4975241/items/CEGN5MEP"],"itemData":{"id":4309,"type":"article-journal","container-title":"Neuro-Oncology","ISSN":"1522-8517","language":"English","note":"00000 \npublisher: OXFORD UNIV PRESS INC","page":"123–123","source":"solo.bodleian.ox.ac.uk","title":"Project clinical nurse specialist in neuro-oncology: Experience report","title-short":"PROJECT CLINICAL NURSE SPECIALIST IN NEURO-ONCOLOGY","volume":"14","author":[{"family":"Paiva","given":"P."},{"family":"Cappellano","given":"A."},{"family":"Dias","given":"C."},{"family":"Silva","given":"N."}],"issued":{"date-parts":[["2012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(71)</w:t>
            </w:r>
            <w:r>
              <w:rPr>
                <w:rFonts w:ascii="Times" w:eastAsia="Times New Roman" w:hAnsi="Times" w:cs="Times New Roman"/>
                <w:color w:val="000000"/>
                <w:sz w:val="16"/>
                <w:szCs w:val="16"/>
              </w:rPr>
              <w:fldChar w:fldCharType="end"/>
            </w:r>
          </w:p>
        </w:tc>
        <w:tc>
          <w:tcPr>
            <w:tcW w:w="709" w:type="dxa"/>
            <w:noWrap/>
            <w:hideMark/>
          </w:tcPr>
          <w:p w14:paraId="04C54EA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2012</w:t>
            </w:r>
          </w:p>
        </w:tc>
        <w:tc>
          <w:tcPr>
            <w:tcW w:w="851" w:type="dxa"/>
            <w:noWrap/>
            <w:hideMark/>
          </w:tcPr>
          <w:p w14:paraId="206835B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Brazil</w:t>
            </w:r>
          </w:p>
        </w:tc>
        <w:tc>
          <w:tcPr>
            <w:tcW w:w="708" w:type="dxa"/>
            <w:noWrap/>
            <w:hideMark/>
          </w:tcPr>
          <w:p w14:paraId="58E1726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5BEF2A8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Referral hospital</w:t>
            </w:r>
          </w:p>
        </w:tc>
        <w:tc>
          <w:tcPr>
            <w:tcW w:w="992" w:type="dxa"/>
            <w:noWrap/>
            <w:hideMark/>
          </w:tcPr>
          <w:p w14:paraId="013FEEC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and adolescent</w:t>
            </w:r>
          </w:p>
        </w:tc>
        <w:tc>
          <w:tcPr>
            <w:tcW w:w="992" w:type="dxa"/>
            <w:noWrap/>
            <w:hideMark/>
          </w:tcPr>
          <w:p w14:paraId="0CB787A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77DB0EB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Brazil experience of clinical nurse specialist</w:t>
            </w:r>
          </w:p>
        </w:tc>
        <w:tc>
          <w:tcPr>
            <w:tcW w:w="988" w:type="dxa"/>
            <w:noWrap/>
            <w:hideMark/>
          </w:tcPr>
          <w:p w14:paraId="29CF948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1B81B06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specialist</w:t>
            </w:r>
          </w:p>
        </w:tc>
        <w:tc>
          <w:tcPr>
            <w:tcW w:w="1276" w:type="dxa"/>
            <w:noWrap/>
            <w:hideMark/>
          </w:tcPr>
          <w:p w14:paraId="5959ED9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Brain and nervous system cancer</w:t>
            </w:r>
          </w:p>
        </w:tc>
        <w:tc>
          <w:tcPr>
            <w:tcW w:w="992" w:type="dxa"/>
            <w:noWrap/>
            <w:hideMark/>
          </w:tcPr>
          <w:p w14:paraId="69FD535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673DA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CNS tumour care, education, research and management</w:t>
            </w:r>
          </w:p>
        </w:tc>
        <w:tc>
          <w:tcPr>
            <w:tcW w:w="2268" w:type="dxa"/>
            <w:noWrap/>
            <w:hideMark/>
          </w:tcPr>
          <w:p w14:paraId="159301F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3BE94C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015D82E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7B73F37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A501FB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EDE25E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0D853EDB" w14:textId="77777777" w:rsidTr="00E15533">
        <w:trPr>
          <w:trHeight w:val="20"/>
        </w:trPr>
        <w:tc>
          <w:tcPr>
            <w:tcW w:w="567" w:type="dxa"/>
            <w:noWrap/>
            <w:hideMark/>
          </w:tcPr>
          <w:p w14:paraId="393167BE" w14:textId="00745AB3"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xSGL2jzg","properties":{"formattedCitation":"(72)","plainCitation":"(72)","noteIndex":0},"citationItems":[{"id":4139,"uris":["http://zotero.org/users/4975241/items/NWJLCAA5"],"uri":["http://zotero.org/users/4975241/items/NWJLCAA5"],"itemData":{"id":4139,"type":"article-journal","abstract":"Background: Echocardiographic screening for rheumatic heart disease in asymptomatic children may result in early diagnosis and prevent progression. Physician-led screening is not feasible in Malawi. Task shifting to mid-level providers such as clinical ofﬁcers may enable more widespread screening. Hypothesis: With short-course training, clinical ofﬁcers can accurately screen for rheumatic heart disease using focussed echocardiography. Methods: A total of eight clinical ofﬁcers completed three half-days of didactics and 2 days of hands-on echocardiography training. Clinical ofﬁcers were evaluated by performing screening echocardiograms on 20 children with known rheumatic heart disease status. They indicated whether children should be referred for follow-up. Referral was indicated if mitral regurgitation measured more than 1.5 cm or there was any measurable aortic regurgitation. The κ statistic was calculated to measure referral agreement with a paediatric cardiologist. Sensitivity and speciﬁcity were estimated using a generalised linear mixed model, and were calculated on the basis of World Heart Federation diagnostic criteria. Results: The mean κ statistic comparing clinical ofﬁcer referrals with the paediatric cardiologist was 0.72 (95% conﬁdence interval: 0.62, 0.82). The κ value ranged from a minimum of 0.57 to a maximum of 0.90. For rheumatic heart disease diagnosis, sensitivity was 0.91 (95% conﬁdence interval: 0.86, 0.95) and speciﬁcity was 0.65 (95% conﬁdence interval: 0.57, 0.72). Conclusion: There was substantial agreement between clinical ofﬁcers and paediatric cardiologists on whether to refer. Clinical ofﬁcers had a high sensitivity in detecting rheumatic heart disease. With short-course training, clinical ofﬁcer-led echo screening for rheumatic heart disease is a viable alternative to physician-led screening in resource-limited settings.","container-title":"Cardiology in the Young","DOI":"10.1017/S1047951116002511","ISSN":"1047-9511, 1467-1107","issue":"6","journalAbbreviation":"Cardiol Young","language":"en","page":"1133-1139","source":"DOI.org (Crossref)","title":"Task shifting to clinical officer-led echocardiography screening for detecting rheumatic heart disease in Malawi, Africa","volume":"27","author":[{"family":"Sims Sanyahumbi","given":"Amy"},{"family":"Sable","given":"Craig A."},{"family":"Karlsten","given":"Melissa"},{"family":"Hosseinipour","given":"Mina C."},{"family":"Kazembe","given":"Peter N."},{"family":"Minard","given":"Charles G."},{"family":"Penny","given":"Daniel J."}],"issued":{"date-parts":[["2017",8]]}}}],"schema":"https://github.com/citation-style-language/schema/raw/master/csl-citation.json"}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(72)</w:t>
            </w:r>
            <w:r>
              <w:rPr>
                <w:rFonts w:ascii="Times" w:eastAsia="Times New Roman" w:hAnsi="Times" w:cs="Times New Roman"/>
                <w:color w:val="000000"/>
                <w:sz w:val="16"/>
                <w:szCs w:val="16"/>
              </w:rPr>
              <w:fldChar w:fldCharType="end"/>
            </w:r>
          </w:p>
        </w:tc>
        <w:tc>
          <w:tcPr>
            <w:tcW w:w="709" w:type="dxa"/>
            <w:noWrap/>
            <w:hideMark/>
          </w:tcPr>
          <w:p w14:paraId="3765C1F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55CFB1D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Malawi</w:t>
            </w:r>
          </w:p>
        </w:tc>
        <w:tc>
          <w:tcPr>
            <w:tcW w:w="708" w:type="dxa"/>
            <w:noWrap/>
            <w:hideMark/>
          </w:tcPr>
          <w:p w14:paraId="1BE6886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760AD41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Schools</w:t>
            </w:r>
          </w:p>
        </w:tc>
        <w:tc>
          <w:tcPr>
            <w:tcW w:w="992" w:type="dxa"/>
            <w:noWrap/>
            <w:hideMark/>
          </w:tcPr>
          <w:p w14:paraId="1876806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 (5-16y)</w:t>
            </w:r>
          </w:p>
        </w:tc>
        <w:tc>
          <w:tcPr>
            <w:tcW w:w="992" w:type="dxa"/>
            <w:noWrap/>
            <w:hideMark/>
          </w:tcPr>
          <w:p w14:paraId="1529669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70522B1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clinical officer and paediatric cardiologist agreement rate for RHD diagnosis</w:t>
            </w:r>
          </w:p>
        </w:tc>
        <w:tc>
          <w:tcPr>
            <w:tcW w:w="988" w:type="dxa"/>
            <w:noWrap/>
            <w:hideMark/>
          </w:tcPr>
          <w:p w14:paraId="1B4AEE1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249CA3C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2843BE5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49EA008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122E44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RHD screening</w:t>
            </w:r>
          </w:p>
        </w:tc>
        <w:tc>
          <w:tcPr>
            <w:tcW w:w="2268" w:type="dxa"/>
            <w:noWrap/>
            <w:hideMark/>
          </w:tcPr>
          <w:p w14:paraId="229B67B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Three half-days of didactic lectures and computer-based training module, after completion of classroom training, each clinical officer spent 2 hours learning basic practical image acquisition skills on volunteer patients under supervision.</w:t>
            </w:r>
          </w:p>
        </w:tc>
        <w:tc>
          <w:tcPr>
            <w:tcW w:w="1134" w:type="dxa"/>
            <w:noWrap/>
            <w:hideMark/>
          </w:tcPr>
          <w:p w14:paraId="3EE6594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5FBE06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4ADD4AB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688A3F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mean kappa statistic comparing clinical officer referrals with the paediatric cardiologist was 0.72; sensitivity 0.91, specificity 0.65 </w:t>
            </w:r>
          </w:p>
        </w:tc>
        <w:tc>
          <w:tcPr>
            <w:tcW w:w="2449" w:type="dxa"/>
            <w:gridSpan w:val="2"/>
            <w:noWrap/>
            <w:hideMark/>
          </w:tcPr>
          <w:p w14:paraId="63068E1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4C9D587C" w14:textId="77777777" w:rsidTr="00E15533">
        <w:trPr>
          <w:trHeight w:val="20"/>
        </w:trPr>
        <w:tc>
          <w:tcPr>
            <w:tcW w:w="567" w:type="dxa"/>
            <w:noWrap/>
            <w:hideMark/>
          </w:tcPr>
          <w:p w14:paraId="4BC903C4" w14:textId="6C8EC4A7"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ODJWxGof","properties":{"formattedCitation":"(73)","plainCitation":"(73)","noteIndex":0},"citationItems":[{"id":4137,"uris":["http://zotero.org/users/4975241/items/XD6MRUCY"],"uri":["http://zotero.org/users/4975241/items/XD6MRUCY"],"itemData":{"id":4137,"type":"article-journal","abstract":"Introduction: Reducing population level salt intake has been recognized as a priority intervention to tackle the growing burden of non-communicable diseases (NCDs). Measurement of sodium intake using 24 hour urine collection is the gold standard for estimating population salt intake and a crucial component of any salt reduction programme. Currently there is insufﬁcient evidence for salt intakes in South-East Asia, a region which faces an epidemic of chronic NCDs – responsible for over 60% of deaths.\nObjectives: To estimate salt intake of a sample of Indonesian male adults in a large coppergold mining operation in Papua, Indonesia using data collected from 24-hour urinary sodium excretion to inform the baseline ahead of initiation of a salt reduction programme in the same population.\nMethods: Two hundred eighty three adults aged 25–55 years were recruited during annual medical check-up. Salt and potassium intake was determined by measuring sodium excretion in 24 h urine. Completeness of urine collections was veriﬁed using creatinine excretion in relation to weight.\nResults: Average age of participants was 41.9. The mean estimated salt (NaCl) intake was 9.2 Æ 3.6 g/day (sodium 3.6 Æ 1.4 g/day). Mean potassium output was 35.3 Æ 12.7 mmol/ day. Overall, 86.5% of the subjects had intakes of over 5 g salt (NaCl)/d. Intake was highest in population aged 21-30 years (9.3 Æ 4.0 g/ day)) (r ¼ 0.20, p ¼ 0.045).\nConclusion: This is the ﬁrst attempt to estimate salt intake via 24 hour urine collection in Indonesia from a captive group of mining workers, in a remote setting. This study provides the baseline data and a unique opportunity to investigate the effectiveness of novel approaches to salt reduction, implemented by the mining industry; a sector with sufﬁcient resources. Salt intake in this Indonesian population is approximately double the WHO global target &lt;5 g/day, highlighting the need for urgent action.","container-title":"Global Heart","DOI":"10.1016/j.gheart.2016.03.063","ISSN":"22118160","issue":"2","journalAbbreviation":"Global Heart","language":"en","page":"e19","source":"DOI.org (Crossref)","title":"PS018 Task-Shifting of Handheld Echocardiographic Screening for Rheumatic Heart Disease: Longitudinal Performance of Non-Experts in a School-Based Program","title-short":"PS018 Task-Shifting of Handheld Echocardiographic Screening for Rheumatic Heart Disease","volume":"11","author":[{"family":"Beaton","given":"A."},{"family":"Nascimento","given":"B."},{"family":"Diamantino","given":"A."},{"family":"Perlman","given":"L."},{"family":"Tompsett","given":"A."},{"family":"Ribeiro","given":"A."},{"family":"Sable","given":"C."},{"family":"Nunes","given":"M."}],"issued":{"date-parts":[["2016",6]]}}}],"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(73)</w:t>
            </w:r>
            <w:r>
              <w:rPr>
                <w:rFonts w:ascii="Times" w:eastAsia="Times New Roman" w:hAnsi="Times" w:cs="Times New Roman"/>
                <w:color w:val="000000"/>
                <w:sz w:val="16"/>
                <w:szCs w:val="16"/>
              </w:rPr>
              <w:fldChar w:fldCharType="end"/>
            </w:r>
          </w:p>
        </w:tc>
        <w:tc>
          <w:tcPr>
            <w:tcW w:w="709" w:type="dxa"/>
            <w:noWrap/>
            <w:hideMark/>
          </w:tcPr>
          <w:p w14:paraId="79A2567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2016</w:t>
            </w:r>
          </w:p>
        </w:tc>
        <w:tc>
          <w:tcPr>
            <w:tcW w:w="851" w:type="dxa"/>
            <w:noWrap/>
            <w:hideMark/>
          </w:tcPr>
          <w:p w14:paraId="63DCBC8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Brazil</w:t>
            </w:r>
          </w:p>
        </w:tc>
        <w:tc>
          <w:tcPr>
            <w:tcW w:w="708" w:type="dxa"/>
            <w:noWrap/>
            <w:hideMark/>
          </w:tcPr>
          <w:p w14:paraId="263A171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1D95554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Schools</w:t>
            </w:r>
          </w:p>
        </w:tc>
        <w:tc>
          <w:tcPr>
            <w:tcW w:w="992" w:type="dxa"/>
            <w:noWrap/>
            <w:hideMark/>
          </w:tcPr>
          <w:p w14:paraId="04F46E6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303C9D2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2065569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performance of non-experts in school-based echo-screening programme for RHD</w:t>
            </w:r>
          </w:p>
        </w:tc>
        <w:tc>
          <w:tcPr>
            <w:tcW w:w="988" w:type="dxa"/>
            <w:noWrap/>
            <w:hideMark/>
          </w:tcPr>
          <w:p w14:paraId="6AB83AB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8B095F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 and health technician</w:t>
            </w:r>
          </w:p>
        </w:tc>
        <w:tc>
          <w:tcPr>
            <w:tcW w:w="1276" w:type="dxa"/>
            <w:noWrap/>
            <w:hideMark/>
          </w:tcPr>
          <w:p w14:paraId="6975A2E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60F876E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6F5573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RHD screening</w:t>
            </w:r>
          </w:p>
        </w:tc>
        <w:tc>
          <w:tcPr>
            <w:tcW w:w="2268" w:type="dxa"/>
            <w:noWrap/>
            <w:hideMark/>
          </w:tcPr>
          <w:p w14:paraId="7D201C7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Standardized, computer-based training</w:t>
            </w:r>
          </w:p>
        </w:tc>
        <w:tc>
          <w:tcPr>
            <w:tcW w:w="1134" w:type="dxa"/>
            <w:noWrap/>
            <w:hideMark/>
          </w:tcPr>
          <w:p w14:paraId="53F0FD9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F3E379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70E7879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7D4A006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Sensitivity and specificity 85% and 87% when using MR&gt;=1.5 cm/any AI, 64% and 96% when using MR&gt;=2.0 cm/any AI </w:t>
            </w:r>
          </w:p>
        </w:tc>
        <w:tc>
          <w:tcPr>
            <w:tcW w:w="2449" w:type="dxa"/>
            <w:gridSpan w:val="2"/>
            <w:noWrap/>
            <w:hideMark/>
          </w:tcPr>
          <w:p w14:paraId="1AFF3B9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7694ABD9" w14:textId="77777777" w:rsidTr="00E15533">
        <w:trPr>
          <w:trHeight w:val="20"/>
        </w:trPr>
        <w:tc>
          <w:tcPr>
            <w:tcW w:w="567" w:type="dxa"/>
            <w:noWrap/>
            <w:hideMark/>
          </w:tcPr>
          <w:p w14:paraId="4B585DF8" w14:textId="1377178F"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ohIObROb","properties":{"formattedCitation":"(74)","plainCitation":"(74)","noteIndex":0},"citationItems":[{"id":4135,"uris":["http://zotero.org/users/4975241/items/ZP3IGVNL"],"uri":["http://zotero.org/users/4975241/items/ZP3IGVNL"],"itemData":{"id":4135,"type":"article-journal","abstract":"Screening for rheumatic heart disease (RHD) requires workers skilled in echocardiography, which typically involves prolonged, specialized training. Task shifting echocardiographic screening to nonexpert health workers may be a solution in settings with limited human resources. An 8-week training program was designed to train health workers without any prior experience in focused echocardiography for RHD screening. Seven health workers participated. At the completion of training, the health workers performed unsupervised echocardiography on 16 volunteer children with known RHD status. A pediatric cardiologist assessed image quality. Participants provided qualitative feedback. The quality of echocardiograms were high at completion of training (55 of 56 were adequate for diagnosis) and all cases of RHD were identified. Feedback was strongly positive. Training health workers to perform focused echocardiography for RHD screening is feasible. After systematic testing for accuracy, this training program could be adapted in other settings seeking to expand echocardiographic capabilities.","container-title":"Annals of Pediatric Cardiology","DOI":"10.4103/0974-2069.157024","ISSN":"0974-2069","issue":"2","journalAbbreviation":"Ann Pediatr Card","language":"en","page":"118","source":"DOI.org (Crossref)","title":"Teaching focused echocardiography for rheumatic heart disease screening","volume":"8","author":[{"family":"Engelman","given":"Daniel"},{"family":"Kado","given":"JosephH"},{"family":"Remenyi","given":"Bo"},{"family":"Watson","given":"Caroline"},{"family":"Rayasidamu","given":"SeraC"},{"family":"Steer","given":"AndrewC"},{"family":"Colquhoun","given":"SamanthaM"}],"issued":{"date-parts":[["2015"]]}}}],"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(74)</w:t>
            </w:r>
            <w:r>
              <w:rPr>
                <w:rFonts w:ascii="Times" w:eastAsia="Times New Roman" w:hAnsi="Times" w:cs="Times New Roman"/>
                <w:color w:val="000000"/>
                <w:sz w:val="16"/>
                <w:szCs w:val="16"/>
              </w:rPr>
              <w:fldChar w:fldCharType="end"/>
            </w:r>
          </w:p>
        </w:tc>
        <w:tc>
          <w:tcPr>
            <w:tcW w:w="709" w:type="dxa"/>
            <w:noWrap/>
            <w:hideMark/>
          </w:tcPr>
          <w:p w14:paraId="1819D38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2015</w:t>
            </w:r>
          </w:p>
        </w:tc>
        <w:tc>
          <w:tcPr>
            <w:tcW w:w="851" w:type="dxa"/>
            <w:noWrap/>
            <w:hideMark/>
          </w:tcPr>
          <w:p w14:paraId="31D4B31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Fiji</w:t>
            </w:r>
          </w:p>
        </w:tc>
        <w:tc>
          <w:tcPr>
            <w:tcW w:w="708" w:type="dxa"/>
            <w:noWrap/>
            <w:hideMark/>
          </w:tcPr>
          <w:p w14:paraId="47E84DE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3601861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7382CF4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7C57320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3827495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knowledge of training on echocardiography for RHD screening</w:t>
            </w:r>
          </w:p>
        </w:tc>
        <w:tc>
          <w:tcPr>
            <w:tcW w:w="988" w:type="dxa"/>
            <w:noWrap/>
            <w:hideMark/>
          </w:tcPr>
          <w:p w14:paraId="5634EF0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47C4009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4557A18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4DDBCD5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461900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RHD screening</w:t>
            </w:r>
          </w:p>
        </w:tc>
        <w:tc>
          <w:tcPr>
            <w:tcW w:w="2268" w:type="dxa"/>
            <w:noWrap/>
            <w:hideMark/>
          </w:tcPr>
          <w:p w14:paraId="2DDDFA1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Classroom training for one week (relevant cardiac anatomy and physiology, as well as basic knowledge about RHD and the rationale for screening), practical session (essentials of using the machines, and practice with volunteer children, including some with known RHD), interactive tutorial</w:t>
            </w:r>
          </w:p>
        </w:tc>
        <w:tc>
          <w:tcPr>
            <w:tcW w:w="1134" w:type="dxa"/>
            <w:noWrap/>
            <w:hideMark/>
          </w:tcPr>
          <w:p w14:paraId="37D0E12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635AA55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78573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Knowledge score increased from 8.1 to 14.9 (out of 15) after training, 98% nurses of adequate quality for diagnosis</w:t>
            </w:r>
          </w:p>
        </w:tc>
        <w:tc>
          <w:tcPr>
            <w:tcW w:w="2448" w:type="dxa"/>
            <w:gridSpan w:val="2"/>
            <w:noWrap/>
            <w:hideMark/>
          </w:tcPr>
          <w:p w14:paraId="45B2122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B7019A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0E0308FD" w14:textId="77777777" w:rsidTr="00E15533">
        <w:trPr>
          <w:trHeight w:val="20"/>
        </w:trPr>
        <w:tc>
          <w:tcPr>
            <w:tcW w:w="567" w:type="dxa"/>
            <w:noWrap/>
            <w:hideMark/>
          </w:tcPr>
          <w:p w14:paraId="2D2DE6C8" w14:textId="1880DC25" w:rsidR="00E15533" w:rsidRDefault="00E15533" w:rsidP="00E15533">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bp6bngkW","properties":{"formattedCitation":"(75)","plainCitation":"(75)","noteIndex":0},"citationItems":[{"id":3884,"uris":["http://zotero.org/users/4975241/items/XK33UW3H"],"uri":["http://zotero.org/users/4975241/items/XK33UW3H"],"itemData":{"id":3884,"type":"article-journal","abstract":"We designed a pilot study of a training module for nurses to perform rheumatic heart disease echocardiography screening in a resource-poor setting. The aim was to determine whether nurses given brief, focused, basic training in echocardiography could follow an algorithm to potentially identify cases of rheumatic heart disease requiring clinical referral, by undertaking basic two-dimensional and colour Doppler scans. Training consisted of a week-long workshop, followed by 2 weeks of supervised field experience. The nurses’ skills were tested on a blinded cohort of 50 children, and the results were compared for sensitivity and specificity against echocardiography undertaken by an expert, using standardised echocardiography definitions for definite and probable rheumatic heart disease. Analysis of the two nurses’ results revealed that when a mitral regurgitant jet length of 1.5 cm was used as the trigger for rheumatic heart disease identification, they had a sensitivity of 100% and 83%, respectively, and a specificity of 67.4% and 79%, respectively. This pilot supports the principle that nurses, given brief focused training and supervised field experience, can follow an algorithm to undertake rheumatic heart disease echocardiography in a developing country setting to facilitate clinical referral with reasonable accuracy. These results warrant further research, with a view to developing a module to guide rheumatic heart disease echocardiographic screening by nurses within the existing public health infrastructure in high-prevalence, resource-poor regions.","container-title":"Cardiology in the Young","DOI":"10.1017/S1047951112001321","ISSN":"1047-9511, 1467-1107","issue":"4","journalAbbreviation":"Cardiol Young","language":"en","note":"00052","page":"546-552","source":"DOI.org (Crossref)","title":"Pilot study of nurse-led rheumatic heart disease echocardiography screening in Fiji – a novel approach in a resource-poor setting","volume":"23","author":[{"family":"Colquhoun","given":"Samantha M."},{"family":"Carapetis","given":"Jonathan R."},{"family":"Kado","given":"Joseph H."},{"family":"Reeves","given":"Benjamin M."},{"family":"Remenyi","given":"Boglarka"},{"family":"May","given":"William"},{"family":"Wilson","given":"Nigel J."},{"family":"Steer","given":"Andrew C."}],"issued":{"date-parts":[["2013",8]]}}}],"schema":"https://github.com/citation-style-language/schema/raw/master/csl-citation.json"}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(75)</w:t>
            </w:r>
            <w:r>
              <w:rPr>
                <w:rFonts w:ascii="Times" w:eastAsia="Times New Roman" w:hAnsi="Times" w:cs="Times New Roman"/>
                <w:color w:val="000000"/>
                <w:sz w:val="16"/>
                <w:szCs w:val="16"/>
              </w:rPr>
              <w:fldChar w:fldCharType="end"/>
            </w:r>
          </w:p>
          <w:p w14:paraId="4091AD07" w14:textId="0512615D" w:rsidR="00E15533" w:rsidRPr="00E15533" w:rsidRDefault="00E15533" w:rsidP="00E15533">
            <w:pPr>
              <w:rPr>
                <w:rFonts w:ascii="Times" w:eastAsia="Times New Roman" w:hAnsi="Times" w:cs="Times New Roman"/>
                <w:sz w:val="16"/>
                <w:szCs w:val="16"/>
              </w:rPr>
            </w:pPr>
          </w:p>
        </w:tc>
        <w:tc>
          <w:tcPr>
            <w:tcW w:w="709" w:type="dxa"/>
            <w:noWrap/>
            <w:hideMark/>
          </w:tcPr>
          <w:p w14:paraId="2FA7AF8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4F047FB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Fiji</w:t>
            </w:r>
          </w:p>
        </w:tc>
        <w:tc>
          <w:tcPr>
            <w:tcW w:w="708" w:type="dxa"/>
            <w:noWrap/>
            <w:hideMark/>
          </w:tcPr>
          <w:p w14:paraId="7AA379F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6C8C1D8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w:t>
            </w:r>
          </w:p>
        </w:tc>
        <w:tc>
          <w:tcPr>
            <w:tcW w:w="992" w:type="dxa"/>
            <w:noWrap/>
            <w:hideMark/>
          </w:tcPr>
          <w:p w14:paraId="5655A17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2E20B2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377217F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To determine whether nurses could follow an algorithm to identify cases of RHD</w:t>
            </w:r>
          </w:p>
        </w:tc>
        <w:tc>
          <w:tcPr>
            <w:tcW w:w="988" w:type="dxa"/>
            <w:noWrap/>
            <w:hideMark/>
          </w:tcPr>
          <w:p w14:paraId="2F0D54A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2D74D41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75FA7A1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252B5DA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BB40B9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RHD screening</w:t>
            </w:r>
          </w:p>
        </w:tc>
        <w:tc>
          <w:tcPr>
            <w:tcW w:w="2268" w:type="dxa"/>
            <w:noWrap/>
            <w:hideMark/>
          </w:tcPr>
          <w:p w14:paraId="152C42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 week-long rheumatic heart disease echo cardiography training workshop, 2 weeks of echocardiography screening in two primary schools supervised by experienced doctors and echo technicians.</w:t>
            </w:r>
          </w:p>
        </w:tc>
        <w:tc>
          <w:tcPr>
            <w:tcW w:w="1134" w:type="dxa"/>
            <w:noWrap/>
            <w:hideMark/>
          </w:tcPr>
          <w:p w14:paraId="5E00AC6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AE3AFB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Eleven-step basic algorithm for nurse-led RHD screening echocardiography. </w:t>
            </w:r>
          </w:p>
        </w:tc>
        <w:tc>
          <w:tcPr>
            <w:tcW w:w="2448" w:type="dxa"/>
            <w:noWrap/>
            <w:hideMark/>
          </w:tcPr>
          <w:p w14:paraId="6BD891F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6E656B9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sensitivity of 100% and 83%, and a specificity of 67.4% and 79%, respectively for the two nurses</w:t>
            </w:r>
          </w:p>
        </w:tc>
        <w:tc>
          <w:tcPr>
            <w:tcW w:w="2449" w:type="dxa"/>
            <w:gridSpan w:val="2"/>
            <w:noWrap/>
            <w:hideMark/>
          </w:tcPr>
          <w:p w14:paraId="43DCF07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078C6751" w14:textId="77777777" w:rsidTr="00E15533">
        <w:trPr>
          <w:trHeight w:val="20"/>
        </w:trPr>
        <w:tc>
          <w:tcPr>
            <w:tcW w:w="567" w:type="dxa"/>
            <w:noWrap/>
            <w:hideMark/>
          </w:tcPr>
          <w:p w14:paraId="257C8503" w14:textId="1DF94A56"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8EKDdqyI","properties":{"formattedCitation":"(76)","plainCitation":"(76)","noteIndex":0},"citationItems":[{"id":3885,"uris":["http://zotero.org/users/4975241/items/WK9QI8ZM"],"uri":["http://zotero.org/users/4975241/items/WK9QI8ZM"],"itemData":{"id":3885,"type":"article-journal","abstract":"Objectives Handheld echocardiography (HAND) has good sensitivity and speciﬁcity for rheumatic heart disease (RHD) when performed by cardiologists. However, physician shortages in RHD-endemic areas demand less-skilled users to make RHD screening practical. We examine nurse performance and interpretation of HAND using a simpliﬁed approach for RHD screening.\nMethods Two nurses received training on HAND and a simpliﬁed screening approach. Consented students at two schools in Uganda were eligible for participation. A simpliﬁed approach (HAND performed and interpreted by a non-expert) was compared with the reference standard (standard portable echocardiography, performed and interpreted by experts according to the 2012 World Heart Federation guidelines). Reasons for false-positive and false-negative HAND studies were identiﬁed.\nResults A total of 1002 children were consented, with 956 (11.1 years, 41.8% male) having complete data for review. Diagnoses included: 913 (95.5%) children were classiﬁed normal, 32 (3.3%) borderline RHD and 11 (1.2%) deﬁnite RHD. The simpliﬁed approach had a sensitivity of 74.4% (58.8% to 86.5%) and a speciﬁcity of 78.8% (76.0% to 81.4%) for any RHD (borderline and deﬁnite). Sensitivity improved to 90.9% (58.7% to 98.5%) for deﬁnite RHD. Identiﬁcation and measurement of erroneous colour jets was the most common reason for false-positive studies (n=164/194), while missed mitral regurgitation and shorter regurgitant jet lengths with HAND were the most common reasons for false-negative studies (n=10/11).\nConclusions Non-expert-led HAND screening programmes offer a potential solution to ﬁnancial and workforce barriers that limit widespread RHD screening. Nurses trained on HAND using a simpliﬁed approach had reasonable sensitivity and speciﬁcity for RHD screening. Information on reasons for false-negative and false-positive screening studies should be used to inform future training protocols, which could lead to improved screening performance.","container-title":"Heart","DOI":"10.1136/heartjnl-2015-308236","ISSN":"1355-6037, 1468-201X","issue":"1","journalAbbreviation":"Heart","language":"en","note":"00066","page":"35-39","source":"DOI.org (Crossref)","title":"Handheld echocardiographic screening for rheumatic heart disease by non-experts","volume":"102","author":[{"family":"Ploutz","given":"Michelle"},{"family":"Lu","given":"Jimmy C"},{"family":"Scheel","given":"Janet"},{"family":"Webb","given":"Catherine"},{"family":"Ensing","given":"Greg J"},{"family":"Aliku","given":"Twalib"},{"family":"Lwabi","given":"Peter"},{"family":"Sable","given":"Craig"},{"family":"Beaton","given":"Andrea"}],"issued":{"date-parts":[["2016",1,1]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(76)</w:t>
            </w:r>
            <w:r>
              <w:rPr>
                <w:rFonts w:ascii="Times" w:eastAsia="Times New Roman" w:hAnsi="Times" w:cs="Times New Roman"/>
                <w:color w:val="000000"/>
                <w:sz w:val="16"/>
                <w:szCs w:val="16"/>
              </w:rPr>
              <w:fldChar w:fldCharType="end"/>
            </w:r>
          </w:p>
        </w:tc>
        <w:tc>
          <w:tcPr>
            <w:tcW w:w="709" w:type="dxa"/>
            <w:noWrap/>
            <w:hideMark/>
          </w:tcPr>
          <w:p w14:paraId="3507994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2016</w:t>
            </w:r>
          </w:p>
        </w:tc>
        <w:tc>
          <w:tcPr>
            <w:tcW w:w="851" w:type="dxa"/>
            <w:noWrap/>
            <w:hideMark/>
          </w:tcPr>
          <w:p w14:paraId="7F904D2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5DEC9D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Cross-sectional</w:t>
            </w:r>
          </w:p>
        </w:tc>
        <w:tc>
          <w:tcPr>
            <w:tcW w:w="1418" w:type="dxa"/>
            <w:noWrap/>
            <w:hideMark/>
          </w:tcPr>
          <w:p w14:paraId="5963D4C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Schools</w:t>
            </w:r>
          </w:p>
        </w:tc>
        <w:tc>
          <w:tcPr>
            <w:tcW w:w="992" w:type="dxa"/>
            <w:noWrap/>
            <w:hideMark/>
          </w:tcPr>
          <w:p w14:paraId="65E5B6F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38AA280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72CE9B1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To examine nurse performance and interpretation of handheld </w:t>
            </w:r>
            <w:r w:rsidRPr="00C0069F">
              <w:rPr>
                <w:rFonts w:ascii="Times" w:eastAsia="Times New Roman" w:hAnsi="Times" w:cs="Times New Roman"/>
                <w:color w:val="000000"/>
                <w:sz w:val="16"/>
                <w:szCs w:val="16"/>
              </w:rPr>
              <w:lastRenderedPageBreak/>
              <w:t>echocardiography for RHD screening</w:t>
            </w:r>
          </w:p>
        </w:tc>
        <w:tc>
          <w:tcPr>
            <w:tcW w:w="988" w:type="dxa"/>
            <w:noWrap/>
            <w:hideMark/>
          </w:tcPr>
          <w:p w14:paraId="7B218A1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lastRenderedPageBreak/>
              <w:t>Doctor or specialist</w:t>
            </w:r>
          </w:p>
        </w:tc>
        <w:tc>
          <w:tcPr>
            <w:tcW w:w="1417" w:type="dxa"/>
            <w:noWrap/>
            <w:hideMark/>
          </w:tcPr>
          <w:p w14:paraId="50BA829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1E31DC8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Rheumatic heart disease</w:t>
            </w:r>
          </w:p>
        </w:tc>
        <w:tc>
          <w:tcPr>
            <w:tcW w:w="992" w:type="dxa"/>
            <w:noWrap/>
            <w:hideMark/>
          </w:tcPr>
          <w:p w14:paraId="79E563C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w:t>
            </w:r>
          </w:p>
        </w:tc>
        <w:tc>
          <w:tcPr>
            <w:tcW w:w="1418" w:type="dxa"/>
            <w:noWrap/>
            <w:hideMark/>
          </w:tcPr>
          <w:p w14:paraId="7030DEF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RHD screening</w:t>
            </w:r>
          </w:p>
        </w:tc>
        <w:tc>
          <w:tcPr>
            <w:tcW w:w="2268" w:type="dxa"/>
            <w:noWrap/>
            <w:hideMark/>
          </w:tcPr>
          <w:p w14:paraId="1DE6B3A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4-h of physician-directed teaching using a combination of computer-based training modules, didactics and case </w:t>
            </w:r>
            <w:r w:rsidRPr="00C0069F">
              <w:rPr>
                <w:rFonts w:ascii="Times" w:eastAsia="Times New Roman" w:hAnsi="Times" w:cs="Times New Roman"/>
                <w:color w:val="000000"/>
                <w:sz w:val="16"/>
                <w:szCs w:val="16"/>
              </w:rPr>
              <w:lastRenderedPageBreak/>
              <w:t>studies; 2-day hands on session with patients.</w:t>
            </w:r>
          </w:p>
        </w:tc>
        <w:tc>
          <w:tcPr>
            <w:tcW w:w="1134" w:type="dxa"/>
            <w:noWrap/>
            <w:hideMark/>
          </w:tcPr>
          <w:p w14:paraId="3687B6C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lastRenderedPageBreak/>
              <w:t>0</w:t>
            </w:r>
          </w:p>
        </w:tc>
        <w:tc>
          <w:tcPr>
            <w:tcW w:w="1134" w:type="dxa"/>
            <w:noWrap/>
            <w:hideMark/>
          </w:tcPr>
          <w:p w14:paraId="0F7B123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7F75698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65DE1F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sensitivity of 74.4% (58.8% to 86.5%) and a specificity of 78.8% (76.0% to 81.4%) for any RHD (borderline and definite). </w:t>
            </w:r>
          </w:p>
        </w:tc>
        <w:tc>
          <w:tcPr>
            <w:tcW w:w="2449" w:type="dxa"/>
            <w:gridSpan w:val="2"/>
            <w:noWrap/>
            <w:hideMark/>
          </w:tcPr>
          <w:p w14:paraId="6AB39C9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023EC991" w14:textId="77777777" w:rsidTr="00E15533">
        <w:trPr>
          <w:trHeight w:val="20"/>
        </w:trPr>
        <w:tc>
          <w:tcPr>
            <w:tcW w:w="567" w:type="dxa"/>
            <w:noWrap/>
            <w:hideMark/>
          </w:tcPr>
          <w:p w14:paraId="306442F4" w14:textId="3ED56BFA"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JFU666yo","properties":{"formattedCitation":"(77)","plainCitation":"(77)","noteIndex":0},"citationItems":[{"id":4311,"uris":["http://zotero.org/users/4975241/items/XID4I6NN"],"uri":["http://zotero.org/users/4975241/items/XID4I6NN"],"itemData":{"id":4311,"type":"article-journal","abstract":"Hematology-related diseases, such as anemia, malaria, sickle cell disease (SCD), and blood cancers, have differing rates of survival between high-income and low- and middle-income countries (LMICs). Nurses in LMICs have an unmet need for specialty training and education to address hematology and hemato-oncology disorders. A gap in the literature exists about hematology nurse education and clinical service demands in LMICs. This community case study documents a collaborative hematology and basic hemato-oncology education program to sustainably strengthen nurse capacity at a national referral hospital and university in Tanzania. The goal of the intervention was to provide culturally competent nurse training in pediatric and adult hematology. A certified pediatric nurse practitioner with hematology and oncology experience provided culturally competent training and staff development to nurses over two weeks to meet this goal. Prior to development of a training schedule, nurses confidentially identified five of their top learning needs. Main hematology and basic oncology educational needs identified by nurses were the management of anemia, safe handling of cytotoxic agents, and treatment of SCD. The format of the education varied from bedside teaching to formal presentations to one-on-one individual discussions. Overall, nurses expressed satisfaction with the education and verbalized appreciation for teaching and training activities tailored to meet their needs. Specialized training in hematology and hemato-oncology has the potential to increase nurses' confidence, respect, and participation in interprofessional team decision-making. Lessons learned from the impact of collaborative nurse education and partnership in Tanzania can be generalized to other LMICs. This community case study highlights the importance of specialty nurse education, interprofessional development, and global partnerships needed to improve patient outcomes.","container-title":"Frontiers in Public Health","DOI":"10.3389/fpubh.2017.00065","ISSN":"2296-2565","journalAbbreviation":"Front Public Health","language":"eng","note":"00000 \nPMID: 28424766\nPMCID: PMC5372811","page":"65","source":"PubMed","title":"The Need for Hematology Nurse Education in Low- and Middle-Income Countries: A Community Case Study in Tanzania","title-short":"The Need for Hematology Nurse Education in Low- and Middle-Income Countries","volume":"5","author":[{"family":"Buser","given":"Julie M."}],"issued":{"date-parts":[["2017"]]}}}],"schema":"https://github.com/citation-style-language/schema/raw/master/csl-citation.json"}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(77)</w:t>
            </w:r>
            <w:r>
              <w:rPr>
                <w:rFonts w:ascii="Times" w:eastAsia="Times New Roman" w:hAnsi="Times" w:cs="Times New Roman"/>
                <w:color w:val="000000"/>
                <w:sz w:val="16"/>
                <w:szCs w:val="16"/>
              </w:rPr>
              <w:fldChar w:fldCharType="end"/>
            </w:r>
          </w:p>
        </w:tc>
        <w:tc>
          <w:tcPr>
            <w:tcW w:w="709" w:type="dxa"/>
            <w:noWrap/>
            <w:hideMark/>
          </w:tcPr>
          <w:p w14:paraId="11694AC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0F66A0B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Tanzania</w:t>
            </w:r>
          </w:p>
        </w:tc>
        <w:tc>
          <w:tcPr>
            <w:tcW w:w="708" w:type="dxa"/>
            <w:noWrap/>
            <w:hideMark/>
          </w:tcPr>
          <w:p w14:paraId="6F305FF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2DDDD47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National referral hospital</w:t>
            </w:r>
          </w:p>
        </w:tc>
        <w:tc>
          <w:tcPr>
            <w:tcW w:w="992" w:type="dxa"/>
            <w:noWrap/>
            <w:hideMark/>
          </w:tcPr>
          <w:p w14:paraId="322C44A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675189D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3E21BD2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the development of haematology nurse education to strengthen nurse capacity</w:t>
            </w:r>
          </w:p>
        </w:tc>
        <w:tc>
          <w:tcPr>
            <w:tcW w:w="988" w:type="dxa"/>
            <w:noWrap/>
            <w:hideMark/>
          </w:tcPr>
          <w:p w14:paraId="2F63001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0406B07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0FADB89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Hemoglobinopathies and haemolytic anaemias</w:t>
            </w:r>
          </w:p>
        </w:tc>
        <w:tc>
          <w:tcPr>
            <w:tcW w:w="992" w:type="dxa"/>
            <w:noWrap/>
            <w:hideMark/>
          </w:tcPr>
          <w:p w14:paraId="168EC15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 and curative</w:t>
            </w:r>
          </w:p>
        </w:tc>
        <w:tc>
          <w:tcPr>
            <w:tcW w:w="1418" w:type="dxa"/>
            <w:noWrap/>
            <w:hideMark/>
          </w:tcPr>
          <w:p w14:paraId="7D9BC33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Haematology related service</w:t>
            </w:r>
          </w:p>
        </w:tc>
        <w:tc>
          <w:tcPr>
            <w:tcW w:w="2268" w:type="dxa"/>
            <w:noWrap/>
            <w:hideMark/>
          </w:tcPr>
          <w:p w14:paraId="5B9D70B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 week collaborative education program: (1) basic haematology and haemato-oncology group lectures; (2) individual instruction on self-identified needs; (3) direct observation of patient care in paediatric and adult inpatient wards and haematology outpatient clinics; and (4) group lectures to graduate and postgraduate nursing students.</w:t>
            </w:r>
          </w:p>
        </w:tc>
        <w:tc>
          <w:tcPr>
            <w:tcW w:w="1134" w:type="dxa"/>
            <w:noWrap/>
            <w:hideMark/>
          </w:tcPr>
          <w:p w14:paraId="41FB1FC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9FF3809"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F159F3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6B88E02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7D0D4C8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62E636C4" w14:textId="77777777" w:rsidTr="00E15533">
        <w:trPr>
          <w:trHeight w:val="20"/>
        </w:trPr>
        <w:tc>
          <w:tcPr>
            <w:tcW w:w="567" w:type="dxa"/>
            <w:noWrap/>
            <w:hideMark/>
          </w:tcPr>
          <w:p w14:paraId="3DC77B65" w14:textId="3ADFCB15"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kFsX2RuP","properties":{"formattedCitation":"(78)","plainCitation":"(78)","noteIndex":0},"citationItems":[{"id":4140,"uris":["http://zotero.org/users/4975241/items/HTX24APX"],"uri":["http://zotero.org/users/4975241/items/HTX24APX"],"itemData":{"id":4140,"type":"article-journal","abstract":"Background In sub-Saharan Africa there is an increasing need to leverage available health care workers to provide care for non-communicable diseases (NCDs). This study was conducted to evaluate adherence to Médecins Sans Frontières clinical protocols when the care of five stable NCDs (hypertension, diabetes mellitus type 2, epilepsy, asthma, and sickle cell) was shifted from clinical officers to nurses.\nMethods Descriptive, retrospective review of routinely collected clinic data from two integrated primary health care facilities within an urban informal settlement, Kibera, Nairobi, Kenya (May to August 2014).\nResults There were 3,554 consultations (2025 patients); 733 (21%) were by nurses out of which 725 met the inclusion criteria among 616 patients. Hypertension (64%, 397/616) was the most frequent NCD followed by asthma (17%, 106/616) and diabetes mellitus (15%, 95/616). Adherence to screening questions ranged from 65% to 86%, with an average of 69%. Weight and blood pressure measurements were completed in 89% and 96% of those required. Laboratory results were reviewed in 91% of indicated visits. Laboratory testing per NCD protocols was higher in those with hypertension (88%) than diabetes mellitus (67%) upon review. Only 17 (2%) consultations were referred back to clinical officers.\nConclusion Nurses are able to adhere to protocols for managing stable NCD patients based on clear and standardized protocols and guidelines, thus paving the way towards task shifting of NCD care to nurses to help relieve the significant healthcare gap in developing countries.","container-title":"PLOS ONE","DOI":"10.1371/journal.pone.0145634","ISSN":"1932-6203","issue":"1","journalAbbreviation":"PLoS ONE","language":"en","page":"e0145634","source":"DOI.org (Crossref)","title":"Task Shifting the Management of Non-Communicable Diseases to Nurses in Kibera, Kenya: Does It Work?","title-short":"Task Shifting the Management of Non-Communicable Diseases to Nurses in Kibera, Kenya","volume":"11","author":[{"family":"Some","given":"David"},{"family":"Edwards","given":"Jeffrey K."},{"family":"Reid","given":"Tony"},{"family":"Van den Bergh","given":"Rafael"},{"family":"Kosgei","given":"Rose J."},{"family":"Wilkinson","given":"Ewan"},{"family":"Baruani","given":"Bienvenu"},{"family":"Kizito","given":"Walter"},{"family":"Khabala","given":"Kelly"},{"family":"Shah","given":"Safieh"},{"family":"Kibachio","given":"Joseph"},{"family":"Musembi","given":"Phylles"}],"editor":[{"family":"Griffiths","given":"Ulla Kou"}],"issued":{"date-parts":[["2016",1,26]]}}}],"schema":"https://github.com/citation-style-language/schema/raw/master/csl-citation.json"}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(78)</w:t>
            </w:r>
            <w:r>
              <w:rPr>
                <w:rFonts w:ascii="Times" w:eastAsia="Times New Roman" w:hAnsi="Times" w:cs="Times New Roman"/>
                <w:color w:val="000000"/>
                <w:sz w:val="16"/>
                <w:szCs w:val="16"/>
              </w:rPr>
              <w:fldChar w:fldCharType="end"/>
            </w:r>
          </w:p>
        </w:tc>
        <w:tc>
          <w:tcPr>
            <w:tcW w:w="709" w:type="dxa"/>
            <w:noWrap/>
            <w:hideMark/>
          </w:tcPr>
          <w:p w14:paraId="28D5A29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2016</w:t>
            </w:r>
          </w:p>
        </w:tc>
        <w:tc>
          <w:tcPr>
            <w:tcW w:w="851" w:type="dxa"/>
            <w:noWrap/>
            <w:hideMark/>
          </w:tcPr>
          <w:p w14:paraId="26CC587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Kenya</w:t>
            </w:r>
          </w:p>
        </w:tc>
        <w:tc>
          <w:tcPr>
            <w:tcW w:w="708" w:type="dxa"/>
            <w:noWrap/>
            <w:hideMark/>
          </w:tcPr>
          <w:p w14:paraId="086AE1F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Non-comparative evaluation</w:t>
            </w:r>
          </w:p>
        </w:tc>
        <w:tc>
          <w:tcPr>
            <w:tcW w:w="1418" w:type="dxa"/>
            <w:noWrap/>
            <w:hideMark/>
          </w:tcPr>
          <w:p w14:paraId="076B899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healthcare facility</w:t>
            </w:r>
          </w:p>
        </w:tc>
        <w:tc>
          <w:tcPr>
            <w:tcW w:w="992" w:type="dxa"/>
            <w:noWrap/>
            <w:hideMark/>
          </w:tcPr>
          <w:p w14:paraId="4389221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7EECCE5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5DB4326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adherence to protocol for five "stable" NCDs when shifted from clinical officer to nurse</w:t>
            </w:r>
          </w:p>
        </w:tc>
        <w:tc>
          <w:tcPr>
            <w:tcW w:w="988" w:type="dxa"/>
            <w:noWrap/>
            <w:hideMark/>
          </w:tcPr>
          <w:p w14:paraId="64FF453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417" w:type="dxa"/>
            <w:noWrap/>
            <w:hideMark/>
          </w:tcPr>
          <w:p w14:paraId="300ED24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43A5C75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 Hemoglobinopathies and haemolytic anaemias</w:t>
            </w:r>
          </w:p>
        </w:tc>
        <w:tc>
          <w:tcPr>
            <w:tcW w:w="992" w:type="dxa"/>
            <w:noWrap/>
            <w:hideMark/>
          </w:tcPr>
          <w:p w14:paraId="49DCE40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A253D8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 management, sickle cell</w:t>
            </w:r>
          </w:p>
        </w:tc>
        <w:tc>
          <w:tcPr>
            <w:tcW w:w="2268" w:type="dxa"/>
            <w:noWrap/>
            <w:hideMark/>
          </w:tcPr>
          <w:p w14:paraId="41B570F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One week with didactic and clinical case scenario</w:t>
            </w:r>
          </w:p>
        </w:tc>
        <w:tc>
          <w:tcPr>
            <w:tcW w:w="1134" w:type="dxa"/>
            <w:noWrap/>
            <w:hideMark/>
          </w:tcPr>
          <w:p w14:paraId="68BB1A7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Supervising clinical officer and field mentorship</w:t>
            </w:r>
          </w:p>
        </w:tc>
        <w:tc>
          <w:tcPr>
            <w:tcW w:w="1134" w:type="dxa"/>
            <w:noWrap/>
            <w:hideMark/>
          </w:tcPr>
          <w:p w14:paraId="6CF3B25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Structured clinical support tool</w:t>
            </w:r>
          </w:p>
        </w:tc>
        <w:tc>
          <w:tcPr>
            <w:tcW w:w="2448" w:type="dxa"/>
            <w:noWrap/>
            <w:hideMark/>
          </w:tcPr>
          <w:p w14:paraId="5C0E267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5E5D81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Adherence to protocol for epilepsy: patient consultation (82%), weight checked (55%)</w:t>
            </w:r>
          </w:p>
        </w:tc>
        <w:tc>
          <w:tcPr>
            <w:tcW w:w="2449" w:type="dxa"/>
            <w:gridSpan w:val="2"/>
            <w:noWrap/>
            <w:hideMark/>
          </w:tcPr>
          <w:p w14:paraId="7D9F49F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11A6627C" w14:textId="77777777" w:rsidTr="00E15533">
        <w:trPr>
          <w:trHeight w:val="20"/>
        </w:trPr>
        <w:tc>
          <w:tcPr>
            <w:tcW w:w="567" w:type="dxa"/>
            <w:noWrap/>
            <w:hideMark/>
          </w:tcPr>
          <w:p w14:paraId="34CFDE89" w14:textId="25CA23EF"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65ImNODT","properties":{"formattedCitation":"(79)","plainCitation":"(79)","noteIndex":0},"citationItems":[{"id":3831,"uris":["http://zotero.org/users/4975241/items/PB5IBXSA"],"uri":["http://zotero.org/users/4975241/items/PB5IBXSA"],"itemData":{"id":3831,"type":"article-journal","abstract":"BACKGROUND: There is a dearth of empirical evidence on the effectiveness of pharmacological and nonpharmacological treatments for adolescents with post-traumatic stress disorder (PTSD) in developing country settings. The primary aim of this study was to demonstrate that Prolonged Exposure Treatment for Adolescents (PE-A) and supportive counselling (SC) are implementable by nurses in a South African context. A secondary aim was to perform a preliminary analysis of the effectiveness of registered nurses delivering either PE-A or SC treatment to adolescents with PTSD. It is hypothesised that PE-A will be superior to SC in terms of improvements in PTSD symptoms and depression.\nMETHOD: A pilot, single-blind, randomised clinical trial of 11 adolescents with PTSD. Nurses previously naïve to Prolonged Exposure (PE) Treatment and SC provided these treatments at the adolescents' high schools. Data collection lasted from March 2013 to October 2014. Participants received twelve 60-90-min sessions of PE (n</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6) or SC (n</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 xml:space="preserve">5). All outcomes were assessed before treatment, at mid-treatment, immediately after treatment completion and at 12-month follow-up. The primary outcome, PTSD symptom severity, was assessed with the Child PTSD Symptom Scale-Interview (CPSS-I) (range, 0-51; higher scores indicate greater severity). The secondary outcome, depression severity, was assessed with the Beck Depression Inventory (BDI) (range, 0-41; higher scores indicate greater severity).\nRESULTS: Data were analysed as intention to treat. During treatment, participants in both the PE-A and SC treatment arms experienced significant improvement on the CPSS-I as well as on the BDI. There was a significant difference between the PE-A and SC groups in maintaining PTSD and depression at the 12-month post-treatment assessment, with the participants in the PE-A group maintaining their gains both on PTSD and depression measures.\nCONCLUSION: The treatment was adequately implemented by the nurses and well-tolerated by the participants. Preliminary results suggest that the delivery of either intervention led to a significant improvement in PTSD and depression symptoms immediately post treatment. The important difference was that improvement gains in PTSD and depression in the PE-A group were maintained at 12-month follow-up. The results of this pilot and feasibility study are discussed.\nTRIAL REGISTRATION: Pan African Clinical Trials Registry: PACTR201511001345372 , registered on 11 November 2015.","container-title":"Trials","DOI":"10.1186/s13063-016-1677-6","ISSN":"1745-6215","issue":"1","journalAbbreviation":"Trials","language":"eng","note":"PMID: 27855699\nPMCID: PMC5114829","page":"548","source":"PubMed","title":"A pilot and feasibility randomised controlled study of Prolonged Exposure Treatment and supportive counselling for post-traumatic stress disorder in adolescents: a third world, task-shifting, community-based sample","title-short":"A pilot and feasibility randomised controlled study of Prolonged Exposure Treatment and supportive counselling for post-traumatic stress disorder in adolescents","volume":"17","author":[{"family":"Rossouw","given":"Jaco"},{"family":"Yadin","given":"Elna"},{"family":"Alexander","given":"Debra"},{"family":"Mbanga","given":"Irene"},{"family":"Jacobs","given":"Tracy"},{"family":"Seedat","given":"Soraya"}],"issued":{"date-parts":[["2016",11,17]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(79)</w:t>
            </w:r>
            <w:r>
              <w:rPr>
                <w:rFonts w:ascii="Times" w:eastAsia="Times New Roman" w:hAnsi="Times" w:cs="Times New Roman"/>
                <w:color w:val="000000"/>
                <w:sz w:val="16"/>
                <w:szCs w:val="16"/>
              </w:rPr>
              <w:fldChar w:fldCharType="end"/>
            </w:r>
          </w:p>
        </w:tc>
        <w:tc>
          <w:tcPr>
            <w:tcW w:w="709" w:type="dxa"/>
            <w:noWrap/>
            <w:hideMark/>
          </w:tcPr>
          <w:p w14:paraId="259905B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2016</w:t>
            </w:r>
          </w:p>
        </w:tc>
        <w:tc>
          <w:tcPr>
            <w:tcW w:w="851" w:type="dxa"/>
            <w:noWrap/>
            <w:hideMark/>
          </w:tcPr>
          <w:p w14:paraId="7A7DE09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Africa</w:t>
            </w:r>
          </w:p>
        </w:tc>
        <w:tc>
          <w:tcPr>
            <w:tcW w:w="708" w:type="dxa"/>
            <w:noWrap/>
            <w:hideMark/>
          </w:tcPr>
          <w:p w14:paraId="4A1D5B1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RCT</w:t>
            </w:r>
          </w:p>
        </w:tc>
        <w:tc>
          <w:tcPr>
            <w:tcW w:w="1418" w:type="dxa"/>
            <w:noWrap/>
            <w:hideMark/>
          </w:tcPr>
          <w:p w14:paraId="633C6C9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Schools</w:t>
            </w:r>
          </w:p>
        </w:tc>
        <w:tc>
          <w:tcPr>
            <w:tcW w:w="992" w:type="dxa"/>
            <w:noWrap/>
            <w:hideMark/>
          </w:tcPr>
          <w:p w14:paraId="201E40D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Adolescent (13-18y)</w:t>
            </w:r>
          </w:p>
        </w:tc>
        <w:tc>
          <w:tcPr>
            <w:tcW w:w="992" w:type="dxa"/>
            <w:noWrap/>
            <w:hideMark/>
          </w:tcPr>
          <w:p w14:paraId="43AA07C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6CF8C29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Compare two different treatment for PTSD both delivered by nurse</w:t>
            </w:r>
          </w:p>
        </w:tc>
        <w:tc>
          <w:tcPr>
            <w:tcW w:w="988" w:type="dxa"/>
            <w:noWrap/>
            <w:hideMark/>
          </w:tcPr>
          <w:p w14:paraId="1E4F0E2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59DDBCA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2A9B93D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Anxiety disorder</w:t>
            </w:r>
          </w:p>
        </w:tc>
        <w:tc>
          <w:tcPr>
            <w:tcW w:w="992" w:type="dxa"/>
            <w:noWrap/>
            <w:hideMark/>
          </w:tcPr>
          <w:p w14:paraId="2D83368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DD0E02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Prolonged exposure or supportive counselling for PTSD</w:t>
            </w:r>
          </w:p>
        </w:tc>
        <w:tc>
          <w:tcPr>
            <w:tcW w:w="2268" w:type="dxa"/>
            <w:noWrap/>
            <w:hideMark/>
          </w:tcPr>
          <w:p w14:paraId="7134B1C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1-year advanced psychiatry diploma, 4-day workshop, 16 hour practical training</w:t>
            </w:r>
          </w:p>
        </w:tc>
        <w:tc>
          <w:tcPr>
            <w:tcW w:w="1134" w:type="dxa"/>
            <w:noWrap/>
            <w:hideMark/>
          </w:tcPr>
          <w:p w14:paraId="0D9414A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Group supervision every week</w:t>
            </w:r>
          </w:p>
        </w:tc>
        <w:tc>
          <w:tcPr>
            <w:tcW w:w="1134" w:type="dxa"/>
            <w:noWrap/>
            <w:hideMark/>
          </w:tcPr>
          <w:p w14:paraId="04EA097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17AD5A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06442D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2163EDC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Both treatment arms (both performed by nurse) had significant decrease in PTSD and depression post treatment</w:t>
            </w:r>
          </w:p>
        </w:tc>
      </w:tr>
      <w:tr w:rsidR="00591F5E" w:rsidRPr="00C0069F" w14:paraId="6BAD4D84" w14:textId="77777777" w:rsidTr="00E15533">
        <w:trPr>
          <w:trHeight w:val="20"/>
        </w:trPr>
        <w:tc>
          <w:tcPr>
            <w:tcW w:w="567" w:type="dxa"/>
            <w:noWrap/>
            <w:hideMark/>
          </w:tcPr>
          <w:p w14:paraId="371CF9D4" w14:textId="77B6BAD7"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XOMqWNeO","properties":{"formattedCitation":"(80)","plainCitation":"(80)","noteIndex":0},"citationItems":[{"id":4304,"uris":["http://zotero.org/users/4975241/items/KRYQ287P"],"uri":["http://zotero.org/users/4975241/items/KRYQ287P"],"itemData":{"id":4304,"type":"article-journal","container-title":"Tropical Medicine &amp; International Health","journalAbbreviation":"Tropical Medicine &amp; International Health","note":"00000","page":"83-83","title":"Combating barriers to epilepsy treatment in Western Uganda","volume":"18","author":[{"family":"Harris","given":"Christopher"},{"family":"Harris","given":"Unity"}],"issued":{"date-parts":[["2013",9,1]]}}}],"schema":"https://github.com/citation-style-language/schema/raw/master/csl-citation.json"}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(80)</w:t>
            </w:r>
            <w:r>
              <w:rPr>
                <w:rFonts w:ascii="Times" w:eastAsia="Times New Roman" w:hAnsi="Times" w:cs="Times New Roman"/>
                <w:color w:val="000000"/>
                <w:sz w:val="16"/>
                <w:szCs w:val="16"/>
              </w:rPr>
              <w:fldChar w:fldCharType="end"/>
            </w:r>
          </w:p>
        </w:tc>
        <w:tc>
          <w:tcPr>
            <w:tcW w:w="709" w:type="dxa"/>
            <w:noWrap/>
            <w:hideMark/>
          </w:tcPr>
          <w:p w14:paraId="6DA8F82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2013</w:t>
            </w:r>
          </w:p>
        </w:tc>
        <w:tc>
          <w:tcPr>
            <w:tcW w:w="851" w:type="dxa"/>
            <w:noWrap/>
            <w:hideMark/>
          </w:tcPr>
          <w:p w14:paraId="0643FA1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78DDC74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6F32CBD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Satellite clinic in the local village</w:t>
            </w:r>
          </w:p>
        </w:tc>
        <w:tc>
          <w:tcPr>
            <w:tcW w:w="992" w:type="dxa"/>
            <w:noWrap/>
            <w:hideMark/>
          </w:tcPr>
          <w:p w14:paraId="0AC35B1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038B373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0ED0E32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case of setting up satellite clinic to prove epilepsy treatment</w:t>
            </w:r>
          </w:p>
        </w:tc>
        <w:tc>
          <w:tcPr>
            <w:tcW w:w="988" w:type="dxa"/>
            <w:noWrap/>
            <w:hideMark/>
          </w:tcPr>
          <w:p w14:paraId="7EA6801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548DE6E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62DFE3E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w:t>
            </w:r>
          </w:p>
        </w:tc>
        <w:tc>
          <w:tcPr>
            <w:tcW w:w="992" w:type="dxa"/>
            <w:noWrap/>
            <w:hideMark/>
          </w:tcPr>
          <w:p w14:paraId="42366F9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3D64559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 treatment</w:t>
            </w:r>
          </w:p>
        </w:tc>
        <w:tc>
          <w:tcPr>
            <w:tcW w:w="2268" w:type="dxa"/>
            <w:noWrap/>
            <w:hideMark/>
          </w:tcPr>
          <w:p w14:paraId="4D354CB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Extra training in epilepsy</w:t>
            </w:r>
          </w:p>
        </w:tc>
        <w:tc>
          <w:tcPr>
            <w:tcW w:w="1134" w:type="dxa"/>
            <w:noWrap/>
            <w:hideMark/>
          </w:tcPr>
          <w:p w14:paraId="10CDCD4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2499FE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D87F26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036A331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1C3656D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70% attending for follow-up in satellite clinics, whereas in hospital the majority did not attending follow-up</w:t>
            </w:r>
          </w:p>
        </w:tc>
      </w:tr>
      <w:tr w:rsidR="00F02432" w:rsidRPr="00C0069F" w14:paraId="7A40E7B7" w14:textId="77777777" w:rsidTr="00E15533">
        <w:trPr>
          <w:trHeight w:val="20"/>
        </w:trPr>
        <w:tc>
          <w:tcPr>
            <w:tcW w:w="567" w:type="dxa"/>
            <w:noWrap/>
            <w:hideMark/>
          </w:tcPr>
          <w:p w14:paraId="7283A6A1" w14:textId="741AEDCC"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GE1jKVyV","properties":{"formattedCitation":"(81)","plainCitation":"(81)","noteIndex":0},"citationItems":[{"id":3845,"uris":["http://zotero.org/users/4975241/items/MK5PRI79"],"uri":["http://zotero.org/users/4975241/items/MK5PRI79"],"itemData":{"id":3845,"type":"article-journal","abstract":"BACKGROUND: Early identification and management of child and adolescent mental health (CAMH) disorders helps to avert mental illness in adulthood but a CAMH treatment gap exists in Uganda. CAMH integration into primary health care (PHC) through in-service training of non-specialist health workers (NSHW) using the World Health Organisation (WHO) Mental Health Gap Action Programme (mhGAP) Intervention Guide (IG) is a strategy to address this gap. However, results of such training are not supported by information on training development or delivery; and are undifferentiated by NSHW cadre. We aim to describe an in-service CAMH training for NSHW in Uganda and assess cadre-differentiated learning outcomes.\nMETHODS: Thirty-six clinical officers, nurses and midwives from 18 randomly selected PHC clinics in eastern Uganda were trained for 5 days on CAMH screening and referral using a curriculum based on the mhGAP-IG version 1.0 and PowerPoint slides from the International Association of Child and Adolescent Psychiatry and Allied Professions (IACAPAP). The residential training was evaluated through pre- and post- training tests of CAMH knowledge and attitudes using the participants' post-test scores; and the difference between pre-test and post-test scores. Two-tailed t-tests assessed differences in mean pre-test and post-test scores between the cadres; hierarchical linear regression tested the association between cadre and post test scores; and logistic regression evaluated the relationship between cadre and knowledge gain at three pre-determined cut off points.\nRESULTS: Thirty-three participants completed both pre-and post-tests. Improved mean scores from pre- to post-test were observed for both clinical officers (20% change) and nurse/midwives (18% change). Clinical officers had significantly higher mean test scores than nurses and midwives (p &lt; 0.05) but cadre was not significantly associated with improvement in CAMH knowledge at the 10% (AOR 0.08; 95 CI [0.01, 1.19]; p = 0.066), 15% (AOR 0.16; 95% CI [0.01, 2.21]; p = 0.170), or 25% (AOR 0.13; 95% CI [0.01, 1.74]; p = 0.122) levels.\nCONCLUSION: We aimed to examine CAMH learning outcomes by NSHW cadre. NSHW cadre does not influence knowledge gain from in-service CAMH training. Thus, an option for integrating CAMH into PHC in Uganda using the mhGAP-IG and IACAPAP PowerPoint slides is to proceed without cadre differentiation.","container-title":"International Journal of Mental Health Systems","DOI":"10.1186/s13033-017-0158-y","ISSN":"1752-4458","journalAbbreviation":"Int J Ment Health Syst","language":"eng","note":"PMID: 28855962\nPMCID: PMC5571627","page":"50","source":"PubMed","title":"Does child and adolescent mental health in-service training result in equivalent knowledge gain among cadres of non-specialist health workers in Uganda? A pre-test post-test study","title-short":"Does child and adolescent mental health in-service training result in equivalent knowledge gain among cadres of non-specialist health workers in Uganda?","volume":"11","author":[{"family":"Akol","given":"Angela"},{"family":"Nalugya","given":"Joyce"},{"family":"Nshemereirwe","given":"Sylvia"},{"family":"Babirye","given":"Juliet N."},{"family":"Engebretsen","given":"Ingunn Marie Stadskleiv"}],"issued":{"date-parts":[["2017"]]}}}],"schema":"https://github.com/citation-style-language/schema/raw/master/csl-citation.json"}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(81)</w:t>
            </w:r>
            <w:r>
              <w:rPr>
                <w:rFonts w:ascii="Times" w:eastAsia="Times New Roman" w:hAnsi="Times" w:cs="Times New Roman"/>
                <w:color w:val="000000"/>
                <w:sz w:val="16"/>
                <w:szCs w:val="16"/>
              </w:rPr>
              <w:fldChar w:fldCharType="end"/>
            </w:r>
          </w:p>
        </w:tc>
        <w:tc>
          <w:tcPr>
            <w:tcW w:w="709" w:type="dxa"/>
            <w:noWrap/>
            <w:hideMark/>
          </w:tcPr>
          <w:p w14:paraId="3F9C5B0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6C5E2FE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7461A35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60C501D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heath care centres</w:t>
            </w:r>
          </w:p>
        </w:tc>
        <w:tc>
          <w:tcPr>
            <w:tcW w:w="992" w:type="dxa"/>
            <w:noWrap/>
            <w:hideMark/>
          </w:tcPr>
          <w:p w14:paraId="00E3C9C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 and adolescent</w:t>
            </w:r>
          </w:p>
        </w:tc>
        <w:tc>
          <w:tcPr>
            <w:tcW w:w="992" w:type="dxa"/>
            <w:noWrap/>
            <w:hideMark/>
          </w:tcPr>
          <w:p w14:paraId="3DC1A89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496EABD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learning outcomes after an in-service training</w:t>
            </w:r>
          </w:p>
        </w:tc>
        <w:tc>
          <w:tcPr>
            <w:tcW w:w="988" w:type="dxa"/>
            <w:noWrap/>
            <w:hideMark/>
          </w:tcPr>
          <w:p w14:paraId="35C402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BAFDB3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nurse, midwife</w:t>
            </w:r>
          </w:p>
        </w:tc>
        <w:tc>
          <w:tcPr>
            <w:tcW w:w="1276" w:type="dxa"/>
            <w:noWrap/>
            <w:hideMark/>
          </w:tcPr>
          <w:p w14:paraId="6479A68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Mental disorder, substance use disorder, epilepsy</w:t>
            </w:r>
          </w:p>
        </w:tc>
        <w:tc>
          <w:tcPr>
            <w:tcW w:w="992" w:type="dxa"/>
            <w:noWrap/>
            <w:hideMark/>
          </w:tcPr>
          <w:p w14:paraId="29F6187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6115EA3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Identification of mental, neurological or substance use disorder</w:t>
            </w:r>
          </w:p>
        </w:tc>
        <w:tc>
          <w:tcPr>
            <w:tcW w:w="2268" w:type="dxa"/>
            <w:noWrap/>
            <w:hideMark/>
          </w:tcPr>
          <w:p w14:paraId="20C64C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5 day residential training including classroom and practicum</w:t>
            </w:r>
          </w:p>
        </w:tc>
        <w:tc>
          <w:tcPr>
            <w:tcW w:w="1134" w:type="dxa"/>
            <w:noWrap/>
            <w:hideMark/>
          </w:tcPr>
          <w:p w14:paraId="7280A0A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4BA091C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6A05F24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Improvement in mean test score for mental health knowledge, clinical officers had higher mean score</w:t>
            </w:r>
          </w:p>
        </w:tc>
        <w:tc>
          <w:tcPr>
            <w:tcW w:w="2448" w:type="dxa"/>
            <w:gridSpan w:val="2"/>
            <w:noWrap/>
            <w:hideMark/>
          </w:tcPr>
          <w:p w14:paraId="012CB6A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2B691B1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0B3F4590" w14:textId="77777777" w:rsidTr="00E15533">
        <w:trPr>
          <w:trHeight w:val="20"/>
        </w:trPr>
        <w:tc>
          <w:tcPr>
            <w:tcW w:w="567" w:type="dxa"/>
            <w:noWrap/>
            <w:hideMark/>
          </w:tcPr>
          <w:p w14:paraId="27066330" w14:textId="2855E849"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C7CZEP5H","properties":{"formattedCitation":"(82)","plainCitation":"(82)","noteIndex":0},"citationItems":[{"id":4209,"uris":["http://zotero.org/users/4975241/items/CTM6RDQ7"],"uri":["http://zotero.org/users/4975241/items/CTM6RDQ7"],"itemData":{"id":4209,"type":"article-journal","abstract":"Objective  Epilepsy affects approximately 50</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million people globally, with approximately 80% living in low/ middle-income countries (LMIC), where access to specialist care is limited. In LMIC, primary health workers provide the majority of epilepsy care, despite limited training in this field. Recognising this knowledge gap among these providers is an essential component for closing the epilepsy treatment gap in these regions. Setting  In Zambia, the vast majority of healthcare is provided by clinical officers (COs), primary health providers with 3</w:instrText>
            </w:r>
            <w:r>
              <w:rPr>
                <w:rFonts w:ascii="Times New Roman" w:eastAsia="Times New Roman" w:hAnsi="Times New Roman" w:cs="Times New Roman"/>
                <w:color w:val="000000"/>
                <w:sz w:val="16"/>
                <w:szCs w:val="16"/>
              </w:rPr>
              <w:instrText> </w:instrText>
            </w:r>
            <w:r>
              <w:rPr>
                <w:rFonts w:ascii="Times" w:eastAsia="Times New Roman" w:hAnsi="Times" w:cs="Times New Roman"/>
                <w:color w:val="000000"/>
                <w:sz w:val="16"/>
                <w:szCs w:val="16"/>
              </w:rPr>
              <w:instrText xml:space="preserve">years post-secondary general medical education, who predominantly work in first-level health centres around the country. Participants  With cooperation from the Ministry of Health, a total of 10 COs from 4 surrounding first-level health centres around the capital city of Lusaka participated, with 9 completing the entire course. Intervention  COs were trained in a 3-week structured course on paediatric seizures and epilepsy, based on adapted evidence-based guidelines.\nResults  Preassessment and postassessment were conducted to assess the intervention. Following the course, there was improved overall knowledge about epilepsy (69% vs 81%, p&lt;0.05), specifically knowledge regarding medication management and recognition of focal seizures (p&lt;0.05), improved seizure history taking and appropriate medication titration (p&lt;0.05). However, knowledge regarding provoked seizures, use of diagnostic studies and general aetiologies of epilepsy remained limited.\nConclusions  This pilot project demonstrated that a focused paediatric epilepsy training programme for COs can improve knowledge and confidence in management, and as such is a promising step for improving the large epilepsy treatment gap in children in Zambia. With feasibility demonstrated, future projects are needed to expand to more rural regions for more diverse and larger sample of primary health provider participants and encompass more case-based training and repetition of key concepts as well as methods to improve and assess longterm knowledge retention.","container-title":"BMJ Open","DOI":"10.1136/bmjopen-2019-029322","ISSN":"2044-6055, 2044-6055","issue":"7","journalAbbreviation":"BMJ Open","language":"en","page":"e029322","source":"DOI.org (Crossref)","title":"Improving paediatric epilepsy management at the first level of care: a pilot education intervention for clinical officers in Zambia","title-short":"Improving paediatric epilepsy management at the first level of care","volume":"9","author":[{"family":"Patel","given":"Archana A"},{"family":"Wibecan","given":"Leah"},{"family":"Tembo","given":"Owen"},{"family":"Kalyelye","given":"Prisca"},{"family":"Mathews","given":"Manoj"},{"family":"Ciccone","given":"Ornella"}],"issued":{"date-parts":[["2019",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(82)</w:t>
            </w:r>
            <w:r>
              <w:rPr>
                <w:rFonts w:ascii="Times" w:eastAsia="Times New Roman" w:hAnsi="Times" w:cs="Times New Roman"/>
                <w:color w:val="000000"/>
                <w:sz w:val="16"/>
                <w:szCs w:val="16"/>
              </w:rPr>
              <w:fldChar w:fldCharType="end"/>
            </w:r>
          </w:p>
        </w:tc>
        <w:tc>
          <w:tcPr>
            <w:tcW w:w="709" w:type="dxa"/>
            <w:noWrap/>
            <w:hideMark/>
          </w:tcPr>
          <w:p w14:paraId="3B17E28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1E59664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Zambia</w:t>
            </w:r>
          </w:p>
        </w:tc>
        <w:tc>
          <w:tcPr>
            <w:tcW w:w="708" w:type="dxa"/>
            <w:noWrap/>
            <w:hideMark/>
          </w:tcPr>
          <w:p w14:paraId="66B65FF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w:t>
            </w:r>
          </w:p>
        </w:tc>
        <w:tc>
          <w:tcPr>
            <w:tcW w:w="1418" w:type="dxa"/>
            <w:noWrap/>
            <w:hideMark/>
          </w:tcPr>
          <w:p w14:paraId="7D8CE90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Peri-urban first-level health centre</w:t>
            </w:r>
          </w:p>
        </w:tc>
        <w:tc>
          <w:tcPr>
            <w:tcW w:w="992" w:type="dxa"/>
            <w:noWrap/>
            <w:hideMark/>
          </w:tcPr>
          <w:p w14:paraId="21D4073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5E25647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5B8C8F8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Examine changes in knowledge for epilepsy after training</w:t>
            </w:r>
          </w:p>
        </w:tc>
        <w:tc>
          <w:tcPr>
            <w:tcW w:w="988" w:type="dxa"/>
            <w:noWrap/>
            <w:hideMark/>
          </w:tcPr>
          <w:p w14:paraId="3A6C48B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672ED0F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w:t>
            </w:r>
          </w:p>
        </w:tc>
        <w:tc>
          <w:tcPr>
            <w:tcW w:w="1276" w:type="dxa"/>
            <w:noWrap/>
            <w:hideMark/>
          </w:tcPr>
          <w:p w14:paraId="0A14C72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w:t>
            </w:r>
          </w:p>
        </w:tc>
        <w:tc>
          <w:tcPr>
            <w:tcW w:w="992" w:type="dxa"/>
            <w:noWrap/>
            <w:hideMark/>
          </w:tcPr>
          <w:p w14:paraId="5A28774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5D740E3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 diagnosis and management</w:t>
            </w:r>
          </w:p>
        </w:tc>
        <w:tc>
          <w:tcPr>
            <w:tcW w:w="2268" w:type="dxa"/>
            <w:noWrap/>
            <w:hideMark/>
          </w:tcPr>
          <w:p w14:paraId="4853569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3-week six training model and open case discussion</w:t>
            </w:r>
          </w:p>
        </w:tc>
        <w:tc>
          <w:tcPr>
            <w:tcW w:w="1134" w:type="dxa"/>
            <w:noWrap/>
            <w:hideMark/>
          </w:tcPr>
          <w:p w14:paraId="402E82B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358F9A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176F23D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Knowledge of epilepsy: medication management, recognition of focal seizure, history taking, medication titration increased; knowledge regarding provoked seizures, use of diagnostic studies and general aetiologies of epilepsy remained limited</w:t>
            </w:r>
          </w:p>
        </w:tc>
        <w:tc>
          <w:tcPr>
            <w:tcW w:w="2448" w:type="dxa"/>
            <w:gridSpan w:val="2"/>
            <w:noWrap/>
            <w:hideMark/>
          </w:tcPr>
          <w:p w14:paraId="1DBF89B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5813D0D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4B68EA54" w14:textId="77777777" w:rsidTr="00E15533">
        <w:trPr>
          <w:trHeight w:val="20"/>
        </w:trPr>
        <w:tc>
          <w:tcPr>
            <w:tcW w:w="567" w:type="dxa"/>
            <w:noWrap/>
            <w:hideMark/>
          </w:tcPr>
          <w:p w14:paraId="155C520C" w14:textId="130FB155"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RjCZ0S51","properties":{"formattedCitation":"(83)","plainCitation":"(83)","noteIndex":0},"citationItems":[{"id":3834,"uris":["http://zotero.org/users/4975241/items/SW3CA94C"],"uri":["http://zotero.org/users/4975241/items/SW3CA94C"],"itemData":{"id":3834,"type":"article-journal","abstract":"BACKGROUND: Empirical evidence on the effectiveness of evidence-based treatments for adolescents with post-traumatic stress disorder (PTSD) in low-resource settings is needed.AimsTo evaluate the comparative effectiveness of prolonged exposure and supportive counselling in adolescents with PTSD.\nMETHOD: Sixty-three adolescents (13-18 years) with PTSD were randomly assigned to receive either of the interventions comprising 7-14 sessions of treatment (trial registration in the Pan African Clinical Trials Registry: PACTR201511001345372). The primary outcome measure was PTSD symptom severity, as independently assessed on the Child PTSD Symptom Scale at pre-treatment, post-treatment, and at 3- and 6-month follow-up.\nRESULTS: Participants receiving prolonged exposure experienced greater improvement on the PTSD symptom severity scale than those receiving supportive counselling (between group differences at post-intervention, mean 12.49, 95% CI 6.82-18.17, P&lt;0.001; d = 1.22). A similar effect size was maintained at 3-month (d = 0.85) and 6-month (d = 1.02) follow-up assessments.\nCONCLUSIONS: Adolescents with PTSD experienced greater benefit from prolonged exposure treatment when provided by non-specialist health workers (nurses) in a community setting.Declaration of interestNone.","container-title":"The British Journal of Psychiatry: The Journal of Mental Science","DOI":"10.1192/bjp.2018.130","ISSN":"1472-1465","issue":"4","journalAbbreviation":"Br J Psychiatry","language":"eng","note":"PMID: 29991358","page":"587-594","source":"PubMed","title":"Prolonged exposure therapy and supportive counselling for post-traumatic stress disorder in adolescents: task-shifting randomised controlled trial","title-short":"Prolonged exposure therapy and supportive counselling for post-traumatic stress disorder in adolescents","volume":"213","author":[{"family":"Rossouw","given":"Jaco"},{"family":"Yadin","given":"Elna"},{"family":"Alexander","given":"Debra"},{"family":"Seedat","given":"Soraya"}],"issued":{"date-parts":[["2018",10]]}}}],"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(83)</w:t>
            </w:r>
            <w:r>
              <w:rPr>
                <w:rFonts w:ascii="Times" w:eastAsia="Times New Roman" w:hAnsi="Times" w:cs="Times New Roman"/>
                <w:color w:val="000000"/>
                <w:sz w:val="16"/>
                <w:szCs w:val="16"/>
              </w:rPr>
              <w:fldChar w:fldCharType="end"/>
            </w:r>
          </w:p>
        </w:tc>
        <w:tc>
          <w:tcPr>
            <w:tcW w:w="709" w:type="dxa"/>
            <w:noWrap/>
            <w:hideMark/>
          </w:tcPr>
          <w:p w14:paraId="11C45AB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2018</w:t>
            </w:r>
          </w:p>
        </w:tc>
        <w:tc>
          <w:tcPr>
            <w:tcW w:w="851" w:type="dxa"/>
            <w:noWrap/>
            <w:hideMark/>
          </w:tcPr>
          <w:p w14:paraId="34D82B5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Africa</w:t>
            </w:r>
          </w:p>
        </w:tc>
        <w:tc>
          <w:tcPr>
            <w:tcW w:w="708" w:type="dxa"/>
            <w:noWrap/>
            <w:hideMark/>
          </w:tcPr>
          <w:p w14:paraId="6402954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RCT</w:t>
            </w:r>
          </w:p>
        </w:tc>
        <w:tc>
          <w:tcPr>
            <w:tcW w:w="1418" w:type="dxa"/>
            <w:noWrap/>
            <w:hideMark/>
          </w:tcPr>
          <w:p w14:paraId="52265A6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Schools</w:t>
            </w:r>
          </w:p>
        </w:tc>
        <w:tc>
          <w:tcPr>
            <w:tcW w:w="992" w:type="dxa"/>
            <w:noWrap/>
            <w:hideMark/>
          </w:tcPr>
          <w:p w14:paraId="2466FA6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Adolescent (13-18)</w:t>
            </w:r>
          </w:p>
        </w:tc>
        <w:tc>
          <w:tcPr>
            <w:tcW w:w="992" w:type="dxa"/>
            <w:noWrap/>
            <w:hideMark/>
          </w:tcPr>
          <w:p w14:paraId="1DA2461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756700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effectiveness of task shifted intervention for PTSD, both group performed by nurse</w:t>
            </w:r>
          </w:p>
        </w:tc>
        <w:tc>
          <w:tcPr>
            <w:tcW w:w="988" w:type="dxa"/>
            <w:noWrap/>
            <w:hideMark/>
          </w:tcPr>
          <w:p w14:paraId="0B9A41A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37D5BC9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1DB1090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Anxiety disorder</w:t>
            </w:r>
          </w:p>
        </w:tc>
        <w:tc>
          <w:tcPr>
            <w:tcW w:w="992" w:type="dxa"/>
            <w:noWrap/>
            <w:hideMark/>
          </w:tcPr>
          <w:p w14:paraId="2BB359E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1A8C09D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Prolonged exposure or supportive counselling for PTSD</w:t>
            </w:r>
          </w:p>
        </w:tc>
        <w:tc>
          <w:tcPr>
            <w:tcW w:w="2268" w:type="dxa"/>
            <w:noWrap/>
            <w:hideMark/>
          </w:tcPr>
          <w:p w14:paraId="0963708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1-year advanced psychiatry diploma, 4-day workshop, 16 jour practical training</w:t>
            </w:r>
          </w:p>
        </w:tc>
        <w:tc>
          <w:tcPr>
            <w:tcW w:w="1134" w:type="dxa"/>
            <w:noWrap/>
            <w:hideMark/>
          </w:tcPr>
          <w:p w14:paraId="46E0AD9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Group supervision every week</w:t>
            </w:r>
          </w:p>
        </w:tc>
        <w:tc>
          <w:tcPr>
            <w:tcW w:w="1134" w:type="dxa"/>
            <w:noWrap/>
            <w:hideMark/>
          </w:tcPr>
          <w:p w14:paraId="346FEBF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44BD5853"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2EF234F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1CE6557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Both treatment arms (both performed by nurse)  improved patient PTSD (interviewer-rated from 35.32 to 9.29 at 6 month), depression (from 31.4 to 10.12 at 6 month), global functioning (from 52.01 to 67.26 at 6 month)</w:t>
            </w:r>
          </w:p>
        </w:tc>
      </w:tr>
      <w:tr w:rsidR="00591F5E" w:rsidRPr="00C0069F" w14:paraId="6F4CFF35" w14:textId="77777777" w:rsidTr="00E15533">
        <w:trPr>
          <w:trHeight w:val="20"/>
        </w:trPr>
        <w:tc>
          <w:tcPr>
            <w:tcW w:w="567" w:type="dxa"/>
            <w:noWrap/>
            <w:hideMark/>
          </w:tcPr>
          <w:p w14:paraId="12F27248" w14:textId="0FBF6EB7"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uZBc0KAQ","properties":{"formattedCitation":"(84)","plainCitation":"(84)","noteIndex":0},"citationItems":[{"id":3828,"uris":["http://zotero.org/users/4975241/items/RJ52SH49"],"uri":["http://zotero.org/users/4975241/items/RJ52SH49"],"itemData":{"id":3828,"type":"article-journal","container-title":"Epilepsia","DOI":"10.1111/j.1528-1167.2008.01580_2.x","ISSN":"1528-1167","issue":"9","journalAbbreviation":"Epilepsia","language":"eng","note":"PMID: 18782214","page":"1639-1642","source":"PubMed","title":"Nurse-led care for epilepsy at primary level in a rural health district in Cameroon","volume":"49","author":[{"family":"Kengne","given":"Andre Pascal"},{"family":"Fezeu","given":"Leopold Ledoux"},{"family":"Awah","given":"Paschal Kum"},{"family":"Sobngwi","given":"Eugene"},{"family":"Dongmo","given":"Sylvestre"},{"family":"Mbanya","given":"Jean Claude"}],"issued":{"date-parts":[["2008",9]]}}}],"schema":"https://github.com/citation-style-language/schema/raw/master/csl-citation.json"}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(84)</w:t>
            </w:r>
            <w:r>
              <w:rPr>
                <w:rFonts w:ascii="Times" w:eastAsia="Times New Roman" w:hAnsi="Times" w:cs="Times New Roman"/>
                <w:color w:val="000000"/>
                <w:sz w:val="16"/>
                <w:szCs w:val="16"/>
              </w:rPr>
              <w:fldChar w:fldCharType="end"/>
            </w:r>
          </w:p>
        </w:tc>
        <w:tc>
          <w:tcPr>
            <w:tcW w:w="709" w:type="dxa"/>
            <w:noWrap/>
            <w:hideMark/>
          </w:tcPr>
          <w:p w14:paraId="7A16FED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2008</w:t>
            </w:r>
          </w:p>
        </w:tc>
        <w:tc>
          <w:tcPr>
            <w:tcW w:w="851" w:type="dxa"/>
            <w:noWrap/>
            <w:hideMark/>
          </w:tcPr>
          <w:p w14:paraId="5F3C1B6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Cameroon</w:t>
            </w:r>
          </w:p>
        </w:tc>
        <w:tc>
          <w:tcPr>
            <w:tcW w:w="708" w:type="dxa"/>
            <w:noWrap/>
            <w:hideMark/>
          </w:tcPr>
          <w:p w14:paraId="1FF53F2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1E8570A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w:t>
            </w:r>
          </w:p>
        </w:tc>
        <w:tc>
          <w:tcPr>
            <w:tcW w:w="992" w:type="dxa"/>
            <w:noWrap/>
            <w:hideMark/>
          </w:tcPr>
          <w:p w14:paraId="003E645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749C62F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2E8DF6F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To examine nurse-led care for epilepsy at primary level in rural health district</w:t>
            </w:r>
          </w:p>
        </w:tc>
        <w:tc>
          <w:tcPr>
            <w:tcW w:w="988" w:type="dxa"/>
            <w:noWrap/>
            <w:hideMark/>
          </w:tcPr>
          <w:p w14:paraId="1747A05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31DE2DA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338B0F0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w:t>
            </w:r>
          </w:p>
        </w:tc>
        <w:tc>
          <w:tcPr>
            <w:tcW w:w="992" w:type="dxa"/>
            <w:noWrap/>
            <w:hideMark/>
          </w:tcPr>
          <w:p w14:paraId="78CD515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77B58A5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 treatment (Phenobarbital and phenytoin)</w:t>
            </w:r>
          </w:p>
        </w:tc>
        <w:tc>
          <w:tcPr>
            <w:tcW w:w="2268" w:type="dxa"/>
            <w:noWrap/>
            <w:hideMark/>
          </w:tcPr>
          <w:p w14:paraId="0A88CD1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Trained</w:t>
            </w:r>
          </w:p>
        </w:tc>
        <w:tc>
          <w:tcPr>
            <w:tcW w:w="1134" w:type="dxa"/>
            <w:noWrap/>
            <w:hideMark/>
          </w:tcPr>
          <w:p w14:paraId="3D31196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Physician available as needed for advice</w:t>
            </w:r>
          </w:p>
        </w:tc>
        <w:tc>
          <w:tcPr>
            <w:tcW w:w="1134" w:type="dxa"/>
            <w:noWrap/>
            <w:hideMark/>
          </w:tcPr>
          <w:p w14:paraId="1FA8CF7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Dosage chart and protocol</w:t>
            </w:r>
          </w:p>
        </w:tc>
        <w:tc>
          <w:tcPr>
            <w:tcW w:w="2448" w:type="dxa"/>
            <w:noWrap/>
            <w:hideMark/>
          </w:tcPr>
          <w:p w14:paraId="2A2C383D"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7D76497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3DEE054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Total mortality rate 2.7%</w:t>
            </w:r>
            <w:r>
              <w:rPr>
                <w:rFonts w:ascii="Times" w:eastAsia="Times New Roman" w:hAnsi="Times" w:cs="Times New Roman"/>
                <w:color w:val="000000"/>
                <w:sz w:val="16"/>
                <w:szCs w:val="16"/>
              </w:rPr>
              <w:t xml:space="preserve"> and reduced seizure</w:t>
            </w:r>
            <w:r w:rsidRPr="00C0069F">
              <w:rPr>
                <w:rFonts w:ascii="Times" w:eastAsia="Times New Roman" w:hAnsi="Times" w:cs="Times New Roman"/>
                <w:color w:val="000000"/>
                <w:sz w:val="16"/>
                <w:szCs w:val="16"/>
              </w:rPr>
              <w:t xml:space="preserve"> during follow-up period</w:t>
            </w:r>
          </w:p>
        </w:tc>
      </w:tr>
      <w:tr w:rsidR="00F02432" w:rsidRPr="00C0069F" w14:paraId="2F0E6817" w14:textId="77777777" w:rsidTr="00E15533">
        <w:trPr>
          <w:trHeight w:val="20"/>
        </w:trPr>
        <w:tc>
          <w:tcPr>
            <w:tcW w:w="567" w:type="dxa"/>
            <w:noWrap/>
            <w:hideMark/>
          </w:tcPr>
          <w:p w14:paraId="77E7779B" w14:textId="1E701E25"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gZ8jATrB","properties":{"formattedCitation":"(85)","plainCitation":"(85)","noteIndex":0},"citationItems":[{"id":3888,"uris":["http://zotero.org/users/4975241/items/UFSEU683"],"uri":["http://zotero.org/users/4975241/items/UFSEU683"],"itemData":{"id":3888,"type":"article-journal","abstract":"Background and purpose. Asthma is an important health condition in sub-Saharan Africa, with major gaps in clinical care. The aim of this project was to implement nurse-led care for asthma in rural Cameroon. Methods: We set-up a nurse-led structured management program for asthma in Bafut rural health district in Cameroon from 1998 to 2000. After an initial phase of intensive medical supervision, nurses were offered to run the clinics independently. Patients were monitored for all-cause mortality, hospitalizations, and control of asthma attacks. Results. At the ﬁnal evaluation, 87 (73.4% women) were registered in the two pilot clinics. They were 4 to 92 years of age (median 51) and had been diagnosed with asthma for 0 to 40 years. The median duration of follow-up was 5 months (range 1–20) and patients attended on average 3 visits (range 1 to 14). During follow-up, a 66-year-old participant died and 170 emergency hospital admissions/consultations were recorded in 34 participants, 82.3% of them being women. Overall there was a signiﬁcant downward trend in the number of days/month with attacks with the duration of follow-up, and at the last visit most patients had improved compared with the initial visit. This trend was apparent in most subgroups of participants. Hospital admission before baseline visit was a predictor of hospital admission during follow-up, hazard ratio (95% conﬁdence interval) 3.20 (1.30–7.91), p = 0.012. Conclusions. The program was well received by the community at large. A marked improvement was observed for most patients as substantiated by the reduction in the number of asthma attacks. Trained nurses are a good alternative for the management of asthma in a resource-limited context.","container-title":"Journal of Asthma","DOI":"10.1080/02770900802032933","ISSN":"0277-0903, 1532-4303","issue":"6","journalAbbreviation":"Journal of Asthma","language":"en","note":"00019","page":"437-443","source":"DOI.org (Crossref)","title":"Nurse-Led Care for Asthma at Primary Level in Rural Sub-Saharan Africa: The Experience of Bafut in Cameroon","title-short":"Nurse-Led Care for Asthma at Primary Level in Rural Sub-Saharan Africa","volume":"45","author":[{"family":"Kengne","given":"Andre Pascal"},{"family":"Sobngwi","given":"Eugene"},{"family":"Fezeu","given":"Leopold Ledoux"},{"family":"Awah","given":"Paschal Kum"},{"family":"Dongmo","given":"Sylvestre"},{"family":"Mbanya","given":"Jean Claude"},{"literal":"for the CENHIP Investigators"}],"issued":{"date-parts":[["2008",1]]}}}],"schema":"https://github.com/citation-style-language/schema/raw/master/csl-citation.json"}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(85)</w:t>
            </w:r>
            <w:r>
              <w:rPr>
                <w:rFonts w:ascii="Times" w:eastAsia="Times New Roman" w:hAnsi="Times" w:cs="Times New Roman"/>
                <w:color w:val="000000"/>
                <w:sz w:val="16"/>
                <w:szCs w:val="16"/>
              </w:rPr>
              <w:fldChar w:fldCharType="end"/>
            </w:r>
          </w:p>
        </w:tc>
        <w:tc>
          <w:tcPr>
            <w:tcW w:w="709" w:type="dxa"/>
            <w:noWrap/>
            <w:hideMark/>
          </w:tcPr>
          <w:p w14:paraId="05E4701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2008</w:t>
            </w:r>
          </w:p>
        </w:tc>
        <w:tc>
          <w:tcPr>
            <w:tcW w:w="851" w:type="dxa"/>
            <w:noWrap/>
            <w:hideMark/>
          </w:tcPr>
          <w:p w14:paraId="27ADFDA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Cameroon</w:t>
            </w:r>
          </w:p>
        </w:tc>
        <w:tc>
          <w:tcPr>
            <w:tcW w:w="708" w:type="dxa"/>
            <w:noWrap/>
            <w:hideMark/>
          </w:tcPr>
          <w:p w14:paraId="58E89F7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Non-randomized trial</w:t>
            </w:r>
          </w:p>
        </w:tc>
        <w:tc>
          <w:tcPr>
            <w:tcW w:w="1418" w:type="dxa"/>
            <w:noWrap/>
            <w:hideMark/>
          </w:tcPr>
          <w:p w14:paraId="6F3ABA7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w:t>
            </w:r>
          </w:p>
        </w:tc>
        <w:tc>
          <w:tcPr>
            <w:tcW w:w="992" w:type="dxa"/>
            <w:noWrap/>
            <w:hideMark/>
          </w:tcPr>
          <w:p w14:paraId="3B0FB14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All population including children</w:t>
            </w:r>
          </w:p>
        </w:tc>
        <w:tc>
          <w:tcPr>
            <w:tcW w:w="992" w:type="dxa"/>
            <w:noWrap/>
            <w:hideMark/>
          </w:tcPr>
          <w:p w14:paraId="6410F96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7A3C29D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To examine nurse-led care for asthma at primary level in rural health district</w:t>
            </w:r>
          </w:p>
        </w:tc>
        <w:tc>
          <w:tcPr>
            <w:tcW w:w="988" w:type="dxa"/>
            <w:noWrap/>
            <w:hideMark/>
          </w:tcPr>
          <w:p w14:paraId="711D5BD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0E593F5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10E0C12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Asthma</w:t>
            </w:r>
          </w:p>
        </w:tc>
        <w:tc>
          <w:tcPr>
            <w:tcW w:w="992" w:type="dxa"/>
            <w:noWrap/>
            <w:hideMark/>
          </w:tcPr>
          <w:p w14:paraId="195EE45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686B8C8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Asthma diagnosis and treatment</w:t>
            </w:r>
          </w:p>
        </w:tc>
        <w:tc>
          <w:tcPr>
            <w:tcW w:w="2268" w:type="dxa"/>
            <w:noWrap/>
            <w:hideMark/>
          </w:tcPr>
          <w:p w14:paraId="00FB724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4-day intensive training with demonstration at the beginning of the program and another refresher course was organized a year later </w:t>
            </w:r>
          </w:p>
        </w:tc>
        <w:tc>
          <w:tcPr>
            <w:tcW w:w="1134" w:type="dxa"/>
            <w:noWrap/>
            <w:hideMark/>
          </w:tcPr>
          <w:p w14:paraId="495C206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Physician available as needed for advice</w:t>
            </w:r>
          </w:p>
        </w:tc>
        <w:tc>
          <w:tcPr>
            <w:tcW w:w="1134" w:type="dxa"/>
            <w:noWrap/>
            <w:hideMark/>
          </w:tcPr>
          <w:p w14:paraId="6E54E17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Clinical management algorithm </w:t>
            </w:r>
          </w:p>
        </w:tc>
        <w:tc>
          <w:tcPr>
            <w:tcW w:w="2448" w:type="dxa"/>
            <w:noWrap/>
            <w:hideMark/>
          </w:tcPr>
          <w:p w14:paraId="495B99A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A2297A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7C2192E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Median follow-up 2 visits, 39.1% re-hospitalization rate, no death in child and adolescent group</w:t>
            </w:r>
          </w:p>
        </w:tc>
      </w:tr>
      <w:tr w:rsidR="00591F5E" w:rsidRPr="00C0069F" w14:paraId="167818CE" w14:textId="77777777" w:rsidTr="00E15533">
        <w:trPr>
          <w:trHeight w:val="20"/>
        </w:trPr>
        <w:tc>
          <w:tcPr>
            <w:tcW w:w="567" w:type="dxa"/>
            <w:noWrap/>
            <w:hideMark/>
          </w:tcPr>
          <w:p w14:paraId="56BBF3AD" w14:textId="16FE5432"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TmK5bOGe","properties":{"formattedCitation":"(86)","plainCitation":"(86)","noteIndex":0},"citationItems":[{"id":3842,"uris":["http://zotero.org/users/4975241/items/FFT2T8R9"],"uri":["http://zotero.org/users/4975241/items/FFT2T8R9"],"itemData":{"id":3842,"type":"article-journal","abstract":"BACKGROUND: The lack of trained mental health professionals has been an important barrier to establishing mental health services in low income countries. The purpose of this paper is to describe the development and implementation of child psychiatry training within a graduate program in mental health for non-physician clinicians in Ethiopia.\nMETHODS: The existing needs for competent practitioners in child psychiatry were identified through discussions with psychiatrists working in Ethiopia as well as with relevant departments within the Federal Ministry of Health Ethiopia (FMOHE). As part of a curriculum for a two year Master of Science (MSC) in Mental Health program for non-physician clinicians, child psychiatry training was designed and implemented by Jimma University with the involvement of experts from Addis Ababa University (AAU), Ethiopia, and Ludwig-Maximillian's University, (LMU), Germany. Graduates gave feedback after completing the course. The World Health Organization's (WHO) Mental Health Gap Action Program (mhGAP) intervention guide (IG) adapted for Ethiopian context was used as the main training material.\nRESULTS: A two-week child psychiatry course and a four week child psychiatry clinical internship were successfully implemented during the first and the second years of the MSC program respectively. During the two week psychiatry course, trainees learned to observe the behavior and to assess the mental status of children at different ages who had a variety of mental health conditions. Assessment of the trainees' clinical skills was done by the instructors at the end of the child psychiatry course as well as during the subsequent four week clinical internship. The trainees generally rated the course to be 'very good' to 'excellent'. Many of the graduates have become faculty at the various universities in Ethiopia.\nCONCLUSION: Child psychiatry training for non-physician mental health specialist trainees was developed and successfully implemented through collaboration with other universities. The model of institutional collaboration in training mental health professionals in the context of limited resources provides a useful guide for other low income countries where there is scarcity of psychiatrists.","container-title":"Child and Adolescent Psychiatry and Mental Health","DOI":"10.1186/1753-2000-8-6","ISSN":"1753-2000","issue":"1","journalAbbreviation":"Child Adolesc Psychiatry Ment Health","language":"eng","note":"PMID: 24568565\nPMCID: PMC3938906","page":"6","source":"PubMed","title":"The development of a model of training in child psychiatry for non-physician clinicians in Ethiopia","volume":"8","author":[{"family":"Tesfaye","given":"Markos"},{"family":"Abera","given":"Mubarek"},{"family":"Gruber-Frank","given":"Christine"},{"family":"Frank","given":"Reiner"}],"issued":{"date-parts":[["2014",2,25]]}}}],"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(86)</w:t>
            </w:r>
            <w:r>
              <w:rPr>
                <w:rFonts w:ascii="Times" w:eastAsia="Times New Roman" w:hAnsi="Times" w:cs="Times New Roman"/>
                <w:color w:val="000000"/>
                <w:sz w:val="16"/>
                <w:szCs w:val="16"/>
              </w:rPr>
              <w:fldChar w:fldCharType="end"/>
            </w:r>
          </w:p>
        </w:tc>
        <w:tc>
          <w:tcPr>
            <w:tcW w:w="709" w:type="dxa"/>
            <w:noWrap/>
            <w:hideMark/>
          </w:tcPr>
          <w:p w14:paraId="03800BF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6257CD9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Ethiopia</w:t>
            </w:r>
          </w:p>
        </w:tc>
        <w:tc>
          <w:tcPr>
            <w:tcW w:w="708" w:type="dxa"/>
            <w:noWrap/>
            <w:hideMark/>
          </w:tcPr>
          <w:p w14:paraId="5D76B89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2E93CB6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Specialized hospital</w:t>
            </w:r>
          </w:p>
        </w:tc>
        <w:tc>
          <w:tcPr>
            <w:tcW w:w="992" w:type="dxa"/>
            <w:noWrap/>
            <w:hideMark/>
          </w:tcPr>
          <w:p w14:paraId="76EDF1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 and adolescent</w:t>
            </w:r>
          </w:p>
        </w:tc>
        <w:tc>
          <w:tcPr>
            <w:tcW w:w="992" w:type="dxa"/>
            <w:noWrap/>
            <w:hideMark/>
          </w:tcPr>
          <w:p w14:paraId="2165DE19"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5C061AF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Describe the development and implementation of child psychiatry program for non-physician clinicians</w:t>
            </w:r>
          </w:p>
        </w:tc>
        <w:tc>
          <w:tcPr>
            <w:tcW w:w="988" w:type="dxa"/>
            <w:noWrap/>
            <w:hideMark/>
          </w:tcPr>
          <w:p w14:paraId="7144F37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7D3DA4A6"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Non-physician clinician</w:t>
            </w:r>
          </w:p>
        </w:tc>
        <w:tc>
          <w:tcPr>
            <w:tcW w:w="1276" w:type="dxa"/>
            <w:noWrap/>
            <w:hideMark/>
          </w:tcPr>
          <w:p w14:paraId="40E274F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Mental disorder</w:t>
            </w:r>
          </w:p>
        </w:tc>
        <w:tc>
          <w:tcPr>
            <w:tcW w:w="992" w:type="dxa"/>
            <w:noWrap/>
            <w:hideMark/>
          </w:tcPr>
          <w:p w14:paraId="4AADB03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44D5C2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 psychiatry</w:t>
            </w:r>
          </w:p>
        </w:tc>
        <w:tc>
          <w:tcPr>
            <w:tcW w:w="2268" w:type="dxa"/>
            <w:noWrap/>
            <w:hideMark/>
          </w:tcPr>
          <w:p w14:paraId="26D55D4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Two week course, main emphasis on how to: assess the emotions, behaviour and functioning of children; develop management plans for specific mental health conditions, and engage and work with patients, families and other providers based on the WHO mhGAP-IG guidelines and four week internship</w:t>
            </w:r>
          </w:p>
        </w:tc>
        <w:tc>
          <w:tcPr>
            <w:tcW w:w="1134" w:type="dxa"/>
            <w:noWrap/>
            <w:hideMark/>
          </w:tcPr>
          <w:p w14:paraId="6267173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27F3B22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4B06CCC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EEAA7C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 xml:space="preserve">Participants of the course have been seeing child patients since completing the child course, and express confidence in caring for child patients. </w:t>
            </w:r>
          </w:p>
        </w:tc>
        <w:tc>
          <w:tcPr>
            <w:tcW w:w="2449" w:type="dxa"/>
            <w:gridSpan w:val="2"/>
            <w:noWrap/>
            <w:hideMark/>
          </w:tcPr>
          <w:p w14:paraId="6B32C9E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5EC11707" w14:textId="77777777" w:rsidTr="00E15533">
        <w:trPr>
          <w:trHeight w:val="20"/>
        </w:trPr>
        <w:tc>
          <w:tcPr>
            <w:tcW w:w="567" w:type="dxa"/>
            <w:noWrap/>
            <w:hideMark/>
          </w:tcPr>
          <w:p w14:paraId="185C5CBF" w14:textId="7D11C9F2"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MHfw7V2E","properties":{"formattedCitation":"(87)","plainCitation":"(87)","noteIndex":0},"citationItems":[{"id":3804,"uris":["http://zotero.org/users/4975241/items/NW7QLNP4"],"uri":["http://zotero.org/users/4975241/items/NW7QLNP4"],"itemData":{"id":3804,"type":"article-journal","abstract":"BACKGROUND: In 2012, the Ugandan Government declared an epidemic of Nodding Syndrome (NS) in the Northern districts of Gulu, Kitgum, Lamwo and Pader. Treatment guidelines were developed and NS treatment centres were established to provide symptomatic control and rehabilitation. However, a wide gap remained between the pre-defined care standards and the quality of routine care provided to those affected. This study is to qualitatively assess adherence to accepted clinical care standards for NS; identify gaps in the care of affected children and offer Clinical Support Supervision (CSS) to Primary Health Care (PHC) staff at the treatment centres; and identify psychosocial challenges faced by affected children and their caregivers.\nMETHODS: This case study was carried out in the districts of Gulu, Kitgum, Lamwo and Pader in Uganda from September to December in 2015. Employing the 5-stage approach of Clinical Audit, data were collected through direct observations and interviews with PHC providers working in public and private-not-for-profit health facilities, as well as with caregivers and political leaders. The qualitative data was analysed using Seidel model of data processing.\nRESULTS: Clinical Audit and CSS revealed poor adherence to treatment guidelines. Many affected children had sub-optimal NS management resulting in poor seizure control and complications including severe burns. Root causes of these outcomes were frequent antiepileptic drugs stock outs, migration of health workers from their work stations and psychosocial issues. There was hardly any specialized multidisciplinary team (MDT) to provide for the complex rehabilitation needs of the patients and a task shifting model with inadequate support supervision was employed, leading to loss of skills learnt. Reported psychosocial and psychosexual issues associated with NS included early pregnancies, public display of sexual behaviours and child abuse.\nCONCLUSIONS: Despite involvement of relevant MDT members in the development of multidisciplinary NS guidelines, multidisciplinary care was not implemented in practice. There is urgent need to review the NS clinical guidelines. Quarterly CSS and consistent anticonvulsant medication are needed at health facilities in affected communities. Implementation of the existing policies and programs to deal with the psychosocial and psychosexual issues that affect children with NS and other chronic conditions is needed.","container-title":"Infectious Diseases of Poverty","DOI":"10.1186/s40249-019-0540-x","ISSN":"2049-9957","issue":"1","journalAbbreviation":"Infect Dis Poverty","language":"eng","note":"PMID: 31036087\nPMCID: PMC6489326","page":"30","source":"PubMed","title":"Qualitative evaluation of the outcomes of care and treatment for children and adolescents with nodding syndrome and other epilepsies in Uganda","volume":"8","author":[{"family":"Abbo","given":"Catherine"},{"family":"Mwaka","given":"Amos Deogratius"},{"family":"Opar","given":"Bernard Toliva"},{"family":"Idro","given":"Richard"}],"issued":{"date-parts":[["2019",4,30]]}}}],"schema":"https://github.com/citation-style-language/schema/raw/master/csl-citation.json"}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(87)</w:t>
            </w:r>
            <w:r>
              <w:rPr>
                <w:rFonts w:ascii="Times" w:eastAsia="Times New Roman" w:hAnsi="Times" w:cs="Times New Roman"/>
                <w:color w:val="000000"/>
                <w:sz w:val="16"/>
                <w:szCs w:val="16"/>
              </w:rPr>
              <w:fldChar w:fldCharType="end"/>
            </w:r>
          </w:p>
        </w:tc>
        <w:tc>
          <w:tcPr>
            <w:tcW w:w="709" w:type="dxa"/>
            <w:noWrap/>
            <w:hideMark/>
          </w:tcPr>
          <w:p w14:paraId="2A5ED0E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2019</w:t>
            </w:r>
          </w:p>
        </w:tc>
        <w:tc>
          <w:tcPr>
            <w:tcW w:w="851" w:type="dxa"/>
            <w:noWrap/>
            <w:hideMark/>
          </w:tcPr>
          <w:p w14:paraId="1281B6C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Uganda</w:t>
            </w:r>
          </w:p>
        </w:tc>
        <w:tc>
          <w:tcPr>
            <w:tcW w:w="708" w:type="dxa"/>
            <w:noWrap/>
            <w:hideMark/>
          </w:tcPr>
          <w:p w14:paraId="154E410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Case study/review</w:t>
            </w:r>
          </w:p>
        </w:tc>
        <w:tc>
          <w:tcPr>
            <w:tcW w:w="1418" w:type="dxa"/>
            <w:noWrap/>
            <w:hideMark/>
          </w:tcPr>
          <w:p w14:paraId="76221EC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Primary health care facilities</w:t>
            </w:r>
          </w:p>
        </w:tc>
        <w:tc>
          <w:tcPr>
            <w:tcW w:w="992" w:type="dxa"/>
            <w:noWrap/>
            <w:hideMark/>
          </w:tcPr>
          <w:p w14:paraId="1603CC0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 and adolescent</w:t>
            </w:r>
          </w:p>
        </w:tc>
        <w:tc>
          <w:tcPr>
            <w:tcW w:w="992" w:type="dxa"/>
            <w:noWrap/>
            <w:hideMark/>
          </w:tcPr>
          <w:p w14:paraId="2AB7F00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Norm</w:t>
            </w:r>
          </w:p>
        </w:tc>
        <w:tc>
          <w:tcPr>
            <w:tcW w:w="1701" w:type="dxa"/>
            <w:noWrap/>
            <w:hideMark/>
          </w:tcPr>
          <w:p w14:paraId="6D81210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Assess adherence to standard for nodding syndrome and identify gaps in care</w:t>
            </w:r>
          </w:p>
        </w:tc>
        <w:tc>
          <w:tcPr>
            <w:tcW w:w="988" w:type="dxa"/>
            <w:noWrap/>
            <w:hideMark/>
          </w:tcPr>
          <w:p w14:paraId="0DDDD30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11F49AC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nurse and other PHC provider</w:t>
            </w:r>
          </w:p>
        </w:tc>
        <w:tc>
          <w:tcPr>
            <w:tcW w:w="1276" w:type="dxa"/>
            <w:noWrap/>
            <w:hideMark/>
          </w:tcPr>
          <w:p w14:paraId="6FE21D0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w:t>
            </w:r>
          </w:p>
        </w:tc>
        <w:tc>
          <w:tcPr>
            <w:tcW w:w="992" w:type="dxa"/>
            <w:noWrap/>
            <w:hideMark/>
          </w:tcPr>
          <w:p w14:paraId="50808ED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6EF51E0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Epilepsy treatment</w:t>
            </w:r>
          </w:p>
        </w:tc>
        <w:tc>
          <w:tcPr>
            <w:tcW w:w="2268" w:type="dxa"/>
            <w:noWrap/>
            <w:hideMark/>
          </w:tcPr>
          <w:p w14:paraId="4C8DF4C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7CF3F7B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367312A1"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779E7ABC"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15D76CBE"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047384F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6075DC25" w14:textId="77777777" w:rsidTr="00E15533">
        <w:trPr>
          <w:trHeight w:val="20"/>
        </w:trPr>
        <w:tc>
          <w:tcPr>
            <w:tcW w:w="567" w:type="dxa"/>
            <w:noWrap/>
            <w:hideMark/>
          </w:tcPr>
          <w:p w14:paraId="309D47D4" w14:textId="2B65CD4C"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Op6oKEOK","properties":{"formattedCitation":"(88)","plainCitation":"(88)","noteIndex":0},"citationItems":[{"id":3836,"uris":["http://zotero.org/users/4975241/items/MGEJGVFF"],"uri":["http://zotero.org/users/4975241/items/MGEJGVFF"],"itemData":{"id":3836,"type":"article-journal","abstract":"BACKGROUND: This qualitative study was nested within a randomized controlled trial (RCT) where two psychotherapeutic interventions (supportive counselling and prolonged exposure for adolescents) were provided by supervised nurses (who served as 'nurse counsellors') to adolescents with PTSD in school settings. This paper describes the perspectives of nurse counsellors (NCs) and school liaisons (SLs). SLs were teachers or administrative personnel at the schools who coordinated the study visits of participants with the NCs. We focus on the impediments and catalysts to and recommendations for treatment implementation.\nMETHODS: NCs (n = 3) and SLs (n = 3) who participated in the RCT during 2014 were purposively recruited by telephone and participated in face-to-face semi-structured in-depth interviews that were recorded and doubly transcribed. Thematic content analysis was applied using Atlas.ti software to identify emerging themes. This paper describes the impediments and catalysts to provide psychotherapy by task-shifting in a community setting across three sub-themes: personal, community, and collaborative care.\nRESULTS: Although nurses were initially resistant to supervision it was central to personally coping with complex interventions, managing traumatic content, and working apart from a multi-disciplinary team. Delivering the interventions in the community presented multiple logistical impediments (e.g. transport, communication, venue suitability) which required creative solutions. In light of resource shortages, networking is central to effective delivery and uptake of the interventions. Collaboration between government departments of health and education may have a major impact on providing school-based psychotherapy through task-shifting.\nCONCLUSIONS: Impediments to implementation are not insurmountable. This article provides recommendations to maximize the success of task-shifting interventions should they be rolled out.","container-title":"Child and Adolescent Psychiatry and Mental Health","DOI":"10.1186/s13034-017-0187-y","ISSN":"1753-2000","journalAbbreviation":"Child Adolesc Psychiatry Ment Health","language":"eng","note":"PMID: 28947915\nPMCID: PMC5609026","page":"48","source":"PubMed","title":"Impediments and catalysts to task-shifting psychotherapeutic interventions for adolescents with PTSD: perspectives of multi-stakeholders","title-short":"Impediments and catalysts to task-shifting psychotherapeutic interventions for adolescents with PTSD","volume":"11","author":[{"family":"Water","given":"Tanya","non-dropping-particle":"van de"},{"family":"Rossouw","given":"Jaco"},{"family":"Yadin","given":"Elna"},{"family":"Seedat","given":"Soraya"}],"issued":{"date-parts":[["2017"]]}}}],"schema":"https://github.com/citation-style-language/schema/raw/master/csl-citation.json"}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(88)</w:t>
            </w:r>
            <w:r>
              <w:rPr>
                <w:rFonts w:ascii="Times" w:eastAsia="Times New Roman" w:hAnsi="Times" w:cs="Times New Roman"/>
                <w:color w:val="000000"/>
                <w:sz w:val="16"/>
                <w:szCs w:val="16"/>
              </w:rPr>
              <w:fldChar w:fldCharType="end"/>
            </w:r>
          </w:p>
        </w:tc>
        <w:tc>
          <w:tcPr>
            <w:tcW w:w="709" w:type="dxa"/>
            <w:noWrap/>
            <w:hideMark/>
          </w:tcPr>
          <w:p w14:paraId="1CD95327"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2017</w:t>
            </w:r>
          </w:p>
        </w:tc>
        <w:tc>
          <w:tcPr>
            <w:tcW w:w="851" w:type="dxa"/>
            <w:noWrap/>
            <w:hideMark/>
          </w:tcPr>
          <w:p w14:paraId="5857CF6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Africa</w:t>
            </w:r>
          </w:p>
        </w:tc>
        <w:tc>
          <w:tcPr>
            <w:tcW w:w="708" w:type="dxa"/>
            <w:noWrap/>
            <w:hideMark/>
          </w:tcPr>
          <w:p w14:paraId="3BBD03F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Interview</w:t>
            </w:r>
          </w:p>
        </w:tc>
        <w:tc>
          <w:tcPr>
            <w:tcW w:w="1418" w:type="dxa"/>
            <w:noWrap/>
            <w:hideMark/>
          </w:tcPr>
          <w:p w14:paraId="5D4D7770"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Schools</w:t>
            </w:r>
          </w:p>
        </w:tc>
        <w:tc>
          <w:tcPr>
            <w:tcW w:w="992" w:type="dxa"/>
            <w:noWrap/>
            <w:hideMark/>
          </w:tcPr>
          <w:p w14:paraId="7FEBEEA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Adolescent (13-18)</w:t>
            </w:r>
          </w:p>
        </w:tc>
        <w:tc>
          <w:tcPr>
            <w:tcW w:w="992" w:type="dxa"/>
            <w:noWrap/>
            <w:hideMark/>
          </w:tcPr>
          <w:p w14:paraId="1930981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7847DFE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Understand impediments and catalysts for task shifting intervention</w:t>
            </w:r>
          </w:p>
        </w:tc>
        <w:tc>
          <w:tcPr>
            <w:tcW w:w="988" w:type="dxa"/>
            <w:noWrap/>
            <w:hideMark/>
          </w:tcPr>
          <w:p w14:paraId="7865A58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6E8C8C7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20F5189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Anxiety disorder</w:t>
            </w:r>
          </w:p>
        </w:tc>
        <w:tc>
          <w:tcPr>
            <w:tcW w:w="992" w:type="dxa"/>
            <w:noWrap/>
            <w:hideMark/>
          </w:tcPr>
          <w:p w14:paraId="75BCC8E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6673DEF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Prolonged exposure or supportive counselling for PTSD</w:t>
            </w:r>
          </w:p>
        </w:tc>
        <w:tc>
          <w:tcPr>
            <w:tcW w:w="2268" w:type="dxa"/>
            <w:noWrap/>
            <w:hideMark/>
          </w:tcPr>
          <w:p w14:paraId="063CB72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1-year advanced psychiatry diploma, 4-day workshop, 16 jour practical training</w:t>
            </w:r>
          </w:p>
        </w:tc>
        <w:tc>
          <w:tcPr>
            <w:tcW w:w="1134" w:type="dxa"/>
            <w:noWrap/>
            <w:hideMark/>
          </w:tcPr>
          <w:p w14:paraId="624BAA8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Group supervision every week</w:t>
            </w:r>
          </w:p>
        </w:tc>
        <w:tc>
          <w:tcPr>
            <w:tcW w:w="1134" w:type="dxa"/>
            <w:noWrap/>
            <w:hideMark/>
          </w:tcPr>
          <w:p w14:paraId="0BD93EC8"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284A344F"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41C5704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4E710266"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F02432" w:rsidRPr="00C0069F" w14:paraId="0FABFAA7" w14:textId="77777777" w:rsidTr="00E15533">
        <w:trPr>
          <w:trHeight w:val="20"/>
        </w:trPr>
        <w:tc>
          <w:tcPr>
            <w:tcW w:w="567" w:type="dxa"/>
            <w:noWrap/>
            <w:hideMark/>
          </w:tcPr>
          <w:p w14:paraId="248B5029" w14:textId="7FCF699A"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9COAbOz3","properties":{"formattedCitation":"(89)","plainCitation":"(89)","noteIndex":0},"citationItems":[{"id":3839,"uris":["http://zotero.org/users/4975241/items/RY73A3QG"],"uri":["http://zotero.org/users/4975241/items/RY73A3QG"],"itemData":{"id":3839,"type":"article-journal","abstract":"BACKGROUND: This investigation compared the perceived effectiveness of supportive counselling (SC) and prolonged exposure for adolescents (PE-A) by treatment users (adolescents with PTSD) and non-specialist treatment providers (supervised nurses).\nMETHOD: Adolescent participants and nurse providers were purposively recruited to share their experiences of trial participation through face to face semi-structured in-depth interviews and treatment-specific focus groups (all recorded). Twelve adolescent participant transcripts (ten interviews and two focus groups) and three nurse provider transcripts were doubly transcribed. Thematic content analysis was applied using Atlas.ti software. Two emerging themes are presented in this paper: 1) Perceptions of the intervention and 2) Usefulness of the intervention.\nRESULTS: Regardless of treatment arm, adolescents experienced warm counselling relationships and described the process of extending trust to the counselor. Adolescents in the PE-A arm provided clear descriptions of session structure and treatment rationale compared with adolescents receiving SC. The most helpful tools were breathing retraining and imaginal exposure for PE-A and creation of distraction strategies during non-directive SC. Adolescents in both arms continued to use the techniques acquired during treatment and reported symptom improvement. Participants who received SC acknowledged ongoing reexperiencing. Nurses perceived SC to be an immediately transferable skill, but feedback on their preference for one intervention over the other was inconclusive.\nCONCLUSION: Both PTSD treatment strategies, implemented by non-specialists, were perceived as helpful. Overall, adolescents reported warm therapeutic relationships and a reduction in PTSD symptoms. Nurses stated that they would require institutional support to ensure delivery of these interventions in a scalable and sustainable manner.","container-title":"PloS One","DOI":"10.1371/journal.pone.0199816","ISSN":"1932-6203","issue":"7","journalAbbreviation":"PLoS One","language":"eng","note":"PMID: 29990372\nPMCID: PMC6038985","page":"e0199816","source":"PubMed","title":"Adolescent and nurse perspectives of psychotherapeutic interventions for PTSD delivered through task-shifting in a low resource setting","volume":"13","author":[{"family":"Water","given":"Tanya","non-dropping-particle":"van de"},{"family":"Rossouw","given":"Jaco"},{"family":"Yadin","given":"Elna"},{"family":"Seedat","given":"Soraya"}],"issued":{"date-parts":[["2018"]]}}}],"schema":"https://github.com/citation-style-language/schema/raw/master/csl-citation.json"}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(89)</w:t>
            </w:r>
            <w:r>
              <w:rPr>
                <w:rFonts w:ascii="Times" w:eastAsia="Times New Roman" w:hAnsi="Times" w:cs="Times New Roman"/>
                <w:color w:val="000000"/>
                <w:sz w:val="16"/>
                <w:szCs w:val="16"/>
              </w:rPr>
              <w:fldChar w:fldCharType="end"/>
            </w:r>
          </w:p>
        </w:tc>
        <w:tc>
          <w:tcPr>
            <w:tcW w:w="709" w:type="dxa"/>
            <w:noWrap/>
            <w:hideMark/>
          </w:tcPr>
          <w:p w14:paraId="0F8EEAC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2018</w:t>
            </w:r>
          </w:p>
        </w:tc>
        <w:tc>
          <w:tcPr>
            <w:tcW w:w="851" w:type="dxa"/>
            <w:noWrap/>
            <w:hideMark/>
          </w:tcPr>
          <w:p w14:paraId="78D1520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South Africa</w:t>
            </w:r>
          </w:p>
        </w:tc>
        <w:tc>
          <w:tcPr>
            <w:tcW w:w="708" w:type="dxa"/>
            <w:noWrap/>
            <w:hideMark/>
          </w:tcPr>
          <w:p w14:paraId="11455EF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Interview</w:t>
            </w:r>
          </w:p>
        </w:tc>
        <w:tc>
          <w:tcPr>
            <w:tcW w:w="1418" w:type="dxa"/>
            <w:noWrap/>
            <w:hideMark/>
          </w:tcPr>
          <w:p w14:paraId="2D590405"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Schools</w:t>
            </w:r>
          </w:p>
        </w:tc>
        <w:tc>
          <w:tcPr>
            <w:tcW w:w="992" w:type="dxa"/>
            <w:noWrap/>
            <w:hideMark/>
          </w:tcPr>
          <w:p w14:paraId="4AFC08E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Adolescent (13-18y)</w:t>
            </w:r>
          </w:p>
        </w:tc>
        <w:tc>
          <w:tcPr>
            <w:tcW w:w="992" w:type="dxa"/>
            <w:noWrap/>
            <w:hideMark/>
          </w:tcPr>
          <w:p w14:paraId="41EF9FD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20D43EA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Experience of nurse provider and adolescents of task-shifting trial participation</w:t>
            </w:r>
          </w:p>
        </w:tc>
        <w:tc>
          <w:tcPr>
            <w:tcW w:w="988" w:type="dxa"/>
            <w:noWrap/>
            <w:hideMark/>
          </w:tcPr>
          <w:p w14:paraId="0975031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Specialist</w:t>
            </w:r>
          </w:p>
        </w:tc>
        <w:tc>
          <w:tcPr>
            <w:tcW w:w="1417" w:type="dxa"/>
            <w:noWrap/>
            <w:hideMark/>
          </w:tcPr>
          <w:p w14:paraId="69050C9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Nurse</w:t>
            </w:r>
          </w:p>
        </w:tc>
        <w:tc>
          <w:tcPr>
            <w:tcW w:w="1276" w:type="dxa"/>
            <w:noWrap/>
            <w:hideMark/>
          </w:tcPr>
          <w:p w14:paraId="01C1826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Anxiety disorder</w:t>
            </w:r>
          </w:p>
        </w:tc>
        <w:tc>
          <w:tcPr>
            <w:tcW w:w="992" w:type="dxa"/>
            <w:noWrap/>
            <w:hideMark/>
          </w:tcPr>
          <w:p w14:paraId="77B593E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Curative</w:t>
            </w:r>
          </w:p>
        </w:tc>
        <w:tc>
          <w:tcPr>
            <w:tcW w:w="1418" w:type="dxa"/>
            <w:noWrap/>
            <w:hideMark/>
          </w:tcPr>
          <w:p w14:paraId="0BF8960A"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Prolonged exposure or supportive counselling for PTSD</w:t>
            </w:r>
          </w:p>
        </w:tc>
        <w:tc>
          <w:tcPr>
            <w:tcW w:w="2268" w:type="dxa"/>
            <w:noWrap/>
            <w:hideMark/>
          </w:tcPr>
          <w:p w14:paraId="5AA0A4D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1-year advanced psychiatry diploma, 4-day workshop, 16 hour practical training</w:t>
            </w:r>
          </w:p>
        </w:tc>
        <w:tc>
          <w:tcPr>
            <w:tcW w:w="1134" w:type="dxa"/>
            <w:noWrap/>
            <w:hideMark/>
          </w:tcPr>
          <w:p w14:paraId="5FDFE60D"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Group supervision every week</w:t>
            </w:r>
          </w:p>
        </w:tc>
        <w:tc>
          <w:tcPr>
            <w:tcW w:w="1134" w:type="dxa"/>
            <w:noWrap/>
            <w:hideMark/>
          </w:tcPr>
          <w:p w14:paraId="2B8971CB"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noWrap/>
            <w:hideMark/>
          </w:tcPr>
          <w:p w14:paraId="52DF2FE4"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8" w:type="dxa"/>
            <w:gridSpan w:val="2"/>
            <w:noWrap/>
            <w:hideMark/>
          </w:tcPr>
          <w:p w14:paraId="573D320A"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2449" w:type="dxa"/>
            <w:gridSpan w:val="2"/>
            <w:noWrap/>
            <w:hideMark/>
          </w:tcPr>
          <w:p w14:paraId="61B59F45"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r>
      <w:tr w:rsidR="00591F5E" w:rsidRPr="00C0069F" w14:paraId="28F8BF73" w14:textId="77777777" w:rsidTr="00E15533">
        <w:trPr>
          <w:trHeight w:val="20"/>
        </w:trPr>
        <w:tc>
          <w:tcPr>
            <w:tcW w:w="567" w:type="dxa"/>
            <w:noWrap/>
            <w:hideMark/>
          </w:tcPr>
          <w:p w14:paraId="53BB9150" w14:textId="127BB035" w:rsidR="00F02432" w:rsidRPr="00C0069F" w:rsidRDefault="00E15533" w:rsidP="00F02432">
            <w:pPr>
              <w:rPr>
                <w:rFonts w:ascii="Times" w:eastAsia="Times New Roman" w:hAnsi="Times" w:cs="Times New Roman"/>
                <w:color w:val="000000"/>
                <w:sz w:val="16"/>
                <w:szCs w:val="16"/>
              </w:rPr>
            </w:pPr>
            <w:r>
              <w:rPr>
                <w:rFonts w:ascii="Times" w:eastAsia="Times New Roman" w:hAnsi="Times" w:cs="Times New Roman"/>
                <w:color w:val="000000"/>
                <w:sz w:val="16"/>
                <w:szCs w:val="16"/>
              </w:rPr>
              <w:fldChar w:fldCharType="begin"/>
            </w:r>
            <w:r>
              <w:rPr>
                <w:rFonts w:ascii="Times" w:eastAsia="Times New Roman" w:hAnsi="Times" w:cs="Times New Roman"/>
                <w:color w:val="000000"/>
                <w:sz w:val="16"/>
                <w:szCs w:val="16"/>
              </w:rPr>
              <w:instrText xml:space="preserve"> ADDIN ZOTERO_ITEM CSL_CITATION {"citationID":"UXWtavRU","properties":{"formattedCitation":"(90)","plainCitation":"(90)","noteIndex":0},"citationItems":[{"id":4101,"uris":["http://zotero.org/users/4975241/items/Y7595M48"],"uri":["http://zotero.org/users/4975241/items/Y7595M48"],"itemData":{"id":4101,"type":"article-journal","abstract":"Background: Many blinding eye conditions of childhood are preventable or treatable, particularly in developing countries. However, primary eye care (PEC) for children is poorly developed, leading to unnecessary visual loss. Activities for control by health workers entail interventions for systemic conditions (measles, vitamin A deficiency), identification and referral of children with sight threatening conditions and health education for caregivers. This pilot study evaluated integrating a package of activities to promote child eye health into Reproductive and Child Health (RCH) services in Dar-es-Salaam, Tanzania.\nMethods: Design: historical comparison study. Fifteen Clinical Officers and 15 nurses in 15 randomly selected RCH clinics were trained in PEC for children in July 2010. They were given educational materials (poster and manual) and their supervisors were orientated. Knowledge and practices were assessed before and 3 weeks after training. One year later their knowledge and practices were compared with a different group of 15 Clinical Officers and 15 nurses who had not been trained.\nResults: Before training staff had insufficient knowledge to identify, treat and refer children with eye diseases, even conjunctivitis. Some recommended harmful practices or did not know that cataract requires urgent referral. Eye examination, vitamin A supplementation of mothers after delivery and cleaning the eyes at birth with instillation of antibiotics (Crede’s prophylaxis) were not routine, and there were no eye-specific educational materials. Three weeks after training several clinics delivering babies started Crede’s prophylaxis, vitamin A supplementation of women after delivery increased from 83.7% to 100%, and all staff included eye conditions in health education sessions. At one year, trained staff were more likely to correctly describe, diagnose and treat conjunctivitis (z=2.34, p=0.04)(30%-vs-60.7%). Mystery mothers observed health education sessions in 7/10 RCH clinics with trained staff, five (71.4%) of which included eye conditions.\nConclusions: Primary eye care for children in Dar-es-Salaam is inadequate but training RCH staff can improve knowledge in the short term and change practices. Attendance by mothers and their children is high in RCH clinics, making them ideal for delivery of PEC. Ongoing supportive supervision is required to maintain knowledge and practices, as well as systems to track referrals.","container-title":"BMC Nursing","DOI":"10.1186/1472-6955-13-15","ISSN":"1472-6955","issue":"1","journalAbbreviation":"BMC Nurs","language":"en","page":"15","source":"DOI.org (Crossref)","title":"A pilot study to evaluate incorporating eye care for children into reproductive and child health services in Dar-es-Salaam, Tanzania: a historical comparison study","title-short":"A pilot study to evaluate incorporating eye care for children into reproductive and child health services in Dar-es-Salaam, Tanzania","volume":"13","author":[{"family":"Mafwiri","given":"Milka Madaha"},{"family":"Kisenge","given":"Rodrick"},{"family":"Gilbert","given":"Clare Elizabeth"}],"issued":{"date-parts":[["2014",12]]}}}],"schema":"https://github.com/citation-style-language/schema/raw/master/csl-citation.json"} </w:instrText>
            </w:r>
            <w:r>
              <w:rPr>
                <w:rFonts w:ascii="Times" w:eastAsia="Times New Roman" w:hAnsi="Times" w:cs="Times New Roman"/>
                <w:color w:val="000000"/>
                <w:sz w:val="16"/>
                <w:szCs w:val="16"/>
              </w:rPr>
              <w:fldChar w:fldCharType="separate"/>
            </w:r>
            <w:r>
              <w:rPr>
                <w:rFonts w:ascii="Times" w:eastAsia="Times New Roman" w:hAnsi="Times" w:cs="Times New Roman"/>
                <w:noProof/>
                <w:color w:val="000000"/>
                <w:sz w:val="16"/>
                <w:szCs w:val="16"/>
              </w:rPr>
              <w:t>(90)</w:t>
            </w:r>
            <w:r>
              <w:rPr>
                <w:rFonts w:ascii="Times" w:eastAsia="Times New Roman" w:hAnsi="Times" w:cs="Times New Roman"/>
                <w:color w:val="000000"/>
                <w:sz w:val="16"/>
                <w:szCs w:val="16"/>
              </w:rPr>
              <w:fldChar w:fldCharType="end"/>
            </w:r>
          </w:p>
        </w:tc>
        <w:tc>
          <w:tcPr>
            <w:tcW w:w="709" w:type="dxa"/>
            <w:noWrap/>
            <w:hideMark/>
          </w:tcPr>
          <w:p w14:paraId="5DC29030"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2014</w:t>
            </w:r>
          </w:p>
        </w:tc>
        <w:tc>
          <w:tcPr>
            <w:tcW w:w="851" w:type="dxa"/>
            <w:noWrap/>
            <w:hideMark/>
          </w:tcPr>
          <w:p w14:paraId="0C22716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Tanzania</w:t>
            </w:r>
          </w:p>
        </w:tc>
        <w:tc>
          <w:tcPr>
            <w:tcW w:w="708" w:type="dxa"/>
            <w:noWrap/>
            <w:hideMark/>
          </w:tcPr>
          <w:p w14:paraId="20647E51"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Before-after study, interview</w:t>
            </w:r>
          </w:p>
        </w:tc>
        <w:tc>
          <w:tcPr>
            <w:tcW w:w="1418" w:type="dxa"/>
            <w:noWrap/>
            <w:hideMark/>
          </w:tcPr>
          <w:p w14:paraId="4A4EA85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Public reproductive and child health clinics</w:t>
            </w:r>
          </w:p>
        </w:tc>
        <w:tc>
          <w:tcPr>
            <w:tcW w:w="992" w:type="dxa"/>
            <w:noWrap/>
            <w:hideMark/>
          </w:tcPr>
          <w:p w14:paraId="469DE7C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Children</w:t>
            </w:r>
          </w:p>
        </w:tc>
        <w:tc>
          <w:tcPr>
            <w:tcW w:w="992" w:type="dxa"/>
            <w:noWrap/>
            <w:hideMark/>
          </w:tcPr>
          <w:p w14:paraId="32D29284"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New</w:t>
            </w:r>
          </w:p>
        </w:tc>
        <w:tc>
          <w:tcPr>
            <w:tcW w:w="1701" w:type="dxa"/>
            <w:noWrap/>
            <w:hideMark/>
          </w:tcPr>
          <w:p w14:paraId="534BB322"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Evaluate implementation of 10 key activities for healthy eyes delivered by primary level staff</w:t>
            </w:r>
          </w:p>
        </w:tc>
        <w:tc>
          <w:tcPr>
            <w:tcW w:w="988" w:type="dxa"/>
            <w:noWrap/>
            <w:hideMark/>
          </w:tcPr>
          <w:p w14:paraId="1A240FB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Doctor or specialist</w:t>
            </w:r>
          </w:p>
        </w:tc>
        <w:tc>
          <w:tcPr>
            <w:tcW w:w="1417" w:type="dxa"/>
            <w:noWrap/>
            <w:hideMark/>
          </w:tcPr>
          <w:p w14:paraId="747CD78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Clinical officer, nurses, students</w:t>
            </w:r>
          </w:p>
        </w:tc>
        <w:tc>
          <w:tcPr>
            <w:tcW w:w="1276" w:type="dxa"/>
            <w:noWrap/>
            <w:hideMark/>
          </w:tcPr>
          <w:p w14:paraId="7465E26F"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Blindness and vision impairment</w:t>
            </w:r>
          </w:p>
        </w:tc>
        <w:tc>
          <w:tcPr>
            <w:tcW w:w="992" w:type="dxa"/>
            <w:noWrap/>
            <w:hideMark/>
          </w:tcPr>
          <w:p w14:paraId="03ACAEBE"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Preventive and curative</w:t>
            </w:r>
          </w:p>
        </w:tc>
        <w:tc>
          <w:tcPr>
            <w:tcW w:w="1418" w:type="dxa"/>
            <w:noWrap/>
            <w:hideMark/>
          </w:tcPr>
          <w:p w14:paraId="12B87097"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Eye care prevention/prophylaxis, control of ocular conditions</w:t>
            </w:r>
          </w:p>
        </w:tc>
        <w:tc>
          <w:tcPr>
            <w:tcW w:w="2268" w:type="dxa"/>
            <w:noWrap/>
            <w:hideMark/>
          </w:tcPr>
          <w:p w14:paraId="48C401DC"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Training in 10 key activities and educational materials provided</w:t>
            </w:r>
          </w:p>
        </w:tc>
        <w:tc>
          <w:tcPr>
            <w:tcW w:w="1134" w:type="dxa"/>
            <w:noWrap/>
            <w:hideMark/>
          </w:tcPr>
          <w:p w14:paraId="228826D2" w14:textId="77777777" w:rsidR="00F02432" w:rsidRPr="00C0069F" w:rsidRDefault="00F02432" w:rsidP="00F02432">
            <w:pPr>
              <w:jc w:val="right"/>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0</w:t>
            </w:r>
          </w:p>
        </w:tc>
        <w:tc>
          <w:tcPr>
            <w:tcW w:w="1134" w:type="dxa"/>
            <w:noWrap/>
            <w:hideMark/>
          </w:tcPr>
          <w:p w14:paraId="5C460E3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Referral and torch for examination</w:t>
            </w:r>
          </w:p>
        </w:tc>
        <w:tc>
          <w:tcPr>
            <w:tcW w:w="2448" w:type="dxa"/>
            <w:noWrap/>
            <w:hideMark/>
          </w:tcPr>
          <w:p w14:paraId="069C6293"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Trained staff could name more eye conditions of childhood than untrained staff</w:t>
            </w:r>
          </w:p>
        </w:tc>
        <w:tc>
          <w:tcPr>
            <w:tcW w:w="2448" w:type="dxa"/>
            <w:gridSpan w:val="2"/>
            <w:noWrap/>
            <w:hideMark/>
          </w:tcPr>
          <w:p w14:paraId="387E47EB"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Diagnostics skills (correctly identified conjunctivitis and cataract) better in trained staff than control</w:t>
            </w:r>
          </w:p>
        </w:tc>
        <w:tc>
          <w:tcPr>
            <w:tcW w:w="2449" w:type="dxa"/>
            <w:gridSpan w:val="2"/>
            <w:noWrap/>
            <w:hideMark/>
          </w:tcPr>
          <w:p w14:paraId="5F99C3C8" w14:textId="77777777" w:rsidR="00F02432" w:rsidRPr="00C0069F" w:rsidRDefault="00F02432" w:rsidP="00F02432">
            <w:pPr>
              <w:rPr>
                <w:rFonts w:ascii="Times" w:eastAsia="Times New Roman" w:hAnsi="Times" w:cs="Times New Roman"/>
                <w:color w:val="000000"/>
                <w:sz w:val="16"/>
                <w:szCs w:val="16"/>
              </w:rPr>
            </w:pPr>
            <w:r w:rsidRPr="00C0069F">
              <w:rPr>
                <w:rFonts w:ascii="Times" w:eastAsia="Times New Roman" w:hAnsi="Times" w:cs="Times New Roman"/>
                <w:color w:val="000000"/>
                <w:sz w:val="16"/>
                <w:szCs w:val="16"/>
              </w:rPr>
              <w:t>Management (referral) of cataract and trauma better in trained staff than control</w:t>
            </w:r>
          </w:p>
        </w:tc>
      </w:tr>
    </w:tbl>
    <w:p w14:paraId="069B055B" w14:textId="77777777" w:rsidR="00E15533" w:rsidRDefault="00E15533"/>
    <w:p w14:paraId="52E22C61" w14:textId="6F349FAC" w:rsidR="00F02432" w:rsidRPr="00E15533" w:rsidRDefault="00F02432">
      <w:r>
        <w:br w:type="page"/>
      </w:r>
    </w:p>
    <w:p w14:paraId="25875832" w14:textId="77777777" w:rsidR="00B708BD" w:rsidRDefault="00B708BD" w:rsidP="00E15533">
      <w:pPr>
        <w:pStyle w:val="Heading2"/>
        <w:sectPr w:rsidR="00B708BD" w:rsidSect="00682023">
          <w:pgSz w:w="27360" w:h="18720" w:orient="landscape"/>
          <w:pgMar w:top="720" w:right="720" w:bottom="720" w:left="720" w:header="708" w:footer="708" w:gutter="0"/>
          <w:cols w:space="708"/>
          <w:docGrid w:linePitch="360"/>
        </w:sectPr>
      </w:pPr>
      <w:bookmarkStart w:id="9" w:name="_Toc66786541"/>
    </w:p>
    <w:p w14:paraId="04C231C6" w14:textId="14D75FEA" w:rsidR="00F02432" w:rsidRDefault="00E15533" w:rsidP="00E15533">
      <w:pPr>
        <w:pStyle w:val="Heading2"/>
      </w:pPr>
      <w:r>
        <w:lastRenderedPageBreak/>
        <w:t>Reference</w:t>
      </w:r>
      <w:bookmarkEnd w:id="9"/>
    </w:p>
    <w:p w14:paraId="19C517DF" w14:textId="39319703" w:rsidR="00E15533" w:rsidRDefault="00E15533" w:rsidP="003E6A5B"/>
    <w:p w14:paraId="2EA17B52" w14:textId="77777777" w:rsidR="00B708BD" w:rsidRPr="00B708BD" w:rsidRDefault="00B708BD" w:rsidP="00B708BD">
      <w:pPr>
        <w:pStyle w:val="Bibliography"/>
        <w:rPr>
          <w:rFonts w:ascii="Calibri" w:cs="Calibri"/>
        </w:rPr>
      </w:pPr>
      <w:r>
        <w:rPr>
          <w:rFonts w:ascii="Calibri"/>
        </w:rPr>
        <w:t xml:space="preserve"> </w:t>
      </w:r>
      <w:r>
        <w:rPr>
          <w:rFonts w:ascii="Calibri"/>
        </w:rPr>
        <w:fldChar w:fldCharType="begin"/>
      </w:r>
      <w:r>
        <w:rPr>
          <w:rFonts w:ascii="Calibri"/>
        </w:rPr>
        <w:instrText xml:space="preserve"> ADDIN ZOTERO_BIBL {"uncited":[],"omitted":[],"custom":[]} CSL_BIBLIOGRAPHY </w:instrText>
      </w:r>
      <w:r>
        <w:rPr>
          <w:rFonts w:ascii="Calibri"/>
        </w:rPr>
        <w:fldChar w:fldCharType="separate"/>
      </w:r>
      <w:r w:rsidRPr="00B708BD">
        <w:rPr>
          <w:rFonts w:ascii="Calibri" w:cs="Calibri"/>
        </w:rPr>
        <w:t xml:space="preserve">1. </w:t>
      </w:r>
      <w:r w:rsidRPr="00B708BD">
        <w:rPr>
          <w:rFonts w:ascii="Calibri" w:cs="Calibri"/>
        </w:rPr>
        <w:tab/>
        <w:t xml:space="preserve">Arksey H, O’Malley L. Scoping studies: towards a methodological framework. Int J Soc Res Methodol. 2005 Feb 1;8(1):19–32. </w:t>
      </w:r>
    </w:p>
    <w:p w14:paraId="0404C48C" w14:textId="77777777" w:rsidR="00B708BD" w:rsidRPr="00B708BD" w:rsidRDefault="00B708BD" w:rsidP="00B708BD">
      <w:pPr>
        <w:pStyle w:val="Bibliography"/>
        <w:rPr>
          <w:rFonts w:ascii="Calibri" w:cs="Calibri"/>
        </w:rPr>
      </w:pPr>
      <w:r w:rsidRPr="00B708BD">
        <w:rPr>
          <w:rFonts w:ascii="Calibri" w:cs="Calibri"/>
        </w:rPr>
        <w:t xml:space="preserve">2. </w:t>
      </w:r>
      <w:r w:rsidRPr="00B708BD">
        <w:rPr>
          <w:rFonts w:ascii="Calibri" w:cs="Calibri"/>
        </w:rPr>
        <w:tab/>
        <w:t>WHO | Task shifting: global recommendations and guidelines [Internet]. WHO. World Health Organization; [cited 2020 May 15]. Available from: https://www.who.int/workforcealliance/knowledge/resources/taskshifting_guidelines/en/</w:t>
      </w:r>
    </w:p>
    <w:p w14:paraId="45F4DFFA" w14:textId="77777777" w:rsidR="00B708BD" w:rsidRPr="00B708BD" w:rsidRDefault="00B708BD" w:rsidP="00B708BD">
      <w:pPr>
        <w:pStyle w:val="Bibliography"/>
        <w:rPr>
          <w:rFonts w:ascii="Calibri" w:cs="Calibri"/>
        </w:rPr>
      </w:pPr>
      <w:r w:rsidRPr="00B708BD">
        <w:rPr>
          <w:rFonts w:ascii="Calibri" w:cs="Calibri"/>
        </w:rPr>
        <w:t xml:space="preserve">3. </w:t>
      </w:r>
      <w:r w:rsidRPr="00B708BD">
        <w:rPr>
          <w:rFonts w:ascii="Calibri" w:cs="Calibri"/>
        </w:rPr>
        <w:tab/>
        <w:t>WHO | Definition of key terms [Internet]. WHO. World Health Organization; [cited 2020 May 20]. Available from: https://www.who.int/hiv/pub/guidelines/arv2013/intro/keyterms/en/</w:t>
      </w:r>
    </w:p>
    <w:p w14:paraId="5E4142FC" w14:textId="77777777" w:rsidR="00B708BD" w:rsidRPr="00B708BD" w:rsidRDefault="00B708BD" w:rsidP="00B708BD">
      <w:pPr>
        <w:pStyle w:val="Bibliography"/>
        <w:rPr>
          <w:rFonts w:ascii="Calibri" w:cs="Calibri"/>
        </w:rPr>
      </w:pPr>
      <w:r w:rsidRPr="00B708BD">
        <w:rPr>
          <w:rFonts w:ascii="Calibri" w:cs="Calibri"/>
        </w:rPr>
        <w:t xml:space="preserve">4. </w:t>
      </w:r>
      <w:r w:rsidRPr="00B708BD">
        <w:rPr>
          <w:rFonts w:ascii="Calibri" w:cs="Calibri"/>
        </w:rPr>
        <w:tab/>
        <w:t>LMIC Filters [Internet]. [cited 2021 Feb 9]. Available from: /lmic-filters</w:t>
      </w:r>
    </w:p>
    <w:p w14:paraId="08B3B8E2" w14:textId="77777777" w:rsidR="00B708BD" w:rsidRPr="00B708BD" w:rsidRDefault="00B708BD" w:rsidP="00B708BD">
      <w:pPr>
        <w:pStyle w:val="Bibliography"/>
        <w:rPr>
          <w:rFonts w:ascii="Calibri" w:cs="Calibri"/>
        </w:rPr>
      </w:pPr>
      <w:r w:rsidRPr="00B708BD">
        <w:rPr>
          <w:rFonts w:ascii="Calibri" w:cs="Calibri"/>
        </w:rPr>
        <w:t xml:space="preserve">5. </w:t>
      </w:r>
      <w:r w:rsidRPr="00B708BD">
        <w:rPr>
          <w:rFonts w:ascii="Calibri" w:cs="Calibri"/>
        </w:rPr>
        <w:tab/>
        <w:t>Wallace BC, Small K, Brodley CE, Lau J, Trikalinos TA. Deploying an interactive machine learning system in an evidence-based practice center: abstrackr. In: Proceedings of the 2nd ACM SIGHIT International Health Informatics Symposium [Internet]. New York, NY, USA: Association for Computing Machinery; 2012 [cited 2020 Sep 9]. p. 819–24. (IHI ’12). Available from: https://doi.org/10.1145/2110363.2110464</w:t>
      </w:r>
    </w:p>
    <w:p w14:paraId="71C868D3" w14:textId="77777777" w:rsidR="00B708BD" w:rsidRPr="00B708BD" w:rsidRDefault="00B708BD" w:rsidP="00B708BD">
      <w:pPr>
        <w:pStyle w:val="Bibliography"/>
        <w:rPr>
          <w:rFonts w:ascii="Calibri" w:cs="Calibri"/>
        </w:rPr>
      </w:pPr>
      <w:r w:rsidRPr="00B708BD">
        <w:rPr>
          <w:rFonts w:ascii="Calibri" w:cs="Calibri"/>
        </w:rPr>
        <w:t xml:space="preserve">6. </w:t>
      </w:r>
      <w:r w:rsidRPr="00B708BD">
        <w:rPr>
          <w:rFonts w:ascii="Calibri" w:cs="Calibri"/>
        </w:rPr>
        <w:tab/>
        <w:t xml:space="preserve">Cicchetti DV, Feinstein AR. High agreement but low kappa: II. Resolving the paradoxes. J Clin Epidemiol. 1990 Jan 1;43(6):551–8. </w:t>
      </w:r>
    </w:p>
    <w:p w14:paraId="306A65BB" w14:textId="77777777" w:rsidR="00B708BD" w:rsidRPr="00B708BD" w:rsidRDefault="00B708BD" w:rsidP="00B708BD">
      <w:pPr>
        <w:pStyle w:val="Bibliography"/>
        <w:rPr>
          <w:rFonts w:ascii="Calibri" w:cs="Calibri"/>
        </w:rPr>
      </w:pPr>
      <w:r w:rsidRPr="00B708BD">
        <w:rPr>
          <w:rFonts w:ascii="Calibri" w:cs="Calibri"/>
        </w:rPr>
        <w:t xml:space="preserve">7. </w:t>
      </w:r>
      <w:r w:rsidRPr="00B708BD">
        <w:rPr>
          <w:rFonts w:ascii="Calibri" w:cs="Calibri"/>
        </w:rPr>
        <w:tab/>
        <w:t xml:space="preserve">Gwet KL. Handbook of Inter-Rater Reliability, 4th Edition: The Definitive Guide to Measuring The Extent of Agreement Among Raters. Advanced Analytics, LLC; 2014. 429 p. </w:t>
      </w:r>
    </w:p>
    <w:p w14:paraId="7CCD932B" w14:textId="77777777" w:rsidR="00B708BD" w:rsidRPr="00B708BD" w:rsidRDefault="00B708BD" w:rsidP="00B708BD">
      <w:pPr>
        <w:pStyle w:val="Bibliography"/>
        <w:rPr>
          <w:rFonts w:ascii="Calibri" w:cs="Calibri"/>
        </w:rPr>
      </w:pPr>
      <w:r w:rsidRPr="00B708BD">
        <w:rPr>
          <w:rFonts w:ascii="Calibri" w:cs="Calibri"/>
        </w:rPr>
        <w:t xml:space="preserve">8. </w:t>
      </w:r>
      <w:r w:rsidRPr="00B708BD">
        <w:rPr>
          <w:rFonts w:ascii="Calibri" w:cs="Calibri"/>
        </w:rPr>
        <w:tab/>
        <w:t xml:space="preserve">Krüger C, Heinzel-Gutenbrunner M, Ali M. Adherence to the integrated management of childhood illness guidelines in Namibia, Kenya, Tanzania and Uganda: evidence from the national service provision assessment surveys. BMC Health Serv Res. 2017 Dec;17(1):822. </w:t>
      </w:r>
    </w:p>
    <w:p w14:paraId="7593C976" w14:textId="77777777" w:rsidR="00B708BD" w:rsidRPr="00B708BD" w:rsidRDefault="00B708BD" w:rsidP="00B708BD">
      <w:pPr>
        <w:pStyle w:val="Bibliography"/>
        <w:rPr>
          <w:rFonts w:ascii="Calibri" w:cs="Calibri"/>
        </w:rPr>
      </w:pPr>
      <w:r w:rsidRPr="00B708BD">
        <w:rPr>
          <w:rFonts w:ascii="Calibri" w:cs="Calibri"/>
        </w:rPr>
        <w:t xml:space="preserve">9. </w:t>
      </w:r>
      <w:r w:rsidRPr="00B708BD">
        <w:rPr>
          <w:rFonts w:ascii="Calibri" w:cs="Calibri"/>
        </w:rPr>
        <w:tab/>
        <w:t xml:space="preserve">Wachira BW, Wallis LA, Geduld H. An analysis of the clinical practice of emergency medicine in public emergency departments in Kenya. Emerg Med J. 2012 Jun;29(6):473–6. </w:t>
      </w:r>
    </w:p>
    <w:p w14:paraId="41A4A2FC" w14:textId="77777777" w:rsidR="00B708BD" w:rsidRPr="00B708BD" w:rsidRDefault="00B708BD" w:rsidP="00B708BD">
      <w:pPr>
        <w:pStyle w:val="Bibliography"/>
        <w:rPr>
          <w:rFonts w:ascii="Calibri" w:cs="Calibri"/>
        </w:rPr>
      </w:pPr>
      <w:r w:rsidRPr="00B708BD">
        <w:rPr>
          <w:rFonts w:ascii="Calibri" w:cs="Calibri"/>
        </w:rPr>
        <w:t xml:space="preserve">10. </w:t>
      </w:r>
      <w:r w:rsidRPr="00B708BD">
        <w:rPr>
          <w:rFonts w:ascii="Calibri" w:cs="Calibri"/>
        </w:rPr>
        <w:tab/>
        <w:t xml:space="preserve">Some ES, Koech DK, Ochogo JO, Ocholla F, Mumbi F. An evaluation of surveillance of malaria at primary health care level in Kenya. East Afr Med J. 1997 Sep;74(9):573–5. </w:t>
      </w:r>
    </w:p>
    <w:p w14:paraId="640D85C5" w14:textId="77777777" w:rsidR="00B708BD" w:rsidRPr="00B708BD" w:rsidRDefault="00B708BD" w:rsidP="00B708BD">
      <w:pPr>
        <w:pStyle w:val="Bibliography"/>
        <w:rPr>
          <w:rFonts w:ascii="Calibri" w:cs="Calibri"/>
        </w:rPr>
      </w:pPr>
      <w:r w:rsidRPr="00B708BD">
        <w:rPr>
          <w:rFonts w:ascii="Calibri" w:cs="Calibri"/>
        </w:rPr>
        <w:t xml:space="preserve">11. </w:t>
      </w:r>
      <w:r w:rsidRPr="00B708BD">
        <w:rPr>
          <w:rFonts w:ascii="Calibri" w:cs="Calibri"/>
        </w:rPr>
        <w:tab/>
        <w:t xml:space="preserve">Gwimile JJ, Shekalaghe SA, Kapanda GN, Kisanga ER. Antibiotic prescribing practice in management of cough and/or diarrhoea in Moshi Municipality, Northern Tanzania: cross-sectional descriptive study. :8. </w:t>
      </w:r>
    </w:p>
    <w:p w14:paraId="75D1C9CE" w14:textId="77777777" w:rsidR="00B708BD" w:rsidRPr="00B708BD" w:rsidRDefault="00B708BD" w:rsidP="00B708BD">
      <w:pPr>
        <w:pStyle w:val="Bibliography"/>
        <w:rPr>
          <w:rFonts w:ascii="Calibri" w:cs="Calibri"/>
        </w:rPr>
      </w:pPr>
      <w:r w:rsidRPr="00B708BD">
        <w:rPr>
          <w:rFonts w:ascii="Calibri" w:cs="Calibri"/>
        </w:rPr>
        <w:t xml:space="preserve">12. </w:t>
      </w:r>
      <w:r w:rsidRPr="00B708BD">
        <w:rPr>
          <w:rFonts w:ascii="Calibri" w:cs="Calibri"/>
        </w:rPr>
        <w:tab/>
        <w:t xml:space="preserve">Cohen R, Lynch S, Bygrave H, Eggers E, Vlahakis N, Hilderbrand K, et al. Antiretroviral treatment outcomes from a nurse-driven, community-supported HIV/AIDS treatment programme in rural Lesotho: observational cohort assessment at two years. J Int AIDS Soc. 2009 Feb;12(1):23–23. </w:t>
      </w:r>
    </w:p>
    <w:p w14:paraId="0C37CB9D" w14:textId="77777777" w:rsidR="00B708BD" w:rsidRPr="00B708BD" w:rsidRDefault="00B708BD" w:rsidP="00B708BD">
      <w:pPr>
        <w:pStyle w:val="Bibliography"/>
        <w:rPr>
          <w:rFonts w:ascii="Calibri" w:cs="Calibri"/>
        </w:rPr>
      </w:pPr>
      <w:r w:rsidRPr="00B708BD">
        <w:rPr>
          <w:rFonts w:ascii="Calibri" w:cs="Calibri"/>
        </w:rPr>
        <w:t xml:space="preserve">13. </w:t>
      </w:r>
      <w:r w:rsidRPr="00B708BD">
        <w:rPr>
          <w:rFonts w:ascii="Calibri" w:cs="Calibri"/>
        </w:rPr>
        <w:tab/>
        <w:t>Villar Uribe M. As Good As Doctors?: Task-Shifting Primary Care to Non-Physician Clinicians in Nigeria [Internet] [Thesis]. Johns Hopkins University; 2016 [cited 2021 Mar 7]. Available from: https://dspace-prod.mse.jhu.edu/handle/1774.2/39670</w:t>
      </w:r>
    </w:p>
    <w:p w14:paraId="538B0F8A" w14:textId="77777777" w:rsidR="00B708BD" w:rsidRPr="00B708BD" w:rsidRDefault="00B708BD" w:rsidP="00B708BD">
      <w:pPr>
        <w:pStyle w:val="Bibliography"/>
        <w:rPr>
          <w:rFonts w:ascii="Calibri" w:cs="Calibri"/>
        </w:rPr>
      </w:pPr>
      <w:r w:rsidRPr="00B708BD">
        <w:rPr>
          <w:rFonts w:ascii="Calibri" w:cs="Calibri"/>
        </w:rPr>
        <w:t xml:space="preserve">14. </w:t>
      </w:r>
      <w:r w:rsidRPr="00B708BD">
        <w:rPr>
          <w:rFonts w:ascii="Calibri" w:cs="Calibri"/>
        </w:rPr>
        <w:tab/>
        <w:t xml:space="preserve">Dgedge M, Mendoza A, Necochea E, Bossemeyer D, Rajabo M, Fullerton J. Assessment of the nursing skill mix in Mozambique using a task analysis methodology. Hum Resour Health. 2014 Dec;12(1):5. </w:t>
      </w:r>
    </w:p>
    <w:p w14:paraId="18E0023E" w14:textId="77777777" w:rsidR="00B708BD" w:rsidRPr="00B708BD" w:rsidRDefault="00B708BD" w:rsidP="00B708BD">
      <w:pPr>
        <w:pStyle w:val="Bibliography"/>
        <w:rPr>
          <w:rFonts w:ascii="Calibri" w:cs="Calibri"/>
        </w:rPr>
      </w:pPr>
      <w:r w:rsidRPr="00B708BD">
        <w:rPr>
          <w:rFonts w:ascii="Calibri" w:cs="Calibri"/>
        </w:rPr>
        <w:t xml:space="preserve">15. </w:t>
      </w:r>
      <w:r w:rsidRPr="00B708BD">
        <w:rPr>
          <w:rFonts w:ascii="Calibri" w:cs="Calibri"/>
        </w:rPr>
        <w:tab/>
        <w:t xml:space="preserve">Maliwichi M, Rosenberg NE, Macfie R, Olson D, Hoffman I, van der Horst CM, et al. CD4 count outperforms World Health Organization clinical algorithm for point-of-care HIV diagnosis among hospitalised HIV-exposed Malawian infants. Trop Med Int Health. 2014 Aug;19(8):978–87. </w:t>
      </w:r>
    </w:p>
    <w:p w14:paraId="64C2C795" w14:textId="77777777" w:rsidR="00B708BD" w:rsidRPr="00B708BD" w:rsidRDefault="00B708BD" w:rsidP="00B708BD">
      <w:pPr>
        <w:pStyle w:val="Bibliography"/>
        <w:rPr>
          <w:rFonts w:ascii="Calibri" w:cs="Calibri"/>
        </w:rPr>
      </w:pPr>
      <w:r w:rsidRPr="00B708BD">
        <w:rPr>
          <w:rFonts w:ascii="Calibri" w:cs="Calibri"/>
        </w:rPr>
        <w:lastRenderedPageBreak/>
        <w:t xml:space="preserve">16. </w:t>
      </w:r>
      <w:r w:rsidRPr="00B708BD">
        <w:rPr>
          <w:rFonts w:ascii="Calibri" w:cs="Calibri"/>
        </w:rPr>
        <w:tab/>
        <w:t xml:space="preserve">Kaguthi G, Nduba V, Nyokabi J, Onchiri F, Gie R, Borgdorff M. Chest Radiographs for Pediatric TB Diagnosis: Interrater Agreement and Utility. Interdiscip Perspect Infect Dis. 2014;2014:1–8. </w:t>
      </w:r>
    </w:p>
    <w:p w14:paraId="1F6F8EC6" w14:textId="77777777" w:rsidR="00B708BD" w:rsidRPr="00B708BD" w:rsidRDefault="00B708BD" w:rsidP="00B708BD">
      <w:pPr>
        <w:pStyle w:val="Bibliography"/>
        <w:rPr>
          <w:rFonts w:ascii="Calibri" w:cs="Calibri"/>
        </w:rPr>
      </w:pPr>
      <w:r w:rsidRPr="00B708BD">
        <w:rPr>
          <w:rFonts w:ascii="Calibri" w:cs="Calibri"/>
        </w:rPr>
        <w:t xml:space="preserve">17. </w:t>
      </w:r>
      <w:r w:rsidRPr="00B708BD">
        <w:rPr>
          <w:rFonts w:ascii="Calibri" w:cs="Calibri"/>
        </w:rPr>
        <w:tab/>
        <w:t xml:space="preserve">Green A, de Azevedo V, Patten G, Davies M-A, Ibeto M, Cox V. Clinical Mentorship of Nurse Initiated Antiretroviral Therapy in Khayelitsha, South Africa: A Quality of Care Assessment. Sued O, editor. PLoS ONE. 2014 Jun 2;9(6):e98389. </w:t>
      </w:r>
    </w:p>
    <w:p w14:paraId="15C50E22" w14:textId="77777777" w:rsidR="00B708BD" w:rsidRPr="00B708BD" w:rsidRDefault="00B708BD" w:rsidP="00B708BD">
      <w:pPr>
        <w:pStyle w:val="Bibliography"/>
        <w:rPr>
          <w:rFonts w:ascii="Calibri" w:cs="Calibri"/>
        </w:rPr>
      </w:pPr>
      <w:r w:rsidRPr="00B708BD">
        <w:rPr>
          <w:rFonts w:ascii="Calibri" w:cs="Calibri"/>
        </w:rPr>
        <w:t xml:space="preserve">18. </w:t>
      </w:r>
      <w:r w:rsidRPr="00B708BD">
        <w:rPr>
          <w:rFonts w:ascii="Calibri" w:cs="Calibri"/>
        </w:rPr>
        <w:tab/>
        <w:t xml:space="preserve">Bolton-Moore C, Mubiana-Mbewe M, Cantrell RA, Chintu N, Stringer EM, Chi BH, et al. Clinical Outcomes and CD4 Cell Response in Children Receiving Antiretroviral Therapy at Primary Health Care Facilities in Zambia. JAMA. 2007 Oct 24;298(16):1888. </w:t>
      </w:r>
    </w:p>
    <w:p w14:paraId="43BBFDC7" w14:textId="77777777" w:rsidR="00B708BD" w:rsidRPr="00B708BD" w:rsidRDefault="00B708BD" w:rsidP="00B708BD">
      <w:pPr>
        <w:pStyle w:val="Bibliography"/>
        <w:rPr>
          <w:rFonts w:ascii="Calibri" w:cs="Calibri"/>
        </w:rPr>
      </w:pPr>
      <w:r w:rsidRPr="00B708BD">
        <w:rPr>
          <w:rFonts w:ascii="Calibri" w:cs="Calibri"/>
        </w:rPr>
        <w:t xml:space="preserve">19. </w:t>
      </w:r>
      <w:r w:rsidRPr="00B708BD">
        <w:rPr>
          <w:rFonts w:ascii="Calibri" w:cs="Calibri"/>
        </w:rPr>
        <w:tab/>
        <w:t xml:space="preserve">Than KK, Morgan A, Pham MD, Beeson JG, Luchters S. Determinants of knowledge of critical danger signs, safe childbirth and immediate newborn care practices among auxiliary midwives: a cross sectional survey in Myanmar. BMJ Open. 2017 Jun;7(6):e017180. </w:t>
      </w:r>
    </w:p>
    <w:p w14:paraId="1E038374" w14:textId="77777777" w:rsidR="00B708BD" w:rsidRPr="00B708BD" w:rsidRDefault="00B708BD" w:rsidP="00B708BD">
      <w:pPr>
        <w:pStyle w:val="Bibliography"/>
        <w:rPr>
          <w:rFonts w:ascii="Calibri" w:cs="Calibri"/>
        </w:rPr>
      </w:pPr>
      <w:r w:rsidRPr="00B708BD">
        <w:rPr>
          <w:rFonts w:ascii="Calibri" w:cs="Calibri"/>
        </w:rPr>
        <w:t xml:space="preserve">20. </w:t>
      </w:r>
      <w:r w:rsidRPr="00B708BD">
        <w:rPr>
          <w:rFonts w:ascii="Calibri" w:cs="Calibri"/>
        </w:rPr>
        <w:tab/>
        <w:t xml:space="preserve">Bjornstad E, Preidis GA, Lufesi N, Olson D, Kamthunzi P, Hosseinipour MC, et al. Determining the quality of IMCI pneumonia care in Malawian children. Paediatr Int Child Health. 2014 Feb;34(1):29–36. </w:t>
      </w:r>
    </w:p>
    <w:p w14:paraId="07D6A98C" w14:textId="77777777" w:rsidR="00B708BD" w:rsidRPr="00B708BD" w:rsidRDefault="00B708BD" w:rsidP="00B708BD">
      <w:pPr>
        <w:pStyle w:val="Bibliography"/>
        <w:rPr>
          <w:rFonts w:ascii="Calibri" w:cs="Calibri"/>
        </w:rPr>
      </w:pPr>
      <w:r w:rsidRPr="00B708BD">
        <w:rPr>
          <w:rFonts w:ascii="Calibri" w:cs="Calibri"/>
        </w:rPr>
        <w:t xml:space="preserve">21. </w:t>
      </w:r>
      <w:r w:rsidRPr="00B708BD">
        <w:rPr>
          <w:rFonts w:ascii="Calibri" w:cs="Calibri"/>
        </w:rPr>
        <w:tab/>
        <w:t xml:space="preserve">Redd S, Moteetee M, Waldman R. Diagnosis and management of acute respiratory infections in Lesotho. Health Policy Plan. 1990;5(3):255–60. </w:t>
      </w:r>
    </w:p>
    <w:p w14:paraId="5133205F" w14:textId="77777777" w:rsidR="00B708BD" w:rsidRPr="00B708BD" w:rsidRDefault="00B708BD" w:rsidP="00B708BD">
      <w:pPr>
        <w:pStyle w:val="Bibliography"/>
        <w:rPr>
          <w:rFonts w:ascii="Calibri" w:cs="Calibri"/>
        </w:rPr>
      </w:pPr>
      <w:r w:rsidRPr="00B708BD">
        <w:rPr>
          <w:rFonts w:ascii="Calibri" w:cs="Calibri"/>
        </w:rPr>
        <w:t xml:space="preserve">22. </w:t>
      </w:r>
      <w:r w:rsidRPr="00B708BD">
        <w:rPr>
          <w:rFonts w:ascii="Calibri" w:cs="Calibri"/>
        </w:rPr>
        <w:tab/>
        <w:t xml:space="preserve">Sebastian T, Brusamento S, Ahoua L, Aly D, Arpadi S, Teasdale CA, et al. Early HIV infection rate trends in exposed infants pre &amp; post Option B+ in Mozambique. :1. </w:t>
      </w:r>
    </w:p>
    <w:p w14:paraId="316DC56A" w14:textId="77777777" w:rsidR="00B708BD" w:rsidRPr="00B708BD" w:rsidRDefault="00B708BD" w:rsidP="00B708BD">
      <w:pPr>
        <w:pStyle w:val="Bibliography"/>
        <w:rPr>
          <w:rFonts w:ascii="Calibri" w:cs="Calibri"/>
        </w:rPr>
      </w:pPr>
      <w:r w:rsidRPr="00B708BD">
        <w:rPr>
          <w:rFonts w:ascii="Calibri" w:cs="Calibri"/>
        </w:rPr>
        <w:t xml:space="preserve">23. </w:t>
      </w:r>
      <w:r w:rsidRPr="00B708BD">
        <w:rPr>
          <w:rFonts w:ascii="Calibri" w:cs="Calibri"/>
        </w:rPr>
        <w:tab/>
        <w:t xml:space="preserve">Ofem O, Jasper TL, Torbunde N, Yashimankut M, Sadiq H, Ejekam R, et al. Effect of task-shifting HIV testing from laboratory personnel to nurses on paediatric and adolescent HIV testing rate and yield in rural Nigeria: a prospective before-and-after study. Lancet Glob Health. 2019 Mar;7:S23. </w:t>
      </w:r>
    </w:p>
    <w:p w14:paraId="5B3B325F" w14:textId="77777777" w:rsidR="00B708BD" w:rsidRPr="00B708BD" w:rsidRDefault="00B708BD" w:rsidP="00B708BD">
      <w:pPr>
        <w:pStyle w:val="Bibliography"/>
        <w:rPr>
          <w:rFonts w:ascii="Calibri" w:cs="Calibri"/>
        </w:rPr>
      </w:pPr>
      <w:r w:rsidRPr="00B708BD">
        <w:rPr>
          <w:rFonts w:ascii="Calibri" w:cs="Calibri"/>
        </w:rPr>
        <w:t xml:space="preserve">24. </w:t>
      </w:r>
      <w:r w:rsidRPr="00B708BD">
        <w:rPr>
          <w:rFonts w:ascii="Calibri" w:cs="Calibri"/>
        </w:rPr>
        <w:tab/>
        <w:t xml:space="preserve">Egger JR, Stankevitz K, Korom R, Angwenyi P, Sullivan B, Wang J, et al. Evaluating the effects of organizational and educational interventions on adherence to clinical practice guidelines in a low-resource primary-care setting in Kenya. Health Policy Plan. 2017 Jul;32(6):761–8. </w:t>
      </w:r>
    </w:p>
    <w:p w14:paraId="09084F91" w14:textId="77777777" w:rsidR="00B708BD" w:rsidRPr="00B708BD" w:rsidRDefault="00B708BD" w:rsidP="00B708BD">
      <w:pPr>
        <w:pStyle w:val="Bibliography"/>
        <w:rPr>
          <w:rFonts w:ascii="Calibri" w:cs="Calibri"/>
        </w:rPr>
      </w:pPr>
      <w:r w:rsidRPr="00B708BD">
        <w:rPr>
          <w:rFonts w:ascii="Calibri" w:cs="Calibri"/>
        </w:rPr>
        <w:t xml:space="preserve">25. </w:t>
      </w:r>
      <w:r w:rsidRPr="00B708BD">
        <w:rPr>
          <w:rFonts w:ascii="Calibri" w:cs="Calibri"/>
        </w:rPr>
        <w:tab/>
        <w:t xml:space="preserve">Nadimpalli A, Tsung JW, Sanchez R, Shah S, Zelikova E, Umphrey L, et al. Feasibility of Training Clinical Officers in Point-of-Care Ultrasound for Pediatric Respiratory Diseases in Aweil, South Sudan. Am J Trop Med Hyg. 2019 Sep 4;101(3):689–95. </w:t>
      </w:r>
    </w:p>
    <w:p w14:paraId="1EE1141E" w14:textId="77777777" w:rsidR="00B708BD" w:rsidRPr="00B708BD" w:rsidRDefault="00B708BD" w:rsidP="00B708BD">
      <w:pPr>
        <w:pStyle w:val="Bibliography"/>
        <w:rPr>
          <w:rFonts w:ascii="Calibri" w:cs="Calibri"/>
        </w:rPr>
      </w:pPr>
      <w:r w:rsidRPr="00B708BD">
        <w:rPr>
          <w:rFonts w:ascii="Calibri" w:cs="Calibri"/>
        </w:rPr>
        <w:t xml:space="preserve">26. </w:t>
      </w:r>
      <w:r w:rsidRPr="00B708BD">
        <w:rPr>
          <w:rFonts w:ascii="Calibri" w:cs="Calibri"/>
        </w:rPr>
        <w:tab/>
        <w:t xml:space="preserve">Monyatsi G, Mullan PC, Phelps BR, Tolle MA. HIV management by nurse prescribers compared with doctors at a paediatric centre in Gaborone, Botswana. 2013;8. </w:t>
      </w:r>
    </w:p>
    <w:p w14:paraId="3BCD7D58" w14:textId="77777777" w:rsidR="00B708BD" w:rsidRPr="00B708BD" w:rsidRDefault="00B708BD" w:rsidP="00B708BD">
      <w:pPr>
        <w:pStyle w:val="Bibliography"/>
        <w:rPr>
          <w:rFonts w:ascii="Calibri" w:cs="Calibri"/>
        </w:rPr>
      </w:pPr>
      <w:r w:rsidRPr="00B708BD">
        <w:rPr>
          <w:rFonts w:ascii="Calibri" w:cs="Calibri"/>
        </w:rPr>
        <w:t xml:space="preserve">27. </w:t>
      </w:r>
      <w:r w:rsidRPr="00B708BD">
        <w:rPr>
          <w:rFonts w:ascii="Calibri" w:cs="Calibri"/>
        </w:rPr>
        <w:tab/>
        <w:t xml:space="preserve">Morrissey B, Kenny T, Williams S, Waddington D. G151(P) Impact of a Training Programme on Non-Medical Health Workers Confidence in Managing Common Neonatal Problems in Sierra Leone. Arch Dis Child. 2013 Jun 1;98(Suppl 1):A70–A70. </w:t>
      </w:r>
    </w:p>
    <w:p w14:paraId="554E6685" w14:textId="77777777" w:rsidR="00B708BD" w:rsidRPr="00B708BD" w:rsidRDefault="00B708BD" w:rsidP="00B708BD">
      <w:pPr>
        <w:pStyle w:val="Bibliography"/>
        <w:rPr>
          <w:rFonts w:ascii="Calibri" w:cs="Calibri"/>
        </w:rPr>
      </w:pPr>
      <w:r w:rsidRPr="00B708BD">
        <w:rPr>
          <w:rFonts w:ascii="Calibri" w:cs="Calibri"/>
        </w:rPr>
        <w:t xml:space="preserve">28. </w:t>
      </w:r>
      <w:r w:rsidRPr="00B708BD">
        <w:rPr>
          <w:rFonts w:ascii="Calibri" w:cs="Calibri"/>
        </w:rPr>
        <w:tab/>
        <w:t xml:space="preserve">Hoque DME, Arifeen SE, Rahman M, Chowdhury EK, Haque TM, Begum K, et al. Improving and sustaining quality of child health care through IMCI training and supervision: experience from rural Bangladesh. Health Policy Plan. 2014 Sep 1;29(6):753–62. </w:t>
      </w:r>
    </w:p>
    <w:p w14:paraId="3BBFD615" w14:textId="77777777" w:rsidR="00B708BD" w:rsidRPr="00B708BD" w:rsidRDefault="00B708BD" w:rsidP="00B708BD">
      <w:pPr>
        <w:pStyle w:val="Bibliography"/>
        <w:rPr>
          <w:rFonts w:ascii="Calibri" w:cs="Calibri"/>
        </w:rPr>
      </w:pPr>
      <w:r w:rsidRPr="00B708BD">
        <w:rPr>
          <w:rFonts w:ascii="Calibri" w:cs="Calibri"/>
        </w:rPr>
        <w:t xml:space="preserve">29. </w:t>
      </w:r>
      <w:r w:rsidRPr="00B708BD">
        <w:rPr>
          <w:rFonts w:ascii="Calibri" w:cs="Calibri"/>
        </w:rPr>
        <w:tab/>
        <w:t xml:space="preserve">Nadjm B, Jeffs B, Mtove G, Msuya W, Mndeme L, Mtei F, et al. Inter-observer variation in paediatric clinical signs between different grades of staff examining children admitted to hospital in Tanzania. Trop Med Int Health. 2008 Sep;13(9):1213–9. </w:t>
      </w:r>
    </w:p>
    <w:p w14:paraId="4984AE55" w14:textId="77777777" w:rsidR="00B708BD" w:rsidRPr="00B708BD" w:rsidRDefault="00B708BD" w:rsidP="00B708BD">
      <w:pPr>
        <w:pStyle w:val="Bibliography"/>
        <w:rPr>
          <w:rFonts w:ascii="Calibri" w:cs="Calibri"/>
        </w:rPr>
      </w:pPr>
      <w:r w:rsidRPr="00B708BD">
        <w:rPr>
          <w:rFonts w:ascii="Calibri" w:cs="Calibri"/>
        </w:rPr>
        <w:t xml:space="preserve">30. </w:t>
      </w:r>
      <w:r w:rsidRPr="00B708BD">
        <w:rPr>
          <w:rFonts w:ascii="Calibri" w:cs="Calibri"/>
        </w:rPr>
        <w:tab/>
        <w:t xml:space="preserve">Kahigwa E, Schellenberg D, Armstrong Schellenberg J, Aponte JJ, Alonso PL, Menendez C. Inter-observer variation in the assessment of clinical signs in sick Tanzanian children. Trans R Soc Trop Med Hyg. 2002 Mar;96(2):162–6. </w:t>
      </w:r>
    </w:p>
    <w:p w14:paraId="0220D065" w14:textId="77777777" w:rsidR="00B708BD" w:rsidRPr="00B708BD" w:rsidRDefault="00B708BD" w:rsidP="00B708BD">
      <w:pPr>
        <w:pStyle w:val="Bibliography"/>
        <w:rPr>
          <w:rFonts w:ascii="Calibri" w:cs="Calibri"/>
        </w:rPr>
      </w:pPr>
      <w:r w:rsidRPr="00B708BD">
        <w:rPr>
          <w:rFonts w:ascii="Calibri" w:cs="Calibri"/>
        </w:rPr>
        <w:lastRenderedPageBreak/>
        <w:t xml:space="preserve">31. </w:t>
      </w:r>
      <w:r w:rsidRPr="00B708BD">
        <w:rPr>
          <w:rFonts w:ascii="Calibri" w:cs="Calibri"/>
        </w:rPr>
        <w:tab/>
        <w:t xml:space="preserve">Walter J, Molfino L, Moreno V, Edwards CG, Chissano M, Prieto A, et al. Long-term outcomes of a pediatric HIV treatment program in Maputo, Mozambique: a cohort study. Glob Health Action. 2015 Dec;8(1):26652. </w:t>
      </w:r>
    </w:p>
    <w:p w14:paraId="3FE75A2E" w14:textId="77777777" w:rsidR="00B708BD" w:rsidRPr="00B708BD" w:rsidRDefault="00B708BD" w:rsidP="00B708BD">
      <w:pPr>
        <w:pStyle w:val="Bibliography"/>
        <w:rPr>
          <w:rFonts w:ascii="Calibri" w:cs="Calibri"/>
        </w:rPr>
      </w:pPr>
      <w:r w:rsidRPr="00B708BD">
        <w:rPr>
          <w:rFonts w:ascii="Calibri" w:cs="Calibri"/>
        </w:rPr>
        <w:t xml:space="preserve">32. </w:t>
      </w:r>
      <w:r w:rsidRPr="00B708BD">
        <w:rPr>
          <w:rFonts w:ascii="Calibri" w:cs="Calibri"/>
        </w:rPr>
        <w:tab/>
        <w:t xml:space="preserve">Libamba E, Makombe SD, Harries AD, Schouten EJ, Yu JK-L, Pasulani O, et al. Malawi’s contribution to ‘3 by 5’: achievements and challenges. Bull World Health Organ. 2007 Feb;85(2):156–60. </w:t>
      </w:r>
    </w:p>
    <w:p w14:paraId="297B65FD" w14:textId="77777777" w:rsidR="00B708BD" w:rsidRPr="00B708BD" w:rsidRDefault="00B708BD" w:rsidP="00B708BD">
      <w:pPr>
        <w:pStyle w:val="Bibliography"/>
        <w:rPr>
          <w:rFonts w:ascii="Calibri" w:cs="Calibri"/>
        </w:rPr>
      </w:pPr>
      <w:r w:rsidRPr="00B708BD">
        <w:rPr>
          <w:rFonts w:ascii="Calibri" w:cs="Calibri"/>
        </w:rPr>
        <w:t xml:space="preserve">33. </w:t>
      </w:r>
      <w:r w:rsidRPr="00B708BD">
        <w:rPr>
          <w:rFonts w:ascii="Calibri" w:cs="Calibri"/>
        </w:rPr>
        <w:tab/>
        <w:t>Weigel R, Feldacker C, Tweya H, Gondwe C, Chiwoko J, Gumulira J, et al. Managing HIV-infected children in a low-resource, public clinic: a comparison of nurse vs. clinical officer practices in ART refill, calculation of adherence and subsequent appointments. J Int AIDS Soc [Internet]. 2012 Aug 17 [cited 2021 Feb 24];15(2). Available from: http://doi.wiley.com/10.7448/IAS.15.2.17432</w:t>
      </w:r>
    </w:p>
    <w:p w14:paraId="7E046C21" w14:textId="77777777" w:rsidR="00B708BD" w:rsidRPr="00B708BD" w:rsidRDefault="00B708BD" w:rsidP="00B708BD">
      <w:pPr>
        <w:pStyle w:val="Bibliography"/>
        <w:rPr>
          <w:rFonts w:ascii="Calibri" w:cs="Calibri"/>
        </w:rPr>
      </w:pPr>
      <w:r w:rsidRPr="00B708BD">
        <w:rPr>
          <w:rFonts w:ascii="Calibri" w:cs="Calibri"/>
        </w:rPr>
        <w:t xml:space="preserve">34. </w:t>
      </w:r>
      <w:r w:rsidRPr="00B708BD">
        <w:rPr>
          <w:rFonts w:ascii="Calibri" w:cs="Calibri"/>
        </w:rPr>
        <w:tab/>
        <w:t xml:space="preserve">Rahman AE, Iqbal A, Hoque DME, Moinuddin Md, Zaman SB, Rahman QS, et al. Managing Neonatal and Early Childhood Syndromic Sepsis in Sub-District Hospitals in Resource Poor Settings: Improvement in Quality of Care through Introduction of a Package of Interventions in Rural Bangladesh. Simeoni U, editor. PLOS ONE. 2017 Jan 23;12(1):e0170267. </w:t>
      </w:r>
    </w:p>
    <w:p w14:paraId="0AB52A4C" w14:textId="77777777" w:rsidR="00B708BD" w:rsidRPr="00B708BD" w:rsidRDefault="00B708BD" w:rsidP="00B708BD">
      <w:pPr>
        <w:pStyle w:val="Bibliography"/>
        <w:rPr>
          <w:rFonts w:ascii="Calibri" w:cs="Calibri"/>
        </w:rPr>
      </w:pPr>
      <w:r w:rsidRPr="00B708BD">
        <w:rPr>
          <w:rFonts w:ascii="Calibri" w:cs="Calibri"/>
        </w:rPr>
        <w:t xml:space="preserve">35. </w:t>
      </w:r>
      <w:r w:rsidRPr="00B708BD">
        <w:rPr>
          <w:rFonts w:ascii="Calibri" w:cs="Calibri"/>
        </w:rPr>
        <w:tab/>
        <w:t xml:space="preserve">Weigel R, Feldacker C, Tweya H, Chiwoko J, Gumulira J, Phiri S. Nurse-led antiretroviral treatment for HIV infected children: A comparative study from Lilongwe, Malawi. Arch Dis Child. 2012 May;97(Suppl 1):A44.2-A45. </w:t>
      </w:r>
    </w:p>
    <w:p w14:paraId="63246645" w14:textId="77777777" w:rsidR="00B708BD" w:rsidRPr="00B708BD" w:rsidRDefault="00B708BD" w:rsidP="00B708BD">
      <w:pPr>
        <w:pStyle w:val="Bibliography"/>
        <w:rPr>
          <w:rFonts w:ascii="Calibri" w:cs="Calibri"/>
        </w:rPr>
      </w:pPr>
      <w:r w:rsidRPr="00B708BD">
        <w:rPr>
          <w:rFonts w:ascii="Calibri" w:cs="Calibri"/>
        </w:rPr>
        <w:t xml:space="preserve">36. </w:t>
      </w:r>
      <w:r w:rsidRPr="00B708BD">
        <w:rPr>
          <w:rFonts w:ascii="Calibri" w:cs="Calibri"/>
        </w:rPr>
        <w:tab/>
        <w:t xml:space="preserve">Penda CI, Ndongo FA, Bissek A-CZ-K, Téjiokem MC, Sofeu C, Moukoko Eboumbou EC, et al. Practices of Care to HIV-Infected Children: Current Situation in Cameroon. Clin Med Insights Pediatr. 2019 Jan;13:117955651984611. </w:t>
      </w:r>
    </w:p>
    <w:p w14:paraId="06745BE8" w14:textId="77777777" w:rsidR="00B708BD" w:rsidRPr="00B708BD" w:rsidRDefault="00B708BD" w:rsidP="00B708BD">
      <w:pPr>
        <w:pStyle w:val="Bibliography"/>
        <w:rPr>
          <w:rFonts w:ascii="Calibri" w:cs="Calibri"/>
        </w:rPr>
      </w:pPr>
      <w:r w:rsidRPr="00B708BD">
        <w:rPr>
          <w:rFonts w:ascii="Calibri" w:cs="Calibri"/>
        </w:rPr>
        <w:t xml:space="preserve">37. </w:t>
      </w:r>
      <w:r w:rsidRPr="00B708BD">
        <w:rPr>
          <w:rFonts w:ascii="Calibri" w:cs="Calibri"/>
        </w:rPr>
        <w:tab/>
        <w:t xml:space="preserve">McNairy ML, Bashi JB, Chung H, Wemin L, Lorng M-NA, Brou H, et al. Task-sharing with nurses to enhance access to HIV treatment in Côte d’Ivoire. Trop Med Int Health. 2017 Apr;22(4):431–41. </w:t>
      </w:r>
    </w:p>
    <w:p w14:paraId="38F689E8" w14:textId="77777777" w:rsidR="00B708BD" w:rsidRPr="00B708BD" w:rsidRDefault="00B708BD" w:rsidP="00B708BD">
      <w:pPr>
        <w:pStyle w:val="Bibliography"/>
        <w:rPr>
          <w:rFonts w:ascii="Calibri" w:cs="Calibri"/>
        </w:rPr>
      </w:pPr>
      <w:r w:rsidRPr="00B708BD">
        <w:rPr>
          <w:rFonts w:ascii="Calibri" w:cs="Calibri"/>
        </w:rPr>
        <w:t xml:space="preserve">38. </w:t>
      </w:r>
      <w:r w:rsidRPr="00B708BD">
        <w:rPr>
          <w:rFonts w:ascii="Calibri" w:cs="Calibri"/>
        </w:rPr>
        <w:tab/>
        <w:t xml:space="preserve">Rhode H, Mash B. The effect of an automated integrated management of childhood illness guideline on the training of professional nurses in the Western Cape, South Africa. South Afr Fam Pract. 2015 Mar 4;57(2):100–5. </w:t>
      </w:r>
    </w:p>
    <w:p w14:paraId="65154CB7" w14:textId="77777777" w:rsidR="00B708BD" w:rsidRPr="00B708BD" w:rsidRDefault="00B708BD" w:rsidP="00B708BD">
      <w:pPr>
        <w:pStyle w:val="Bibliography"/>
        <w:rPr>
          <w:rFonts w:ascii="Calibri" w:cs="Calibri"/>
        </w:rPr>
      </w:pPr>
      <w:r w:rsidRPr="00B708BD">
        <w:rPr>
          <w:rFonts w:ascii="Calibri" w:cs="Calibri"/>
        </w:rPr>
        <w:t xml:space="preserve">39. </w:t>
      </w:r>
      <w:r w:rsidRPr="00B708BD">
        <w:rPr>
          <w:rFonts w:ascii="Calibri" w:cs="Calibri"/>
        </w:rPr>
        <w:tab/>
        <w:t xml:space="preserve">Nelson SW, Stolz U, Dreifuss BA, Chamberlain S, Hammerstedt HS, Alfunsi B, et al. Training emergency care practitioners and creating access to acute care services in Uganda: The pilot phase. Ann Glob Health. 2014 Sep 25;80(3):172. </w:t>
      </w:r>
    </w:p>
    <w:p w14:paraId="7D2CF499" w14:textId="77777777" w:rsidR="00B708BD" w:rsidRPr="00B708BD" w:rsidRDefault="00B708BD" w:rsidP="00B708BD">
      <w:pPr>
        <w:pStyle w:val="Bibliography"/>
        <w:rPr>
          <w:rFonts w:ascii="Calibri" w:cs="Calibri"/>
        </w:rPr>
      </w:pPr>
      <w:r w:rsidRPr="00B708BD">
        <w:rPr>
          <w:rFonts w:ascii="Calibri" w:cs="Calibri"/>
        </w:rPr>
        <w:t xml:space="preserve">40. </w:t>
      </w:r>
      <w:r w:rsidRPr="00B708BD">
        <w:rPr>
          <w:rFonts w:ascii="Calibri" w:cs="Calibri"/>
        </w:rPr>
        <w:tab/>
        <w:t xml:space="preserve">van Griensven J, De Naeyer L, Uwera J, Asiimwe A, Gazille C, Reid T. Success with antiretroviral treatment for children in Kigali, Rwanda: Experience with health center/nurse-based care. BMC Pediatr. 2008 Dec;8(1):39. </w:t>
      </w:r>
    </w:p>
    <w:p w14:paraId="40B095E8" w14:textId="77777777" w:rsidR="00B708BD" w:rsidRPr="00B708BD" w:rsidRDefault="00B708BD" w:rsidP="00B708BD">
      <w:pPr>
        <w:pStyle w:val="Bibliography"/>
        <w:rPr>
          <w:rFonts w:ascii="Calibri" w:cs="Calibri"/>
        </w:rPr>
      </w:pPr>
      <w:r w:rsidRPr="00B708BD">
        <w:rPr>
          <w:rFonts w:ascii="Calibri" w:cs="Calibri"/>
        </w:rPr>
        <w:t xml:space="preserve">41. </w:t>
      </w:r>
      <w:r w:rsidRPr="00B708BD">
        <w:rPr>
          <w:rFonts w:ascii="Calibri" w:cs="Calibri"/>
        </w:rPr>
        <w:tab/>
        <w:t xml:space="preserve">Janssen N, Ndirangu J, Newell M-L, Bland R. Successful paediatric HIV treatment in rural primary care in Africa. Arch Dis Child. 2010 Jun 1;95(6):414–21. </w:t>
      </w:r>
    </w:p>
    <w:p w14:paraId="5173B6BA" w14:textId="77777777" w:rsidR="00B708BD" w:rsidRPr="00B708BD" w:rsidRDefault="00B708BD" w:rsidP="00B708BD">
      <w:pPr>
        <w:pStyle w:val="Bibliography"/>
        <w:rPr>
          <w:rFonts w:ascii="Calibri" w:cs="Calibri"/>
        </w:rPr>
      </w:pPr>
      <w:r w:rsidRPr="00B708BD">
        <w:rPr>
          <w:rFonts w:ascii="Calibri" w:cs="Calibri"/>
        </w:rPr>
        <w:t xml:space="preserve">42. </w:t>
      </w:r>
      <w:r w:rsidRPr="00B708BD">
        <w:rPr>
          <w:rFonts w:ascii="Calibri" w:cs="Calibri"/>
        </w:rPr>
        <w:tab/>
        <w:t xml:space="preserve">Patel MR, Yotebieng M, Behets F, Driessche KV, Nana M, Rie AV. Outcomes of integrated treatment for tuberculosis and HIV in children at the primary health care level. :7. </w:t>
      </w:r>
    </w:p>
    <w:p w14:paraId="5F35E86B" w14:textId="77777777" w:rsidR="00B708BD" w:rsidRPr="00B708BD" w:rsidRDefault="00B708BD" w:rsidP="00B708BD">
      <w:pPr>
        <w:pStyle w:val="Bibliography"/>
        <w:rPr>
          <w:rFonts w:ascii="Calibri" w:cs="Calibri"/>
        </w:rPr>
      </w:pPr>
      <w:r w:rsidRPr="00B708BD">
        <w:rPr>
          <w:rFonts w:ascii="Calibri" w:cs="Calibri"/>
        </w:rPr>
        <w:t xml:space="preserve">43. </w:t>
      </w:r>
      <w:r w:rsidRPr="00B708BD">
        <w:rPr>
          <w:rFonts w:ascii="Calibri" w:cs="Calibri"/>
        </w:rPr>
        <w:tab/>
        <w:t xml:space="preserve">Morris MB, Chapula BT, Chi BH, Mwango A, Chi HF, Mwanza J, et al. Use of task-shifting to rapidly scale-up HIV treatment services: experiences from Lusaka, Zambia. BMC Health Serv Res. 2009 Dec;9(1):5. </w:t>
      </w:r>
    </w:p>
    <w:p w14:paraId="32222B76" w14:textId="77777777" w:rsidR="00B708BD" w:rsidRPr="00B708BD" w:rsidRDefault="00B708BD" w:rsidP="00B708BD">
      <w:pPr>
        <w:pStyle w:val="Bibliography"/>
        <w:rPr>
          <w:rFonts w:ascii="Calibri" w:cs="Calibri"/>
        </w:rPr>
      </w:pPr>
      <w:r w:rsidRPr="00B708BD">
        <w:rPr>
          <w:rFonts w:ascii="Calibri" w:cs="Calibri"/>
        </w:rPr>
        <w:t xml:space="preserve">44. </w:t>
      </w:r>
      <w:r w:rsidRPr="00B708BD">
        <w:rPr>
          <w:rFonts w:ascii="Calibri" w:cs="Calibri"/>
        </w:rPr>
        <w:tab/>
        <w:t xml:space="preserve">Robertson SK, Manson K, Fioratou E. IMCI and ETAT integration at a primary healthcare facility in Malawi: a human factors approach. BMC Health Serv Res. 2018 Dec;18(1):1014. </w:t>
      </w:r>
    </w:p>
    <w:p w14:paraId="63EA187E" w14:textId="77777777" w:rsidR="00B708BD" w:rsidRPr="00B708BD" w:rsidRDefault="00B708BD" w:rsidP="00B708BD">
      <w:pPr>
        <w:pStyle w:val="Bibliography"/>
        <w:rPr>
          <w:rFonts w:ascii="Calibri" w:cs="Calibri"/>
        </w:rPr>
      </w:pPr>
      <w:r w:rsidRPr="00B708BD">
        <w:rPr>
          <w:rFonts w:ascii="Calibri" w:cs="Calibri"/>
        </w:rPr>
        <w:lastRenderedPageBreak/>
        <w:t xml:space="preserve">45. </w:t>
      </w:r>
      <w:r w:rsidRPr="00B708BD">
        <w:rPr>
          <w:rFonts w:ascii="Calibri" w:cs="Calibri"/>
        </w:rPr>
        <w:tab/>
        <w:t xml:space="preserve">Sami S, Amsalu R, Dimiti A, Jackson D, Kenyi S, Meyers J, et al. Understanding health systems to improve community and facility level newborn care among displaced populations in South Sudan: a mixed methods case study. BMC Pregnancy Childbirth. 2018 Dec;18(1):325. </w:t>
      </w:r>
    </w:p>
    <w:p w14:paraId="26BA96AE" w14:textId="77777777" w:rsidR="00B708BD" w:rsidRPr="00B708BD" w:rsidRDefault="00B708BD" w:rsidP="00B708BD">
      <w:pPr>
        <w:pStyle w:val="Bibliography"/>
        <w:rPr>
          <w:rFonts w:ascii="Calibri" w:cs="Calibri"/>
        </w:rPr>
      </w:pPr>
      <w:r w:rsidRPr="00B708BD">
        <w:rPr>
          <w:rFonts w:ascii="Calibri" w:cs="Calibri"/>
        </w:rPr>
        <w:t xml:space="preserve">46. </w:t>
      </w:r>
      <w:r w:rsidRPr="00B708BD">
        <w:rPr>
          <w:rFonts w:ascii="Calibri" w:cs="Calibri"/>
        </w:rPr>
        <w:tab/>
        <w:t xml:space="preserve">Hooft AM, Ripp K, Ndenga B, Mutuku F, Vu D, Baltzell K, et al. Principles, practices and knowledge of clinicians when assessing febrile children: a qualitative study in Kenya. Malar J. 2017 Dec;16(1):381. </w:t>
      </w:r>
    </w:p>
    <w:p w14:paraId="5F33632E" w14:textId="77777777" w:rsidR="00B708BD" w:rsidRPr="00B708BD" w:rsidRDefault="00B708BD" w:rsidP="00B708BD">
      <w:pPr>
        <w:pStyle w:val="Bibliography"/>
        <w:rPr>
          <w:rFonts w:ascii="Calibri" w:cs="Calibri"/>
        </w:rPr>
      </w:pPr>
      <w:r w:rsidRPr="00B708BD">
        <w:rPr>
          <w:rFonts w:ascii="Calibri" w:cs="Calibri"/>
        </w:rPr>
        <w:t xml:space="preserve">47. </w:t>
      </w:r>
      <w:r w:rsidRPr="00B708BD">
        <w:rPr>
          <w:rFonts w:ascii="Calibri" w:cs="Calibri"/>
        </w:rPr>
        <w:tab/>
        <w:t xml:space="preserve">Bessat C, Zonon NA, D’Acremont V. Large-scale implementation of electronic Integrated Management of Childhood Illness (eIMCI) at the primary care level in Burkina Faso: a qualitative study on health worker perception of its medical content, usability and impact on antibiotic prescription and resistance. BMC Public Health. 2019 Dec;19(1):449. </w:t>
      </w:r>
    </w:p>
    <w:p w14:paraId="5170D0F9" w14:textId="77777777" w:rsidR="00B708BD" w:rsidRPr="00B708BD" w:rsidRDefault="00B708BD" w:rsidP="00B708BD">
      <w:pPr>
        <w:pStyle w:val="Bibliography"/>
        <w:rPr>
          <w:rFonts w:ascii="Calibri" w:cs="Calibri"/>
        </w:rPr>
      </w:pPr>
      <w:r w:rsidRPr="00B708BD">
        <w:rPr>
          <w:rFonts w:ascii="Calibri" w:cs="Calibri"/>
        </w:rPr>
        <w:t xml:space="preserve">48. </w:t>
      </w:r>
      <w:r w:rsidRPr="00B708BD">
        <w:rPr>
          <w:rFonts w:ascii="Calibri" w:cs="Calibri"/>
        </w:rPr>
        <w:tab/>
        <w:t xml:space="preserve">Hemming V. G253 Training local staff in northern ethiopia in newborn resuscitation and care. Arch Dis Child. 2015 Apr 1;100(Suppl 3):A109–A109. </w:t>
      </w:r>
    </w:p>
    <w:p w14:paraId="700DC48F" w14:textId="77777777" w:rsidR="00B708BD" w:rsidRPr="00B708BD" w:rsidRDefault="00B708BD" w:rsidP="00B708BD">
      <w:pPr>
        <w:pStyle w:val="Bibliography"/>
        <w:rPr>
          <w:rFonts w:ascii="Calibri" w:cs="Calibri"/>
        </w:rPr>
      </w:pPr>
      <w:r w:rsidRPr="00B708BD">
        <w:rPr>
          <w:rFonts w:ascii="Calibri" w:cs="Calibri"/>
        </w:rPr>
        <w:t xml:space="preserve">49. </w:t>
      </w:r>
      <w:r w:rsidRPr="00B708BD">
        <w:rPr>
          <w:rFonts w:ascii="Calibri" w:cs="Calibri"/>
        </w:rPr>
        <w:tab/>
        <w:t xml:space="preserve">Chamberlain S, Stolz U, Dreifuss B, Nelson SW, Hammerstedt H, Andinda J, et al. Mortality Related to Acute Illness and Injury in Rural Uganda: Task Shifting to Improve Outcomes. Price MA, editor. PLOS ONE. 2015 Apr 7;10(4):e0122559. </w:t>
      </w:r>
    </w:p>
    <w:p w14:paraId="5B3A9590" w14:textId="77777777" w:rsidR="00B708BD" w:rsidRPr="00B708BD" w:rsidRDefault="00B708BD" w:rsidP="00B708BD">
      <w:pPr>
        <w:pStyle w:val="Bibliography"/>
        <w:rPr>
          <w:rFonts w:ascii="Calibri" w:cs="Calibri"/>
        </w:rPr>
      </w:pPr>
      <w:r w:rsidRPr="00B708BD">
        <w:rPr>
          <w:rFonts w:ascii="Calibri" w:cs="Calibri"/>
        </w:rPr>
        <w:t xml:space="preserve">50. </w:t>
      </w:r>
      <w:r w:rsidRPr="00B708BD">
        <w:rPr>
          <w:rFonts w:ascii="Calibri" w:cs="Calibri"/>
        </w:rPr>
        <w:tab/>
        <w:t xml:space="preserve">James DR, Barling J, Ross O, Daniel AA, Crocker C, Jarvis E, et al. G293 (P) Towards emergency triage assessment and treatment (ETAT)++: introducing basic paediatric trauma management skills in rural ghana. Arch Dis Child. 2019;104(Suppl 2):A120. </w:t>
      </w:r>
    </w:p>
    <w:p w14:paraId="718899A4" w14:textId="77777777" w:rsidR="00B708BD" w:rsidRPr="00B708BD" w:rsidRDefault="00B708BD" w:rsidP="00B708BD">
      <w:pPr>
        <w:pStyle w:val="Bibliography"/>
        <w:rPr>
          <w:rFonts w:ascii="Calibri" w:cs="Calibri"/>
        </w:rPr>
      </w:pPr>
      <w:r w:rsidRPr="00B708BD">
        <w:rPr>
          <w:rFonts w:ascii="Calibri" w:cs="Calibri"/>
        </w:rPr>
        <w:t xml:space="preserve">51. </w:t>
      </w:r>
      <w:r w:rsidRPr="00B708BD">
        <w:rPr>
          <w:rFonts w:ascii="Calibri" w:cs="Calibri"/>
        </w:rPr>
        <w:tab/>
        <w:t xml:space="preserve">Rode H, Rogers AD, Numanoglu A, Wallis L, Allgaier R, Laflamme L, et al. A review of primary and secondary burn services in the Western Cape, South Africa. S Afr Med J. 2015 Sep 19;105(10):852. </w:t>
      </w:r>
    </w:p>
    <w:p w14:paraId="207B0ABD" w14:textId="77777777" w:rsidR="00B708BD" w:rsidRPr="00B708BD" w:rsidRDefault="00B708BD" w:rsidP="00B708BD">
      <w:pPr>
        <w:pStyle w:val="Bibliography"/>
        <w:rPr>
          <w:rFonts w:ascii="Calibri" w:cs="Calibri"/>
        </w:rPr>
      </w:pPr>
      <w:r w:rsidRPr="00B708BD">
        <w:rPr>
          <w:rFonts w:ascii="Calibri" w:cs="Calibri"/>
        </w:rPr>
        <w:t xml:space="preserve">52. </w:t>
      </w:r>
      <w:r w:rsidRPr="00B708BD">
        <w:rPr>
          <w:rFonts w:ascii="Calibri" w:cs="Calibri"/>
        </w:rPr>
        <w:tab/>
        <w:t xml:space="preserve">Tyson AF, Msiska N, Kiser M, Samuel JC, Mclean S, Varela C, et al. Delivery of operative pediatric surgical care by physicians and non-physician clinicians in Malawi. Int J Surg Lond Engl. 2014;12(5):509–15. </w:t>
      </w:r>
    </w:p>
    <w:p w14:paraId="2B57A657" w14:textId="77777777" w:rsidR="00B708BD" w:rsidRPr="00B708BD" w:rsidRDefault="00B708BD" w:rsidP="00B708BD">
      <w:pPr>
        <w:pStyle w:val="Bibliography"/>
        <w:rPr>
          <w:rFonts w:ascii="Calibri" w:cs="Calibri"/>
        </w:rPr>
      </w:pPr>
      <w:r w:rsidRPr="00B708BD">
        <w:rPr>
          <w:rFonts w:ascii="Calibri" w:cs="Calibri"/>
        </w:rPr>
        <w:t xml:space="preserve">53. </w:t>
      </w:r>
      <w:r w:rsidRPr="00B708BD">
        <w:rPr>
          <w:rFonts w:ascii="Calibri" w:cs="Calibri"/>
        </w:rPr>
        <w:tab/>
        <w:t xml:space="preserve">Olayo B, Kirigia CK, Oliwa JN, Agai ON, Morris M, Benckert M, et al. Effective training-of-trainers model for the introduction of continuous positive airway pressure for neonatal and paediatric patients in Kenya. Paediatr Int Child Health. 2019 Jul 3;39(3):193–200. </w:t>
      </w:r>
    </w:p>
    <w:p w14:paraId="5C951B7D" w14:textId="77777777" w:rsidR="00B708BD" w:rsidRPr="00B708BD" w:rsidRDefault="00B708BD" w:rsidP="00B708BD">
      <w:pPr>
        <w:pStyle w:val="Bibliography"/>
        <w:rPr>
          <w:rFonts w:ascii="Calibri" w:cs="Calibri"/>
        </w:rPr>
      </w:pPr>
      <w:r w:rsidRPr="00B708BD">
        <w:rPr>
          <w:rFonts w:ascii="Calibri" w:cs="Calibri"/>
        </w:rPr>
        <w:t xml:space="preserve">54. </w:t>
      </w:r>
      <w:r w:rsidRPr="00B708BD">
        <w:rPr>
          <w:rFonts w:ascii="Calibri" w:cs="Calibri"/>
        </w:rPr>
        <w:tab/>
        <w:t xml:space="preserve">Wilhelm TJ, Thawe IK, Mwatibu B, Mothes H, Post S. Efficacy of major general surgery performed by non-physician clinicians at a central hospital in Malawi. Trop Doct. 2011 Apr;41(2):71–5. </w:t>
      </w:r>
    </w:p>
    <w:p w14:paraId="5F4C79FA" w14:textId="77777777" w:rsidR="00B708BD" w:rsidRPr="00B708BD" w:rsidRDefault="00B708BD" w:rsidP="00B708BD">
      <w:pPr>
        <w:pStyle w:val="Bibliography"/>
        <w:rPr>
          <w:rFonts w:ascii="Calibri" w:cs="Calibri"/>
        </w:rPr>
      </w:pPr>
      <w:r w:rsidRPr="00B708BD">
        <w:rPr>
          <w:rFonts w:ascii="Calibri" w:cs="Calibri"/>
        </w:rPr>
        <w:t xml:space="preserve">55. </w:t>
      </w:r>
      <w:r w:rsidRPr="00B708BD">
        <w:rPr>
          <w:rFonts w:ascii="Calibri" w:cs="Calibri"/>
        </w:rPr>
        <w:tab/>
        <w:t xml:space="preserve">Rice B, Periyanayagam U, Chamberlain S, Dreifuss B, Hammerstedt H, Nelson S, et al. Mortality in Children Under Five Receiving Nonphysician Clinician Emergency Care in Uganda. Pediatrics. 2016 Mar;137(3):e20153201. </w:t>
      </w:r>
    </w:p>
    <w:p w14:paraId="13F0576C" w14:textId="77777777" w:rsidR="00B708BD" w:rsidRPr="00B708BD" w:rsidRDefault="00B708BD" w:rsidP="00B708BD">
      <w:pPr>
        <w:pStyle w:val="Bibliography"/>
        <w:rPr>
          <w:rFonts w:ascii="Calibri" w:cs="Calibri"/>
        </w:rPr>
      </w:pPr>
      <w:r w:rsidRPr="00B708BD">
        <w:rPr>
          <w:rFonts w:ascii="Calibri" w:cs="Calibri"/>
        </w:rPr>
        <w:t xml:space="preserve">56. </w:t>
      </w:r>
      <w:r w:rsidRPr="00B708BD">
        <w:rPr>
          <w:rFonts w:ascii="Calibri" w:cs="Calibri"/>
        </w:rPr>
        <w:tab/>
        <w:t xml:space="preserve">Tindall AJ, Steinlechner CWB, Lavy CBD, Mannion S, Mkandawire N. Results of Manipulation of Idiopathic Clubfoot Deformity in Malawi by Orthopaedic Clinical Officers Using the Ponseti Method: A Realistic Alternative for the Developing World? J Pediatr Orthop. 2005 Sep;25(5):627–9. </w:t>
      </w:r>
    </w:p>
    <w:p w14:paraId="0656776C" w14:textId="77777777" w:rsidR="00B708BD" w:rsidRPr="00B708BD" w:rsidRDefault="00B708BD" w:rsidP="00B708BD">
      <w:pPr>
        <w:pStyle w:val="Bibliography"/>
        <w:rPr>
          <w:rFonts w:ascii="Calibri" w:cs="Calibri"/>
        </w:rPr>
      </w:pPr>
      <w:r w:rsidRPr="00B708BD">
        <w:rPr>
          <w:rFonts w:ascii="Calibri" w:cs="Calibri"/>
        </w:rPr>
        <w:t xml:space="preserve">57. </w:t>
      </w:r>
      <w:r w:rsidRPr="00B708BD">
        <w:rPr>
          <w:rFonts w:ascii="Calibri" w:cs="Calibri"/>
        </w:rPr>
        <w:tab/>
        <w:t xml:space="preserve">Wilhelm TJ, Dzimbiri K, Sembereka V, Gumeni M, Bach O, Mothes H. Task-shifting of orthopaedic surgery to non-physician clinicians in Malawi: effective and safe? Trop Doct. 2017 Oct;47(4):294–9. </w:t>
      </w:r>
    </w:p>
    <w:p w14:paraId="3E300BA7" w14:textId="77777777" w:rsidR="00B708BD" w:rsidRPr="00B708BD" w:rsidRDefault="00B708BD" w:rsidP="00B708BD">
      <w:pPr>
        <w:pStyle w:val="Bibliography"/>
        <w:rPr>
          <w:rFonts w:ascii="Calibri" w:cs="Calibri"/>
        </w:rPr>
      </w:pPr>
      <w:r w:rsidRPr="00B708BD">
        <w:rPr>
          <w:rFonts w:ascii="Calibri" w:cs="Calibri"/>
        </w:rPr>
        <w:t xml:space="preserve">58. </w:t>
      </w:r>
      <w:r w:rsidRPr="00B708BD">
        <w:rPr>
          <w:rFonts w:ascii="Calibri" w:cs="Calibri"/>
        </w:rPr>
        <w:tab/>
        <w:t xml:space="preserve">Grimes CE, Mkandawire NC, Billingsley ML, Ngulube C, Cobey JC. The cost-effectiveness of orthopaedic clinical officers in Malawi. Trop Doct. 2014 Jul;44(3):128–34. </w:t>
      </w:r>
    </w:p>
    <w:p w14:paraId="543BDFF5" w14:textId="77777777" w:rsidR="00B708BD" w:rsidRPr="00B708BD" w:rsidRDefault="00B708BD" w:rsidP="00B708BD">
      <w:pPr>
        <w:pStyle w:val="Bibliography"/>
        <w:rPr>
          <w:rFonts w:ascii="Calibri" w:cs="Calibri"/>
        </w:rPr>
      </w:pPr>
      <w:r w:rsidRPr="00B708BD">
        <w:rPr>
          <w:rFonts w:ascii="Calibri" w:cs="Calibri"/>
        </w:rPr>
        <w:t xml:space="preserve">59. </w:t>
      </w:r>
      <w:r w:rsidRPr="00B708BD">
        <w:rPr>
          <w:rFonts w:ascii="Calibri" w:cs="Calibri"/>
        </w:rPr>
        <w:tab/>
        <w:t xml:space="preserve">Tiemeier K, Bisanzo M, Dreifuss B, Ward KC. The Effect of Geography and Demography on Outcomes of Emergency Department Patients in Rural Uganda. Ann Emerg Med. 2013 Oct;62(4):S99. </w:t>
      </w:r>
    </w:p>
    <w:p w14:paraId="180B8F20" w14:textId="77777777" w:rsidR="00B708BD" w:rsidRPr="00B708BD" w:rsidRDefault="00B708BD" w:rsidP="00B708BD">
      <w:pPr>
        <w:pStyle w:val="Bibliography"/>
        <w:rPr>
          <w:rFonts w:ascii="Calibri" w:cs="Calibri"/>
        </w:rPr>
      </w:pPr>
      <w:r w:rsidRPr="00B708BD">
        <w:rPr>
          <w:rFonts w:ascii="Calibri" w:cs="Calibri"/>
        </w:rPr>
        <w:lastRenderedPageBreak/>
        <w:t xml:space="preserve">60. </w:t>
      </w:r>
      <w:r w:rsidRPr="00B708BD">
        <w:rPr>
          <w:rFonts w:ascii="Calibri" w:cs="Calibri"/>
        </w:rPr>
        <w:tab/>
        <w:t xml:space="preserve">Bowa K, Li MS, Mugisa B, Waters E, Linyama DM, Chi BH, et al. A controlled trial of three methods for neonatal circumcision in Lusaka, Zambia. J Acquir Immune Defic Syndr 1999. 2013 Jan 1;62(1):e1-6. </w:t>
      </w:r>
    </w:p>
    <w:p w14:paraId="0E7E7F4B" w14:textId="77777777" w:rsidR="00B708BD" w:rsidRPr="00B708BD" w:rsidRDefault="00B708BD" w:rsidP="00B708BD">
      <w:pPr>
        <w:pStyle w:val="Bibliography"/>
        <w:rPr>
          <w:rFonts w:ascii="Calibri" w:cs="Calibri"/>
        </w:rPr>
      </w:pPr>
      <w:r w:rsidRPr="00B708BD">
        <w:rPr>
          <w:rFonts w:ascii="Calibri" w:cs="Calibri"/>
        </w:rPr>
        <w:t xml:space="preserve">61. </w:t>
      </w:r>
      <w:r w:rsidRPr="00B708BD">
        <w:rPr>
          <w:rFonts w:ascii="Calibri" w:cs="Calibri"/>
        </w:rPr>
        <w:tab/>
        <w:t xml:space="preserve">Kankaka EN, Kigozi G, Kayiwa D, Kighoma N, Makumbi F, Murungi T, et al. Efficacy of knowledge and competence-based training of non-physicians in the provision of early infant male circumcision using the Mogen clamp in Rakai, Uganda. BJU Int. 2017 Apr;119(4):631–7. </w:t>
      </w:r>
    </w:p>
    <w:p w14:paraId="25E60A5C" w14:textId="77777777" w:rsidR="00B708BD" w:rsidRPr="00B708BD" w:rsidRDefault="00B708BD" w:rsidP="00B708BD">
      <w:pPr>
        <w:pStyle w:val="Bibliography"/>
        <w:rPr>
          <w:rFonts w:ascii="Calibri" w:cs="Calibri"/>
        </w:rPr>
      </w:pPr>
      <w:r w:rsidRPr="00B708BD">
        <w:rPr>
          <w:rFonts w:ascii="Calibri" w:cs="Calibri"/>
        </w:rPr>
        <w:t xml:space="preserve">62. </w:t>
      </w:r>
      <w:r w:rsidRPr="00B708BD">
        <w:rPr>
          <w:rFonts w:ascii="Calibri" w:cs="Calibri"/>
        </w:rPr>
        <w:tab/>
        <w:t xml:space="preserve">Frajzyngier V, Odingo G, Barone M, Perchal P, Pavin M. Safety of adult medical male circumcision performed by non-physician clinicians in Kenya: a prospective cohort study. Glob Health Sci Pract. 2014 Feb;2(1):93–102. </w:t>
      </w:r>
    </w:p>
    <w:p w14:paraId="0528220C" w14:textId="77777777" w:rsidR="00B708BD" w:rsidRPr="00B708BD" w:rsidRDefault="00B708BD" w:rsidP="00B708BD">
      <w:pPr>
        <w:pStyle w:val="Bibliography"/>
        <w:rPr>
          <w:rFonts w:ascii="Calibri" w:cs="Calibri"/>
        </w:rPr>
      </w:pPr>
      <w:r w:rsidRPr="00B708BD">
        <w:rPr>
          <w:rFonts w:ascii="Calibri" w:cs="Calibri"/>
        </w:rPr>
        <w:t xml:space="preserve">63. </w:t>
      </w:r>
      <w:r w:rsidRPr="00B708BD">
        <w:rPr>
          <w:rFonts w:ascii="Calibri" w:cs="Calibri"/>
        </w:rPr>
        <w:tab/>
        <w:t xml:space="preserve">Young MR, Bailey RC, Odoyo-June E, Irwin TE, Obiero W, Ongong’a DO, et al. Safety of over Twelve Hundred Infant Male Circumcisions Using the Mogen Clamp in Kenya. PLOS ONE. 2012;7(10):5. </w:t>
      </w:r>
    </w:p>
    <w:p w14:paraId="6FAEE9CB" w14:textId="77777777" w:rsidR="00B708BD" w:rsidRPr="00B708BD" w:rsidRDefault="00B708BD" w:rsidP="00B708BD">
      <w:pPr>
        <w:pStyle w:val="Bibliography"/>
        <w:rPr>
          <w:rFonts w:ascii="Calibri" w:cs="Calibri"/>
        </w:rPr>
      </w:pPr>
      <w:r w:rsidRPr="00B708BD">
        <w:rPr>
          <w:rFonts w:ascii="Calibri" w:cs="Calibri"/>
        </w:rPr>
        <w:t xml:space="preserve">64. </w:t>
      </w:r>
      <w:r w:rsidRPr="00B708BD">
        <w:rPr>
          <w:rFonts w:ascii="Calibri" w:cs="Calibri"/>
        </w:rPr>
        <w:tab/>
        <w:t xml:space="preserve">Mwandi Z, Ochieng A, Grund J, Mwalili S, Kimanga D, Otieno G, et al. Service delivery trends in Kenya’s voluntary medical male circumcision scale-up from 2008-2011. In: Journal of the International Aids Society. INT AIDS SOCIETY AVENUE DE FRANCE 23, GENEVA, 1202, SWITZERLAND; 2012. p. 136–7. </w:t>
      </w:r>
    </w:p>
    <w:p w14:paraId="244BFCDF" w14:textId="77777777" w:rsidR="00B708BD" w:rsidRPr="00B708BD" w:rsidRDefault="00B708BD" w:rsidP="00B708BD">
      <w:pPr>
        <w:pStyle w:val="Bibliography"/>
        <w:rPr>
          <w:rFonts w:ascii="Calibri" w:cs="Calibri"/>
        </w:rPr>
      </w:pPr>
      <w:r w:rsidRPr="00B708BD">
        <w:rPr>
          <w:rFonts w:ascii="Calibri" w:cs="Calibri"/>
        </w:rPr>
        <w:t xml:space="preserve">65. </w:t>
      </w:r>
      <w:r w:rsidRPr="00B708BD">
        <w:rPr>
          <w:rFonts w:ascii="Calibri" w:cs="Calibri"/>
        </w:rPr>
        <w:tab/>
        <w:t>Al Hussein Alawamlh* Omar, Kim Soo Jeong, Barone Mark, Awori Quentin, Oketch Jairus, Otiende Patrick, et al. Pd08-11</w:t>
      </w:r>
      <w:r w:rsidRPr="00B708BD">
        <w:rPr>
          <w:rFonts w:ascii="Calibri" w:cs="Calibri"/>
        </w:rPr>
        <w:t> </w:t>
      </w:r>
      <w:r w:rsidRPr="00B708BD">
        <w:rPr>
          <w:rFonts w:ascii="Calibri" w:cs="Calibri"/>
        </w:rPr>
        <w:t xml:space="preserve">use of topical anesthesia with the shangring male circumcision device: a randomized clinical trial in kenya. J Urol. 2019 Apr 1;201(Supplement 4):e152–3. </w:t>
      </w:r>
    </w:p>
    <w:p w14:paraId="1230AEB0" w14:textId="77777777" w:rsidR="00B708BD" w:rsidRPr="00B708BD" w:rsidRDefault="00B708BD" w:rsidP="00B708BD">
      <w:pPr>
        <w:pStyle w:val="Bibliography"/>
        <w:rPr>
          <w:rFonts w:ascii="Calibri" w:cs="Calibri"/>
        </w:rPr>
      </w:pPr>
      <w:r w:rsidRPr="00B708BD">
        <w:rPr>
          <w:rFonts w:ascii="Calibri" w:cs="Calibri"/>
        </w:rPr>
        <w:t xml:space="preserve">66. </w:t>
      </w:r>
      <w:r w:rsidRPr="00B708BD">
        <w:rPr>
          <w:rFonts w:ascii="Calibri" w:cs="Calibri"/>
        </w:rPr>
        <w:tab/>
        <w:t xml:space="preserve">Kankaka EN, Murungi T, Kigozi G, Makumbi F, Nabukalu D, Watya S, et al. Randomised trial of early infant circumcision performed by clinical officers and registered nurse midwives using the Mogen clamp in Rakai, Uganda. BJU Int. 2017 Jan;119(1):164–70. </w:t>
      </w:r>
    </w:p>
    <w:p w14:paraId="70AA47D6" w14:textId="77777777" w:rsidR="00B708BD" w:rsidRPr="00B708BD" w:rsidRDefault="00B708BD" w:rsidP="00B708BD">
      <w:pPr>
        <w:pStyle w:val="Bibliography"/>
        <w:rPr>
          <w:rFonts w:ascii="Calibri" w:cs="Calibri"/>
        </w:rPr>
      </w:pPr>
      <w:r w:rsidRPr="00B708BD">
        <w:rPr>
          <w:rFonts w:ascii="Calibri" w:cs="Calibri"/>
        </w:rPr>
        <w:t xml:space="preserve">67. </w:t>
      </w:r>
      <w:r w:rsidRPr="00B708BD">
        <w:rPr>
          <w:rFonts w:ascii="Calibri" w:cs="Calibri"/>
        </w:rPr>
        <w:tab/>
        <w:t xml:space="preserve">Aliku TO, Adong C, Kamarembo J, Akech R, Odong F, Apiyo P. PO552 Assessment of the Impact of a Training Program on Knowledge and Clinical Practices of Health Workers Regarding Rheumatic Heart Disease Prevention In Lower Level Health Centers In Gulu Municipality, Uganda. Glob Heart. 2018;13(4):495. </w:t>
      </w:r>
    </w:p>
    <w:p w14:paraId="4F92DBE5" w14:textId="77777777" w:rsidR="00B708BD" w:rsidRPr="00B708BD" w:rsidRDefault="00B708BD" w:rsidP="00B708BD">
      <w:pPr>
        <w:pStyle w:val="Bibliography"/>
        <w:rPr>
          <w:rFonts w:ascii="Calibri" w:cs="Calibri"/>
        </w:rPr>
      </w:pPr>
      <w:r w:rsidRPr="00B708BD">
        <w:rPr>
          <w:rFonts w:ascii="Calibri" w:cs="Calibri"/>
        </w:rPr>
        <w:t xml:space="preserve">68. </w:t>
      </w:r>
      <w:r w:rsidRPr="00B708BD">
        <w:rPr>
          <w:rFonts w:ascii="Calibri" w:cs="Calibri"/>
        </w:rPr>
        <w:tab/>
        <w:t xml:space="preserve">Sims AE, Sable CA, Hosseinipour M, Karlsten M, Kazembe PN, Minard CG, et al. Clinical-officer Led Echocardiographic Screening is Sensitive for Diagnosing Rheumatic Heart Disease in Malawi, Africa. Circulation. 2015;132(suppl_3):A18009–A18009. </w:t>
      </w:r>
    </w:p>
    <w:p w14:paraId="500AC379" w14:textId="77777777" w:rsidR="00B708BD" w:rsidRPr="00B708BD" w:rsidRDefault="00B708BD" w:rsidP="00B708BD">
      <w:pPr>
        <w:pStyle w:val="Bibliography"/>
        <w:rPr>
          <w:rFonts w:ascii="Calibri" w:cs="Calibri"/>
        </w:rPr>
      </w:pPr>
      <w:r w:rsidRPr="00B708BD">
        <w:rPr>
          <w:rFonts w:ascii="Calibri" w:cs="Calibri"/>
        </w:rPr>
        <w:t xml:space="preserve">69. </w:t>
      </w:r>
      <w:r w:rsidRPr="00B708BD">
        <w:rPr>
          <w:rFonts w:ascii="Calibri" w:cs="Calibri"/>
        </w:rPr>
        <w:tab/>
        <w:t xml:space="preserve">Sanyahumbi A. Education: The prevention of acute rheumatic fever and rheumatic heart disease in Malawi. Malawi Med J. 2019;31(3):221–2. </w:t>
      </w:r>
    </w:p>
    <w:p w14:paraId="47F9C648" w14:textId="77777777" w:rsidR="00B708BD" w:rsidRPr="00B708BD" w:rsidRDefault="00B708BD" w:rsidP="00B708BD">
      <w:pPr>
        <w:pStyle w:val="Bibliography"/>
        <w:rPr>
          <w:rFonts w:ascii="Calibri" w:cs="Calibri"/>
        </w:rPr>
      </w:pPr>
      <w:r w:rsidRPr="00B708BD">
        <w:rPr>
          <w:rFonts w:ascii="Calibri" w:cs="Calibri"/>
        </w:rPr>
        <w:t xml:space="preserve">70. </w:t>
      </w:r>
      <w:r w:rsidRPr="00B708BD">
        <w:rPr>
          <w:rFonts w:ascii="Calibri" w:cs="Calibri"/>
        </w:rPr>
        <w:tab/>
        <w:t xml:space="preserve">Eberly L, Rusingiza E, Park P, Ngoga G, Dusabeyezu S, Mutabazi F, et al. Heart failure as an entry point for severe cardiovascular disease in sub-saharan Africa: 10-year experience with nurse-led diagnosis and treatment at district hospitals in rural Rwanda. J Am Coll Cardiol. 2018;71(11S):A656–A656. </w:t>
      </w:r>
    </w:p>
    <w:p w14:paraId="5438A361" w14:textId="77777777" w:rsidR="00B708BD" w:rsidRPr="00B708BD" w:rsidRDefault="00B708BD" w:rsidP="00B708BD">
      <w:pPr>
        <w:pStyle w:val="Bibliography"/>
        <w:rPr>
          <w:rFonts w:ascii="Calibri" w:cs="Calibri"/>
        </w:rPr>
      </w:pPr>
      <w:r w:rsidRPr="00B708BD">
        <w:rPr>
          <w:rFonts w:ascii="Calibri" w:cs="Calibri"/>
        </w:rPr>
        <w:t xml:space="preserve">71. </w:t>
      </w:r>
      <w:r w:rsidRPr="00B708BD">
        <w:rPr>
          <w:rFonts w:ascii="Calibri" w:cs="Calibri"/>
        </w:rPr>
        <w:tab/>
        <w:t xml:space="preserve">Paiva P, Cappellano A, Dias C, Silva N. Project clinical nurse specialist in neuro-oncology: Experience report. Neuro-Oncol. 2012;14:123–123. </w:t>
      </w:r>
    </w:p>
    <w:p w14:paraId="1BE0974F" w14:textId="77777777" w:rsidR="00B708BD" w:rsidRPr="00B708BD" w:rsidRDefault="00B708BD" w:rsidP="00B708BD">
      <w:pPr>
        <w:pStyle w:val="Bibliography"/>
        <w:rPr>
          <w:rFonts w:ascii="Calibri" w:cs="Calibri"/>
        </w:rPr>
      </w:pPr>
      <w:r w:rsidRPr="00B708BD">
        <w:rPr>
          <w:rFonts w:ascii="Calibri" w:cs="Calibri"/>
        </w:rPr>
        <w:t xml:space="preserve">72. </w:t>
      </w:r>
      <w:r w:rsidRPr="00B708BD">
        <w:rPr>
          <w:rFonts w:ascii="Calibri" w:cs="Calibri"/>
        </w:rPr>
        <w:tab/>
        <w:t xml:space="preserve">Sims Sanyahumbi A, Sable CA, Karlsten M, Hosseinipour MC, Kazembe PN, Minard CG, et al. Task shifting to clinical officer-led echocardiography screening for detecting rheumatic heart disease in Malawi, Africa. Cardiol Young. 2017 Aug;27(6):1133–9. </w:t>
      </w:r>
    </w:p>
    <w:p w14:paraId="121967BA" w14:textId="77777777" w:rsidR="00B708BD" w:rsidRPr="00B708BD" w:rsidRDefault="00B708BD" w:rsidP="00B708BD">
      <w:pPr>
        <w:pStyle w:val="Bibliography"/>
        <w:rPr>
          <w:rFonts w:ascii="Calibri" w:cs="Calibri"/>
        </w:rPr>
      </w:pPr>
      <w:r w:rsidRPr="00B708BD">
        <w:rPr>
          <w:rFonts w:ascii="Calibri" w:cs="Calibri"/>
        </w:rPr>
        <w:t xml:space="preserve">73. </w:t>
      </w:r>
      <w:r w:rsidRPr="00B708BD">
        <w:rPr>
          <w:rFonts w:ascii="Calibri" w:cs="Calibri"/>
        </w:rPr>
        <w:tab/>
        <w:t xml:space="preserve">Beaton A, Nascimento B, Diamantino A, Perlman L, Tompsett A, Ribeiro A, et al. PS018 Task-Shifting of Handheld Echocardiographic Screening for Rheumatic Heart Disease: Longitudinal Performance of Non-Experts in a School-Based Program. Glob Heart. 2016 Jun;11(2):e19. </w:t>
      </w:r>
    </w:p>
    <w:p w14:paraId="73ACFC9F" w14:textId="77777777" w:rsidR="00B708BD" w:rsidRPr="00B708BD" w:rsidRDefault="00B708BD" w:rsidP="00B708BD">
      <w:pPr>
        <w:pStyle w:val="Bibliography"/>
        <w:rPr>
          <w:rFonts w:ascii="Calibri" w:cs="Calibri"/>
        </w:rPr>
      </w:pPr>
      <w:r w:rsidRPr="00B708BD">
        <w:rPr>
          <w:rFonts w:ascii="Calibri" w:cs="Calibri"/>
        </w:rPr>
        <w:lastRenderedPageBreak/>
        <w:t xml:space="preserve">74. </w:t>
      </w:r>
      <w:r w:rsidRPr="00B708BD">
        <w:rPr>
          <w:rFonts w:ascii="Calibri" w:cs="Calibri"/>
        </w:rPr>
        <w:tab/>
        <w:t xml:space="preserve">Engelman D, Kado J, Remenyi B, Watson C, Rayasidamu S, Steer A, et al. Teaching focused echocardiography for rheumatic heart disease screening. Ann Pediatr Cardiol. 2015;8(2):118. </w:t>
      </w:r>
    </w:p>
    <w:p w14:paraId="4E64467D" w14:textId="77777777" w:rsidR="00B708BD" w:rsidRPr="00B708BD" w:rsidRDefault="00B708BD" w:rsidP="00B708BD">
      <w:pPr>
        <w:pStyle w:val="Bibliography"/>
        <w:rPr>
          <w:rFonts w:ascii="Calibri" w:cs="Calibri"/>
        </w:rPr>
      </w:pPr>
      <w:r w:rsidRPr="00B708BD">
        <w:rPr>
          <w:rFonts w:ascii="Calibri" w:cs="Calibri"/>
        </w:rPr>
        <w:t xml:space="preserve">75. </w:t>
      </w:r>
      <w:r w:rsidRPr="00B708BD">
        <w:rPr>
          <w:rFonts w:ascii="Calibri" w:cs="Calibri"/>
        </w:rPr>
        <w:tab/>
        <w:t xml:space="preserve">Colquhoun SM, Carapetis JR, Kado JH, Reeves BM, Remenyi B, May W, et al. Pilot study of nurse-led rheumatic heart disease echocardiography screening in Fiji – a novel approach in a resource-poor setting. Cardiol Young. 2013 Aug;23(4):546–52. </w:t>
      </w:r>
    </w:p>
    <w:p w14:paraId="77F10472" w14:textId="77777777" w:rsidR="00B708BD" w:rsidRPr="00B708BD" w:rsidRDefault="00B708BD" w:rsidP="00B708BD">
      <w:pPr>
        <w:pStyle w:val="Bibliography"/>
        <w:rPr>
          <w:rFonts w:ascii="Calibri" w:cs="Calibri"/>
        </w:rPr>
      </w:pPr>
      <w:r w:rsidRPr="00B708BD">
        <w:rPr>
          <w:rFonts w:ascii="Calibri" w:cs="Calibri"/>
        </w:rPr>
        <w:t xml:space="preserve">76. </w:t>
      </w:r>
      <w:r w:rsidRPr="00B708BD">
        <w:rPr>
          <w:rFonts w:ascii="Calibri" w:cs="Calibri"/>
        </w:rPr>
        <w:tab/>
        <w:t xml:space="preserve">Ploutz M, Lu JC, Scheel J, Webb C, Ensing GJ, Aliku T, et al. Handheld echocardiographic screening for rheumatic heart disease by non-experts. Heart. 2016 Jan 1;102(1):35–9. </w:t>
      </w:r>
    </w:p>
    <w:p w14:paraId="74447DDA" w14:textId="77777777" w:rsidR="00B708BD" w:rsidRPr="00B708BD" w:rsidRDefault="00B708BD" w:rsidP="00B708BD">
      <w:pPr>
        <w:pStyle w:val="Bibliography"/>
        <w:rPr>
          <w:rFonts w:ascii="Calibri" w:cs="Calibri"/>
        </w:rPr>
      </w:pPr>
      <w:r w:rsidRPr="00B708BD">
        <w:rPr>
          <w:rFonts w:ascii="Calibri" w:cs="Calibri"/>
        </w:rPr>
        <w:t xml:space="preserve">77. </w:t>
      </w:r>
      <w:r w:rsidRPr="00B708BD">
        <w:rPr>
          <w:rFonts w:ascii="Calibri" w:cs="Calibri"/>
        </w:rPr>
        <w:tab/>
        <w:t xml:space="preserve">Buser JM. The Need for Hematology Nurse Education in Low- and Middle-Income Countries: A Community Case Study in Tanzania. Front Public Health. 2017;5:65. </w:t>
      </w:r>
    </w:p>
    <w:p w14:paraId="029CF887" w14:textId="77777777" w:rsidR="00B708BD" w:rsidRPr="00B708BD" w:rsidRDefault="00B708BD" w:rsidP="00B708BD">
      <w:pPr>
        <w:pStyle w:val="Bibliography"/>
        <w:rPr>
          <w:rFonts w:ascii="Calibri" w:cs="Calibri"/>
        </w:rPr>
      </w:pPr>
      <w:r w:rsidRPr="00B708BD">
        <w:rPr>
          <w:rFonts w:ascii="Calibri" w:cs="Calibri"/>
        </w:rPr>
        <w:t xml:space="preserve">78. </w:t>
      </w:r>
      <w:r w:rsidRPr="00B708BD">
        <w:rPr>
          <w:rFonts w:ascii="Calibri" w:cs="Calibri"/>
        </w:rPr>
        <w:tab/>
        <w:t xml:space="preserve">Some D, Edwards JK, Reid T, Van den Bergh R, Kosgei RJ, Wilkinson E, et al. Task Shifting the Management of Non-Communicable Diseases to Nurses in Kibera, Kenya: Does It Work? Griffiths UK, editor. PLOS ONE. 2016 Jan 26;11(1):e0145634. </w:t>
      </w:r>
    </w:p>
    <w:p w14:paraId="5AF70EE9" w14:textId="77777777" w:rsidR="00B708BD" w:rsidRPr="00B708BD" w:rsidRDefault="00B708BD" w:rsidP="00B708BD">
      <w:pPr>
        <w:pStyle w:val="Bibliography"/>
        <w:rPr>
          <w:rFonts w:ascii="Calibri" w:cs="Calibri"/>
        </w:rPr>
      </w:pPr>
      <w:r w:rsidRPr="00B708BD">
        <w:rPr>
          <w:rFonts w:ascii="Calibri" w:cs="Calibri"/>
        </w:rPr>
        <w:t xml:space="preserve">79. </w:t>
      </w:r>
      <w:r w:rsidRPr="00B708BD">
        <w:rPr>
          <w:rFonts w:ascii="Calibri" w:cs="Calibri"/>
        </w:rPr>
        <w:tab/>
        <w:t xml:space="preserve">Rossouw J, Yadin E, Alexander D, Mbanga I, Jacobs T, Seedat S. A pilot and feasibility randomised controlled study of Prolonged Exposure Treatment and supportive counselling for post-traumatic stress disorder in adolescents: a third world, task-shifting, community-based sample. Trials. 2016 Nov 17;17(1):548. </w:t>
      </w:r>
    </w:p>
    <w:p w14:paraId="5303DF81" w14:textId="77777777" w:rsidR="00B708BD" w:rsidRPr="00B708BD" w:rsidRDefault="00B708BD" w:rsidP="00B708BD">
      <w:pPr>
        <w:pStyle w:val="Bibliography"/>
        <w:rPr>
          <w:rFonts w:ascii="Calibri" w:cs="Calibri"/>
        </w:rPr>
      </w:pPr>
      <w:r w:rsidRPr="00B708BD">
        <w:rPr>
          <w:rFonts w:ascii="Calibri" w:cs="Calibri"/>
        </w:rPr>
        <w:t xml:space="preserve">80. </w:t>
      </w:r>
      <w:r w:rsidRPr="00B708BD">
        <w:rPr>
          <w:rFonts w:ascii="Calibri" w:cs="Calibri"/>
        </w:rPr>
        <w:tab/>
        <w:t xml:space="preserve">Harris C, Harris U. Combating barriers to epilepsy treatment in Western Uganda. Trop Med Int Health. 2013 Sep 1;18:83–83. </w:t>
      </w:r>
    </w:p>
    <w:p w14:paraId="56A2470E" w14:textId="77777777" w:rsidR="00B708BD" w:rsidRPr="00B708BD" w:rsidRDefault="00B708BD" w:rsidP="00B708BD">
      <w:pPr>
        <w:pStyle w:val="Bibliography"/>
        <w:rPr>
          <w:rFonts w:ascii="Calibri" w:cs="Calibri"/>
        </w:rPr>
      </w:pPr>
      <w:r w:rsidRPr="00B708BD">
        <w:rPr>
          <w:rFonts w:ascii="Calibri" w:cs="Calibri"/>
        </w:rPr>
        <w:t xml:space="preserve">81. </w:t>
      </w:r>
      <w:r w:rsidRPr="00B708BD">
        <w:rPr>
          <w:rFonts w:ascii="Calibri" w:cs="Calibri"/>
        </w:rPr>
        <w:tab/>
        <w:t xml:space="preserve">Akol A, Nalugya J, Nshemereirwe S, Babirye JN, Engebretsen IMS. Does child and adolescent mental health in-service training result in equivalent knowledge gain among cadres of non-specialist health workers in Uganda? A pre-test post-test study. Int J Ment Health Syst. 2017;11:50. </w:t>
      </w:r>
    </w:p>
    <w:p w14:paraId="2A8CD335" w14:textId="77777777" w:rsidR="00B708BD" w:rsidRPr="00B708BD" w:rsidRDefault="00B708BD" w:rsidP="00B708BD">
      <w:pPr>
        <w:pStyle w:val="Bibliography"/>
        <w:rPr>
          <w:rFonts w:ascii="Calibri" w:cs="Calibri"/>
        </w:rPr>
      </w:pPr>
      <w:r w:rsidRPr="00B708BD">
        <w:rPr>
          <w:rFonts w:ascii="Calibri" w:cs="Calibri"/>
        </w:rPr>
        <w:t xml:space="preserve">82. </w:t>
      </w:r>
      <w:r w:rsidRPr="00B708BD">
        <w:rPr>
          <w:rFonts w:ascii="Calibri" w:cs="Calibri"/>
        </w:rPr>
        <w:tab/>
        <w:t xml:space="preserve">Patel AA, Wibecan L, Tembo O, Kalyelye P, Mathews M, Ciccone O. Improving paediatric epilepsy management at the first level of care: a pilot education intervention for clinical officers in Zambia. BMJ Open. 2019 Jul;9(7):e029322. </w:t>
      </w:r>
    </w:p>
    <w:p w14:paraId="778F5A0A" w14:textId="77777777" w:rsidR="00B708BD" w:rsidRPr="00B708BD" w:rsidRDefault="00B708BD" w:rsidP="00B708BD">
      <w:pPr>
        <w:pStyle w:val="Bibliography"/>
        <w:rPr>
          <w:rFonts w:ascii="Calibri" w:cs="Calibri"/>
        </w:rPr>
      </w:pPr>
      <w:r w:rsidRPr="00B708BD">
        <w:rPr>
          <w:rFonts w:ascii="Calibri" w:cs="Calibri"/>
        </w:rPr>
        <w:t xml:space="preserve">83. </w:t>
      </w:r>
      <w:r w:rsidRPr="00B708BD">
        <w:rPr>
          <w:rFonts w:ascii="Calibri" w:cs="Calibri"/>
        </w:rPr>
        <w:tab/>
        <w:t xml:space="preserve">Rossouw J, Yadin E, Alexander D, Seedat S. Prolonged exposure therapy and supportive counselling for post-traumatic stress disorder in adolescents: task-shifting randomised controlled trial. Br J Psychiatry J Ment Sci. 2018 Oct;213(4):587–94. </w:t>
      </w:r>
    </w:p>
    <w:p w14:paraId="517E1DE7" w14:textId="77777777" w:rsidR="00B708BD" w:rsidRPr="00B708BD" w:rsidRDefault="00B708BD" w:rsidP="00B708BD">
      <w:pPr>
        <w:pStyle w:val="Bibliography"/>
        <w:rPr>
          <w:rFonts w:ascii="Calibri" w:cs="Calibri"/>
        </w:rPr>
      </w:pPr>
      <w:r w:rsidRPr="00B708BD">
        <w:rPr>
          <w:rFonts w:ascii="Calibri" w:cs="Calibri"/>
        </w:rPr>
        <w:t xml:space="preserve">84. </w:t>
      </w:r>
      <w:r w:rsidRPr="00B708BD">
        <w:rPr>
          <w:rFonts w:ascii="Calibri" w:cs="Calibri"/>
        </w:rPr>
        <w:tab/>
        <w:t xml:space="preserve">Kengne AP, Fezeu LL, Awah PK, Sobngwi E, Dongmo S, Mbanya JC. Nurse-led care for epilepsy at primary level in a rural health district in Cameroon. Epilepsia. 2008 Sep;49(9):1639–42. </w:t>
      </w:r>
    </w:p>
    <w:p w14:paraId="6E4E12E3" w14:textId="77777777" w:rsidR="00B708BD" w:rsidRPr="00B708BD" w:rsidRDefault="00B708BD" w:rsidP="00B708BD">
      <w:pPr>
        <w:pStyle w:val="Bibliography"/>
        <w:rPr>
          <w:rFonts w:ascii="Calibri" w:cs="Calibri"/>
        </w:rPr>
      </w:pPr>
      <w:r w:rsidRPr="00B708BD">
        <w:rPr>
          <w:rFonts w:ascii="Calibri" w:cs="Calibri"/>
        </w:rPr>
        <w:t xml:space="preserve">85. </w:t>
      </w:r>
      <w:r w:rsidRPr="00B708BD">
        <w:rPr>
          <w:rFonts w:ascii="Calibri" w:cs="Calibri"/>
        </w:rPr>
        <w:tab/>
        <w:t xml:space="preserve">Kengne AP, Sobngwi E, Fezeu LL, Awah PK, Dongmo S, Mbanya JC, et al. Nurse-Led Care for Asthma at Primary Level in Rural Sub-Saharan Africa: The Experience of Bafut in Cameroon. J Asthma. 2008 Jan;45(6):437–43. </w:t>
      </w:r>
    </w:p>
    <w:p w14:paraId="443784DA" w14:textId="77777777" w:rsidR="00B708BD" w:rsidRPr="00B708BD" w:rsidRDefault="00B708BD" w:rsidP="00B708BD">
      <w:pPr>
        <w:pStyle w:val="Bibliography"/>
        <w:rPr>
          <w:rFonts w:ascii="Calibri" w:cs="Calibri"/>
        </w:rPr>
      </w:pPr>
      <w:r w:rsidRPr="00B708BD">
        <w:rPr>
          <w:rFonts w:ascii="Calibri" w:cs="Calibri"/>
        </w:rPr>
        <w:t xml:space="preserve">86. </w:t>
      </w:r>
      <w:r w:rsidRPr="00B708BD">
        <w:rPr>
          <w:rFonts w:ascii="Calibri" w:cs="Calibri"/>
        </w:rPr>
        <w:tab/>
        <w:t xml:space="preserve">Tesfaye M, Abera M, Gruber-Frank C, Frank R. The development of a model of training in child psychiatry for non-physician clinicians in Ethiopia. Child Adolesc Psychiatry Ment Health. 2014 Feb 25;8(1):6. </w:t>
      </w:r>
    </w:p>
    <w:p w14:paraId="20F078BD" w14:textId="77777777" w:rsidR="00B708BD" w:rsidRPr="00B708BD" w:rsidRDefault="00B708BD" w:rsidP="00B708BD">
      <w:pPr>
        <w:pStyle w:val="Bibliography"/>
        <w:rPr>
          <w:rFonts w:ascii="Calibri" w:cs="Calibri"/>
        </w:rPr>
      </w:pPr>
      <w:r w:rsidRPr="00B708BD">
        <w:rPr>
          <w:rFonts w:ascii="Calibri" w:cs="Calibri"/>
        </w:rPr>
        <w:t xml:space="preserve">87. </w:t>
      </w:r>
      <w:r w:rsidRPr="00B708BD">
        <w:rPr>
          <w:rFonts w:ascii="Calibri" w:cs="Calibri"/>
        </w:rPr>
        <w:tab/>
        <w:t xml:space="preserve">Abbo C, Mwaka AD, Opar BT, Idro R. Qualitative evaluation of the outcomes of care and treatment for children and adolescents with nodding syndrome and other epilepsies in Uganda. Infect Dis Poverty. 2019 Apr 30;8(1):30. </w:t>
      </w:r>
    </w:p>
    <w:p w14:paraId="4454A075" w14:textId="77777777" w:rsidR="00B708BD" w:rsidRPr="00B708BD" w:rsidRDefault="00B708BD" w:rsidP="00B708BD">
      <w:pPr>
        <w:pStyle w:val="Bibliography"/>
        <w:rPr>
          <w:rFonts w:ascii="Calibri" w:cs="Calibri"/>
        </w:rPr>
      </w:pPr>
      <w:r w:rsidRPr="00B708BD">
        <w:rPr>
          <w:rFonts w:ascii="Calibri" w:cs="Calibri"/>
        </w:rPr>
        <w:t xml:space="preserve">88. </w:t>
      </w:r>
      <w:r w:rsidRPr="00B708BD">
        <w:rPr>
          <w:rFonts w:ascii="Calibri" w:cs="Calibri"/>
        </w:rPr>
        <w:tab/>
        <w:t xml:space="preserve">van de Water T, Rossouw J, Yadin E, Seedat S. Impediments and catalysts to task-shifting psychotherapeutic interventions for adolescents with PTSD: perspectives of multi-stakeholders. Child Adolesc Psychiatry Ment Health. 2017;11:48. </w:t>
      </w:r>
    </w:p>
    <w:p w14:paraId="7D9C9260" w14:textId="77777777" w:rsidR="00B708BD" w:rsidRPr="00B708BD" w:rsidRDefault="00B708BD" w:rsidP="00B708BD">
      <w:pPr>
        <w:pStyle w:val="Bibliography"/>
        <w:rPr>
          <w:rFonts w:ascii="Calibri" w:cs="Calibri"/>
        </w:rPr>
      </w:pPr>
      <w:r w:rsidRPr="00B708BD">
        <w:rPr>
          <w:rFonts w:ascii="Calibri" w:cs="Calibri"/>
        </w:rPr>
        <w:lastRenderedPageBreak/>
        <w:t xml:space="preserve">89. </w:t>
      </w:r>
      <w:r w:rsidRPr="00B708BD">
        <w:rPr>
          <w:rFonts w:ascii="Calibri" w:cs="Calibri"/>
        </w:rPr>
        <w:tab/>
        <w:t xml:space="preserve">van de Water T, Rossouw J, Yadin E, Seedat S. Adolescent and nurse perspectives of psychotherapeutic interventions for PTSD delivered through task-shifting in a low resource setting. PloS One. 2018;13(7):e0199816. </w:t>
      </w:r>
    </w:p>
    <w:p w14:paraId="7AA85FF6" w14:textId="77777777" w:rsidR="00B708BD" w:rsidRPr="00B708BD" w:rsidRDefault="00B708BD" w:rsidP="00B708BD">
      <w:pPr>
        <w:pStyle w:val="Bibliography"/>
        <w:rPr>
          <w:rFonts w:ascii="Calibri" w:cs="Calibri"/>
        </w:rPr>
      </w:pPr>
      <w:r w:rsidRPr="00B708BD">
        <w:rPr>
          <w:rFonts w:ascii="Calibri" w:cs="Calibri"/>
        </w:rPr>
        <w:t xml:space="preserve">90. </w:t>
      </w:r>
      <w:r w:rsidRPr="00B708BD">
        <w:rPr>
          <w:rFonts w:ascii="Calibri" w:cs="Calibri"/>
        </w:rPr>
        <w:tab/>
        <w:t xml:space="preserve">Mafwiri MM, Kisenge R, Gilbert CE. A pilot study to evaluate incorporating eye care for children into reproductive and child health services in Dar-es-Salaam, Tanzania: a historical comparison study. BMC Nurs. 2014 Dec;13(1):15. </w:t>
      </w:r>
    </w:p>
    <w:p w14:paraId="3E7B0F21" w14:textId="606392C9" w:rsidR="00E15533" w:rsidRDefault="00B708BD" w:rsidP="003E6A5B">
      <w:r>
        <w:rPr>
          <w:rFonts w:ascii="Calibri"/>
        </w:rPr>
        <w:fldChar w:fldCharType="end"/>
      </w:r>
    </w:p>
    <w:sectPr w:rsidR="00E15533" w:rsidSect="00B708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F5DC0"/>
    <w:multiLevelType w:val="hybridMultilevel"/>
    <w:tmpl w:val="D704543C"/>
    <w:lvl w:ilvl="0" w:tplc="A732BAB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D58C9"/>
    <w:multiLevelType w:val="hybridMultilevel"/>
    <w:tmpl w:val="CFF0D7C6"/>
    <w:lvl w:ilvl="0" w:tplc="A732BAB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506965"/>
    <w:multiLevelType w:val="hybridMultilevel"/>
    <w:tmpl w:val="225C8408"/>
    <w:lvl w:ilvl="0" w:tplc="A29A7564">
      <w:start w:val="1"/>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930B0E"/>
    <w:multiLevelType w:val="hybridMultilevel"/>
    <w:tmpl w:val="856E6F5A"/>
    <w:lvl w:ilvl="0" w:tplc="A732BAB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923821"/>
    <w:multiLevelType w:val="hybridMultilevel"/>
    <w:tmpl w:val="F3F25304"/>
    <w:lvl w:ilvl="0" w:tplc="3BD01FA2">
      <w:start w:val="1"/>
      <w:numFmt w:val="bullet"/>
      <w:lvlText w:val=""/>
      <w:lvlJc w:val="left"/>
      <w:pPr>
        <w:ind w:left="170" w:hanging="17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E20D14"/>
    <w:multiLevelType w:val="hybridMultilevel"/>
    <w:tmpl w:val="CE4E0F7A"/>
    <w:lvl w:ilvl="0" w:tplc="25F0E8FC">
      <w:start w:val="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EA7211"/>
    <w:multiLevelType w:val="hybridMultilevel"/>
    <w:tmpl w:val="D39461AC"/>
    <w:lvl w:ilvl="0" w:tplc="8B5E3D7C">
      <w:start w:val="1"/>
      <w:numFmt w:val="bullet"/>
      <w:lvlText w:val=""/>
      <w:lvlJc w:val="left"/>
      <w:pPr>
        <w:ind w:left="170" w:hanging="17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0E148F"/>
    <w:multiLevelType w:val="hybridMultilevel"/>
    <w:tmpl w:val="B6BE04D2"/>
    <w:lvl w:ilvl="0" w:tplc="3B269EA6">
      <w:start w:val="1"/>
      <w:numFmt w:val="bullet"/>
      <w:lvlText w:val=""/>
      <w:lvlJc w:val="left"/>
      <w:pPr>
        <w:ind w:left="170" w:hanging="17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7"/>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A5B"/>
    <w:rsid w:val="00001DA0"/>
    <w:rsid w:val="0004024E"/>
    <w:rsid w:val="0019067C"/>
    <w:rsid w:val="00194180"/>
    <w:rsid w:val="001A3366"/>
    <w:rsid w:val="001B23C4"/>
    <w:rsid w:val="001F22C9"/>
    <w:rsid w:val="00240E00"/>
    <w:rsid w:val="00244A90"/>
    <w:rsid w:val="00254E59"/>
    <w:rsid w:val="002A246E"/>
    <w:rsid w:val="002E6A8F"/>
    <w:rsid w:val="0032529E"/>
    <w:rsid w:val="0034372F"/>
    <w:rsid w:val="003842B1"/>
    <w:rsid w:val="003E6A5B"/>
    <w:rsid w:val="0041678D"/>
    <w:rsid w:val="0044132C"/>
    <w:rsid w:val="004436FD"/>
    <w:rsid w:val="00450FDC"/>
    <w:rsid w:val="00464DE6"/>
    <w:rsid w:val="00465CFD"/>
    <w:rsid w:val="004A25BB"/>
    <w:rsid w:val="004A40C0"/>
    <w:rsid w:val="004C427E"/>
    <w:rsid w:val="004D1F8C"/>
    <w:rsid w:val="004D4374"/>
    <w:rsid w:val="00506B40"/>
    <w:rsid w:val="00586BB8"/>
    <w:rsid w:val="00591F5E"/>
    <w:rsid w:val="005954E5"/>
    <w:rsid w:val="005D2614"/>
    <w:rsid w:val="005D34FD"/>
    <w:rsid w:val="006609D9"/>
    <w:rsid w:val="00675A3E"/>
    <w:rsid w:val="00682023"/>
    <w:rsid w:val="00690A59"/>
    <w:rsid w:val="006B4B29"/>
    <w:rsid w:val="006D7639"/>
    <w:rsid w:val="006F65E4"/>
    <w:rsid w:val="007174E7"/>
    <w:rsid w:val="0072155B"/>
    <w:rsid w:val="00734454"/>
    <w:rsid w:val="00766B68"/>
    <w:rsid w:val="007C3986"/>
    <w:rsid w:val="008140CA"/>
    <w:rsid w:val="0084017A"/>
    <w:rsid w:val="00843620"/>
    <w:rsid w:val="00883D60"/>
    <w:rsid w:val="008A5313"/>
    <w:rsid w:val="009424F2"/>
    <w:rsid w:val="009577CD"/>
    <w:rsid w:val="0096184C"/>
    <w:rsid w:val="009739CE"/>
    <w:rsid w:val="009761A5"/>
    <w:rsid w:val="009A58A2"/>
    <w:rsid w:val="00A60F74"/>
    <w:rsid w:val="00B267C5"/>
    <w:rsid w:val="00B37DDE"/>
    <w:rsid w:val="00B708BD"/>
    <w:rsid w:val="00B87D63"/>
    <w:rsid w:val="00B94B91"/>
    <w:rsid w:val="00BD2E12"/>
    <w:rsid w:val="00C366BA"/>
    <w:rsid w:val="00CA6949"/>
    <w:rsid w:val="00CD5842"/>
    <w:rsid w:val="00D00B19"/>
    <w:rsid w:val="00DC16D9"/>
    <w:rsid w:val="00DE79C1"/>
    <w:rsid w:val="00E028ED"/>
    <w:rsid w:val="00E15533"/>
    <w:rsid w:val="00E61E94"/>
    <w:rsid w:val="00E97D3B"/>
    <w:rsid w:val="00EA67D9"/>
    <w:rsid w:val="00EE557A"/>
    <w:rsid w:val="00F024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F6C2F"/>
  <w15:chartTrackingRefBased/>
  <w15:docId w15:val="{2F33D3A0-9367-B842-9CB7-12CCF3A0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A5B"/>
  </w:style>
  <w:style w:type="paragraph" w:styleId="Heading1">
    <w:name w:val="heading 1"/>
    <w:basedOn w:val="Normal"/>
    <w:next w:val="Normal"/>
    <w:link w:val="Heading1Char"/>
    <w:uiPriority w:val="9"/>
    <w:qFormat/>
    <w:rsid w:val="004D1F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6A5B"/>
    <w:pPr>
      <w:keepNext/>
      <w:keepLines/>
      <w:spacing w:before="4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3E6A5B"/>
    <w:pPr>
      <w:keepNext/>
      <w:keepLines/>
      <w:spacing w:before="40"/>
      <w:outlineLvl w:val="2"/>
    </w:pPr>
    <w:rPr>
      <w:rFonts w:eastAsiaTheme="majorEastAsia"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F8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E6A5B"/>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3E6A5B"/>
    <w:rPr>
      <w:rFonts w:eastAsiaTheme="majorEastAsia" w:cstheme="majorBidi"/>
      <w:b/>
      <w:i/>
      <w:color w:val="000000" w:themeColor="text1"/>
    </w:rPr>
  </w:style>
  <w:style w:type="table" w:styleId="TableGrid">
    <w:name w:val="Table Grid"/>
    <w:basedOn w:val="TableNormal"/>
    <w:uiPriority w:val="39"/>
    <w:rsid w:val="00B9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2432"/>
    <w:pPr>
      <w:ind w:left="720"/>
      <w:contextualSpacing/>
    </w:pPr>
    <w:rPr>
      <w:rFonts w:ascii="Times New Roman" w:eastAsia="Times New Roman" w:hAnsi="Times New Roman" w:cs="Times New Roman"/>
    </w:rPr>
  </w:style>
  <w:style w:type="table" w:styleId="PlainTable5">
    <w:name w:val="Plain Table 5"/>
    <w:basedOn w:val="TableNormal"/>
    <w:uiPriority w:val="45"/>
    <w:rsid w:val="00F0243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F02432"/>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F02432"/>
    <w:pPr>
      <w:spacing w:before="120"/>
    </w:pPr>
    <w:rPr>
      <w:b/>
      <w:bCs/>
      <w:i/>
      <w:iCs/>
    </w:rPr>
  </w:style>
  <w:style w:type="paragraph" w:styleId="TOC2">
    <w:name w:val="toc 2"/>
    <w:basedOn w:val="Normal"/>
    <w:next w:val="Normal"/>
    <w:autoRedefine/>
    <w:uiPriority w:val="39"/>
    <w:unhideWhenUsed/>
    <w:rsid w:val="00F02432"/>
    <w:pPr>
      <w:spacing w:before="120"/>
      <w:ind w:left="240"/>
    </w:pPr>
    <w:rPr>
      <w:b/>
      <w:bCs/>
      <w:sz w:val="22"/>
      <w:szCs w:val="22"/>
    </w:rPr>
  </w:style>
  <w:style w:type="paragraph" w:styleId="TOC3">
    <w:name w:val="toc 3"/>
    <w:basedOn w:val="Normal"/>
    <w:next w:val="Normal"/>
    <w:autoRedefine/>
    <w:uiPriority w:val="39"/>
    <w:unhideWhenUsed/>
    <w:rsid w:val="00F02432"/>
    <w:pPr>
      <w:ind w:left="480"/>
    </w:pPr>
    <w:rPr>
      <w:sz w:val="20"/>
      <w:szCs w:val="20"/>
    </w:rPr>
  </w:style>
  <w:style w:type="character" w:styleId="Hyperlink">
    <w:name w:val="Hyperlink"/>
    <w:basedOn w:val="DefaultParagraphFont"/>
    <w:uiPriority w:val="99"/>
    <w:unhideWhenUsed/>
    <w:rsid w:val="00F02432"/>
    <w:rPr>
      <w:color w:val="0563C1" w:themeColor="hyperlink"/>
      <w:u w:val="single"/>
    </w:rPr>
  </w:style>
  <w:style w:type="paragraph" w:styleId="TOC4">
    <w:name w:val="toc 4"/>
    <w:basedOn w:val="Normal"/>
    <w:next w:val="Normal"/>
    <w:autoRedefine/>
    <w:uiPriority w:val="39"/>
    <w:semiHidden/>
    <w:unhideWhenUsed/>
    <w:rsid w:val="00F02432"/>
    <w:pPr>
      <w:ind w:left="720"/>
    </w:pPr>
    <w:rPr>
      <w:sz w:val="20"/>
      <w:szCs w:val="20"/>
    </w:rPr>
  </w:style>
  <w:style w:type="paragraph" w:styleId="TOC5">
    <w:name w:val="toc 5"/>
    <w:basedOn w:val="Normal"/>
    <w:next w:val="Normal"/>
    <w:autoRedefine/>
    <w:uiPriority w:val="39"/>
    <w:semiHidden/>
    <w:unhideWhenUsed/>
    <w:rsid w:val="00F02432"/>
    <w:pPr>
      <w:ind w:left="960"/>
    </w:pPr>
    <w:rPr>
      <w:sz w:val="20"/>
      <w:szCs w:val="20"/>
    </w:rPr>
  </w:style>
  <w:style w:type="paragraph" w:styleId="TOC6">
    <w:name w:val="toc 6"/>
    <w:basedOn w:val="Normal"/>
    <w:next w:val="Normal"/>
    <w:autoRedefine/>
    <w:uiPriority w:val="39"/>
    <w:semiHidden/>
    <w:unhideWhenUsed/>
    <w:rsid w:val="00F02432"/>
    <w:pPr>
      <w:ind w:left="1200"/>
    </w:pPr>
    <w:rPr>
      <w:sz w:val="20"/>
      <w:szCs w:val="20"/>
    </w:rPr>
  </w:style>
  <w:style w:type="paragraph" w:styleId="TOC7">
    <w:name w:val="toc 7"/>
    <w:basedOn w:val="Normal"/>
    <w:next w:val="Normal"/>
    <w:autoRedefine/>
    <w:uiPriority w:val="39"/>
    <w:semiHidden/>
    <w:unhideWhenUsed/>
    <w:rsid w:val="00F02432"/>
    <w:pPr>
      <w:ind w:left="1440"/>
    </w:pPr>
    <w:rPr>
      <w:sz w:val="20"/>
      <w:szCs w:val="20"/>
    </w:rPr>
  </w:style>
  <w:style w:type="paragraph" w:styleId="TOC8">
    <w:name w:val="toc 8"/>
    <w:basedOn w:val="Normal"/>
    <w:next w:val="Normal"/>
    <w:autoRedefine/>
    <w:uiPriority w:val="39"/>
    <w:semiHidden/>
    <w:unhideWhenUsed/>
    <w:rsid w:val="00F02432"/>
    <w:pPr>
      <w:ind w:left="1680"/>
    </w:pPr>
    <w:rPr>
      <w:sz w:val="20"/>
      <w:szCs w:val="20"/>
    </w:rPr>
  </w:style>
  <w:style w:type="paragraph" w:styleId="TOC9">
    <w:name w:val="toc 9"/>
    <w:basedOn w:val="Normal"/>
    <w:next w:val="Normal"/>
    <w:autoRedefine/>
    <w:uiPriority w:val="39"/>
    <w:semiHidden/>
    <w:unhideWhenUsed/>
    <w:rsid w:val="00F02432"/>
    <w:pPr>
      <w:ind w:left="1920"/>
    </w:pPr>
    <w:rPr>
      <w:sz w:val="20"/>
      <w:szCs w:val="20"/>
    </w:rPr>
  </w:style>
  <w:style w:type="table" w:styleId="TableGridLight">
    <w:name w:val="Grid Table Light"/>
    <w:basedOn w:val="TableNormal"/>
    <w:uiPriority w:val="40"/>
    <w:rsid w:val="006F65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E15533"/>
    <w:pPr>
      <w:tabs>
        <w:tab w:val="left" w:pos="500"/>
      </w:tabs>
      <w:spacing w:after="240"/>
      <w:ind w:left="504" w:hanging="504"/>
    </w:pPr>
  </w:style>
  <w:style w:type="character" w:styleId="CommentReference">
    <w:name w:val="annotation reference"/>
    <w:basedOn w:val="DefaultParagraphFont"/>
    <w:uiPriority w:val="99"/>
    <w:semiHidden/>
    <w:unhideWhenUsed/>
    <w:rsid w:val="00B708BD"/>
    <w:rPr>
      <w:sz w:val="16"/>
      <w:szCs w:val="16"/>
    </w:rPr>
  </w:style>
  <w:style w:type="paragraph" w:styleId="CommentText">
    <w:name w:val="annotation text"/>
    <w:basedOn w:val="Normal"/>
    <w:link w:val="CommentTextChar"/>
    <w:uiPriority w:val="99"/>
    <w:unhideWhenUsed/>
    <w:rsid w:val="00B708BD"/>
    <w:rPr>
      <w:sz w:val="20"/>
      <w:szCs w:val="20"/>
    </w:rPr>
  </w:style>
  <w:style w:type="character" w:customStyle="1" w:styleId="CommentTextChar">
    <w:name w:val="Comment Text Char"/>
    <w:basedOn w:val="DefaultParagraphFont"/>
    <w:link w:val="CommentText"/>
    <w:uiPriority w:val="99"/>
    <w:rsid w:val="00B708B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A9B40-F24A-E14E-ADE7-78EF00B0A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44705</Words>
  <Characters>254824</Characters>
  <Application>Microsoft Office Word</Application>
  <DocSecurity>0</DocSecurity>
  <Lines>2123</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Yingxi Zhao</dc:creator>
  <cp:keywords/>
  <dc:description/>
  <cp:lastModifiedBy>Yingxi Zhao</cp:lastModifiedBy>
  <cp:revision>8</cp:revision>
  <dcterms:created xsi:type="dcterms:W3CDTF">2021-03-22T20:19:00Z</dcterms:created>
  <dcterms:modified xsi:type="dcterms:W3CDTF">2021-05-20T16:09:00Z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id="WN4oOrgQ"/&gt;&lt;style id="http://www.zotero.org/styles/vancouver" locale="en-GB" hasBibliography="1" bibliographyStyleHasBeenSet="1"/&gt;&lt;prefs&gt;&lt;pref name="fieldType" value="Field"/&gt;&lt;pref name="automa</vt:lpwstr>
  </property>
  <property fmtid="{D5CDD505-2E9C-101B-9397-08002B2CF9AE}" pid="3" name="ZOTERO_PREF_2">
    <vt:lpwstr>ticJournalAbbreviations" value="true"/&gt;&lt;pref name="dontAskDelayCitationUpdates" value="true"/&gt;&lt;/prefs&gt;&lt;/data&gt;</vt:lpwstr>
  </property>
</Properties>
</file>