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tabs>
          <w:tab w:val="left" w:pos="960"/>
        </w:tabs>
        <w:spacing w:after="160" w:line="256" w:lineRule="auto"/>
        <w:jc w:val="center"/>
        <w:rPr>
          <w:rFonts w:ascii="Calibri" w:eastAsia="Calibri" w:hAnsi="Calibri" w:cs="Arial"/>
          <w:b/>
          <w:sz w:val="24"/>
          <w:lang w:val="en-CA"/>
        </w:rPr>
      </w:pPr>
      <w:r>
        <w:rPr>
          <w:rFonts w:ascii="Calibri" w:eastAsia="Calibri" w:hAnsi="Calibri" w:cs="Arial"/>
          <w:b/>
          <w:sz w:val="24"/>
          <w:lang w:val="en-CA"/>
        </w:rPr>
        <w:t xml:space="preserve">Health Care Workers’ experiences during the COVID-19 Pandemic: a scoping review </w:t>
      </w:r>
    </w:p>
    <w:p>
      <w:pPr>
        <w:rPr>
          <w:sz w:val="24"/>
        </w:rPr>
      </w:pPr>
      <w:r>
        <w:rPr>
          <w:sz w:val="24"/>
        </w:rPr>
        <w:t xml:space="preserve">Additional file (4): Detailed information on </w:t>
      </w:r>
      <w:bookmarkStart w:id="0" w:name="_GoBack"/>
      <w:bookmarkEnd w:id="0"/>
      <w:r>
        <w:rPr>
          <w:sz w:val="24"/>
        </w:rPr>
        <w:t xml:space="preserve">FGDs </w:t>
      </w:r>
    </w:p>
    <w:p>
      <w:pPr>
        <w:rPr>
          <w:sz w:val="24"/>
        </w:rPr>
      </w:pPr>
      <w:r>
        <w:rPr>
          <w:sz w:val="24"/>
        </w:rPr>
        <w:t>This document provides information extracted from studies that used FGDs as a qualitative data collection tool. The table lists the overall number of FGD’s participants in each of those studies, the number of FGDs per study, whether FGDs were conducted online or offline, the type of study participants, and any other information on the methods that could be extracted.</w:t>
      </w:r>
    </w:p>
    <w:tbl>
      <w:tblPr>
        <w:tblStyle w:val="TableGrid"/>
        <w:tblW w:w="13823" w:type="dxa"/>
        <w:tblInd w:w="167" w:type="dxa"/>
        <w:tblLook w:val="04A0" w:firstRow="1" w:lastRow="0" w:firstColumn="1" w:lastColumn="0" w:noHBand="0" w:noVBand="1"/>
      </w:tblPr>
      <w:tblGrid>
        <w:gridCol w:w="419"/>
        <w:gridCol w:w="1463"/>
        <w:gridCol w:w="893"/>
        <w:gridCol w:w="982"/>
        <w:gridCol w:w="4147"/>
        <w:gridCol w:w="1984"/>
        <w:gridCol w:w="3935"/>
      </w:tblGrid>
      <w:tr>
        <w:tc>
          <w:tcPr>
            <w:tcW w:w="247" w:type="dxa"/>
            <w:vAlign w:val="center"/>
          </w:tcPr>
          <w:p>
            <w:pPr>
              <w:jc w:val="center"/>
              <w:rPr>
                <w:b/>
                <w:sz w:val="20"/>
                <w:lang w:val="de-DE"/>
              </w:rPr>
            </w:pPr>
            <w:r>
              <w:rPr>
                <w:b/>
                <w:sz w:val="20"/>
                <w:lang w:val="de-DE"/>
              </w:rPr>
              <w:t>#</w:t>
            </w:r>
          </w:p>
        </w:tc>
        <w:tc>
          <w:tcPr>
            <w:tcW w:w="1471" w:type="dxa"/>
            <w:vAlign w:val="center"/>
          </w:tcPr>
          <w:p>
            <w:pPr>
              <w:jc w:val="center"/>
              <w:rPr>
                <w:b/>
                <w:sz w:val="20"/>
              </w:rPr>
            </w:pPr>
            <w:r>
              <w:rPr>
                <w:b/>
                <w:sz w:val="20"/>
              </w:rPr>
              <w:t>n. participants</w:t>
            </w:r>
          </w:p>
        </w:tc>
        <w:tc>
          <w:tcPr>
            <w:tcW w:w="900" w:type="dxa"/>
            <w:vAlign w:val="center"/>
          </w:tcPr>
          <w:p>
            <w:pPr>
              <w:jc w:val="center"/>
              <w:rPr>
                <w:b/>
                <w:sz w:val="20"/>
              </w:rPr>
            </w:pPr>
            <w:r>
              <w:rPr>
                <w:b/>
                <w:sz w:val="20"/>
              </w:rPr>
              <w:t>n. FGDs</w:t>
            </w:r>
          </w:p>
        </w:tc>
        <w:tc>
          <w:tcPr>
            <w:tcW w:w="990" w:type="dxa"/>
            <w:vAlign w:val="center"/>
          </w:tcPr>
          <w:p>
            <w:pPr>
              <w:jc w:val="center"/>
              <w:rPr>
                <w:b/>
                <w:sz w:val="20"/>
              </w:rPr>
            </w:pPr>
            <w:r>
              <w:rPr>
                <w:b/>
                <w:sz w:val="20"/>
              </w:rPr>
              <w:t>Mode</w:t>
            </w:r>
          </w:p>
        </w:tc>
        <w:tc>
          <w:tcPr>
            <w:tcW w:w="4201" w:type="dxa"/>
            <w:vAlign w:val="center"/>
          </w:tcPr>
          <w:p>
            <w:pPr>
              <w:jc w:val="center"/>
              <w:rPr>
                <w:b/>
                <w:sz w:val="20"/>
              </w:rPr>
            </w:pPr>
            <w:r>
              <w:rPr>
                <w:b/>
                <w:sz w:val="20"/>
              </w:rPr>
              <w:t>HCWs group</w:t>
            </w:r>
          </w:p>
        </w:tc>
        <w:tc>
          <w:tcPr>
            <w:tcW w:w="2009" w:type="dxa"/>
            <w:vAlign w:val="center"/>
          </w:tcPr>
          <w:p>
            <w:pPr>
              <w:jc w:val="center"/>
              <w:rPr>
                <w:b/>
                <w:sz w:val="20"/>
              </w:rPr>
            </w:pPr>
            <w:r>
              <w:rPr>
                <w:b/>
                <w:sz w:val="20"/>
              </w:rPr>
              <w:t xml:space="preserve">Qualitative methods </w:t>
            </w:r>
          </w:p>
        </w:tc>
        <w:tc>
          <w:tcPr>
            <w:tcW w:w="4005" w:type="dxa"/>
            <w:vAlign w:val="center"/>
          </w:tcPr>
          <w:p>
            <w:pPr>
              <w:jc w:val="center"/>
              <w:rPr>
                <w:b/>
                <w:sz w:val="20"/>
              </w:rPr>
            </w:pPr>
            <w:r>
              <w:rPr>
                <w:b/>
                <w:sz w:val="20"/>
              </w:rPr>
              <w:t>Comments</w:t>
            </w:r>
          </w:p>
        </w:tc>
      </w:tr>
      <w:tr>
        <w:tc>
          <w:tcPr>
            <w:tcW w:w="247" w:type="dxa"/>
          </w:tcPr>
          <w:p>
            <w:pPr>
              <w:jc w:val="center"/>
              <w:rPr>
                <w:sz w:val="20"/>
              </w:rPr>
            </w:pPr>
            <w:r>
              <w:rPr>
                <w:sz w:val="20"/>
              </w:rPr>
              <w:t>1</w:t>
            </w:r>
          </w:p>
        </w:tc>
        <w:tc>
          <w:tcPr>
            <w:tcW w:w="1471" w:type="dxa"/>
          </w:tcPr>
          <w:p>
            <w:pPr>
              <w:jc w:val="center"/>
              <w:rPr>
                <w:sz w:val="18"/>
                <w:szCs w:val="18"/>
              </w:rPr>
            </w:pPr>
            <w:r>
              <w:rPr>
                <w:sz w:val="18"/>
                <w:szCs w:val="18"/>
              </w:rPr>
              <w:t>30</w:t>
            </w:r>
          </w:p>
        </w:tc>
        <w:tc>
          <w:tcPr>
            <w:tcW w:w="900" w:type="dxa"/>
          </w:tcPr>
          <w:p>
            <w:pPr>
              <w:jc w:val="center"/>
              <w:rPr>
                <w:sz w:val="18"/>
                <w:szCs w:val="18"/>
              </w:rPr>
            </w:pPr>
            <w:proofErr w:type="spellStart"/>
            <w:r>
              <w:rPr>
                <w:sz w:val="18"/>
                <w:szCs w:val="18"/>
              </w:rPr>
              <w:t>n.a</w:t>
            </w:r>
            <w:proofErr w:type="spellEnd"/>
            <w:r>
              <w:rPr>
                <w:sz w:val="18"/>
                <w:szCs w:val="18"/>
              </w:rPr>
              <w:t>*</w:t>
            </w:r>
          </w:p>
        </w:tc>
        <w:tc>
          <w:tcPr>
            <w:tcW w:w="990" w:type="dxa"/>
          </w:tcPr>
          <w:p>
            <w:pPr>
              <w:jc w:val="center"/>
              <w:rPr>
                <w:sz w:val="18"/>
                <w:szCs w:val="18"/>
              </w:rPr>
            </w:pPr>
            <w:r>
              <w:rPr>
                <w:sz w:val="18"/>
                <w:szCs w:val="18"/>
              </w:rPr>
              <w:t>In person</w:t>
            </w:r>
          </w:p>
        </w:tc>
        <w:tc>
          <w:tcPr>
            <w:tcW w:w="4201" w:type="dxa"/>
          </w:tcPr>
          <w:p>
            <w:pPr>
              <w:rPr>
                <w:sz w:val="18"/>
                <w:szCs w:val="18"/>
              </w:rPr>
            </w:pPr>
            <w:r>
              <w:rPr>
                <w:sz w:val="18"/>
                <w:szCs w:val="18"/>
              </w:rPr>
              <w:t>General Surgery residents</w:t>
            </w:r>
          </w:p>
        </w:tc>
        <w:tc>
          <w:tcPr>
            <w:tcW w:w="2009" w:type="dxa"/>
          </w:tcPr>
          <w:p>
            <w:pPr>
              <w:rPr>
                <w:sz w:val="18"/>
                <w:szCs w:val="18"/>
              </w:rPr>
            </w:pPr>
            <w:r>
              <w:rPr>
                <w:sz w:val="18"/>
                <w:szCs w:val="18"/>
              </w:rPr>
              <w:t>Only FGDs</w:t>
            </w:r>
          </w:p>
        </w:tc>
        <w:tc>
          <w:tcPr>
            <w:tcW w:w="4005" w:type="dxa"/>
          </w:tcPr>
          <w:p>
            <w:pPr>
              <w:rPr>
                <w:sz w:val="18"/>
                <w:szCs w:val="18"/>
              </w:rPr>
            </w:pPr>
          </w:p>
        </w:tc>
      </w:tr>
      <w:tr>
        <w:tc>
          <w:tcPr>
            <w:tcW w:w="247" w:type="dxa"/>
          </w:tcPr>
          <w:p>
            <w:pPr>
              <w:jc w:val="center"/>
              <w:rPr>
                <w:sz w:val="20"/>
              </w:rPr>
            </w:pPr>
            <w:r>
              <w:rPr>
                <w:sz w:val="20"/>
              </w:rPr>
              <w:t>2</w:t>
            </w:r>
          </w:p>
        </w:tc>
        <w:tc>
          <w:tcPr>
            <w:tcW w:w="1471" w:type="dxa"/>
          </w:tcPr>
          <w:p>
            <w:pPr>
              <w:jc w:val="center"/>
              <w:rPr>
                <w:sz w:val="18"/>
                <w:szCs w:val="18"/>
              </w:rPr>
            </w:pPr>
            <w:r>
              <w:rPr>
                <w:sz w:val="18"/>
                <w:szCs w:val="18"/>
              </w:rPr>
              <w:t>20</w:t>
            </w:r>
          </w:p>
        </w:tc>
        <w:tc>
          <w:tcPr>
            <w:tcW w:w="900" w:type="dxa"/>
          </w:tcPr>
          <w:p>
            <w:pPr>
              <w:jc w:val="center"/>
              <w:rPr>
                <w:sz w:val="18"/>
                <w:szCs w:val="18"/>
              </w:rPr>
            </w:pPr>
            <w:proofErr w:type="spellStart"/>
            <w:r>
              <w:rPr>
                <w:sz w:val="18"/>
                <w:szCs w:val="18"/>
              </w:rPr>
              <w:t>n.a</w:t>
            </w:r>
            <w:proofErr w:type="spellEnd"/>
            <w:r>
              <w:rPr>
                <w:sz w:val="18"/>
                <w:szCs w:val="18"/>
              </w:rPr>
              <w:t>*</w:t>
            </w:r>
          </w:p>
        </w:tc>
        <w:tc>
          <w:tcPr>
            <w:tcW w:w="990" w:type="dxa"/>
          </w:tcPr>
          <w:p>
            <w:pPr>
              <w:jc w:val="center"/>
              <w:rPr>
                <w:sz w:val="18"/>
                <w:szCs w:val="18"/>
              </w:rPr>
            </w:pPr>
            <w:r>
              <w:rPr>
                <w:sz w:val="18"/>
                <w:szCs w:val="18"/>
              </w:rPr>
              <w:t>In person</w:t>
            </w:r>
          </w:p>
        </w:tc>
        <w:tc>
          <w:tcPr>
            <w:tcW w:w="4201" w:type="dxa"/>
          </w:tcPr>
          <w:p>
            <w:pPr>
              <w:rPr>
                <w:sz w:val="18"/>
                <w:szCs w:val="18"/>
              </w:rPr>
            </w:pPr>
            <w:r>
              <w:rPr>
                <w:sz w:val="18"/>
                <w:szCs w:val="18"/>
              </w:rPr>
              <w:t>Infection control nurse leaders</w:t>
            </w:r>
          </w:p>
        </w:tc>
        <w:tc>
          <w:tcPr>
            <w:tcW w:w="2009" w:type="dxa"/>
          </w:tcPr>
          <w:p>
            <w:pPr>
              <w:rPr>
                <w:sz w:val="18"/>
                <w:szCs w:val="18"/>
              </w:rPr>
            </w:pPr>
            <w:r>
              <w:rPr>
                <w:sz w:val="18"/>
                <w:szCs w:val="18"/>
              </w:rPr>
              <w:t>Only FGDs</w:t>
            </w:r>
          </w:p>
        </w:tc>
        <w:tc>
          <w:tcPr>
            <w:tcW w:w="4005" w:type="dxa"/>
          </w:tcPr>
          <w:p>
            <w:pPr>
              <w:rPr>
                <w:sz w:val="18"/>
                <w:szCs w:val="18"/>
              </w:rPr>
            </w:pPr>
            <w:r>
              <w:rPr>
                <w:sz w:val="18"/>
                <w:szCs w:val="18"/>
              </w:rPr>
              <w:t>. Each FGD lasted 60 to 90 minutes.</w:t>
            </w:r>
          </w:p>
        </w:tc>
      </w:tr>
      <w:tr>
        <w:tc>
          <w:tcPr>
            <w:tcW w:w="247" w:type="dxa"/>
          </w:tcPr>
          <w:p>
            <w:pPr>
              <w:jc w:val="center"/>
              <w:rPr>
                <w:sz w:val="20"/>
              </w:rPr>
            </w:pPr>
            <w:r>
              <w:rPr>
                <w:sz w:val="20"/>
              </w:rPr>
              <w:t>3</w:t>
            </w:r>
          </w:p>
        </w:tc>
        <w:tc>
          <w:tcPr>
            <w:tcW w:w="1471" w:type="dxa"/>
          </w:tcPr>
          <w:p>
            <w:pPr>
              <w:jc w:val="center"/>
              <w:rPr>
                <w:sz w:val="18"/>
                <w:szCs w:val="18"/>
              </w:rPr>
            </w:pPr>
            <w:r>
              <w:rPr>
                <w:sz w:val="18"/>
                <w:szCs w:val="18"/>
              </w:rPr>
              <w:t>7</w:t>
            </w:r>
          </w:p>
        </w:tc>
        <w:tc>
          <w:tcPr>
            <w:tcW w:w="900" w:type="dxa"/>
          </w:tcPr>
          <w:p>
            <w:pPr>
              <w:jc w:val="center"/>
              <w:rPr>
                <w:sz w:val="18"/>
                <w:szCs w:val="18"/>
              </w:rPr>
            </w:pPr>
            <w:r>
              <w:rPr>
                <w:sz w:val="18"/>
                <w:szCs w:val="18"/>
              </w:rPr>
              <w:t>1</w:t>
            </w:r>
          </w:p>
        </w:tc>
        <w:tc>
          <w:tcPr>
            <w:tcW w:w="990" w:type="dxa"/>
          </w:tcPr>
          <w:p>
            <w:pPr>
              <w:jc w:val="center"/>
              <w:rPr>
                <w:sz w:val="18"/>
                <w:szCs w:val="18"/>
              </w:rPr>
            </w:pPr>
            <w:r>
              <w:rPr>
                <w:sz w:val="18"/>
                <w:szCs w:val="18"/>
              </w:rPr>
              <w:t>Online</w:t>
            </w:r>
          </w:p>
        </w:tc>
        <w:tc>
          <w:tcPr>
            <w:tcW w:w="4201" w:type="dxa"/>
          </w:tcPr>
          <w:p>
            <w:pPr>
              <w:rPr>
                <w:sz w:val="18"/>
                <w:szCs w:val="18"/>
              </w:rPr>
            </w:pPr>
            <w:r>
              <w:rPr>
                <w:sz w:val="18"/>
                <w:szCs w:val="18"/>
              </w:rPr>
              <w:t>Junior Physicians</w:t>
            </w:r>
          </w:p>
        </w:tc>
        <w:tc>
          <w:tcPr>
            <w:tcW w:w="2009" w:type="dxa"/>
          </w:tcPr>
          <w:p>
            <w:pPr>
              <w:rPr>
                <w:sz w:val="18"/>
                <w:szCs w:val="18"/>
              </w:rPr>
            </w:pPr>
            <w:r>
              <w:rPr>
                <w:sz w:val="18"/>
                <w:szCs w:val="18"/>
              </w:rPr>
              <w:t>Only FGDs</w:t>
            </w:r>
          </w:p>
        </w:tc>
        <w:tc>
          <w:tcPr>
            <w:tcW w:w="4005" w:type="dxa"/>
          </w:tcPr>
          <w:p>
            <w:pPr>
              <w:rPr>
                <w:sz w:val="18"/>
                <w:szCs w:val="18"/>
              </w:rPr>
            </w:pPr>
            <w:r>
              <w:rPr>
                <w:sz w:val="18"/>
                <w:szCs w:val="18"/>
              </w:rPr>
              <w:t>. The FGD was conducted following a quantitative survey.</w:t>
            </w:r>
          </w:p>
          <w:p>
            <w:pPr>
              <w:rPr>
                <w:sz w:val="18"/>
                <w:szCs w:val="18"/>
              </w:rPr>
            </w:pPr>
            <w:r>
              <w:rPr>
                <w:sz w:val="18"/>
                <w:szCs w:val="18"/>
              </w:rPr>
              <w:t>. The one-hour virtual session took place via Zoom.</w:t>
            </w:r>
          </w:p>
          <w:p>
            <w:pPr>
              <w:rPr>
                <w:sz w:val="18"/>
                <w:szCs w:val="18"/>
              </w:rPr>
            </w:pPr>
            <w:r>
              <w:rPr>
                <w:sz w:val="18"/>
                <w:szCs w:val="18"/>
              </w:rPr>
              <w:t>. The FGD covered 9 questions, which were based on survey responses.</w:t>
            </w:r>
          </w:p>
        </w:tc>
      </w:tr>
      <w:tr>
        <w:tc>
          <w:tcPr>
            <w:tcW w:w="247" w:type="dxa"/>
          </w:tcPr>
          <w:p>
            <w:pPr>
              <w:jc w:val="center"/>
              <w:rPr>
                <w:sz w:val="20"/>
              </w:rPr>
            </w:pPr>
            <w:r>
              <w:rPr>
                <w:sz w:val="20"/>
              </w:rPr>
              <w:t>4</w:t>
            </w:r>
          </w:p>
        </w:tc>
        <w:tc>
          <w:tcPr>
            <w:tcW w:w="1471" w:type="dxa"/>
          </w:tcPr>
          <w:p>
            <w:pPr>
              <w:jc w:val="center"/>
              <w:rPr>
                <w:sz w:val="18"/>
                <w:szCs w:val="18"/>
              </w:rPr>
            </w:pPr>
            <w:r>
              <w:rPr>
                <w:sz w:val="18"/>
                <w:szCs w:val="18"/>
              </w:rPr>
              <w:t>7</w:t>
            </w:r>
          </w:p>
        </w:tc>
        <w:tc>
          <w:tcPr>
            <w:tcW w:w="900" w:type="dxa"/>
          </w:tcPr>
          <w:p>
            <w:pPr>
              <w:jc w:val="center"/>
              <w:rPr>
                <w:sz w:val="18"/>
                <w:szCs w:val="18"/>
              </w:rPr>
            </w:pPr>
            <w:r>
              <w:rPr>
                <w:sz w:val="18"/>
                <w:szCs w:val="18"/>
              </w:rPr>
              <w:t>1</w:t>
            </w:r>
          </w:p>
        </w:tc>
        <w:tc>
          <w:tcPr>
            <w:tcW w:w="990" w:type="dxa"/>
          </w:tcPr>
          <w:p>
            <w:pPr>
              <w:jc w:val="center"/>
              <w:rPr>
                <w:sz w:val="18"/>
                <w:szCs w:val="18"/>
              </w:rPr>
            </w:pPr>
            <w:r>
              <w:rPr>
                <w:sz w:val="18"/>
                <w:szCs w:val="18"/>
              </w:rPr>
              <w:t>Online</w:t>
            </w:r>
          </w:p>
        </w:tc>
        <w:tc>
          <w:tcPr>
            <w:tcW w:w="4201" w:type="dxa"/>
          </w:tcPr>
          <w:p>
            <w:pPr>
              <w:rPr>
                <w:sz w:val="18"/>
                <w:szCs w:val="18"/>
              </w:rPr>
            </w:pPr>
            <w:r>
              <w:rPr>
                <w:sz w:val="18"/>
                <w:szCs w:val="18"/>
              </w:rPr>
              <w:t xml:space="preserve">Community healthcare workers leaders </w:t>
            </w:r>
          </w:p>
        </w:tc>
        <w:tc>
          <w:tcPr>
            <w:tcW w:w="2009" w:type="dxa"/>
          </w:tcPr>
          <w:p>
            <w:pPr>
              <w:rPr>
                <w:sz w:val="18"/>
                <w:szCs w:val="18"/>
              </w:rPr>
            </w:pPr>
            <w:r>
              <w:rPr>
                <w:sz w:val="18"/>
                <w:szCs w:val="18"/>
              </w:rPr>
              <w:t>Only FGDs</w:t>
            </w:r>
          </w:p>
        </w:tc>
        <w:tc>
          <w:tcPr>
            <w:tcW w:w="4005" w:type="dxa"/>
          </w:tcPr>
          <w:p>
            <w:pPr>
              <w:rPr>
                <w:sz w:val="18"/>
                <w:szCs w:val="18"/>
              </w:rPr>
            </w:pPr>
            <w:r>
              <w:rPr>
                <w:sz w:val="18"/>
                <w:szCs w:val="18"/>
              </w:rPr>
              <w:t>. FGDs took place during a monthly meeting, with time at the beginning of the meeting for National Association of Community Health Workers (NACHW) state ambassador business.</w:t>
            </w:r>
          </w:p>
          <w:p>
            <w:pPr>
              <w:rPr>
                <w:sz w:val="18"/>
                <w:szCs w:val="18"/>
              </w:rPr>
            </w:pPr>
            <w:r>
              <w:rPr>
                <w:sz w:val="18"/>
                <w:szCs w:val="18"/>
              </w:rPr>
              <w:t>. A trained moderator conduced the 90-minute FGD accompanied by a note-taker.</w:t>
            </w:r>
          </w:p>
        </w:tc>
      </w:tr>
      <w:tr>
        <w:tc>
          <w:tcPr>
            <w:tcW w:w="247" w:type="dxa"/>
          </w:tcPr>
          <w:p>
            <w:pPr>
              <w:jc w:val="center"/>
              <w:rPr>
                <w:sz w:val="20"/>
              </w:rPr>
            </w:pPr>
            <w:r>
              <w:rPr>
                <w:sz w:val="20"/>
              </w:rPr>
              <w:t>5</w:t>
            </w:r>
          </w:p>
        </w:tc>
        <w:tc>
          <w:tcPr>
            <w:tcW w:w="1471" w:type="dxa"/>
          </w:tcPr>
          <w:p>
            <w:pPr>
              <w:jc w:val="center"/>
              <w:rPr>
                <w:sz w:val="18"/>
                <w:szCs w:val="18"/>
              </w:rPr>
            </w:pPr>
            <w:r>
              <w:rPr>
                <w:sz w:val="18"/>
                <w:szCs w:val="18"/>
              </w:rPr>
              <w:t>24</w:t>
            </w:r>
          </w:p>
        </w:tc>
        <w:tc>
          <w:tcPr>
            <w:tcW w:w="900" w:type="dxa"/>
          </w:tcPr>
          <w:p>
            <w:pPr>
              <w:jc w:val="center"/>
              <w:rPr>
                <w:sz w:val="18"/>
                <w:szCs w:val="18"/>
              </w:rPr>
            </w:pPr>
            <w:r>
              <w:rPr>
                <w:sz w:val="18"/>
                <w:szCs w:val="18"/>
              </w:rPr>
              <w:t>4</w:t>
            </w:r>
          </w:p>
        </w:tc>
        <w:tc>
          <w:tcPr>
            <w:tcW w:w="990" w:type="dxa"/>
          </w:tcPr>
          <w:p>
            <w:pPr>
              <w:jc w:val="center"/>
              <w:rPr>
                <w:sz w:val="18"/>
                <w:szCs w:val="18"/>
              </w:rPr>
            </w:pPr>
            <w:r>
              <w:rPr>
                <w:sz w:val="18"/>
                <w:szCs w:val="18"/>
              </w:rPr>
              <w:t>In person</w:t>
            </w:r>
          </w:p>
        </w:tc>
        <w:tc>
          <w:tcPr>
            <w:tcW w:w="4201" w:type="dxa"/>
          </w:tcPr>
          <w:p>
            <w:pPr>
              <w:rPr>
                <w:sz w:val="18"/>
                <w:szCs w:val="18"/>
              </w:rPr>
            </w:pPr>
            <w:r>
              <w:rPr>
                <w:sz w:val="18"/>
                <w:szCs w:val="18"/>
              </w:rPr>
              <w:t xml:space="preserve">Nurses </w:t>
            </w:r>
          </w:p>
        </w:tc>
        <w:tc>
          <w:tcPr>
            <w:tcW w:w="2009" w:type="dxa"/>
          </w:tcPr>
          <w:p>
            <w:pPr>
              <w:rPr>
                <w:sz w:val="18"/>
                <w:szCs w:val="18"/>
              </w:rPr>
            </w:pPr>
            <w:r>
              <w:rPr>
                <w:sz w:val="18"/>
                <w:szCs w:val="18"/>
              </w:rPr>
              <w:t>Only FGDs</w:t>
            </w:r>
          </w:p>
        </w:tc>
        <w:tc>
          <w:tcPr>
            <w:tcW w:w="4005" w:type="dxa"/>
          </w:tcPr>
          <w:p>
            <w:pPr>
              <w:rPr>
                <w:sz w:val="18"/>
                <w:szCs w:val="18"/>
              </w:rPr>
            </w:pPr>
            <w:r>
              <w:rPr>
                <w:sz w:val="18"/>
                <w:szCs w:val="18"/>
              </w:rPr>
              <w:t>. Six nurses, on average, participated in each FGD.</w:t>
            </w:r>
          </w:p>
          <w:p>
            <w:pPr>
              <w:rPr>
                <w:sz w:val="18"/>
                <w:szCs w:val="18"/>
              </w:rPr>
            </w:pPr>
            <w:r>
              <w:rPr>
                <w:sz w:val="18"/>
                <w:szCs w:val="18"/>
              </w:rPr>
              <w:t>. Two researchers conducted the FGDs, one as moderator and one as interviewer</w:t>
            </w:r>
          </w:p>
          <w:p>
            <w:pPr>
              <w:rPr>
                <w:sz w:val="18"/>
                <w:szCs w:val="18"/>
              </w:rPr>
            </w:pPr>
            <w:r>
              <w:rPr>
                <w:sz w:val="18"/>
                <w:szCs w:val="18"/>
              </w:rPr>
              <w:t>. All FGDs were conducted in a ventilated, quiet and private room in the hospital. All adhered to physical distancing and wearing of face masks.</w:t>
            </w:r>
          </w:p>
        </w:tc>
      </w:tr>
      <w:tr>
        <w:tc>
          <w:tcPr>
            <w:tcW w:w="247" w:type="dxa"/>
          </w:tcPr>
          <w:p>
            <w:pPr>
              <w:jc w:val="center"/>
              <w:rPr>
                <w:sz w:val="20"/>
              </w:rPr>
            </w:pPr>
            <w:r>
              <w:rPr>
                <w:sz w:val="20"/>
              </w:rPr>
              <w:t>6</w:t>
            </w:r>
          </w:p>
        </w:tc>
        <w:tc>
          <w:tcPr>
            <w:tcW w:w="1471" w:type="dxa"/>
          </w:tcPr>
          <w:p>
            <w:pPr>
              <w:jc w:val="center"/>
              <w:rPr>
                <w:sz w:val="18"/>
                <w:szCs w:val="18"/>
              </w:rPr>
            </w:pPr>
            <w:r>
              <w:rPr>
                <w:sz w:val="18"/>
                <w:szCs w:val="18"/>
              </w:rPr>
              <w:t>8</w:t>
            </w:r>
          </w:p>
        </w:tc>
        <w:tc>
          <w:tcPr>
            <w:tcW w:w="900" w:type="dxa"/>
          </w:tcPr>
          <w:p>
            <w:pPr>
              <w:jc w:val="center"/>
              <w:rPr>
                <w:sz w:val="18"/>
                <w:szCs w:val="18"/>
              </w:rPr>
            </w:pPr>
            <w:r>
              <w:rPr>
                <w:sz w:val="18"/>
                <w:szCs w:val="18"/>
              </w:rPr>
              <w:t>1</w:t>
            </w:r>
          </w:p>
        </w:tc>
        <w:tc>
          <w:tcPr>
            <w:tcW w:w="990" w:type="dxa"/>
          </w:tcPr>
          <w:p>
            <w:pPr>
              <w:jc w:val="center"/>
              <w:rPr>
                <w:sz w:val="18"/>
                <w:szCs w:val="18"/>
              </w:rPr>
            </w:pPr>
            <w:r>
              <w:rPr>
                <w:sz w:val="18"/>
                <w:szCs w:val="18"/>
              </w:rPr>
              <w:t>In person</w:t>
            </w:r>
          </w:p>
        </w:tc>
        <w:tc>
          <w:tcPr>
            <w:tcW w:w="4201" w:type="dxa"/>
          </w:tcPr>
          <w:p>
            <w:pPr>
              <w:rPr>
                <w:sz w:val="18"/>
                <w:szCs w:val="18"/>
              </w:rPr>
            </w:pPr>
            <w:r>
              <w:rPr>
                <w:sz w:val="18"/>
                <w:szCs w:val="18"/>
              </w:rPr>
              <w:t>Nurses and medical secretaries at GP practice</w:t>
            </w:r>
          </w:p>
        </w:tc>
        <w:tc>
          <w:tcPr>
            <w:tcW w:w="2009" w:type="dxa"/>
          </w:tcPr>
          <w:p>
            <w:pPr>
              <w:rPr>
                <w:sz w:val="18"/>
                <w:szCs w:val="18"/>
              </w:rPr>
            </w:pPr>
            <w:r>
              <w:rPr>
                <w:sz w:val="18"/>
                <w:szCs w:val="18"/>
              </w:rPr>
              <w:t>Only FGDs</w:t>
            </w:r>
          </w:p>
        </w:tc>
        <w:tc>
          <w:tcPr>
            <w:tcW w:w="4005" w:type="dxa"/>
          </w:tcPr>
          <w:p>
            <w:pPr>
              <w:rPr>
                <w:sz w:val="18"/>
                <w:szCs w:val="18"/>
              </w:rPr>
            </w:pPr>
            <w:r>
              <w:rPr>
                <w:sz w:val="18"/>
                <w:szCs w:val="18"/>
              </w:rPr>
              <w:t xml:space="preserve">. The FGD lasted one hour at the medical </w:t>
            </w:r>
            <w:proofErr w:type="spellStart"/>
            <w:r>
              <w:rPr>
                <w:sz w:val="18"/>
                <w:szCs w:val="18"/>
              </w:rPr>
              <w:t>centre</w:t>
            </w:r>
            <w:proofErr w:type="spellEnd"/>
          </w:p>
        </w:tc>
      </w:tr>
      <w:tr>
        <w:tc>
          <w:tcPr>
            <w:tcW w:w="247" w:type="dxa"/>
          </w:tcPr>
          <w:p>
            <w:pPr>
              <w:jc w:val="center"/>
              <w:rPr>
                <w:sz w:val="20"/>
              </w:rPr>
            </w:pPr>
            <w:r>
              <w:rPr>
                <w:sz w:val="20"/>
              </w:rPr>
              <w:t>7</w:t>
            </w:r>
          </w:p>
        </w:tc>
        <w:tc>
          <w:tcPr>
            <w:tcW w:w="1471" w:type="dxa"/>
          </w:tcPr>
          <w:p>
            <w:pPr>
              <w:jc w:val="center"/>
              <w:rPr>
                <w:sz w:val="18"/>
                <w:szCs w:val="18"/>
              </w:rPr>
            </w:pPr>
            <w:r>
              <w:rPr>
                <w:sz w:val="18"/>
                <w:szCs w:val="18"/>
              </w:rPr>
              <w:t>40</w:t>
            </w:r>
          </w:p>
        </w:tc>
        <w:tc>
          <w:tcPr>
            <w:tcW w:w="900" w:type="dxa"/>
          </w:tcPr>
          <w:p>
            <w:pPr>
              <w:jc w:val="center"/>
              <w:rPr>
                <w:sz w:val="18"/>
                <w:szCs w:val="18"/>
              </w:rPr>
            </w:pPr>
            <w:r>
              <w:rPr>
                <w:sz w:val="18"/>
                <w:szCs w:val="18"/>
              </w:rPr>
              <w:t>6</w:t>
            </w:r>
          </w:p>
        </w:tc>
        <w:tc>
          <w:tcPr>
            <w:tcW w:w="990" w:type="dxa"/>
          </w:tcPr>
          <w:p>
            <w:pPr>
              <w:jc w:val="center"/>
              <w:rPr>
                <w:sz w:val="18"/>
                <w:szCs w:val="18"/>
              </w:rPr>
            </w:pPr>
            <w:r>
              <w:rPr>
                <w:sz w:val="18"/>
                <w:szCs w:val="18"/>
              </w:rPr>
              <w:t>In person</w:t>
            </w:r>
          </w:p>
        </w:tc>
        <w:tc>
          <w:tcPr>
            <w:tcW w:w="4201" w:type="dxa"/>
          </w:tcPr>
          <w:p>
            <w:pPr>
              <w:rPr>
                <w:sz w:val="18"/>
                <w:szCs w:val="18"/>
              </w:rPr>
            </w:pPr>
            <w:r>
              <w:rPr>
                <w:sz w:val="18"/>
                <w:szCs w:val="18"/>
              </w:rPr>
              <w:t xml:space="preserve">HCWs involved in the management of COVID-19 at different managerial levels </w:t>
            </w:r>
          </w:p>
          <w:p>
            <w:pPr>
              <w:rPr>
                <w:sz w:val="18"/>
                <w:szCs w:val="18"/>
              </w:rPr>
            </w:pPr>
            <w:r>
              <w:rPr>
                <w:sz w:val="18"/>
                <w:szCs w:val="18"/>
              </w:rPr>
              <w:t>Stakeholders working at the frontline in the management of COVID-19 (managerial, public health/field/community and primary care health centers)</w:t>
            </w:r>
          </w:p>
        </w:tc>
        <w:tc>
          <w:tcPr>
            <w:tcW w:w="2009" w:type="dxa"/>
          </w:tcPr>
          <w:p>
            <w:pPr>
              <w:rPr>
                <w:sz w:val="18"/>
                <w:szCs w:val="18"/>
              </w:rPr>
            </w:pPr>
            <w:r>
              <w:rPr>
                <w:sz w:val="18"/>
                <w:szCs w:val="18"/>
              </w:rPr>
              <w:t>Only FGDs</w:t>
            </w:r>
          </w:p>
        </w:tc>
        <w:tc>
          <w:tcPr>
            <w:tcW w:w="4005" w:type="dxa"/>
          </w:tcPr>
          <w:p>
            <w:pPr>
              <w:rPr>
                <w:sz w:val="18"/>
                <w:szCs w:val="18"/>
              </w:rPr>
            </w:pPr>
            <w:r>
              <w:rPr>
                <w:sz w:val="18"/>
                <w:szCs w:val="18"/>
              </w:rPr>
              <w:t>. Different locations were used, including the regional COVID-19 operational center (3 FGDs), the directorate of health services (2 FGDs), and a health center (1 FDG).</w:t>
            </w:r>
          </w:p>
          <w:p>
            <w:pPr>
              <w:rPr>
                <w:sz w:val="18"/>
                <w:szCs w:val="18"/>
              </w:rPr>
            </w:pPr>
            <w:r>
              <w:rPr>
                <w:sz w:val="18"/>
                <w:szCs w:val="18"/>
              </w:rPr>
              <w:t xml:space="preserve">. A semi-circle sitting arrangement was set (1.5-2 meter-distancing). </w:t>
            </w:r>
          </w:p>
          <w:p>
            <w:pPr>
              <w:rPr>
                <w:sz w:val="18"/>
                <w:szCs w:val="18"/>
              </w:rPr>
            </w:pPr>
            <w:r>
              <w:rPr>
                <w:sz w:val="18"/>
                <w:szCs w:val="18"/>
              </w:rPr>
              <w:t>. All participants were asked to wear masks and adhere to the infection prevention measures.</w:t>
            </w:r>
          </w:p>
          <w:p>
            <w:pPr>
              <w:rPr>
                <w:sz w:val="18"/>
                <w:szCs w:val="18"/>
              </w:rPr>
            </w:pPr>
            <w:r>
              <w:rPr>
                <w:sz w:val="18"/>
                <w:szCs w:val="18"/>
              </w:rPr>
              <w:t>. Discussions were led by a trained facilitator and an assistant facilitator taking notes.</w:t>
            </w:r>
          </w:p>
        </w:tc>
      </w:tr>
      <w:tr>
        <w:tc>
          <w:tcPr>
            <w:tcW w:w="247" w:type="dxa"/>
          </w:tcPr>
          <w:p>
            <w:pPr>
              <w:jc w:val="center"/>
              <w:rPr>
                <w:sz w:val="20"/>
              </w:rPr>
            </w:pPr>
            <w:r>
              <w:rPr>
                <w:sz w:val="20"/>
              </w:rPr>
              <w:lastRenderedPageBreak/>
              <w:t>8</w:t>
            </w:r>
          </w:p>
        </w:tc>
        <w:tc>
          <w:tcPr>
            <w:tcW w:w="1471" w:type="dxa"/>
          </w:tcPr>
          <w:p>
            <w:pPr>
              <w:jc w:val="center"/>
              <w:rPr>
                <w:sz w:val="18"/>
                <w:szCs w:val="18"/>
              </w:rPr>
            </w:pPr>
            <w:r>
              <w:rPr>
                <w:sz w:val="18"/>
                <w:szCs w:val="18"/>
              </w:rPr>
              <w:t>39</w:t>
            </w:r>
          </w:p>
        </w:tc>
        <w:tc>
          <w:tcPr>
            <w:tcW w:w="900" w:type="dxa"/>
          </w:tcPr>
          <w:p>
            <w:pPr>
              <w:jc w:val="center"/>
              <w:rPr>
                <w:sz w:val="18"/>
                <w:szCs w:val="18"/>
              </w:rPr>
            </w:pPr>
            <w:proofErr w:type="spellStart"/>
            <w:r>
              <w:rPr>
                <w:sz w:val="18"/>
                <w:szCs w:val="18"/>
              </w:rPr>
              <w:t>n.a</w:t>
            </w:r>
            <w:proofErr w:type="spellEnd"/>
            <w:r>
              <w:rPr>
                <w:sz w:val="18"/>
                <w:szCs w:val="18"/>
              </w:rPr>
              <w:t>*</w:t>
            </w:r>
          </w:p>
        </w:tc>
        <w:tc>
          <w:tcPr>
            <w:tcW w:w="990" w:type="dxa"/>
          </w:tcPr>
          <w:p>
            <w:pPr>
              <w:jc w:val="center"/>
              <w:rPr>
                <w:sz w:val="18"/>
                <w:szCs w:val="18"/>
              </w:rPr>
            </w:pPr>
            <w:r>
              <w:rPr>
                <w:sz w:val="18"/>
                <w:szCs w:val="18"/>
              </w:rPr>
              <w:t>online</w:t>
            </w:r>
          </w:p>
        </w:tc>
        <w:tc>
          <w:tcPr>
            <w:tcW w:w="4201" w:type="dxa"/>
          </w:tcPr>
          <w:p>
            <w:pPr>
              <w:rPr>
                <w:sz w:val="18"/>
                <w:szCs w:val="18"/>
              </w:rPr>
            </w:pPr>
            <w:r>
              <w:rPr>
                <w:sz w:val="18"/>
                <w:szCs w:val="18"/>
              </w:rPr>
              <w:t>Administrative leaders, physicians, nurses and medical support staff</w:t>
            </w:r>
          </w:p>
        </w:tc>
        <w:tc>
          <w:tcPr>
            <w:tcW w:w="2009" w:type="dxa"/>
          </w:tcPr>
          <w:p>
            <w:pPr>
              <w:rPr>
                <w:sz w:val="18"/>
                <w:szCs w:val="18"/>
              </w:rPr>
            </w:pPr>
            <w:r>
              <w:rPr>
                <w:sz w:val="18"/>
                <w:szCs w:val="18"/>
              </w:rPr>
              <w:t>Only FGDs</w:t>
            </w:r>
          </w:p>
        </w:tc>
        <w:tc>
          <w:tcPr>
            <w:tcW w:w="4005" w:type="dxa"/>
          </w:tcPr>
          <w:p>
            <w:pPr>
              <w:rPr>
                <w:sz w:val="18"/>
                <w:szCs w:val="18"/>
              </w:rPr>
            </w:pPr>
            <w:r>
              <w:rPr>
                <w:sz w:val="18"/>
                <w:szCs w:val="18"/>
              </w:rPr>
              <w:t>. Participants were offered the opportunity to</w:t>
            </w:r>
          </w:p>
          <w:p>
            <w:pPr>
              <w:rPr>
                <w:sz w:val="18"/>
                <w:szCs w:val="18"/>
              </w:rPr>
            </w:pPr>
            <w:r>
              <w:rPr>
                <w:sz w:val="18"/>
                <w:szCs w:val="18"/>
              </w:rPr>
              <w:t>attend 1 of 7 virtual FGDs using the Zoom videoconferencing platform.</w:t>
            </w:r>
          </w:p>
          <w:p>
            <w:pPr>
              <w:rPr>
                <w:sz w:val="18"/>
                <w:szCs w:val="18"/>
              </w:rPr>
            </w:pPr>
            <w:r>
              <w:rPr>
                <w:sz w:val="18"/>
                <w:szCs w:val="18"/>
              </w:rPr>
              <w:t>. Each FGD lasted one hour.</w:t>
            </w:r>
          </w:p>
          <w:p>
            <w:pPr>
              <w:rPr>
                <w:sz w:val="18"/>
                <w:szCs w:val="18"/>
              </w:rPr>
            </w:pPr>
            <w:r>
              <w:rPr>
                <w:sz w:val="18"/>
                <w:szCs w:val="18"/>
              </w:rPr>
              <w:t>. A maximum of 10 participants in each FGD.</w:t>
            </w:r>
          </w:p>
          <w:p>
            <w:pPr>
              <w:rPr>
                <w:sz w:val="18"/>
                <w:szCs w:val="18"/>
              </w:rPr>
            </w:pPr>
            <w:r>
              <w:rPr>
                <w:sz w:val="18"/>
                <w:szCs w:val="18"/>
              </w:rPr>
              <w:t xml:space="preserve">. FGDs were proceeded by a quantitative survey. </w:t>
            </w:r>
          </w:p>
        </w:tc>
      </w:tr>
      <w:tr>
        <w:tc>
          <w:tcPr>
            <w:tcW w:w="247" w:type="dxa"/>
          </w:tcPr>
          <w:p>
            <w:pPr>
              <w:jc w:val="center"/>
              <w:rPr>
                <w:sz w:val="20"/>
              </w:rPr>
            </w:pPr>
            <w:r>
              <w:rPr>
                <w:sz w:val="20"/>
              </w:rPr>
              <w:t>9</w:t>
            </w:r>
          </w:p>
        </w:tc>
        <w:tc>
          <w:tcPr>
            <w:tcW w:w="1471" w:type="dxa"/>
          </w:tcPr>
          <w:p>
            <w:pPr>
              <w:jc w:val="center"/>
              <w:rPr>
                <w:sz w:val="18"/>
                <w:szCs w:val="18"/>
              </w:rPr>
            </w:pPr>
            <w:r>
              <w:rPr>
                <w:sz w:val="18"/>
                <w:szCs w:val="18"/>
              </w:rPr>
              <w:t>34</w:t>
            </w:r>
          </w:p>
        </w:tc>
        <w:tc>
          <w:tcPr>
            <w:tcW w:w="900" w:type="dxa"/>
          </w:tcPr>
          <w:p>
            <w:pPr>
              <w:jc w:val="center"/>
              <w:rPr>
                <w:sz w:val="18"/>
                <w:szCs w:val="18"/>
              </w:rPr>
            </w:pPr>
            <w:r>
              <w:rPr>
                <w:sz w:val="18"/>
                <w:szCs w:val="18"/>
              </w:rPr>
              <w:t>4</w:t>
            </w:r>
          </w:p>
        </w:tc>
        <w:tc>
          <w:tcPr>
            <w:tcW w:w="990" w:type="dxa"/>
          </w:tcPr>
          <w:p>
            <w:pPr>
              <w:jc w:val="center"/>
              <w:rPr>
                <w:sz w:val="18"/>
                <w:szCs w:val="18"/>
              </w:rPr>
            </w:pPr>
            <w:r>
              <w:rPr>
                <w:sz w:val="18"/>
                <w:szCs w:val="18"/>
              </w:rPr>
              <w:t>In person</w:t>
            </w:r>
          </w:p>
        </w:tc>
        <w:tc>
          <w:tcPr>
            <w:tcW w:w="4201" w:type="dxa"/>
          </w:tcPr>
          <w:p>
            <w:pPr>
              <w:rPr>
                <w:sz w:val="18"/>
                <w:szCs w:val="18"/>
              </w:rPr>
            </w:pPr>
            <w:r>
              <w:rPr>
                <w:sz w:val="18"/>
                <w:szCs w:val="18"/>
              </w:rPr>
              <w:t xml:space="preserve">FGD−1: Doctors </w:t>
            </w:r>
          </w:p>
          <w:p>
            <w:pPr>
              <w:rPr>
                <w:sz w:val="18"/>
                <w:szCs w:val="18"/>
              </w:rPr>
            </w:pPr>
            <w:r>
              <w:rPr>
                <w:sz w:val="18"/>
                <w:szCs w:val="18"/>
              </w:rPr>
              <w:t xml:space="preserve">FGD-2: Nurses, Allied health professionals </w:t>
            </w:r>
          </w:p>
          <w:p>
            <w:pPr>
              <w:rPr>
                <w:sz w:val="18"/>
                <w:szCs w:val="18"/>
              </w:rPr>
            </w:pPr>
            <w:r>
              <w:rPr>
                <w:sz w:val="18"/>
                <w:szCs w:val="18"/>
              </w:rPr>
              <w:t>FGD-3 Field staff (Community health workers, Social workers)</w:t>
            </w:r>
          </w:p>
          <w:p>
            <w:pPr>
              <w:rPr>
                <w:sz w:val="18"/>
                <w:szCs w:val="18"/>
              </w:rPr>
            </w:pPr>
            <w:r>
              <w:rPr>
                <w:sz w:val="18"/>
                <w:szCs w:val="18"/>
              </w:rPr>
              <w:t>FGD-4: Drivers and Housekeeping staff</w:t>
            </w:r>
          </w:p>
        </w:tc>
        <w:tc>
          <w:tcPr>
            <w:tcW w:w="2009" w:type="dxa"/>
          </w:tcPr>
          <w:p>
            <w:pPr>
              <w:rPr>
                <w:sz w:val="18"/>
                <w:szCs w:val="18"/>
              </w:rPr>
            </w:pPr>
            <w:r>
              <w:rPr>
                <w:sz w:val="18"/>
                <w:szCs w:val="18"/>
              </w:rPr>
              <w:t>FGDs, Interviews and observation</w:t>
            </w:r>
          </w:p>
        </w:tc>
        <w:tc>
          <w:tcPr>
            <w:tcW w:w="4005" w:type="dxa"/>
          </w:tcPr>
          <w:p>
            <w:pPr>
              <w:rPr>
                <w:sz w:val="18"/>
                <w:szCs w:val="18"/>
              </w:rPr>
            </w:pPr>
            <w:r>
              <w:rPr>
                <w:sz w:val="18"/>
                <w:szCs w:val="18"/>
              </w:rPr>
              <w:t>. Duration of FGDs ranged from 45 to 60 min.</w:t>
            </w:r>
          </w:p>
          <w:p>
            <w:pPr>
              <w:rPr>
                <w:sz w:val="18"/>
                <w:szCs w:val="18"/>
              </w:rPr>
            </w:pPr>
            <w:r>
              <w:rPr>
                <w:sz w:val="18"/>
                <w:szCs w:val="18"/>
              </w:rPr>
              <w:t xml:space="preserve"> </w:t>
            </w:r>
          </w:p>
        </w:tc>
      </w:tr>
      <w:tr>
        <w:tc>
          <w:tcPr>
            <w:tcW w:w="247" w:type="dxa"/>
          </w:tcPr>
          <w:p>
            <w:pPr>
              <w:jc w:val="center"/>
              <w:rPr>
                <w:sz w:val="20"/>
              </w:rPr>
            </w:pPr>
            <w:r>
              <w:rPr>
                <w:sz w:val="20"/>
              </w:rPr>
              <w:t>10</w:t>
            </w:r>
          </w:p>
        </w:tc>
        <w:tc>
          <w:tcPr>
            <w:tcW w:w="1471" w:type="dxa"/>
          </w:tcPr>
          <w:p>
            <w:pPr>
              <w:jc w:val="center"/>
              <w:rPr>
                <w:sz w:val="18"/>
                <w:szCs w:val="18"/>
              </w:rPr>
            </w:pPr>
            <w:r>
              <w:rPr>
                <w:sz w:val="18"/>
                <w:szCs w:val="18"/>
              </w:rPr>
              <w:t>32</w:t>
            </w:r>
          </w:p>
        </w:tc>
        <w:tc>
          <w:tcPr>
            <w:tcW w:w="900" w:type="dxa"/>
          </w:tcPr>
          <w:p>
            <w:pPr>
              <w:jc w:val="center"/>
              <w:rPr>
                <w:sz w:val="18"/>
                <w:szCs w:val="18"/>
              </w:rPr>
            </w:pPr>
            <w:proofErr w:type="spellStart"/>
            <w:r>
              <w:rPr>
                <w:sz w:val="18"/>
                <w:szCs w:val="18"/>
              </w:rPr>
              <w:t>n.a</w:t>
            </w:r>
            <w:proofErr w:type="spellEnd"/>
            <w:r>
              <w:rPr>
                <w:sz w:val="18"/>
                <w:szCs w:val="18"/>
              </w:rPr>
              <w:t>*</w:t>
            </w:r>
          </w:p>
        </w:tc>
        <w:tc>
          <w:tcPr>
            <w:tcW w:w="990" w:type="dxa"/>
          </w:tcPr>
          <w:p>
            <w:pPr>
              <w:jc w:val="center"/>
              <w:rPr>
                <w:sz w:val="18"/>
                <w:szCs w:val="18"/>
              </w:rPr>
            </w:pPr>
            <w:r>
              <w:rPr>
                <w:sz w:val="18"/>
                <w:szCs w:val="18"/>
              </w:rPr>
              <w:t>Online</w:t>
            </w:r>
          </w:p>
        </w:tc>
        <w:tc>
          <w:tcPr>
            <w:tcW w:w="4201" w:type="dxa"/>
          </w:tcPr>
          <w:p>
            <w:pPr>
              <w:rPr>
                <w:sz w:val="18"/>
                <w:szCs w:val="18"/>
              </w:rPr>
            </w:pPr>
            <w:r>
              <w:rPr>
                <w:sz w:val="18"/>
                <w:szCs w:val="18"/>
              </w:rPr>
              <w:t>Consultant obstetrician/</w:t>
            </w:r>
            <w:proofErr w:type="spellStart"/>
            <w:r>
              <w:rPr>
                <w:sz w:val="18"/>
                <w:szCs w:val="18"/>
              </w:rPr>
              <w:t>gynaecologist</w:t>
            </w:r>
            <w:proofErr w:type="spellEnd"/>
          </w:p>
          <w:p>
            <w:pPr>
              <w:rPr>
                <w:sz w:val="18"/>
                <w:szCs w:val="18"/>
              </w:rPr>
            </w:pPr>
            <w:r>
              <w:rPr>
                <w:sz w:val="18"/>
                <w:szCs w:val="18"/>
              </w:rPr>
              <w:t xml:space="preserve">Consultant psychiatrist, Consultant </w:t>
            </w:r>
            <w:proofErr w:type="spellStart"/>
            <w:r>
              <w:rPr>
                <w:sz w:val="18"/>
                <w:szCs w:val="18"/>
              </w:rPr>
              <w:t>anaesthetist</w:t>
            </w:r>
            <w:proofErr w:type="spellEnd"/>
            <w:r>
              <w:rPr>
                <w:sz w:val="18"/>
                <w:szCs w:val="18"/>
              </w:rPr>
              <w:t>, Doctor, unspecified, General practitioner, Specialty trainees, Specialist nurse, Research nurse, Physiotherapist, Occupational therapist, Midwife, Dietician, Management/administration</w:t>
            </w:r>
          </w:p>
        </w:tc>
        <w:tc>
          <w:tcPr>
            <w:tcW w:w="2009" w:type="dxa"/>
          </w:tcPr>
          <w:p>
            <w:pPr>
              <w:rPr>
                <w:sz w:val="18"/>
                <w:szCs w:val="18"/>
              </w:rPr>
            </w:pPr>
            <w:r>
              <w:rPr>
                <w:sz w:val="18"/>
                <w:szCs w:val="18"/>
              </w:rPr>
              <w:t>FGDs and Interviews</w:t>
            </w:r>
          </w:p>
        </w:tc>
        <w:tc>
          <w:tcPr>
            <w:tcW w:w="4005" w:type="dxa"/>
          </w:tcPr>
          <w:p>
            <w:pPr>
              <w:rPr>
                <w:sz w:val="18"/>
                <w:szCs w:val="18"/>
              </w:rPr>
            </w:pPr>
            <w:r>
              <w:rPr>
                <w:sz w:val="18"/>
                <w:szCs w:val="18"/>
              </w:rPr>
              <w:t xml:space="preserve">. Participants were invited to tell their stories uninterrupted. </w:t>
            </w:r>
          </w:p>
        </w:tc>
      </w:tr>
      <w:tr>
        <w:tc>
          <w:tcPr>
            <w:tcW w:w="247" w:type="dxa"/>
          </w:tcPr>
          <w:p>
            <w:pPr>
              <w:jc w:val="center"/>
              <w:rPr>
                <w:sz w:val="20"/>
              </w:rPr>
            </w:pPr>
            <w:r>
              <w:rPr>
                <w:sz w:val="20"/>
              </w:rPr>
              <w:t>11</w:t>
            </w:r>
          </w:p>
        </w:tc>
        <w:tc>
          <w:tcPr>
            <w:tcW w:w="1471" w:type="dxa"/>
          </w:tcPr>
          <w:p>
            <w:pPr>
              <w:jc w:val="center"/>
              <w:rPr>
                <w:sz w:val="18"/>
                <w:szCs w:val="18"/>
              </w:rPr>
            </w:pPr>
            <w:r>
              <w:rPr>
                <w:sz w:val="18"/>
                <w:szCs w:val="18"/>
              </w:rPr>
              <w:t>22</w:t>
            </w:r>
          </w:p>
        </w:tc>
        <w:tc>
          <w:tcPr>
            <w:tcW w:w="900" w:type="dxa"/>
          </w:tcPr>
          <w:p>
            <w:pPr>
              <w:jc w:val="center"/>
              <w:rPr>
                <w:sz w:val="18"/>
                <w:szCs w:val="18"/>
              </w:rPr>
            </w:pPr>
            <w:r>
              <w:rPr>
                <w:sz w:val="18"/>
                <w:szCs w:val="18"/>
              </w:rPr>
              <w:t>5</w:t>
            </w:r>
          </w:p>
        </w:tc>
        <w:tc>
          <w:tcPr>
            <w:tcW w:w="990" w:type="dxa"/>
          </w:tcPr>
          <w:p>
            <w:pPr>
              <w:jc w:val="center"/>
              <w:rPr>
                <w:sz w:val="18"/>
                <w:szCs w:val="18"/>
              </w:rPr>
            </w:pPr>
            <w:r>
              <w:rPr>
                <w:sz w:val="18"/>
                <w:szCs w:val="18"/>
              </w:rPr>
              <w:t>In person</w:t>
            </w:r>
          </w:p>
        </w:tc>
        <w:tc>
          <w:tcPr>
            <w:tcW w:w="4201" w:type="dxa"/>
          </w:tcPr>
          <w:p>
            <w:pPr>
              <w:rPr>
                <w:sz w:val="18"/>
                <w:szCs w:val="18"/>
              </w:rPr>
            </w:pPr>
            <w:r>
              <w:rPr>
                <w:sz w:val="18"/>
                <w:szCs w:val="18"/>
              </w:rPr>
              <w:t xml:space="preserve">Nursing staff (Some from the same department and others were mixed). </w:t>
            </w:r>
          </w:p>
          <w:p>
            <w:pPr>
              <w:rPr>
                <w:sz w:val="18"/>
                <w:szCs w:val="18"/>
              </w:rPr>
            </w:pPr>
          </w:p>
        </w:tc>
        <w:tc>
          <w:tcPr>
            <w:tcW w:w="2009" w:type="dxa"/>
          </w:tcPr>
          <w:p>
            <w:pPr>
              <w:rPr>
                <w:sz w:val="18"/>
                <w:szCs w:val="18"/>
              </w:rPr>
            </w:pPr>
            <w:r>
              <w:rPr>
                <w:sz w:val="18"/>
                <w:szCs w:val="18"/>
              </w:rPr>
              <w:t xml:space="preserve">FGDs and observation </w:t>
            </w:r>
          </w:p>
        </w:tc>
        <w:tc>
          <w:tcPr>
            <w:tcW w:w="4005" w:type="dxa"/>
          </w:tcPr>
          <w:p>
            <w:pPr>
              <w:rPr>
                <w:sz w:val="18"/>
                <w:szCs w:val="18"/>
              </w:rPr>
            </w:pPr>
            <w:r>
              <w:rPr>
                <w:sz w:val="18"/>
                <w:szCs w:val="18"/>
              </w:rPr>
              <w:t>. The method followed a hospital ethnographic approach.</w:t>
            </w:r>
          </w:p>
          <w:p>
            <w:pPr>
              <w:rPr>
                <w:sz w:val="18"/>
                <w:szCs w:val="18"/>
              </w:rPr>
            </w:pPr>
            <w:r>
              <w:rPr>
                <w:sz w:val="18"/>
                <w:szCs w:val="18"/>
              </w:rPr>
              <w:t>. Each FGD lasted on average 2 hours and included three to seven informants.</w:t>
            </w:r>
          </w:p>
        </w:tc>
      </w:tr>
    </w:tbl>
    <w:p>
      <w:pPr>
        <w:rPr>
          <w:sz w:val="20"/>
        </w:rPr>
      </w:pPr>
      <w:r>
        <w:rPr>
          <w:sz w:val="20"/>
        </w:rPr>
        <w:t>*Not Available</w:t>
      </w:r>
    </w:p>
    <w:p>
      <w:pPr>
        <w:rPr>
          <w:b/>
          <w:sz w:val="20"/>
        </w:rPr>
      </w:pPr>
      <w:r>
        <w:rPr>
          <w:b/>
          <w:sz w:val="20"/>
        </w:rPr>
        <w:t># Articles title</w:t>
      </w:r>
    </w:p>
    <w:p>
      <w:pPr>
        <w:pStyle w:val="ListParagraph"/>
        <w:numPr>
          <w:ilvl w:val="0"/>
          <w:numId w:val="2"/>
        </w:numPr>
        <w:rPr>
          <w:sz w:val="20"/>
        </w:rPr>
      </w:pPr>
      <w:r>
        <w:rPr>
          <w:sz w:val="20"/>
        </w:rPr>
        <w:t>Addressing General Surgery Residents’ Concerns in the Early Phase of the COVID-19 Pandemic</w:t>
      </w:r>
    </w:p>
    <w:p>
      <w:pPr>
        <w:pStyle w:val="ListParagraph"/>
        <w:numPr>
          <w:ilvl w:val="0"/>
          <w:numId w:val="2"/>
        </w:numPr>
        <w:rPr>
          <w:sz w:val="20"/>
        </w:rPr>
      </w:pPr>
      <w:r>
        <w:rPr>
          <w:sz w:val="20"/>
        </w:rPr>
        <w:t>Barriers to using personal protective equipment by healthcare staff during the COVID-19 outbreak in China</w:t>
      </w:r>
    </w:p>
    <w:p>
      <w:pPr>
        <w:pStyle w:val="ListParagraph"/>
        <w:numPr>
          <w:ilvl w:val="0"/>
          <w:numId w:val="2"/>
        </w:numPr>
        <w:rPr>
          <w:sz w:val="20"/>
        </w:rPr>
      </w:pPr>
      <w:r>
        <w:rPr>
          <w:sz w:val="20"/>
        </w:rPr>
        <w:t>Experiences of early graduate medical students working in New York hospitals during the COVID-19 pandemic: a mixed methods study</w:t>
      </w:r>
    </w:p>
    <w:p>
      <w:pPr>
        <w:pStyle w:val="ListParagraph"/>
        <w:numPr>
          <w:ilvl w:val="0"/>
          <w:numId w:val="2"/>
        </w:numPr>
        <w:rPr>
          <w:sz w:val="20"/>
        </w:rPr>
      </w:pPr>
      <w:r>
        <w:rPr>
          <w:sz w:val="20"/>
        </w:rPr>
        <w:t>Insights on COVID-19 From Community Health Worker State Leaders</w:t>
      </w:r>
    </w:p>
    <w:p>
      <w:pPr>
        <w:pStyle w:val="ListParagraph"/>
        <w:numPr>
          <w:ilvl w:val="0"/>
          <w:numId w:val="2"/>
        </w:numPr>
        <w:rPr>
          <w:sz w:val="20"/>
        </w:rPr>
      </w:pPr>
      <w:r>
        <w:rPr>
          <w:sz w:val="20"/>
        </w:rPr>
        <w:t>Nurses’ experiences of being recruited and transferred to a new sub‐intensive care unit devoted to COVID‐19 patients</w:t>
      </w:r>
    </w:p>
    <w:p>
      <w:pPr>
        <w:pStyle w:val="ListParagraph"/>
        <w:numPr>
          <w:ilvl w:val="0"/>
          <w:numId w:val="2"/>
        </w:numPr>
        <w:rPr>
          <w:sz w:val="20"/>
        </w:rPr>
      </w:pPr>
      <w:r>
        <w:rPr>
          <w:sz w:val="20"/>
        </w:rPr>
        <w:t>Restructuring in a GP practice during the COVID-19 pandemic – a focus-group study</w:t>
      </w:r>
    </w:p>
    <w:p>
      <w:pPr>
        <w:pStyle w:val="ListParagraph"/>
        <w:numPr>
          <w:ilvl w:val="0"/>
          <w:numId w:val="2"/>
        </w:numPr>
        <w:rPr>
          <w:sz w:val="20"/>
        </w:rPr>
      </w:pPr>
      <w:r>
        <w:rPr>
          <w:sz w:val="20"/>
        </w:rPr>
        <w:t>The Experiences and Perceptions of Health-Care Workers During the COVID-19 Pandemic in Muscat, Oman: A Qualitative Study</w:t>
      </w:r>
    </w:p>
    <w:p>
      <w:pPr>
        <w:pStyle w:val="ListParagraph"/>
        <w:numPr>
          <w:ilvl w:val="0"/>
          <w:numId w:val="2"/>
        </w:numPr>
        <w:rPr>
          <w:sz w:val="20"/>
        </w:rPr>
      </w:pPr>
      <w:r>
        <w:rPr>
          <w:sz w:val="20"/>
        </w:rPr>
        <w:t>A National Study of Community Health Centers' Readiness to Address COVID-19</w:t>
      </w:r>
    </w:p>
    <w:p>
      <w:pPr>
        <w:pStyle w:val="ListParagraph"/>
        <w:numPr>
          <w:ilvl w:val="0"/>
          <w:numId w:val="2"/>
        </w:numPr>
        <w:rPr>
          <w:sz w:val="20"/>
        </w:rPr>
      </w:pPr>
      <w:r>
        <w:rPr>
          <w:sz w:val="20"/>
        </w:rPr>
        <w:t>Challenges, experience and coping of health professionals in delivering healthcare in an urban slum in India during the first 40 days of COVID-19 crisis: a mixed method study</w:t>
      </w:r>
    </w:p>
    <w:p>
      <w:pPr>
        <w:pStyle w:val="ListParagraph"/>
        <w:numPr>
          <w:ilvl w:val="0"/>
          <w:numId w:val="2"/>
        </w:numPr>
        <w:rPr>
          <w:sz w:val="20"/>
        </w:rPr>
      </w:pPr>
      <w:r>
        <w:t xml:space="preserve"> </w:t>
      </w:r>
      <w:r>
        <w:rPr>
          <w:sz w:val="20"/>
        </w:rPr>
        <w:t>Developing services for long COVID: lessons from a study of wounded healers</w:t>
      </w:r>
    </w:p>
    <w:p>
      <w:pPr>
        <w:pStyle w:val="ListParagraph"/>
        <w:numPr>
          <w:ilvl w:val="0"/>
          <w:numId w:val="2"/>
        </w:numPr>
        <w:rPr>
          <w:sz w:val="20"/>
        </w:rPr>
      </w:pPr>
      <w:r>
        <w:rPr>
          <w:sz w:val="20"/>
        </w:rPr>
        <w:t>We are not heroes—The flipside of the hero narrative amidst the COVID19‐pandemic: A Danish hospital ethnography</w:t>
      </w:r>
    </w:p>
    <w:sectPr>
      <w:pgSz w:w="15840" w:h="12240" w:orient="landscape"/>
      <w:pgMar w:top="1417" w:right="1417" w:bottom="1417"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Calibri"/>
    <w:panose1 w:val="02020609040205080304"/>
    <w:charset w:val="4E"/>
    <w:family w:val="auto"/>
    <w:pitch w:val="variable"/>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6E6C47"/>
    <w:multiLevelType w:val="hybridMultilevel"/>
    <w:tmpl w:val="877E60E4"/>
    <w:lvl w:ilvl="0" w:tplc="70A6F38C">
      <w:start w:val="1"/>
      <w:numFmt w:val="decimal"/>
      <w:lvlText w:val="%1."/>
      <w:lvlJc w:val="left"/>
      <w:pPr>
        <w:ind w:left="360" w:hanging="360"/>
      </w:pPr>
      <w:rPr>
        <w:rFonts w:asciiTheme="minorHAnsi" w:eastAsiaTheme="minorHAnsi" w:hAnsiTheme="minorHAnsi" w:cstheme="minorBidi"/>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2F8112A3"/>
    <w:multiLevelType w:val="hybridMultilevel"/>
    <w:tmpl w:val="51B2A416"/>
    <w:lvl w:ilvl="0" w:tplc="A518062E">
      <w:start w:val="34"/>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6C3F096A"/>
    <w:multiLevelType w:val="hybridMultilevel"/>
    <w:tmpl w:val="691CE1C6"/>
    <w:lvl w:ilvl="0" w:tplc="027460DC">
      <w:start w:val="14"/>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7448A432-6999-418F-952A-5B01D9B0C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styleId="CommentReference">
    <w:name w:val="annotation reference"/>
    <w:basedOn w:val="DefaultParagraphFont"/>
    <w:uiPriority w:val="99"/>
    <w:semiHidden/>
    <w:unhideWhenUsed/>
    <w:rPr>
      <w:sz w:val="18"/>
      <w:szCs w:val="18"/>
    </w:rPr>
  </w:style>
  <w:style w:type="paragraph" w:styleId="CommentText">
    <w:name w:val="annotation text"/>
    <w:basedOn w:val="Normal"/>
    <w:link w:val="CommentTextChar"/>
    <w:uiPriority w:val="99"/>
    <w:semiHidden/>
    <w:unhideWhenUsed/>
    <w:pPr>
      <w:spacing w:line="240" w:lineRule="auto"/>
    </w:pPr>
    <w:rPr>
      <w:sz w:val="24"/>
      <w:szCs w:val="24"/>
    </w:rPr>
  </w:style>
  <w:style w:type="character" w:customStyle="1" w:styleId="CommentTextChar">
    <w:name w:val="Comment Text Char"/>
    <w:basedOn w:val="DefaultParagraphFont"/>
    <w:link w:val="CommentText"/>
    <w:uiPriority w:val="99"/>
    <w:semiHidden/>
    <w:rPr>
      <w:sz w:val="24"/>
      <w:szCs w:val="24"/>
    </w:rPr>
  </w:style>
  <w:style w:type="paragraph" w:styleId="CommentSubject">
    <w:name w:val="annotation subject"/>
    <w:basedOn w:val="CommentText"/>
    <w:next w:val="CommentText"/>
    <w:link w:val="CommentSubjectChar"/>
    <w:uiPriority w:val="99"/>
    <w:semiHidden/>
    <w:unhideWhenUsed/>
    <w:rPr>
      <w:b/>
      <w:bCs/>
      <w:sz w:val="20"/>
      <w:szCs w:val="20"/>
    </w:rPr>
  </w:style>
  <w:style w:type="character" w:customStyle="1" w:styleId="CommentSubjectChar">
    <w:name w:val="Comment Subject Char"/>
    <w:basedOn w:val="CommentTextChar"/>
    <w:link w:val="CommentSubject"/>
    <w:uiPriority w:val="99"/>
    <w:semiHidden/>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652</Words>
  <Characters>4113</Characters>
  <Application>Microsoft Office Word</Application>
  <DocSecurity>0</DocSecurity>
  <Lines>34</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Chemali, Souaad</dc:creator>
  <cp:keywords/>
  <dc:description/>
  <cp:lastModifiedBy>Chemali, Souaad</cp:lastModifiedBy>
  <cp:revision>4</cp:revision>
  <dcterms:created xsi:type="dcterms:W3CDTF">2022-02-22T15:13:00Z</dcterms:created>
  <dcterms:modified xsi:type="dcterms:W3CDTF">2022-02-25T10:18:00Z</dcterms:modified>
</cp:coreProperties>
</file>