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864" w:rsidRPr="00882864" w:rsidRDefault="00882864" w:rsidP="00882864">
      <w:pPr>
        <w:spacing w:before="100" w:beforeAutospacing="1" w:after="100" w:afterAutospacing="1" w:line="480" w:lineRule="auto"/>
        <w:rPr>
          <w:rFonts w:cstheme="minorHAnsi"/>
          <w:b/>
          <w:bCs/>
          <w:sz w:val="24"/>
          <w:szCs w:val="24"/>
        </w:rPr>
      </w:pPr>
      <w:r w:rsidRPr="00882864">
        <w:rPr>
          <w:rFonts w:cstheme="minorHAnsi"/>
          <w:b/>
          <w:bCs/>
          <w:sz w:val="24"/>
          <w:szCs w:val="24"/>
        </w:rPr>
        <w:t>Women's Contribution to Medicine in Bahrain: Leadership and Workforce</w:t>
      </w:r>
    </w:p>
    <w:p w:rsidR="00882864" w:rsidRPr="00882864" w:rsidRDefault="00691980" w:rsidP="00712ABD">
      <w:pPr>
        <w:rPr>
          <w:rFonts w:ascii="Calibri" w:eastAsia="Calibri" w:hAnsi="Calibri" w:cs="Arial"/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</w:rPr>
        <w:t xml:space="preserve">ANNEX </w:t>
      </w:r>
      <w:bookmarkStart w:id="0" w:name="_GoBack"/>
      <w:bookmarkEnd w:id="0"/>
      <w:r w:rsidR="00712ABD">
        <w:rPr>
          <w:b/>
          <w:bCs/>
          <w:sz w:val="24"/>
          <w:szCs w:val="24"/>
        </w:rPr>
        <w:t>3:</w:t>
      </w:r>
      <w:r w:rsidR="00882864" w:rsidRPr="00882864">
        <w:rPr>
          <w:rFonts w:ascii="Calibri" w:eastAsia="Calibri" w:hAnsi="Calibri" w:cs="Arial"/>
          <w:b/>
          <w:bCs/>
          <w:sz w:val="24"/>
          <w:szCs w:val="24"/>
        </w:rPr>
        <w:t xml:space="preserve"> Medical student graduates’ breakdown by gender and citizenship from 2004-05 to   2020-21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1"/>
        <w:gridCol w:w="1915"/>
        <w:gridCol w:w="2200"/>
        <w:gridCol w:w="1579"/>
        <w:gridCol w:w="1980"/>
        <w:gridCol w:w="715"/>
      </w:tblGrid>
      <w:tr w:rsidR="00882864" w:rsidRPr="00882864" w:rsidTr="00016CE6">
        <w:trPr>
          <w:trHeight w:val="315"/>
        </w:trPr>
        <w:tc>
          <w:tcPr>
            <w:tcW w:w="961" w:type="dxa"/>
            <w:vMerge w:val="restart"/>
            <w:noWrap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5" w:type="dxa"/>
            <w:gridSpan w:val="2"/>
            <w:noWrap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882864">
              <w:rPr>
                <w:rFonts w:ascii="Calibri" w:eastAsia="Times New Roman" w:hAnsi="Calibri" w:cs="Arial"/>
                <w:b/>
                <w:bCs/>
                <w:color w:val="000000"/>
              </w:rPr>
              <w:t>Female number (%)</w:t>
            </w:r>
          </w:p>
        </w:tc>
        <w:tc>
          <w:tcPr>
            <w:tcW w:w="3559" w:type="dxa"/>
            <w:gridSpan w:val="2"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882864">
              <w:rPr>
                <w:rFonts w:ascii="Calibri" w:eastAsia="Times New Roman" w:hAnsi="Calibri" w:cs="Arial"/>
                <w:b/>
                <w:bCs/>
                <w:color w:val="000000"/>
              </w:rPr>
              <w:t>Male number (%)</w:t>
            </w:r>
          </w:p>
        </w:tc>
        <w:tc>
          <w:tcPr>
            <w:tcW w:w="715" w:type="dxa"/>
            <w:vMerge w:val="restart"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882864">
              <w:rPr>
                <w:rFonts w:ascii="Calibri" w:eastAsia="Times New Roman" w:hAnsi="Calibri" w:cs="Arial"/>
                <w:b/>
                <w:bCs/>
                <w:color w:val="000000"/>
              </w:rPr>
              <w:t>Total</w:t>
            </w:r>
          </w:p>
        </w:tc>
      </w:tr>
      <w:tr w:rsidR="00882864" w:rsidRPr="00882864" w:rsidTr="00016CE6">
        <w:trPr>
          <w:trHeight w:val="315"/>
        </w:trPr>
        <w:tc>
          <w:tcPr>
            <w:tcW w:w="961" w:type="dxa"/>
            <w:vMerge/>
            <w:noWrap/>
            <w:hideMark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noWrap/>
            <w:hideMark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882864">
              <w:rPr>
                <w:rFonts w:ascii="Calibri" w:eastAsia="Times New Roman" w:hAnsi="Calibri" w:cs="Arial"/>
                <w:b/>
                <w:bCs/>
                <w:color w:val="000000"/>
              </w:rPr>
              <w:t>Female Bahraini</w:t>
            </w:r>
          </w:p>
        </w:tc>
        <w:tc>
          <w:tcPr>
            <w:tcW w:w="2200" w:type="dxa"/>
            <w:noWrap/>
            <w:hideMark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882864">
              <w:rPr>
                <w:rFonts w:ascii="Calibri" w:eastAsia="Times New Roman" w:hAnsi="Calibri" w:cs="Arial"/>
                <w:b/>
                <w:bCs/>
                <w:color w:val="000000"/>
              </w:rPr>
              <w:t>Female non-Bahraini</w:t>
            </w:r>
          </w:p>
        </w:tc>
        <w:tc>
          <w:tcPr>
            <w:tcW w:w="1579" w:type="dxa"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882864">
              <w:rPr>
                <w:rFonts w:ascii="Calibri" w:eastAsia="Times New Roman" w:hAnsi="Calibri" w:cs="Arial"/>
                <w:b/>
                <w:bCs/>
                <w:color w:val="000000"/>
              </w:rPr>
              <w:t>Male Bahraini</w:t>
            </w:r>
          </w:p>
        </w:tc>
        <w:tc>
          <w:tcPr>
            <w:tcW w:w="1980" w:type="dxa"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882864">
              <w:rPr>
                <w:rFonts w:ascii="Calibri" w:eastAsia="Times New Roman" w:hAnsi="Calibri" w:cs="Arial"/>
                <w:b/>
                <w:bCs/>
                <w:color w:val="000000"/>
              </w:rPr>
              <w:t>Male non-Bahraini</w:t>
            </w:r>
          </w:p>
        </w:tc>
        <w:tc>
          <w:tcPr>
            <w:tcW w:w="715" w:type="dxa"/>
            <w:vMerge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</w:rPr>
            </w:pPr>
          </w:p>
        </w:tc>
      </w:tr>
      <w:tr w:rsidR="00882864" w:rsidRPr="00882864" w:rsidTr="00016CE6">
        <w:trPr>
          <w:trHeight w:val="315"/>
        </w:trPr>
        <w:tc>
          <w:tcPr>
            <w:tcW w:w="961" w:type="dxa"/>
            <w:vMerge w:val="restart"/>
            <w:noWrap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882864">
              <w:rPr>
                <w:rFonts w:ascii="Calibri" w:eastAsia="Times New Roman" w:hAnsi="Calibri" w:cs="Arial"/>
                <w:b/>
                <w:bCs/>
                <w:color w:val="000000"/>
              </w:rPr>
              <w:t>2004-05</w:t>
            </w:r>
          </w:p>
        </w:tc>
        <w:tc>
          <w:tcPr>
            <w:tcW w:w="4115" w:type="dxa"/>
            <w:gridSpan w:val="2"/>
            <w:noWrap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438 (66.1%)</w:t>
            </w:r>
          </w:p>
        </w:tc>
        <w:tc>
          <w:tcPr>
            <w:tcW w:w="3559" w:type="dxa"/>
            <w:gridSpan w:val="2"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225 (33.9%)</w:t>
            </w:r>
          </w:p>
        </w:tc>
        <w:tc>
          <w:tcPr>
            <w:tcW w:w="715" w:type="dxa"/>
            <w:vMerge w:val="restart"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663</w:t>
            </w:r>
          </w:p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882864" w:rsidRPr="00882864" w:rsidTr="00016CE6">
        <w:trPr>
          <w:trHeight w:val="315"/>
        </w:trPr>
        <w:tc>
          <w:tcPr>
            <w:tcW w:w="961" w:type="dxa"/>
            <w:vMerge/>
            <w:noWrap/>
            <w:hideMark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</w:rPr>
            </w:pPr>
          </w:p>
        </w:tc>
        <w:tc>
          <w:tcPr>
            <w:tcW w:w="1915" w:type="dxa"/>
            <w:noWrap/>
            <w:hideMark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130 (19.6%)</w:t>
            </w:r>
          </w:p>
        </w:tc>
        <w:tc>
          <w:tcPr>
            <w:tcW w:w="2200" w:type="dxa"/>
            <w:noWrap/>
            <w:hideMark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308 (46.5%)</w:t>
            </w:r>
          </w:p>
        </w:tc>
        <w:tc>
          <w:tcPr>
            <w:tcW w:w="1579" w:type="dxa"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52 (7.8%)</w:t>
            </w:r>
          </w:p>
        </w:tc>
        <w:tc>
          <w:tcPr>
            <w:tcW w:w="1980" w:type="dxa"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173 (26.1%)</w:t>
            </w:r>
          </w:p>
        </w:tc>
        <w:tc>
          <w:tcPr>
            <w:tcW w:w="715" w:type="dxa"/>
            <w:vMerge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882864" w:rsidRPr="00882864" w:rsidTr="00016CE6">
        <w:trPr>
          <w:trHeight w:val="315"/>
        </w:trPr>
        <w:tc>
          <w:tcPr>
            <w:tcW w:w="961" w:type="dxa"/>
            <w:vMerge w:val="restart"/>
            <w:noWrap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882864">
              <w:rPr>
                <w:rFonts w:ascii="Calibri" w:eastAsia="Times New Roman" w:hAnsi="Calibri" w:cs="Arial"/>
                <w:b/>
                <w:bCs/>
                <w:color w:val="000000"/>
              </w:rPr>
              <w:t>2005-06</w:t>
            </w:r>
          </w:p>
        </w:tc>
        <w:tc>
          <w:tcPr>
            <w:tcW w:w="4115" w:type="dxa"/>
            <w:gridSpan w:val="2"/>
            <w:noWrap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506 (64.1%)</w:t>
            </w:r>
          </w:p>
        </w:tc>
        <w:tc>
          <w:tcPr>
            <w:tcW w:w="3559" w:type="dxa"/>
            <w:gridSpan w:val="2"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283 (35.9%)</w:t>
            </w:r>
          </w:p>
        </w:tc>
        <w:tc>
          <w:tcPr>
            <w:tcW w:w="715" w:type="dxa"/>
            <w:vMerge w:val="restart"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789</w:t>
            </w:r>
          </w:p>
        </w:tc>
      </w:tr>
      <w:tr w:rsidR="00882864" w:rsidRPr="00882864" w:rsidTr="00016CE6">
        <w:trPr>
          <w:trHeight w:val="315"/>
        </w:trPr>
        <w:tc>
          <w:tcPr>
            <w:tcW w:w="961" w:type="dxa"/>
            <w:vMerge/>
            <w:noWrap/>
            <w:hideMark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</w:rPr>
            </w:pPr>
          </w:p>
        </w:tc>
        <w:tc>
          <w:tcPr>
            <w:tcW w:w="1915" w:type="dxa"/>
            <w:noWrap/>
            <w:hideMark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166 (21.0%)</w:t>
            </w:r>
          </w:p>
        </w:tc>
        <w:tc>
          <w:tcPr>
            <w:tcW w:w="2200" w:type="dxa"/>
            <w:noWrap/>
            <w:hideMark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340 (43.1%)</w:t>
            </w:r>
          </w:p>
        </w:tc>
        <w:tc>
          <w:tcPr>
            <w:tcW w:w="1579" w:type="dxa"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63 (8.0%)</w:t>
            </w:r>
          </w:p>
        </w:tc>
        <w:tc>
          <w:tcPr>
            <w:tcW w:w="1980" w:type="dxa"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220 (27.9%)</w:t>
            </w:r>
          </w:p>
        </w:tc>
        <w:tc>
          <w:tcPr>
            <w:tcW w:w="715" w:type="dxa"/>
            <w:vMerge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882864" w:rsidRPr="00882864" w:rsidTr="00016CE6">
        <w:trPr>
          <w:trHeight w:val="315"/>
        </w:trPr>
        <w:tc>
          <w:tcPr>
            <w:tcW w:w="961" w:type="dxa"/>
            <w:vMerge w:val="restart"/>
            <w:noWrap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882864">
              <w:rPr>
                <w:rFonts w:ascii="Calibri" w:eastAsia="Times New Roman" w:hAnsi="Calibri" w:cs="Arial"/>
                <w:b/>
                <w:bCs/>
                <w:color w:val="000000"/>
              </w:rPr>
              <w:t>2006-07</w:t>
            </w:r>
          </w:p>
        </w:tc>
        <w:tc>
          <w:tcPr>
            <w:tcW w:w="4115" w:type="dxa"/>
            <w:gridSpan w:val="2"/>
            <w:noWrap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576 (63.5%)</w:t>
            </w:r>
          </w:p>
        </w:tc>
        <w:tc>
          <w:tcPr>
            <w:tcW w:w="3559" w:type="dxa"/>
            <w:gridSpan w:val="2"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331 (36.5%)</w:t>
            </w:r>
          </w:p>
        </w:tc>
        <w:tc>
          <w:tcPr>
            <w:tcW w:w="715" w:type="dxa"/>
            <w:vMerge w:val="restart"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907</w:t>
            </w:r>
          </w:p>
        </w:tc>
      </w:tr>
      <w:tr w:rsidR="00882864" w:rsidRPr="00882864" w:rsidTr="00016CE6">
        <w:trPr>
          <w:trHeight w:val="315"/>
        </w:trPr>
        <w:tc>
          <w:tcPr>
            <w:tcW w:w="961" w:type="dxa"/>
            <w:vMerge/>
            <w:noWrap/>
            <w:hideMark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</w:rPr>
            </w:pPr>
          </w:p>
        </w:tc>
        <w:tc>
          <w:tcPr>
            <w:tcW w:w="1915" w:type="dxa"/>
            <w:noWrap/>
            <w:hideMark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211 (23.3%)</w:t>
            </w:r>
          </w:p>
        </w:tc>
        <w:tc>
          <w:tcPr>
            <w:tcW w:w="2200" w:type="dxa"/>
            <w:noWrap/>
            <w:hideMark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365 (40.2%)</w:t>
            </w:r>
          </w:p>
        </w:tc>
        <w:tc>
          <w:tcPr>
            <w:tcW w:w="1579" w:type="dxa"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88 (9.7%)</w:t>
            </w:r>
          </w:p>
        </w:tc>
        <w:tc>
          <w:tcPr>
            <w:tcW w:w="1980" w:type="dxa"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243 (26.8%)</w:t>
            </w:r>
          </w:p>
        </w:tc>
        <w:tc>
          <w:tcPr>
            <w:tcW w:w="715" w:type="dxa"/>
            <w:vMerge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882864" w:rsidRPr="00882864" w:rsidTr="00016CE6">
        <w:trPr>
          <w:trHeight w:val="315"/>
        </w:trPr>
        <w:tc>
          <w:tcPr>
            <w:tcW w:w="961" w:type="dxa"/>
            <w:vMerge w:val="restart"/>
            <w:noWrap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882864">
              <w:rPr>
                <w:rFonts w:ascii="Calibri" w:eastAsia="Times New Roman" w:hAnsi="Calibri" w:cs="Arial"/>
                <w:b/>
                <w:bCs/>
                <w:color w:val="000000"/>
              </w:rPr>
              <w:t>2007-08</w:t>
            </w:r>
          </w:p>
        </w:tc>
        <w:tc>
          <w:tcPr>
            <w:tcW w:w="4115" w:type="dxa"/>
            <w:gridSpan w:val="2"/>
            <w:noWrap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642 (63.3%)</w:t>
            </w:r>
          </w:p>
        </w:tc>
        <w:tc>
          <w:tcPr>
            <w:tcW w:w="3559" w:type="dxa"/>
            <w:gridSpan w:val="2"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373 (36.7%)</w:t>
            </w:r>
          </w:p>
        </w:tc>
        <w:tc>
          <w:tcPr>
            <w:tcW w:w="715" w:type="dxa"/>
            <w:vMerge w:val="restart"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1015</w:t>
            </w:r>
          </w:p>
        </w:tc>
      </w:tr>
      <w:tr w:rsidR="00882864" w:rsidRPr="00882864" w:rsidTr="00016CE6">
        <w:trPr>
          <w:trHeight w:val="315"/>
        </w:trPr>
        <w:tc>
          <w:tcPr>
            <w:tcW w:w="961" w:type="dxa"/>
            <w:vMerge/>
            <w:noWrap/>
            <w:hideMark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</w:rPr>
            </w:pPr>
          </w:p>
        </w:tc>
        <w:tc>
          <w:tcPr>
            <w:tcW w:w="1915" w:type="dxa"/>
            <w:noWrap/>
            <w:hideMark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243 (23.9%)</w:t>
            </w:r>
          </w:p>
        </w:tc>
        <w:tc>
          <w:tcPr>
            <w:tcW w:w="2200" w:type="dxa"/>
            <w:noWrap/>
            <w:hideMark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399 (39.3%)</w:t>
            </w:r>
          </w:p>
        </w:tc>
        <w:tc>
          <w:tcPr>
            <w:tcW w:w="1579" w:type="dxa"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107 (10.5%)</w:t>
            </w:r>
          </w:p>
        </w:tc>
        <w:tc>
          <w:tcPr>
            <w:tcW w:w="1980" w:type="dxa"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266 (26.2%)</w:t>
            </w:r>
          </w:p>
        </w:tc>
        <w:tc>
          <w:tcPr>
            <w:tcW w:w="715" w:type="dxa"/>
            <w:vMerge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882864" w:rsidRPr="00882864" w:rsidTr="00016CE6">
        <w:trPr>
          <w:trHeight w:val="315"/>
        </w:trPr>
        <w:tc>
          <w:tcPr>
            <w:tcW w:w="961" w:type="dxa"/>
            <w:vMerge w:val="restart"/>
            <w:noWrap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882864">
              <w:rPr>
                <w:rFonts w:ascii="Calibri" w:eastAsia="Times New Roman" w:hAnsi="Calibri" w:cs="Arial"/>
                <w:b/>
                <w:bCs/>
                <w:color w:val="000000"/>
              </w:rPr>
              <w:t>2008-09</w:t>
            </w:r>
          </w:p>
        </w:tc>
        <w:tc>
          <w:tcPr>
            <w:tcW w:w="4115" w:type="dxa"/>
            <w:gridSpan w:val="2"/>
            <w:noWrap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689 (61.6%)</w:t>
            </w:r>
          </w:p>
        </w:tc>
        <w:tc>
          <w:tcPr>
            <w:tcW w:w="3559" w:type="dxa"/>
            <w:gridSpan w:val="2"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430 (38.4%)</w:t>
            </w:r>
          </w:p>
        </w:tc>
        <w:tc>
          <w:tcPr>
            <w:tcW w:w="715" w:type="dxa"/>
            <w:vMerge w:val="restart"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1119</w:t>
            </w:r>
          </w:p>
        </w:tc>
      </w:tr>
      <w:tr w:rsidR="00882864" w:rsidRPr="00882864" w:rsidTr="00016CE6">
        <w:trPr>
          <w:trHeight w:val="315"/>
        </w:trPr>
        <w:tc>
          <w:tcPr>
            <w:tcW w:w="961" w:type="dxa"/>
            <w:vMerge/>
            <w:noWrap/>
            <w:hideMark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</w:rPr>
            </w:pPr>
          </w:p>
        </w:tc>
        <w:tc>
          <w:tcPr>
            <w:tcW w:w="1915" w:type="dxa"/>
            <w:noWrap/>
            <w:hideMark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276 (24.7%)</w:t>
            </w:r>
          </w:p>
        </w:tc>
        <w:tc>
          <w:tcPr>
            <w:tcW w:w="2200" w:type="dxa"/>
            <w:noWrap/>
            <w:hideMark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413 (36.9%)</w:t>
            </w:r>
          </w:p>
        </w:tc>
        <w:tc>
          <w:tcPr>
            <w:tcW w:w="1579" w:type="dxa"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143 (12.8%)</w:t>
            </w:r>
          </w:p>
        </w:tc>
        <w:tc>
          <w:tcPr>
            <w:tcW w:w="1980" w:type="dxa"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287 (25.6%)</w:t>
            </w:r>
          </w:p>
        </w:tc>
        <w:tc>
          <w:tcPr>
            <w:tcW w:w="715" w:type="dxa"/>
            <w:vMerge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882864" w:rsidRPr="00882864" w:rsidTr="00016CE6">
        <w:trPr>
          <w:trHeight w:val="315"/>
        </w:trPr>
        <w:tc>
          <w:tcPr>
            <w:tcW w:w="961" w:type="dxa"/>
            <w:vMerge w:val="restart"/>
            <w:noWrap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882864">
              <w:rPr>
                <w:rFonts w:ascii="Calibri" w:eastAsia="Times New Roman" w:hAnsi="Calibri" w:cs="Arial"/>
                <w:b/>
                <w:bCs/>
                <w:color w:val="000000"/>
              </w:rPr>
              <w:t>2009-10</w:t>
            </w:r>
          </w:p>
        </w:tc>
        <w:tc>
          <w:tcPr>
            <w:tcW w:w="4115" w:type="dxa"/>
            <w:gridSpan w:val="2"/>
            <w:noWrap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735 (59.4%)</w:t>
            </w:r>
          </w:p>
        </w:tc>
        <w:tc>
          <w:tcPr>
            <w:tcW w:w="3559" w:type="dxa"/>
            <w:gridSpan w:val="2"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503 (40.6%)</w:t>
            </w:r>
          </w:p>
        </w:tc>
        <w:tc>
          <w:tcPr>
            <w:tcW w:w="715" w:type="dxa"/>
            <w:vMerge w:val="restart"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1238</w:t>
            </w:r>
          </w:p>
        </w:tc>
      </w:tr>
      <w:tr w:rsidR="00882864" w:rsidRPr="00882864" w:rsidTr="00016CE6">
        <w:trPr>
          <w:trHeight w:val="315"/>
        </w:trPr>
        <w:tc>
          <w:tcPr>
            <w:tcW w:w="961" w:type="dxa"/>
            <w:vMerge/>
            <w:noWrap/>
            <w:hideMark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</w:rPr>
            </w:pPr>
          </w:p>
        </w:tc>
        <w:tc>
          <w:tcPr>
            <w:tcW w:w="1915" w:type="dxa"/>
            <w:noWrap/>
            <w:hideMark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284 (22.9%)</w:t>
            </w:r>
          </w:p>
        </w:tc>
        <w:tc>
          <w:tcPr>
            <w:tcW w:w="2200" w:type="dxa"/>
            <w:noWrap/>
            <w:hideMark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451 (36.4%)</w:t>
            </w:r>
          </w:p>
        </w:tc>
        <w:tc>
          <w:tcPr>
            <w:tcW w:w="1579" w:type="dxa"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155 (12.5%)</w:t>
            </w:r>
          </w:p>
        </w:tc>
        <w:tc>
          <w:tcPr>
            <w:tcW w:w="1980" w:type="dxa"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348 (28.1%)</w:t>
            </w:r>
          </w:p>
        </w:tc>
        <w:tc>
          <w:tcPr>
            <w:tcW w:w="715" w:type="dxa"/>
            <w:vMerge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882864" w:rsidRPr="00882864" w:rsidTr="00016CE6">
        <w:trPr>
          <w:trHeight w:val="315"/>
        </w:trPr>
        <w:tc>
          <w:tcPr>
            <w:tcW w:w="961" w:type="dxa"/>
            <w:vMerge w:val="restart"/>
            <w:noWrap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882864">
              <w:rPr>
                <w:rFonts w:ascii="Calibri" w:eastAsia="Times New Roman" w:hAnsi="Calibri" w:cs="Arial"/>
                <w:b/>
                <w:bCs/>
                <w:color w:val="000000"/>
              </w:rPr>
              <w:t>2010-11</w:t>
            </w:r>
          </w:p>
        </w:tc>
        <w:tc>
          <w:tcPr>
            <w:tcW w:w="4115" w:type="dxa"/>
            <w:gridSpan w:val="2"/>
            <w:noWrap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760 (59.6%)</w:t>
            </w:r>
          </w:p>
        </w:tc>
        <w:tc>
          <w:tcPr>
            <w:tcW w:w="3559" w:type="dxa"/>
            <w:gridSpan w:val="2"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515 (40.4%)</w:t>
            </w:r>
          </w:p>
        </w:tc>
        <w:tc>
          <w:tcPr>
            <w:tcW w:w="715" w:type="dxa"/>
            <w:vMerge w:val="restart"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1275</w:t>
            </w:r>
          </w:p>
        </w:tc>
      </w:tr>
      <w:tr w:rsidR="00882864" w:rsidRPr="00882864" w:rsidTr="00016CE6">
        <w:trPr>
          <w:trHeight w:val="315"/>
        </w:trPr>
        <w:tc>
          <w:tcPr>
            <w:tcW w:w="961" w:type="dxa"/>
            <w:vMerge/>
            <w:noWrap/>
            <w:hideMark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</w:rPr>
            </w:pPr>
          </w:p>
        </w:tc>
        <w:tc>
          <w:tcPr>
            <w:tcW w:w="1915" w:type="dxa"/>
            <w:noWrap/>
            <w:hideMark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286 (22.4%)</w:t>
            </w:r>
          </w:p>
        </w:tc>
        <w:tc>
          <w:tcPr>
            <w:tcW w:w="2200" w:type="dxa"/>
            <w:noWrap/>
            <w:hideMark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474 (37.2%)</w:t>
            </w:r>
          </w:p>
        </w:tc>
        <w:tc>
          <w:tcPr>
            <w:tcW w:w="1579" w:type="dxa"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152 (11.9%)</w:t>
            </w:r>
          </w:p>
        </w:tc>
        <w:tc>
          <w:tcPr>
            <w:tcW w:w="1980" w:type="dxa"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363 (28.5%)</w:t>
            </w:r>
          </w:p>
        </w:tc>
        <w:tc>
          <w:tcPr>
            <w:tcW w:w="715" w:type="dxa"/>
            <w:vMerge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882864" w:rsidRPr="00882864" w:rsidTr="00016CE6">
        <w:trPr>
          <w:trHeight w:val="315"/>
        </w:trPr>
        <w:tc>
          <w:tcPr>
            <w:tcW w:w="961" w:type="dxa"/>
            <w:vMerge w:val="restart"/>
            <w:noWrap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882864">
              <w:rPr>
                <w:rFonts w:ascii="Calibri" w:eastAsia="Times New Roman" w:hAnsi="Calibri" w:cs="Arial"/>
                <w:b/>
                <w:bCs/>
                <w:color w:val="000000"/>
              </w:rPr>
              <w:lastRenderedPageBreak/>
              <w:t>2011-12</w:t>
            </w:r>
          </w:p>
        </w:tc>
        <w:tc>
          <w:tcPr>
            <w:tcW w:w="4115" w:type="dxa"/>
            <w:gridSpan w:val="2"/>
            <w:noWrap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806 (59.6%)</w:t>
            </w:r>
          </w:p>
        </w:tc>
        <w:tc>
          <w:tcPr>
            <w:tcW w:w="3559" w:type="dxa"/>
            <w:gridSpan w:val="2"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546 (40.4%)</w:t>
            </w:r>
          </w:p>
        </w:tc>
        <w:tc>
          <w:tcPr>
            <w:tcW w:w="715" w:type="dxa"/>
            <w:vMerge w:val="restart"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1352</w:t>
            </w:r>
          </w:p>
        </w:tc>
      </w:tr>
      <w:tr w:rsidR="00882864" w:rsidRPr="00882864" w:rsidTr="00016CE6">
        <w:trPr>
          <w:trHeight w:val="315"/>
        </w:trPr>
        <w:tc>
          <w:tcPr>
            <w:tcW w:w="961" w:type="dxa"/>
            <w:vMerge/>
            <w:noWrap/>
            <w:hideMark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</w:rPr>
            </w:pPr>
          </w:p>
        </w:tc>
        <w:tc>
          <w:tcPr>
            <w:tcW w:w="1915" w:type="dxa"/>
            <w:noWrap/>
            <w:hideMark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317 (23.4%)</w:t>
            </w:r>
          </w:p>
        </w:tc>
        <w:tc>
          <w:tcPr>
            <w:tcW w:w="2200" w:type="dxa"/>
            <w:noWrap/>
            <w:hideMark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489 (36.2%)</w:t>
            </w:r>
          </w:p>
        </w:tc>
        <w:tc>
          <w:tcPr>
            <w:tcW w:w="1579" w:type="dxa"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151 (11.2%)</w:t>
            </w:r>
          </w:p>
        </w:tc>
        <w:tc>
          <w:tcPr>
            <w:tcW w:w="1980" w:type="dxa"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395 (29.2%)</w:t>
            </w:r>
          </w:p>
        </w:tc>
        <w:tc>
          <w:tcPr>
            <w:tcW w:w="715" w:type="dxa"/>
            <w:vMerge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882864" w:rsidRPr="00882864" w:rsidTr="00016CE6">
        <w:trPr>
          <w:trHeight w:val="315"/>
        </w:trPr>
        <w:tc>
          <w:tcPr>
            <w:tcW w:w="961" w:type="dxa"/>
            <w:vMerge w:val="restart"/>
            <w:noWrap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882864">
              <w:rPr>
                <w:rFonts w:ascii="Calibri" w:eastAsia="Times New Roman" w:hAnsi="Calibri" w:cs="Arial"/>
                <w:b/>
                <w:bCs/>
                <w:color w:val="000000"/>
              </w:rPr>
              <w:t>2012-13</w:t>
            </w:r>
          </w:p>
        </w:tc>
        <w:tc>
          <w:tcPr>
            <w:tcW w:w="4115" w:type="dxa"/>
            <w:gridSpan w:val="2"/>
            <w:noWrap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854 (58.1%)</w:t>
            </w:r>
          </w:p>
        </w:tc>
        <w:tc>
          <w:tcPr>
            <w:tcW w:w="3559" w:type="dxa"/>
            <w:gridSpan w:val="2"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616 (41.9%)</w:t>
            </w:r>
          </w:p>
        </w:tc>
        <w:tc>
          <w:tcPr>
            <w:tcW w:w="715" w:type="dxa"/>
            <w:vMerge w:val="restart"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1470</w:t>
            </w:r>
          </w:p>
        </w:tc>
      </w:tr>
      <w:tr w:rsidR="00882864" w:rsidRPr="00882864" w:rsidTr="00016CE6">
        <w:trPr>
          <w:trHeight w:val="315"/>
        </w:trPr>
        <w:tc>
          <w:tcPr>
            <w:tcW w:w="961" w:type="dxa"/>
            <w:vMerge/>
            <w:noWrap/>
            <w:hideMark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</w:rPr>
            </w:pPr>
          </w:p>
        </w:tc>
        <w:tc>
          <w:tcPr>
            <w:tcW w:w="1915" w:type="dxa"/>
            <w:noWrap/>
            <w:hideMark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344 (23.4%)</w:t>
            </w:r>
          </w:p>
        </w:tc>
        <w:tc>
          <w:tcPr>
            <w:tcW w:w="2200" w:type="dxa"/>
            <w:noWrap/>
            <w:hideMark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510 (34.7%)</w:t>
            </w:r>
          </w:p>
        </w:tc>
        <w:tc>
          <w:tcPr>
            <w:tcW w:w="1579" w:type="dxa"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183 (12.4%)</w:t>
            </w:r>
          </w:p>
        </w:tc>
        <w:tc>
          <w:tcPr>
            <w:tcW w:w="1980" w:type="dxa"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433 (29.5%)</w:t>
            </w:r>
          </w:p>
        </w:tc>
        <w:tc>
          <w:tcPr>
            <w:tcW w:w="715" w:type="dxa"/>
            <w:vMerge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882864" w:rsidRPr="00882864" w:rsidTr="00016CE6">
        <w:trPr>
          <w:trHeight w:val="315"/>
        </w:trPr>
        <w:tc>
          <w:tcPr>
            <w:tcW w:w="961" w:type="dxa"/>
            <w:vMerge w:val="restart"/>
            <w:noWrap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882864">
              <w:rPr>
                <w:rFonts w:ascii="Calibri" w:eastAsia="Times New Roman" w:hAnsi="Calibri" w:cs="Arial"/>
                <w:b/>
                <w:bCs/>
                <w:color w:val="000000"/>
              </w:rPr>
              <w:t>2013-14</w:t>
            </w:r>
          </w:p>
        </w:tc>
        <w:tc>
          <w:tcPr>
            <w:tcW w:w="4115" w:type="dxa"/>
            <w:gridSpan w:val="2"/>
            <w:noWrap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935 (57.7%)</w:t>
            </w:r>
          </w:p>
        </w:tc>
        <w:tc>
          <w:tcPr>
            <w:tcW w:w="3559" w:type="dxa"/>
            <w:gridSpan w:val="2"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686 (42.3%)</w:t>
            </w:r>
          </w:p>
        </w:tc>
        <w:tc>
          <w:tcPr>
            <w:tcW w:w="715" w:type="dxa"/>
            <w:vMerge w:val="restart"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1621</w:t>
            </w:r>
          </w:p>
        </w:tc>
      </w:tr>
      <w:tr w:rsidR="00882864" w:rsidRPr="00882864" w:rsidTr="00016CE6">
        <w:trPr>
          <w:trHeight w:val="315"/>
        </w:trPr>
        <w:tc>
          <w:tcPr>
            <w:tcW w:w="961" w:type="dxa"/>
            <w:vMerge/>
            <w:noWrap/>
            <w:hideMark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</w:rPr>
            </w:pPr>
          </w:p>
        </w:tc>
        <w:tc>
          <w:tcPr>
            <w:tcW w:w="1915" w:type="dxa"/>
            <w:noWrap/>
            <w:hideMark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379 (23.4%)</w:t>
            </w:r>
          </w:p>
        </w:tc>
        <w:tc>
          <w:tcPr>
            <w:tcW w:w="2200" w:type="dxa"/>
            <w:noWrap/>
            <w:hideMark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556 (34.3%)</w:t>
            </w:r>
          </w:p>
        </w:tc>
        <w:tc>
          <w:tcPr>
            <w:tcW w:w="1579" w:type="dxa"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219 (13.5%)</w:t>
            </w:r>
          </w:p>
        </w:tc>
        <w:tc>
          <w:tcPr>
            <w:tcW w:w="1980" w:type="dxa"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467 (28.8%)</w:t>
            </w:r>
          </w:p>
        </w:tc>
        <w:tc>
          <w:tcPr>
            <w:tcW w:w="715" w:type="dxa"/>
            <w:vMerge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882864" w:rsidRPr="00882864" w:rsidTr="00016CE6">
        <w:trPr>
          <w:trHeight w:val="315"/>
        </w:trPr>
        <w:tc>
          <w:tcPr>
            <w:tcW w:w="961" w:type="dxa"/>
            <w:vMerge w:val="restart"/>
            <w:noWrap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882864">
              <w:rPr>
                <w:rFonts w:ascii="Calibri" w:eastAsia="Times New Roman" w:hAnsi="Calibri" w:cs="Arial"/>
                <w:b/>
                <w:bCs/>
                <w:color w:val="000000"/>
              </w:rPr>
              <w:t>2014-15</w:t>
            </w:r>
          </w:p>
        </w:tc>
        <w:tc>
          <w:tcPr>
            <w:tcW w:w="4115" w:type="dxa"/>
            <w:gridSpan w:val="2"/>
            <w:noWrap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1018 (58.5%)</w:t>
            </w:r>
          </w:p>
        </w:tc>
        <w:tc>
          <w:tcPr>
            <w:tcW w:w="3559" w:type="dxa"/>
            <w:gridSpan w:val="2"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721 (41.5%)</w:t>
            </w:r>
          </w:p>
        </w:tc>
        <w:tc>
          <w:tcPr>
            <w:tcW w:w="715" w:type="dxa"/>
            <w:vMerge w:val="restart"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1739</w:t>
            </w:r>
          </w:p>
        </w:tc>
      </w:tr>
      <w:tr w:rsidR="00882864" w:rsidRPr="00882864" w:rsidTr="00016CE6">
        <w:trPr>
          <w:trHeight w:val="315"/>
        </w:trPr>
        <w:tc>
          <w:tcPr>
            <w:tcW w:w="961" w:type="dxa"/>
            <w:vMerge/>
            <w:noWrap/>
            <w:hideMark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</w:rPr>
            </w:pPr>
          </w:p>
        </w:tc>
        <w:tc>
          <w:tcPr>
            <w:tcW w:w="1915" w:type="dxa"/>
            <w:noWrap/>
            <w:hideMark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418 (24.0%)</w:t>
            </w:r>
          </w:p>
        </w:tc>
        <w:tc>
          <w:tcPr>
            <w:tcW w:w="2200" w:type="dxa"/>
            <w:noWrap/>
            <w:hideMark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600 (34.5%)</w:t>
            </w:r>
          </w:p>
        </w:tc>
        <w:tc>
          <w:tcPr>
            <w:tcW w:w="1579" w:type="dxa"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233 (13.4%)</w:t>
            </w:r>
          </w:p>
        </w:tc>
        <w:tc>
          <w:tcPr>
            <w:tcW w:w="1980" w:type="dxa"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488 (28.1%)</w:t>
            </w:r>
          </w:p>
        </w:tc>
        <w:tc>
          <w:tcPr>
            <w:tcW w:w="715" w:type="dxa"/>
            <w:vMerge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882864" w:rsidRPr="00882864" w:rsidTr="00016CE6">
        <w:trPr>
          <w:trHeight w:val="315"/>
        </w:trPr>
        <w:tc>
          <w:tcPr>
            <w:tcW w:w="961" w:type="dxa"/>
            <w:vMerge w:val="restart"/>
            <w:noWrap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882864">
              <w:rPr>
                <w:rFonts w:ascii="Calibri" w:eastAsia="Times New Roman" w:hAnsi="Calibri" w:cs="Arial"/>
                <w:b/>
                <w:bCs/>
                <w:color w:val="000000"/>
              </w:rPr>
              <w:t>2015-16</w:t>
            </w:r>
          </w:p>
        </w:tc>
        <w:tc>
          <w:tcPr>
            <w:tcW w:w="4115" w:type="dxa"/>
            <w:gridSpan w:val="2"/>
            <w:noWrap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1109 (59.1%)</w:t>
            </w:r>
          </w:p>
        </w:tc>
        <w:tc>
          <w:tcPr>
            <w:tcW w:w="3559" w:type="dxa"/>
            <w:gridSpan w:val="2"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766 (40.9%)</w:t>
            </w:r>
          </w:p>
        </w:tc>
        <w:tc>
          <w:tcPr>
            <w:tcW w:w="715" w:type="dxa"/>
            <w:vMerge w:val="restart"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1875</w:t>
            </w:r>
          </w:p>
        </w:tc>
      </w:tr>
      <w:tr w:rsidR="00882864" w:rsidRPr="00882864" w:rsidTr="00016CE6">
        <w:trPr>
          <w:trHeight w:val="315"/>
        </w:trPr>
        <w:tc>
          <w:tcPr>
            <w:tcW w:w="961" w:type="dxa"/>
            <w:vMerge/>
            <w:noWrap/>
            <w:hideMark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</w:rPr>
            </w:pPr>
          </w:p>
        </w:tc>
        <w:tc>
          <w:tcPr>
            <w:tcW w:w="1915" w:type="dxa"/>
            <w:noWrap/>
            <w:hideMark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451 (24.1%)</w:t>
            </w:r>
          </w:p>
        </w:tc>
        <w:tc>
          <w:tcPr>
            <w:tcW w:w="2200" w:type="dxa"/>
            <w:noWrap/>
            <w:hideMark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658 (35.1%)</w:t>
            </w:r>
          </w:p>
        </w:tc>
        <w:tc>
          <w:tcPr>
            <w:tcW w:w="1579" w:type="dxa"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255 (13.6%)</w:t>
            </w:r>
          </w:p>
        </w:tc>
        <w:tc>
          <w:tcPr>
            <w:tcW w:w="1980" w:type="dxa"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511(27.3%)</w:t>
            </w:r>
          </w:p>
        </w:tc>
        <w:tc>
          <w:tcPr>
            <w:tcW w:w="715" w:type="dxa"/>
            <w:vMerge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882864" w:rsidRPr="00882864" w:rsidTr="00016CE6">
        <w:trPr>
          <w:trHeight w:val="315"/>
        </w:trPr>
        <w:tc>
          <w:tcPr>
            <w:tcW w:w="961" w:type="dxa"/>
            <w:vMerge w:val="restart"/>
            <w:noWrap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882864">
              <w:rPr>
                <w:rFonts w:ascii="Calibri" w:eastAsia="Times New Roman" w:hAnsi="Calibri" w:cs="Arial"/>
                <w:b/>
                <w:bCs/>
                <w:color w:val="000000"/>
              </w:rPr>
              <w:t>2016-17</w:t>
            </w:r>
          </w:p>
        </w:tc>
        <w:tc>
          <w:tcPr>
            <w:tcW w:w="4115" w:type="dxa"/>
            <w:gridSpan w:val="2"/>
            <w:noWrap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1163 (60.4%)</w:t>
            </w:r>
          </w:p>
        </w:tc>
        <w:tc>
          <w:tcPr>
            <w:tcW w:w="3559" w:type="dxa"/>
            <w:gridSpan w:val="2"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764 (39.6%)</w:t>
            </w:r>
          </w:p>
        </w:tc>
        <w:tc>
          <w:tcPr>
            <w:tcW w:w="715" w:type="dxa"/>
            <w:vMerge w:val="restart"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1927</w:t>
            </w:r>
          </w:p>
        </w:tc>
      </w:tr>
      <w:tr w:rsidR="00882864" w:rsidRPr="00882864" w:rsidTr="00016CE6">
        <w:trPr>
          <w:trHeight w:val="315"/>
        </w:trPr>
        <w:tc>
          <w:tcPr>
            <w:tcW w:w="961" w:type="dxa"/>
            <w:vMerge/>
            <w:noWrap/>
            <w:hideMark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</w:rPr>
            </w:pPr>
          </w:p>
        </w:tc>
        <w:tc>
          <w:tcPr>
            <w:tcW w:w="1915" w:type="dxa"/>
            <w:noWrap/>
            <w:hideMark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474 (24.6%)</w:t>
            </w:r>
          </w:p>
        </w:tc>
        <w:tc>
          <w:tcPr>
            <w:tcW w:w="2200" w:type="dxa"/>
            <w:noWrap/>
            <w:hideMark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689 (35.8%)</w:t>
            </w:r>
          </w:p>
        </w:tc>
        <w:tc>
          <w:tcPr>
            <w:tcW w:w="1579" w:type="dxa"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277 (14.4%)</w:t>
            </w:r>
          </w:p>
        </w:tc>
        <w:tc>
          <w:tcPr>
            <w:tcW w:w="1980" w:type="dxa"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487 (25.3%)</w:t>
            </w:r>
          </w:p>
        </w:tc>
        <w:tc>
          <w:tcPr>
            <w:tcW w:w="715" w:type="dxa"/>
            <w:vMerge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882864" w:rsidRPr="00882864" w:rsidTr="00016CE6">
        <w:trPr>
          <w:trHeight w:val="315"/>
        </w:trPr>
        <w:tc>
          <w:tcPr>
            <w:tcW w:w="961" w:type="dxa"/>
            <w:vMerge w:val="restart"/>
            <w:noWrap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882864">
              <w:rPr>
                <w:rFonts w:ascii="Calibri" w:eastAsia="Times New Roman" w:hAnsi="Calibri" w:cs="Arial"/>
                <w:b/>
                <w:bCs/>
                <w:color w:val="000000"/>
              </w:rPr>
              <w:t>2017-18</w:t>
            </w:r>
          </w:p>
        </w:tc>
        <w:tc>
          <w:tcPr>
            <w:tcW w:w="4115" w:type="dxa"/>
            <w:gridSpan w:val="2"/>
            <w:noWrap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1204 (60.6%)</w:t>
            </w:r>
          </w:p>
        </w:tc>
        <w:tc>
          <w:tcPr>
            <w:tcW w:w="3559" w:type="dxa"/>
            <w:gridSpan w:val="2"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782 (39.4%)</w:t>
            </w:r>
          </w:p>
        </w:tc>
        <w:tc>
          <w:tcPr>
            <w:tcW w:w="715" w:type="dxa"/>
            <w:vMerge w:val="restart"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1986</w:t>
            </w:r>
          </w:p>
        </w:tc>
      </w:tr>
      <w:tr w:rsidR="00882864" w:rsidRPr="00882864" w:rsidTr="00016CE6">
        <w:trPr>
          <w:trHeight w:val="315"/>
        </w:trPr>
        <w:tc>
          <w:tcPr>
            <w:tcW w:w="961" w:type="dxa"/>
            <w:vMerge/>
            <w:noWrap/>
            <w:hideMark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</w:rPr>
            </w:pPr>
          </w:p>
        </w:tc>
        <w:tc>
          <w:tcPr>
            <w:tcW w:w="1915" w:type="dxa"/>
            <w:noWrap/>
            <w:hideMark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503 (25.3%)</w:t>
            </w:r>
          </w:p>
        </w:tc>
        <w:tc>
          <w:tcPr>
            <w:tcW w:w="2200" w:type="dxa"/>
            <w:noWrap/>
            <w:hideMark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701 (35.3%)</w:t>
            </w:r>
          </w:p>
        </w:tc>
        <w:tc>
          <w:tcPr>
            <w:tcW w:w="1579" w:type="dxa"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303 (15.3%)</w:t>
            </w:r>
          </w:p>
        </w:tc>
        <w:tc>
          <w:tcPr>
            <w:tcW w:w="1980" w:type="dxa"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479 (24.1%)</w:t>
            </w:r>
          </w:p>
        </w:tc>
        <w:tc>
          <w:tcPr>
            <w:tcW w:w="715" w:type="dxa"/>
            <w:vMerge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882864" w:rsidRPr="00882864" w:rsidTr="00016CE6">
        <w:trPr>
          <w:trHeight w:val="315"/>
        </w:trPr>
        <w:tc>
          <w:tcPr>
            <w:tcW w:w="961" w:type="dxa"/>
            <w:vMerge w:val="restart"/>
            <w:noWrap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882864">
              <w:rPr>
                <w:rFonts w:ascii="Calibri" w:eastAsia="Times New Roman" w:hAnsi="Calibri" w:cs="Arial"/>
                <w:b/>
                <w:bCs/>
                <w:color w:val="000000"/>
              </w:rPr>
              <w:t>2018-19</w:t>
            </w:r>
          </w:p>
        </w:tc>
        <w:tc>
          <w:tcPr>
            <w:tcW w:w="4115" w:type="dxa"/>
            <w:gridSpan w:val="2"/>
            <w:noWrap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1265 (62.0%)</w:t>
            </w:r>
          </w:p>
        </w:tc>
        <w:tc>
          <w:tcPr>
            <w:tcW w:w="3559" w:type="dxa"/>
            <w:gridSpan w:val="2"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775 (38.0%)</w:t>
            </w:r>
          </w:p>
        </w:tc>
        <w:tc>
          <w:tcPr>
            <w:tcW w:w="715" w:type="dxa"/>
            <w:vMerge w:val="restart"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2040</w:t>
            </w:r>
          </w:p>
        </w:tc>
      </w:tr>
      <w:tr w:rsidR="00882864" w:rsidRPr="00882864" w:rsidTr="00016CE6">
        <w:trPr>
          <w:trHeight w:val="315"/>
        </w:trPr>
        <w:tc>
          <w:tcPr>
            <w:tcW w:w="961" w:type="dxa"/>
            <w:vMerge/>
            <w:noWrap/>
            <w:hideMark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</w:rPr>
            </w:pPr>
          </w:p>
        </w:tc>
        <w:tc>
          <w:tcPr>
            <w:tcW w:w="1915" w:type="dxa"/>
            <w:noWrap/>
            <w:hideMark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496 (24.3%)</w:t>
            </w:r>
          </w:p>
        </w:tc>
        <w:tc>
          <w:tcPr>
            <w:tcW w:w="2200" w:type="dxa"/>
            <w:noWrap/>
            <w:hideMark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769 (37.7%)</w:t>
            </w:r>
          </w:p>
        </w:tc>
        <w:tc>
          <w:tcPr>
            <w:tcW w:w="1579" w:type="dxa"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285 (14.0%)</w:t>
            </w:r>
          </w:p>
        </w:tc>
        <w:tc>
          <w:tcPr>
            <w:tcW w:w="1980" w:type="dxa"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490 (24.0%)</w:t>
            </w:r>
          </w:p>
        </w:tc>
        <w:tc>
          <w:tcPr>
            <w:tcW w:w="715" w:type="dxa"/>
            <w:vMerge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882864" w:rsidRPr="00882864" w:rsidTr="00016CE6">
        <w:trPr>
          <w:trHeight w:val="315"/>
        </w:trPr>
        <w:tc>
          <w:tcPr>
            <w:tcW w:w="961" w:type="dxa"/>
            <w:vMerge w:val="restart"/>
            <w:noWrap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882864">
              <w:rPr>
                <w:rFonts w:ascii="Calibri" w:eastAsia="Times New Roman" w:hAnsi="Calibri" w:cs="Arial"/>
                <w:b/>
                <w:bCs/>
                <w:color w:val="000000"/>
              </w:rPr>
              <w:t>2019-20</w:t>
            </w:r>
          </w:p>
        </w:tc>
        <w:tc>
          <w:tcPr>
            <w:tcW w:w="4115" w:type="dxa"/>
            <w:gridSpan w:val="2"/>
            <w:noWrap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1285 (62.0%)</w:t>
            </w:r>
          </w:p>
        </w:tc>
        <w:tc>
          <w:tcPr>
            <w:tcW w:w="3559" w:type="dxa"/>
            <w:gridSpan w:val="2"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788 (38.0%)</w:t>
            </w:r>
          </w:p>
        </w:tc>
        <w:tc>
          <w:tcPr>
            <w:tcW w:w="715" w:type="dxa"/>
            <w:vMerge w:val="restart"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2073</w:t>
            </w:r>
          </w:p>
        </w:tc>
      </w:tr>
      <w:tr w:rsidR="00882864" w:rsidRPr="00882864" w:rsidTr="00016CE6">
        <w:trPr>
          <w:trHeight w:val="315"/>
        </w:trPr>
        <w:tc>
          <w:tcPr>
            <w:tcW w:w="961" w:type="dxa"/>
            <w:vMerge/>
            <w:noWrap/>
            <w:hideMark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</w:rPr>
            </w:pPr>
          </w:p>
        </w:tc>
        <w:tc>
          <w:tcPr>
            <w:tcW w:w="1915" w:type="dxa"/>
            <w:noWrap/>
            <w:hideMark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479 (23.1%)</w:t>
            </w:r>
          </w:p>
        </w:tc>
        <w:tc>
          <w:tcPr>
            <w:tcW w:w="2200" w:type="dxa"/>
            <w:noWrap/>
            <w:hideMark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806 (38.9%)</w:t>
            </w:r>
          </w:p>
        </w:tc>
        <w:tc>
          <w:tcPr>
            <w:tcW w:w="1579" w:type="dxa"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269 (13.0%)</w:t>
            </w:r>
          </w:p>
        </w:tc>
        <w:tc>
          <w:tcPr>
            <w:tcW w:w="1980" w:type="dxa"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519 (25.0%)</w:t>
            </w:r>
          </w:p>
        </w:tc>
        <w:tc>
          <w:tcPr>
            <w:tcW w:w="715" w:type="dxa"/>
            <w:vMerge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882864" w:rsidRPr="00882864" w:rsidTr="00016CE6">
        <w:trPr>
          <w:trHeight w:val="315"/>
        </w:trPr>
        <w:tc>
          <w:tcPr>
            <w:tcW w:w="961" w:type="dxa"/>
            <w:vMerge w:val="restart"/>
            <w:noWrap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882864">
              <w:rPr>
                <w:rFonts w:ascii="Calibri" w:eastAsia="Times New Roman" w:hAnsi="Calibri" w:cs="Arial"/>
                <w:b/>
                <w:bCs/>
                <w:color w:val="000000"/>
              </w:rPr>
              <w:lastRenderedPageBreak/>
              <w:t>2020-21</w:t>
            </w:r>
          </w:p>
        </w:tc>
        <w:tc>
          <w:tcPr>
            <w:tcW w:w="4115" w:type="dxa"/>
            <w:gridSpan w:val="2"/>
            <w:noWrap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1335 (62.8%)</w:t>
            </w:r>
          </w:p>
        </w:tc>
        <w:tc>
          <w:tcPr>
            <w:tcW w:w="3559" w:type="dxa"/>
            <w:gridSpan w:val="2"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791 (37.2%)</w:t>
            </w:r>
          </w:p>
        </w:tc>
        <w:tc>
          <w:tcPr>
            <w:tcW w:w="715" w:type="dxa"/>
            <w:vMerge w:val="restart"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2126</w:t>
            </w:r>
          </w:p>
        </w:tc>
      </w:tr>
      <w:tr w:rsidR="00882864" w:rsidRPr="00882864" w:rsidTr="00016CE6">
        <w:trPr>
          <w:trHeight w:val="315"/>
        </w:trPr>
        <w:tc>
          <w:tcPr>
            <w:tcW w:w="961" w:type="dxa"/>
            <w:vMerge/>
            <w:noWrap/>
            <w:hideMark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</w:rPr>
            </w:pPr>
          </w:p>
        </w:tc>
        <w:tc>
          <w:tcPr>
            <w:tcW w:w="1915" w:type="dxa"/>
            <w:noWrap/>
            <w:hideMark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472 (22.2%)</w:t>
            </w:r>
          </w:p>
        </w:tc>
        <w:tc>
          <w:tcPr>
            <w:tcW w:w="2200" w:type="dxa"/>
            <w:noWrap/>
            <w:hideMark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863 (40.6%)</w:t>
            </w:r>
          </w:p>
        </w:tc>
        <w:tc>
          <w:tcPr>
            <w:tcW w:w="1579" w:type="dxa"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240 (11.3%)</w:t>
            </w:r>
          </w:p>
        </w:tc>
        <w:tc>
          <w:tcPr>
            <w:tcW w:w="1980" w:type="dxa"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551 (25.9%)</w:t>
            </w:r>
          </w:p>
        </w:tc>
        <w:tc>
          <w:tcPr>
            <w:tcW w:w="715" w:type="dxa"/>
            <w:vMerge/>
          </w:tcPr>
          <w:p w:rsidR="00882864" w:rsidRPr="00882864" w:rsidRDefault="00882864" w:rsidP="00882864">
            <w:pPr>
              <w:spacing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</w:p>
        </w:tc>
      </w:tr>
    </w:tbl>
    <w:p w:rsidR="00882864" w:rsidRDefault="00882864"/>
    <w:sectPr w:rsidR="008828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E5D2A"/>
    <w:multiLevelType w:val="hybridMultilevel"/>
    <w:tmpl w:val="2DCA0A02"/>
    <w:lvl w:ilvl="0" w:tplc="7BB0980A">
      <w:start w:val="1"/>
      <w:numFmt w:val="upperLetter"/>
      <w:lvlText w:val="%1)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864"/>
    <w:rsid w:val="0040003F"/>
    <w:rsid w:val="00607364"/>
    <w:rsid w:val="00612FD9"/>
    <w:rsid w:val="00691980"/>
    <w:rsid w:val="00712ABD"/>
    <w:rsid w:val="00850FF7"/>
    <w:rsid w:val="00882864"/>
    <w:rsid w:val="00AD3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3EB8B0"/>
  <w15:chartTrackingRefBased/>
  <w15:docId w15:val="{6B38888A-32EF-414C-B1B1-F5B3C0783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research3</dc:creator>
  <cp:keywords/>
  <dc:description/>
  <cp:lastModifiedBy>research3</cp:lastModifiedBy>
  <cp:revision>3</cp:revision>
  <dcterms:created xsi:type="dcterms:W3CDTF">2022-07-03T10:34:00Z</dcterms:created>
  <dcterms:modified xsi:type="dcterms:W3CDTF">2022-07-03T10:40:00Z</dcterms:modified>
</cp:coreProperties>
</file>