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A1" w:rsidRPr="00AF41D5" w:rsidRDefault="00FF7FA1" w:rsidP="00FF7FA1">
      <w:pPr>
        <w:ind w:left="-1134"/>
        <w:rPr>
          <w:rFonts w:ascii="Times New Roman" w:hAnsi="Times New Roman" w:cs="Times New Roman"/>
          <w:b/>
          <w:bCs/>
          <w:sz w:val="24"/>
          <w:szCs w:val="24"/>
        </w:rPr>
      </w:pPr>
      <w:r w:rsidRPr="00AF41D5">
        <w:rPr>
          <w:rFonts w:ascii="Times New Roman" w:hAnsi="Times New Roman" w:cs="Times New Roman"/>
          <w:b/>
          <w:bCs/>
          <w:sz w:val="24"/>
          <w:szCs w:val="24"/>
        </w:rPr>
        <w:t>Appendix B: Data extracted from reviewed studies</w:t>
      </w:r>
    </w:p>
    <w:tbl>
      <w:tblPr>
        <w:tblStyle w:val="TableGridLight"/>
        <w:tblW w:w="1601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336"/>
        <w:gridCol w:w="2918"/>
        <w:gridCol w:w="1559"/>
        <w:gridCol w:w="1559"/>
        <w:gridCol w:w="992"/>
        <w:gridCol w:w="1701"/>
        <w:gridCol w:w="2835"/>
        <w:gridCol w:w="3119"/>
      </w:tblGrid>
      <w:tr w:rsidR="00FF7FA1" w:rsidRPr="00AB4997" w:rsidTr="00FF7FA1">
        <w:trPr>
          <w:trHeight w:val="557"/>
          <w:tblHeader/>
        </w:trPr>
        <w:tc>
          <w:tcPr>
            <w:tcW w:w="1336" w:type="dxa"/>
          </w:tcPr>
          <w:p w:rsidR="00FF7FA1" w:rsidRPr="00B4278E" w:rsidRDefault="00FF7FA1" w:rsidP="00FF7F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2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Authors/ Year</w:t>
            </w:r>
          </w:p>
          <w:p w:rsidR="00FF7FA1" w:rsidRPr="00B4278E" w:rsidRDefault="00FF7FA1" w:rsidP="00FF7F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2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2918" w:type="dxa"/>
          </w:tcPr>
          <w:p w:rsidR="00FF7FA1" w:rsidRPr="00B4278E" w:rsidRDefault="00FF7FA1" w:rsidP="00FF7F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2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Purpose of study</w:t>
            </w:r>
          </w:p>
        </w:tc>
        <w:tc>
          <w:tcPr>
            <w:tcW w:w="1559" w:type="dxa"/>
          </w:tcPr>
          <w:p w:rsidR="00FF7FA1" w:rsidRPr="00B4278E" w:rsidRDefault="00FF7FA1" w:rsidP="00FF7F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2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559" w:type="dxa"/>
          </w:tcPr>
          <w:p w:rsidR="00FF7FA1" w:rsidRPr="00B4278E" w:rsidRDefault="00FF7FA1" w:rsidP="00FF7F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2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Population</w:t>
            </w:r>
          </w:p>
        </w:tc>
        <w:tc>
          <w:tcPr>
            <w:tcW w:w="992" w:type="dxa"/>
          </w:tcPr>
          <w:p w:rsidR="00FF7FA1" w:rsidRPr="00B4278E" w:rsidRDefault="00FF7FA1" w:rsidP="00FF7F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2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 size</w:t>
            </w:r>
          </w:p>
        </w:tc>
        <w:tc>
          <w:tcPr>
            <w:tcW w:w="1701" w:type="dxa"/>
          </w:tcPr>
          <w:p w:rsidR="00FF7FA1" w:rsidRPr="00B4278E" w:rsidRDefault="00FF7FA1" w:rsidP="00FF7F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2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eLearning type</w:t>
            </w:r>
          </w:p>
        </w:tc>
        <w:tc>
          <w:tcPr>
            <w:tcW w:w="2835" w:type="dxa"/>
          </w:tcPr>
          <w:p w:rsidR="00FF7FA1" w:rsidRPr="00B4278E" w:rsidRDefault="00FF7FA1" w:rsidP="0047619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Indicator of </w:t>
            </w:r>
            <w:r w:rsidRPr="00B42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Effectiveness</w:t>
            </w:r>
          </w:p>
        </w:tc>
        <w:tc>
          <w:tcPr>
            <w:tcW w:w="3119" w:type="dxa"/>
          </w:tcPr>
          <w:p w:rsidR="00FF7FA1" w:rsidRPr="00B4278E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27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Barriers/ facilitators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Nicolaou et al., 2012, United Kingdom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study the current practice of computer, use in musculoskeletal health professionals for their education and that of their patients.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Cross-sectional design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Musculoskeletal health professionals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Availability of mandatory online training by the trusts/hospitals</w:t>
            </w:r>
          </w:p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ack of perceived need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Yu et al., 2007, 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Taiwan.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investigate the feasibility of developing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and to examine reasons for adopting or rejecting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as an alternative way to conduct continuing education (CE) for public health nurses (PHNs)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ross-sectional study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Public health nurses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Blended synchronous and asynchronous 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oor computer competence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personal computer and without internet access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heavy workload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heavy family duties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conflict with personal preference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heavy economic burden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motivation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l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ow self-control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Daniel &amp; Wolbrink, 2019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Global 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examine engagement, satisfaction, and motivations of healthcare professionals using OPEN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Pediatrics, an open-access medical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platform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Cross-sectional survey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Pediatrics users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platform was effective as evidenced by clinicians reporting a high frequency in motivation to access the platform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Tirmizi et al., 2017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B49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Afghanistan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AB49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improve knowledge of health providers related to four major mental health problems, namely depression, psychosis, post-traumatic stress disorder (PTSD) and drug abuse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Experimental design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AB49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ealth providers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Blended synchronous 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Significant chang</w:t>
            </w:r>
            <w:bookmarkStart w:id="0" w:name="_GoBack"/>
            <w:bookmarkEnd w:id="0"/>
            <w:r w:rsidRPr="00AB49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 was noticed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as </w:t>
            </w:r>
            <w:r w:rsidRPr="00AB49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knowledge scores changed from 45% in pre-intervention test to 63% in post-intervention test.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Use of</w:t>
            </w:r>
            <w:r w:rsidRPr="00AB49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standardized training material for empowering health providers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Unfavourable weather situation of case districts limited the activities, such as face-to-face lectures.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Agarwal et al., 2022, India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describe the feasibility and acceptability of the case-based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for HIV-TB care and its impact on professional satisfaction, self-efficacy (knowledge, skills, and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competency), technical knowledge retention (short-and long-term) and change in practice among HIV-TB care providers.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Experimental design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Medical officer, nurse, counsellor, pharmacist, data manager, care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coordinator and lab technician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152 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Blended 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Case-based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was an acceptable and effective modus of capacity building and developing communities of practice to strengthen integrated care.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Chase, et al., 2020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evaluate the use of an evidence-based, smoking cessation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education program for oncology healthcare providers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Experimental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Healthcare providers at the thoracic oncology clinic (nurse practitioners, Physician assistants, Registered nurses and pharmacist)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The healthcare providers increased in knowledge and in confidence in successfully helping the patients to quit smoking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 majority of the patients were satisfied the smoking cessation services received</w:t>
            </w: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ack of in-person simulation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Personnel resources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Choi et al., 2018, Ghana, Guatemala, El Salvador and Colombia.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investigate whether an eLearning course, which can be used at scale in resource-poor countries, leads to improved diagnosis, clinical management and survival of children with SAM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Experimental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 professionals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tabs>
                <w:tab w:val="left" w:pos="7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Severe acute malnutrition </w:t>
            </w:r>
            <w:r w:rsidRPr="00AB4997">
              <w:rPr>
                <w:rFonts w:ascii="ClassicalGaramondBT-Roman" w:hAnsi="ClassicalGaramondBT-Roman" w:cs="ClassicalGaramondBT-Roman"/>
                <w:kern w:val="0"/>
                <w:sz w:val="20"/>
                <w:szCs w:val="20"/>
                <w:lang w:val="en-GB"/>
              </w:rPr>
              <w:t>caring practices were observed to be improved among the healthcare professionals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Colaceci et al., 2017, Italy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assess if the course was effective in improving healthcare professionals’ attitudes and practices (APs).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Experimental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healthcare professionals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15,004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There was an improvement in the awareness and positive attitudes toward breastfeeding among healthcare professionals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Detroyer et al., 2016</w:t>
            </w:r>
          </w:p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determine the effect of a delirium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tool on healthcare workers’ delirium recognition, delirium knowledge and care strain in delirium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Experimental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Healthcare workers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Synchronous and self-learning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Delirium education as delivered by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tool improved healthcare workers’ delirium recognition and knowledge.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Erlandsson et al., 2021, Ethiopia, Kenya, Malawi, Somalia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determine the feasibility of using an internet-based capacity building programme contributing to effective midwifery practices in the labour rooms through implementation of dynamic birthing positions, delayed umbilical cord clamping and skin-to-skin care of newborns in the immediate postnatal period.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Experimental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Leaders in policy, academia and clinical level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 new curriculum on delayed umbilical cord clamping, skin-to-skin contact was implemented in students’ clinical practice sites and dynamic birthing positions was introduced after the internet-based training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The capacity building programmes changed the roles of midwives to a more proactive one when being part of an enabling interdisciplinary teamwork.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Hurley et al., 2019, Ireland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investigate the effect of the E-SOLAS training program on relevant outcomes of effective training and implementation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Experimental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Physiotherapy managers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There were significant increases in physiotherapists’ confidence and knowledge in delivery of all SOLAS intervention components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Nesterowicz et al., 2014, Poland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assess if e-courses were a viable method of providing continuing education in pharmacy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Experimental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Pharmacists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Blended asynchronous 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Knowledge increased after participation in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course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O’Connor et al., 2011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USA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evaluate the effect of usage of ‘‘BreastfeedingBasics,’’ a free Internet-based educational course, on the knowledge of MCH providers and evaluation of the baseline knowledge of course users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Experimental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Maternal and Child Health providers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2,352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Knowledge improved in all areas after completion of the Internet-based educational intervention as measured by improved posttest scores 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Compulsory training required by the jobs or schools of some participants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Pereira et al., 2014, Brazil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verify if the AAMPC was able to enhance healthcare professionals’ alcohol-related problems knowledge.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Experimental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Healthcare professionals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Blended synchronous and asynchronous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 significant increase in alcohol knowledge was found even 2 months after the course completion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Previous experience positively affected the effectiveness in the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Watkins et al., 2017, United States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explore the changes in healthcare providers’ learning outcomes related to providing evidence-based breastfeeding support and promotion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design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Healthcare providers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Significantly higher scores were found on the posttests for knowledge, beliefs about breastfeeding scale, and the perceived behavioural control scale. </w:t>
            </w:r>
          </w:p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Participants’ self-efficacy also increased after the course;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BA093B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3B">
              <w:rPr>
                <w:rFonts w:ascii="Times New Roman" w:hAnsi="Times New Roman" w:cs="Times New Roman"/>
                <w:sz w:val="20"/>
                <w:szCs w:val="20"/>
              </w:rPr>
              <w:t>McCaughan et al, 2019, United Kingdom</w:t>
            </w:r>
          </w:p>
        </w:tc>
        <w:tc>
          <w:tcPr>
            <w:tcW w:w="2918" w:type="dxa"/>
          </w:tcPr>
          <w:p w:rsidR="00FF7FA1" w:rsidRPr="00BA093B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3B">
              <w:rPr>
                <w:rFonts w:ascii="Times New Roman" w:hAnsi="Times New Roman" w:cs="Times New Roman"/>
                <w:sz w:val="20"/>
                <w:szCs w:val="20"/>
              </w:rPr>
              <w:t xml:space="preserve">evaluates a brief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BA093B">
              <w:rPr>
                <w:rFonts w:ascii="Times New Roman" w:hAnsi="Times New Roman" w:cs="Times New Roman"/>
                <w:sz w:val="20"/>
                <w:szCs w:val="20"/>
              </w:rPr>
              <w:t xml:space="preserve"> resource designed to improve sexual wellbeing support and examine its effects on healthcare professionals’ sexual attitudes and beliefs.</w:t>
            </w:r>
          </w:p>
        </w:tc>
        <w:tc>
          <w:tcPr>
            <w:tcW w:w="1559" w:type="dxa"/>
          </w:tcPr>
          <w:p w:rsidR="00FF7FA1" w:rsidRPr="00BA093B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Experimental design</w:t>
            </w:r>
            <w:r w:rsidRPr="00BA09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FF7FA1" w:rsidRPr="00BA093B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3B">
              <w:rPr>
                <w:rFonts w:ascii="Times New Roman" w:hAnsi="Times New Roman" w:cs="Times New Roman"/>
                <w:sz w:val="20"/>
                <w:szCs w:val="20"/>
              </w:rPr>
              <w:t>Healthcare professionals</w:t>
            </w:r>
          </w:p>
        </w:tc>
        <w:tc>
          <w:tcPr>
            <w:tcW w:w="992" w:type="dxa"/>
          </w:tcPr>
          <w:p w:rsidR="00FF7FA1" w:rsidRPr="00BA093B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3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01" w:type="dxa"/>
          </w:tcPr>
          <w:p w:rsidR="00FF7FA1" w:rsidRPr="00BA093B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093B">
              <w:rPr>
                <w:rFonts w:ascii="Times New Roman" w:hAnsi="Times New Roman" w:cs="Times New Roman"/>
                <w:sz w:val="20"/>
                <w:szCs w:val="20"/>
              </w:rPr>
              <w:t>Blended synchronous</w:t>
            </w:r>
          </w:p>
        </w:tc>
        <w:tc>
          <w:tcPr>
            <w:tcW w:w="2835" w:type="dxa"/>
          </w:tcPr>
          <w:p w:rsidR="00FF7FA1" w:rsidRPr="00BA093B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BA093B">
              <w:rPr>
                <w:rFonts w:ascii="Times New Roman" w:hAnsi="Times New Roman" w:cs="Times New Roman"/>
                <w:sz w:val="20"/>
                <w:szCs w:val="20"/>
              </w:rPr>
              <w:t xml:space="preserve"> caused improvements in attitude and perceived knowledge and awareness of prostate cancers’ impact on sexual wellbeing</w:t>
            </w:r>
          </w:p>
        </w:tc>
        <w:tc>
          <w:tcPr>
            <w:tcW w:w="3119" w:type="dxa"/>
          </w:tcPr>
          <w:p w:rsidR="00FF7FA1" w:rsidRPr="00BA093B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Facilitators</w:t>
            </w:r>
          </w:p>
          <w:p w:rsidR="00FF7FA1" w:rsidRPr="00BA093B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93B">
              <w:rPr>
                <w:rFonts w:ascii="Times New Roman" w:hAnsi="Times New Roman" w:cs="Times New Roman"/>
                <w:sz w:val="20"/>
                <w:szCs w:val="20"/>
              </w:rPr>
              <w:t xml:space="preserve">Ease of use of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BA093B">
              <w:rPr>
                <w:rFonts w:ascii="Times New Roman" w:hAnsi="Times New Roman" w:cs="Times New Roman"/>
                <w:sz w:val="20"/>
                <w:szCs w:val="20"/>
              </w:rPr>
              <w:t xml:space="preserve"> resources</w:t>
            </w:r>
          </w:p>
          <w:p w:rsidR="00FF7FA1" w:rsidRPr="00BA093B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093B">
              <w:rPr>
                <w:rFonts w:ascii="Times New Roman" w:hAnsi="Times New Roman" w:cs="Times New Roman"/>
                <w:sz w:val="20"/>
                <w:szCs w:val="20"/>
              </w:rPr>
              <w:t>Relevance to practice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Abdullah et al., 2020, Malaysia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introduce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in advanced cardiac life support among healthcare professionals and compare its effectiveness, as well as to determine participants’ attitudes toward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Experimental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study design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Healthcare professionals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attending advanced cardiac life support courses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Blended learning 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was effective in increasing the knowledge level on cardiac life support.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Colaceci et al., 2020, Italy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evaluate the long-term effectiveness of an online national program on infant nutrition for HCPs.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Longitudinal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Healthcare professionals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15,004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There was a record of effectiveness in improving attitude and practice regarding the protection, promotion, and support of breastfeeding.</w:t>
            </w: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Low knowledge retention after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programme in the long term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 xml:space="preserve">Reid et al., 2012, </w:t>
            </w:r>
          </w:p>
          <w:p w:rsidR="00FF7FA1" w:rsidRPr="00AB3F08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Sub-Saharan Africa</w:t>
            </w:r>
          </w:p>
        </w:tc>
        <w:tc>
          <w:tcPr>
            <w:tcW w:w="2918" w:type="dxa"/>
          </w:tcPr>
          <w:p w:rsidR="00FF7FA1" w:rsidRPr="00AB3F08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>To assess the feasibility and acceptability of Web based</w:t>
            </w:r>
          </w:p>
          <w:p w:rsidR="00FF7FA1" w:rsidRPr="00AB3F08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>training to support HIV education across multiple SSA countries</w:t>
            </w:r>
          </w:p>
          <w:p w:rsidR="00FF7FA1" w:rsidRPr="00AB3F08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F7FA1" w:rsidRPr="00AB3F08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 xml:space="preserve">Longitudinal design </w:t>
            </w:r>
          </w:p>
        </w:tc>
        <w:tc>
          <w:tcPr>
            <w:tcW w:w="1559" w:type="dxa"/>
          </w:tcPr>
          <w:p w:rsidR="00FF7FA1" w:rsidRPr="00AB3F08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>clinicians and public health specialists working in HIV programs supported by ICA</w:t>
            </w:r>
          </w:p>
        </w:tc>
        <w:tc>
          <w:tcPr>
            <w:tcW w:w="992" w:type="dxa"/>
          </w:tcPr>
          <w:p w:rsidR="00FF7FA1" w:rsidRPr="00AB3F08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</w:p>
        </w:tc>
        <w:tc>
          <w:tcPr>
            <w:tcW w:w="1701" w:type="dxa"/>
          </w:tcPr>
          <w:p w:rsidR="00FF7FA1" w:rsidRPr="00AB3F08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>Blended synchronous</w:t>
            </w:r>
          </w:p>
        </w:tc>
        <w:tc>
          <w:tcPr>
            <w:tcW w:w="2835" w:type="dxa"/>
          </w:tcPr>
          <w:p w:rsidR="00FF7FA1" w:rsidRPr="00AB3F08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 xml:space="preserve">Attendance increased from 40 participants in Month 1 to over 160 in Month 10. </w:t>
            </w:r>
          </w:p>
        </w:tc>
        <w:tc>
          <w:tcPr>
            <w:tcW w:w="3119" w:type="dxa"/>
          </w:tcPr>
          <w:p w:rsidR="00FF7FA1" w:rsidRPr="00975080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</w:t>
            </w:r>
          </w:p>
          <w:p w:rsidR="00FF7FA1" w:rsidRPr="00AB3F08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>Relevant course content</w:t>
            </w:r>
          </w:p>
          <w:p w:rsidR="00FF7FA1" w:rsidRPr="00AB3F08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FA1" w:rsidRPr="00975080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508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Barriers</w:t>
            </w:r>
          </w:p>
          <w:p w:rsidR="00FF7FA1" w:rsidRPr="00AB3F08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 xml:space="preserve">Lack of information technology (IT) literacy </w:t>
            </w:r>
          </w:p>
          <w:p w:rsidR="00FF7FA1" w:rsidRPr="00AB3F08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>lack of IT hardware</w:t>
            </w:r>
          </w:p>
          <w:p w:rsidR="00FF7FA1" w:rsidRPr="00AB3F08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3F08">
              <w:rPr>
                <w:rFonts w:ascii="Times New Roman" w:hAnsi="Times New Roman" w:cs="Times New Roman"/>
                <w:sz w:val="20"/>
                <w:szCs w:val="20"/>
              </w:rPr>
              <w:t>Internet connectivity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Millimouno et al., 2021, Guinea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analyse the outcomes of blended learning for post-Ebola capacity strengthening of health professionals in Guinea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 professionals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Blended 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Relevance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course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Easy navigation of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platform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Usefulness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resources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The administrators and IT manager were responsive to learners’ concerns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Face to face interaction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Barriers: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Non-timely or irrelevant participation or absence of facilitators in the discussion forum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Non-inclusion of all learners who succeeded in the online phase in the face-to-face capacity-building workshop due to financial constraints.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D273F5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>Osman, 2017</w:t>
            </w:r>
          </w:p>
          <w:p w:rsidR="00FF7FA1" w:rsidRPr="00D273F5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 xml:space="preserve">Ghana </w:t>
            </w:r>
          </w:p>
        </w:tc>
        <w:tc>
          <w:tcPr>
            <w:tcW w:w="2918" w:type="dxa"/>
          </w:tcPr>
          <w:p w:rsidR="00FF7FA1" w:rsidRPr="00D273F5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 xml:space="preserve">investigate how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 xml:space="preserve"> in training and development of midwives in Ghana Health Service in Ashanti Region could be enhanced</w:t>
            </w:r>
          </w:p>
        </w:tc>
        <w:tc>
          <w:tcPr>
            <w:tcW w:w="1559" w:type="dxa"/>
          </w:tcPr>
          <w:p w:rsidR="00FF7FA1" w:rsidRPr="00D273F5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559" w:type="dxa"/>
          </w:tcPr>
          <w:p w:rsidR="00FF7FA1" w:rsidRPr="00D273F5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>Midwives and facilitators</w:t>
            </w:r>
          </w:p>
        </w:tc>
        <w:tc>
          <w:tcPr>
            <w:tcW w:w="992" w:type="dxa"/>
          </w:tcPr>
          <w:p w:rsidR="00FF7FA1" w:rsidRPr="00D273F5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01" w:type="dxa"/>
          </w:tcPr>
          <w:p w:rsidR="00FF7FA1" w:rsidRPr="00D273F5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>Synchronous</w:t>
            </w:r>
          </w:p>
        </w:tc>
        <w:tc>
          <w:tcPr>
            <w:tcW w:w="2835" w:type="dxa"/>
          </w:tcPr>
          <w:p w:rsidR="00FF7FA1" w:rsidRPr="00D273F5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D273F5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>Poor internet access</w:t>
            </w:r>
          </w:p>
          <w:p w:rsidR="00FF7FA1" w:rsidRPr="00D273F5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>Poor basic computer or IT knowledge or competencies</w:t>
            </w:r>
          </w:p>
          <w:p w:rsidR="00FF7FA1" w:rsidRPr="00D273F5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 xml:space="preserve">Lack of access to computers or laptops Inadequate skills among IT officers to develop learning modules on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 xml:space="preserve"> platforms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D273F5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 xml:space="preserve">Very few specialized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 xml:space="preserve"> facilitators</w:t>
            </w:r>
          </w:p>
          <w:p w:rsidR="00FF7FA1" w:rsidRPr="00D273F5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>High cost of internet</w:t>
            </w:r>
          </w:p>
          <w:p w:rsidR="00FF7FA1" w:rsidRPr="00D273F5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>Lack of stable internet connectivity</w:t>
            </w:r>
          </w:p>
          <w:p w:rsidR="00FF7FA1" w:rsidRPr="00D273F5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>Lack of interest in using the internet.</w:t>
            </w:r>
          </w:p>
          <w:p w:rsidR="00FF7FA1" w:rsidRPr="00D273F5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73F5">
              <w:rPr>
                <w:rFonts w:ascii="Times New Roman" w:hAnsi="Times New Roman" w:cs="Times New Roman"/>
                <w:sz w:val="20"/>
                <w:szCs w:val="20"/>
              </w:rPr>
              <w:t>Poor management involvement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Wang et al., 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evaluate the implementation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CME programs, analyse the barriers and facilitators during the implementation process, and to provide policy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ixed method design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 personnel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757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Blended learning 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Uneven supply and demand of training courses and content leading to unmet learning needs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Disorganized governance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Insufficient hardware and software,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Unsupported environment 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incentive mechanisms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Wang et al., 2021b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evaluate whether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training program can improve TB health personnel’s knowledge and behaviour in China.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ixed method research design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 personnel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757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Blended learning 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Synchronous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improved the knowledge of TB clinicians and asynchronous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has a significantly increased the knowledge among primary care workers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Irrelevance of the knowledge gained to the daily work of the participants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Poor retention of the new knowledge gained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Joanne, 2020, Republic of Ireland and Northern Ireland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identify the barriers and facilitators to accessing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courses in palliative care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mixed method study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Healthcare professionals (HCPs) working in palliative care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Self-Learning and blended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Barriers: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Remaining motivated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computer skills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opportunity for impromptu engagement/group dialogue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confidence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Too much course content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Poor quality of course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Suitability of topic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accessibility to computer resources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cost/finance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relevancy of the course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Facilitators: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Personal and group interaction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Good IT facilities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Tsai, 2012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, Taiwan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reduce the time and location limitations in providing QMS knowledge and practices for delegates in continuing medical education, while incorporating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principal learning theories into a computational platform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Mixed methods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Nurse, administrative staffs, laboratory staff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and dispensers in hospitals.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Blended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Synchronous and asynchronous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It was revealed that the hybrid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was effective in reinforcing the competence of the nurses 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Time flexibility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Burkardt et al., 2019, Kenya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present the results of a case study that analyses the critical factors that influence the implementation of professional health education via blended learning in Dadaab refugee camp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mixed methods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anagers from the health service who supervised enrolled students, senior managers who were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responsible for staff and training decision-making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Blended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Facilitators: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eer support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Flexible, self-regulated learning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environment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Barriers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Logistics, such as distributing course materials, were challenged by long waiting periods and unconventional transportation routes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Internet connectivity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issues, 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Electrical supply outages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time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money for transport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 place to study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Passive learning attitude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Ardestani et al., 2023, Australia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URWPalladioL-Roma" w:hAnsi="URWPalladioL-Roma" w:cs="URWPalladioL-Roma"/>
                <w:kern w:val="0"/>
                <w:sz w:val="20"/>
                <w:szCs w:val="20"/>
                <w:lang w:val="en-GB"/>
              </w:rPr>
              <w:t xml:space="preserve">To identify effective factors of </w:t>
            </w:r>
            <w:r>
              <w:rPr>
                <w:rFonts w:ascii="URWPalladioL-Roma" w:hAnsi="URWPalladioL-Roma" w:cs="URWPalladioL-Roma"/>
                <w:kern w:val="0"/>
                <w:sz w:val="20"/>
                <w:szCs w:val="20"/>
                <w:lang w:val="en-GB"/>
              </w:rPr>
              <w:t>eLearning</w:t>
            </w:r>
            <w:r w:rsidRPr="00AB4997">
              <w:rPr>
                <w:rFonts w:ascii="URWPalladioL-Roma" w:hAnsi="URWPalladioL-Roma" w:cs="URWPalladioL-Roma"/>
                <w:kern w:val="0"/>
                <w:sz w:val="20"/>
                <w:szCs w:val="20"/>
                <w:lang w:val="en-GB"/>
              </w:rPr>
              <w:t xml:space="preserve"> in healthcare and provide a prioritized ranking of real variables of </w:t>
            </w:r>
            <w:r>
              <w:rPr>
                <w:rFonts w:ascii="URWPalladioL-Roma" w:hAnsi="URWPalladioL-Roma" w:cs="URWPalladioL-Roma"/>
                <w:kern w:val="0"/>
                <w:sz w:val="20"/>
                <w:szCs w:val="20"/>
                <w:lang w:val="en-GB"/>
              </w:rPr>
              <w:t>eLearning</w:t>
            </w:r>
            <w:r w:rsidRPr="00AB4997">
              <w:rPr>
                <w:rFonts w:ascii="URWPalladioL-Roma" w:hAnsi="URWPalladioL-Roma" w:cs="URWPalladioL-Roma"/>
                <w:kern w:val="0"/>
                <w:sz w:val="20"/>
                <w:szCs w:val="20"/>
                <w:lang w:val="en-GB"/>
              </w:rPr>
              <w:t xml:space="preserve"> contributing to healthcare.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Participants who deal with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, mostly in healthcare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Blended learning 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Learner Satisfactio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Facilitators: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Experts’ feedback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User adaption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Reliability of materials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Practice-based learning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Materials’ flexibility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Enjoyment and playfulness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Learning management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Remote exchanges and collaboration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Online learning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Accessibility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Offline learning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Ease of Use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Reliability of Software.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Out et al., 2021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Nigeria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describe the results of the nationwide deployment of the InStrat COVID-19 tutorial app to frontline health workers as a public health intervention during the COVID-19 pandemic in Nigeria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Experimental design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Doctors, nurses, midwives, laboratory technicians, pharmacists, community health officers (CHO) and Community Health Extension Workers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1051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There were statistically significant differences between pre- and post-tests knowledge scores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User friendliness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Poor digital literacy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Electricity supply outages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poor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Internet connectivity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Tchernegovsi et al., 2015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Australia 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examine clinicians’ views regarding the acceptability of the resource and assesses its effectiveness in developing clinicians’ attitude, skill, and knowledge when working with parents with a mental illness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Mixed method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mental health clinicians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resource was effective at enhancing participants’ practices, such as assessing the impact of mental illness on parenting and child development, and providing information and resources to families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Barriers: 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Perceived relevance of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 resource 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incentive to complete the post-training questionnaire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3F7536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536">
              <w:rPr>
                <w:rFonts w:ascii="Times New Roman" w:hAnsi="Times New Roman" w:cs="Times New Roman"/>
                <w:sz w:val="20"/>
                <w:szCs w:val="20"/>
              </w:rPr>
              <w:t>Delf, 2013, United Kingdom</w:t>
            </w:r>
          </w:p>
        </w:tc>
        <w:tc>
          <w:tcPr>
            <w:tcW w:w="2918" w:type="dxa"/>
          </w:tcPr>
          <w:p w:rsidR="00FF7FA1" w:rsidRPr="003F7536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536">
              <w:rPr>
                <w:rFonts w:ascii="Times New Roman" w:hAnsi="Times New Roman" w:cs="Times New Roman"/>
                <w:sz w:val="20"/>
                <w:szCs w:val="20"/>
              </w:rPr>
              <w:t>To prepare non-medical healthcare practitioners to report radionuclide bone scans</w:t>
            </w:r>
          </w:p>
        </w:tc>
        <w:tc>
          <w:tcPr>
            <w:tcW w:w="1559" w:type="dxa"/>
          </w:tcPr>
          <w:p w:rsidR="00FF7FA1" w:rsidRPr="003F7536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Mixed method design</w:t>
            </w:r>
            <w:r w:rsidRPr="003F75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FF7FA1" w:rsidRPr="003F7536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536">
              <w:rPr>
                <w:rFonts w:ascii="Times New Roman" w:hAnsi="Times New Roman" w:cs="Times New Roman"/>
                <w:sz w:val="20"/>
                <w:szCs w:val="20"/>
              </w:rPr>
              <w:t>Volunteers who were radiographers, physicists and clinical scientists</w:t>
            </w:r>
          </w:p>
        </w:tc>
        <w:tc>
          <w:tcPr>
            <w:tcW w:w="992" w:type="dxa"/>
          </w:tcPr>
          <w:p w:rsidR="00FF7FA1" w:rsidRPr="003F7536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53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01" w:type="dxa"/>
          </w:tcPr>
          <w:p w:rsidR="00FF7FA1" w:rsidRPr="003F7536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536">
              <w:rPr>
                <w:rFonts w:ascii="Times New Roman" w:hAnsi="Times New Roman" w:cs="Times New Roman"/>
                <w:sz w:val="20"/>
                <w:szCs w:val="20"/>
              </w:rPr>
              <w:t>asynchronous</w:t>
            </w:r>
          </w:p>
        </w:tc>
        <w:tc>
          <w:tcPr>
            <w:tcW w:w="2835" w:type="dxa"/>
          </w:tcPr>
          <w:p w:rsidR="00FF7FA1" w:rsidRPr="003F7536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7536">
              <w:rPr>
                <w:rFonts w:ascii="Times New Roman" w:hAnsi="Times New Roman" w:cs="Times New Roman"/>
                <w:sz w:val="20"/>
                <w:szCs w:val="20"/>
              </w:rPr>
              <w:t>Improvement reporting of radionuclide bone scans.</w:t>
            </w: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3F7536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F7536">
              <w:rPr>
                <w:rFonts w:ascii="Times New Roman" w:hAnsi="Times New Roman" w:cs="Times New Roman"/>
                <w:sz w:val="20"/>
                <w:szCs w:val="20"/>
              </w:rPr>
              <w:t>oftware compatibility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F27EA2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EA2">
              <w:rPr>
                <w:rFonts w:ascii="Times New Roman" w:hAnsi="Times New Roman" w:cs="Times New Roman"/>
                <w:sz w:val="20"/>
                <w:szCs w:val="20"/>
              </w:rPr>
              <w:t xml:space="preserve">Fourré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F27EA2">
              <w:rPr>
                <w:rFonts w:ascii="Times New Roman" w:hAnsi="Times New Roman" w:cs="Times New Roman"/>
                <w:sz w:val="20"/>
                <w:szCs w:val="20"/>
              </w:rPr>
              <w:t>t al., 2022, Belgium and France</w:t>
            </w:r>
          </w:p>
        </w:tc>
        <w:tc>
          <w:tcPr>
            <w:tcW w:w="2918" w:type="dxa"/>
          </w:tcPr>
          <w:p w:rsidR="00FF7FA1" w:rsidRPr="00F27EA2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EA2">
              <w:rPr>
                <w:rFonts w:ascii="Times New Roman" w:hAnsi="Times New Roman" w:cs="Times New Roman"/>
                <w:sz w:val="20"/>
                <w:szCs w:val="20"/>
              </w:rPr>
              <w:t xml:space="preserve">To evaluate the feasibility of implementing an interactive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F27EA2">
              <w:rPr>
                <w:rFonts w:ascii="Times New Roman" w:hAnsi="Times New Roman" w:cs="Times New Roman"/>
                <w:sz w:val="20"/>
                <w:szCs w:val="20"/>
              </w:rPr>
              <w:t xml:space="preserve"> module on the management of lower back pain (LBP) in healthcare professional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F7FA1" w:rsidRPr="00F27EA2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Mixed method</w:t>
            </w:r>
            <w:r w:rsidRPr="00F27E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FF7FA1" w:rsidRPr="00F27EA2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EA2">
              <w:rPr>
                <w:rFonts w:ascii="Times New Roman" w:hAnsi="Times New Roman" w:cs="Times New Roman"/>
                <w:sz w:val="20"/>
                <w:szCs w:val="20"/>
              </w:rPr>
              <w:t>Healthcare professionals, medical and physiotherapy students</w:t>
            </w:r>
          </w:p>
        </w:tc>
        <w:tc>
          <w:tcPr>
            <w:tcW w:w="992" w:type="dxa"/>
          </w:tcPr>
          <w:p w:rsidR="00FF7FA1" w:rsidRPr="00F27EA2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7EA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FF7FA1" w:rsidRPr="00F27EA2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Synchronous</w:t>
            </w:r>
          </w:p>
        </w:tc>
        <w:tc>
          <w:tcPr>
            <w:tcW w:w="2835" w:type="dxa"/>
          </w:tcPr>
          <w:p w:rsidR="00FF7FA1" w:rsidRPr="00F27EA2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F27EA2">
              <w:rPr>
                <w:rFonts w:ascii="Times New Roman" w:hAnsi="Times New Roman" w:cs="Times New Roman"/>
                <w:sz w:val="20"/>
                <w:szCs w:val="20"/>
              </w:rPr>
              <w:t xml:space="preserve"> teaching method enhanced increase level of knowledge and positive beliefs about lower back pain</w:t>
            </w:r>
          </w:p>
          <w:p w:rsidR="00FF7FA1" w:rsidRPr="00F27EA2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FF7FA1" w:rsidRPr="00F27EA2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7EA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Facilitator:</w:t>
            </w:r>
          </w:p>
          <w:p w:rsidR="00FF7FA1" w:rsidRPr="00F27EA2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7EA2">
              <w:rPr>
                <w:rFonts w:ascii="Times New Roman" w:hAnsi="Times New Roman" w:cs="Times New Roman"/>
                <w:sz w:val="20"/>
                <w:szCs w:val="20"/>
              </w:rPr>
              <w:t xml:space="preserve">Freedom to complete the module whenever and wherever accessible. Flexibility of the eLearning programme 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Chernysh et al., 2023, Ukraine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o describe and reflect on the experience with the implementation of continuous medical education among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mother-and-child healthcare providers in Ukraine, including achievements, challenges, and barriers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Qualitative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Medical personnel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Blended asynchronous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The knowledge and awareness of medical personnel were greatly improved.</w:t>
            </w:r>
          </w:p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Modern clinical concepts not well understood at the outset became ordinary and were incorporated into clinical activities.</w:t>
            </w: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knowledge of the English language among medical doctors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The fear of changes</w:t>
            </w:r>
          </w:p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The lack of openness and readiness for novel evidence-based clinical practices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Barteit et al., 2015, Malawi.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 examine s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elf-directed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at a tertiary hospital in Malawi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Qualitative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design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Administrative managers, senior doctors, clinical officers, intern medical doctors and intern clinical officers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Asynchronous 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It was affirmed that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platform improves clinical skill set of professionals, especially in regard to patient management.</w:t>
            </w: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Unsustainability due to staff shortages and limited integration of local stakeholders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awareness of eLearning platform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access to computer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Little ICT training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interest to the content of ICT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Insufficient number of computers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Gupta et al, 2017, India, Uganda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explores some of the key issues involved in implementation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in HEIs involved in the education of health professionals, given the resource constraints within which many institutions have to function.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Qualitative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academic institutions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Blended asynchronous 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Increased consumption of bandwidth, placing a considerable additional burden on the network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University policies do not encourage the use of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platform to support traditional teaching methods.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Inability to access computers to use the internet when off campus.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Time consumption in maintaining the technical and user documentation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resulting in delaying making necessary updates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Incompatibilities between different learning hubs, hardware and software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Harerimana &amp; Mtshali, 2018, Rwanda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present the intervening conditions that influence the implementation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in resource-constrained nursing education institutions in Rwanda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Qualitative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F1F">
              <w:rPr>
                <w:rFonts w:ascii="Times New Roman" w:hAnsi="Times New Roman" w:cs="Times New Roman"/>
                <w:sz w:val="20"/>
                <w:szCs w:val="20"/>
              </w:rPr>
              <w:t>Nursing students,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nurse educators, and ICT managers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Synchronous 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Facilitators: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Institutional support for teachers and students (computer laboratory, trained lecturers and assistants)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Partnership and collaboration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Policies and regulations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which requires 60% Of self-directed learning by students guided by a lecturer or a tutorial assistant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Functionally effective learning management system (Moodle)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E-readiness on the part of the institution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Political commitment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Early socialization to IT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Emotionally matured students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Barriers: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Resource constraints;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Insufficient ICT literacy (computer/Internet/Moodle)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Challenges with the language of instruction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Generational age gap between the students and educators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Lack of policies regarding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Resistance to change;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Unfamiliarity to the Moodle interface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873583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Oluwadele, 2017</w:t>
            </w:r>
          </w:p>
          <w:p w:rsidR="00FF7FA1" w:rsidRPr="00873583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2918" w:type="dxa"/>
          </w:tcPr>
          <w:p w:rsidR="00FF7FA1" w:rsidRPr="00873583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 xml:space="preserve">To assess the influence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 xml:space="preserve"> on the performance of healthcare professionals (HCPs) in South Africa</w:t>
            </w:r>
          </w:p>
        </w:tc>
        <w:tc>
          <w:tcPr>
            <w:tcW w:w="1559" w:type="dxa"/>
          </w:tcPr>
          <w:p w:rsidR="00FF7FA1" w:rsidRPr="00873583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Qualitative design</w:t>
            </w:r>
          </w:p>
        </w:tc>
        <w:tc>
          <w:tcPr>
            <w:tcW w:w="1559" w:type="dxa"/>
          </w:tcPr>
          <w:p w:rsidR="00FF7FA1" w:rsidRPr="00873583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Healthcare professionals</w:t>
            </w:r>
          </w:p>
        </w:tc>
        <w:tc>
          <w:tcPr>
            <w:tcW w:w="992" w:type="dxa"/>
          </w:tcPr>
          <w:p w:rsidR="00FF7FA1" w:rsidRPr="00873583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FF7FA1" w:rsidRPr="00873583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Blended learning</w:t>
            </w:r>
          </w:p>
        </w:tc>
        <w:tc>
          <w:tcPr>
            <w:tcW w:w="2835" w:type="dxa"/>
          </w:tcPr>
          <w:p w:rsidR="00FF7FA1" w:rsidRPr="00873583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Participants of the e-module acquired varied Knowledge and skills which are relevant and valuable to their personal development.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Facilitator: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Clarity of module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Relevance of materials and module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Presence of discussion forum on the UZKN Moodle allowed interactions between participants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Engaging facilitators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Feedback from facilitators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s: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Language of the module was not translated from English to the familiar languages of the participants from Mozambique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 xml:space="preserve">Conflicting work schedules 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Limited time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Internet Connectivity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Internet bandwidth affordability</w:t>
            </w:r>
          </w:p>
          <w:p w:rsidR="00FF7FA1" w:rsidRPr="00873583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583">
              <w:rPr>
                <w:rFonts w:ascii="Times New Roman" w:hAnsi="Times New Roman" w:cs="Times New Roman"/>
                <w:sz w:val="20"/>
                <w:szCs w:val="20"/>
              </w:rPr>
              <w:t>Electrical power outages</w:t>
            </w:r>
          </w:p>
        </w:tc>
      </w:tr>
      <w:tr w:rsidR="00FF7FA1" w:rsidRPr="00AB4997" w:rsidTr="00FF7FA1">
        <w:trPr>
          <w:trHeight w:val="416"/>
        </w:trPr>
        <w:tc>
          <w:tcPr>
            <w:tcW w:w="1336" w:type="dxa"/>
          </w:tcPr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Gagnon et al., 2007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To identify physicians’ beliefs regarding their completion of this online program.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Qualitative study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physicians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familiarity with computers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relevance to one’s interests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personal discipline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Length of the modules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The complexity of the modules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sufficient feedback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Internet connection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Conflicting priorities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Facilitators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Extended time to complete the modules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Interest towards the topic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Flexibility of the method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User-friendliness of the modules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Teamwork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Kulier et al., 2009, Netherlands and the United Kingdom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evaluate the educational effects of a clinically integrated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course for teaching basic evidence-based medicine (EBM) among postgraduates compared to a traditional lecture-based course of equivalent content.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Randomised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controlled trial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Medical doctors training in obstetrics and gynaecology 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Blended asynchronous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-The clinically integrated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course produced slightly better scores regarding the improvement in knowledge compared to the classical teaching approach. However, the difference was not statistically significant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van de Steeg et al., 2014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, Netherlands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determine whether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can be an effective means of improving implementation of a quality improvement project in delirium care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andomised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controlled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trial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1,123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course on delirium had a significant positive effect on the risk screening of older patients by nursing staff as well as on other aspects of delirium care.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course also showed a significant positive effect on nurses’ knowledge of delirium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Facilitators: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Sending e-mail reminders to participants who has not completed in a month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Instituting monthly overview of the use and completion of the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course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Chang et al., 2008, Taiwan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describe the Instructional System Design Processes (analysis, design, development, implementation, and evaluation) used to develop 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education programme for staff nurses at a 700-bed teaching medical center in Taiwan.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Randomised controlled design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Nurses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All nurses’ knowledge were high and all passed nursing care skills. However, statistically significant differences were found only in teaching and learning and communication among nurses 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platform (ELP) and traditional-in-class programme TICP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 overall satisfaction, 41 nurses (21 in the ELP and 20 in the TICP) felt satisfied or very satisfied with the contents, instructors, and programmes.</w:t>
            </w: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Lack of discussion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Jones et al., 2021, Australia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explore physiotherapists’ experiences with and perceptions of 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program about best practice knee OA management (focused on a structured program of education, exercise, and physical activity) that includes telehealth delivery via videoconferencing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Randomised controlled trial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Physiotherapists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Blended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Asynchronous and synchronous 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Physiotherapists expressed a high level of confidence and readiness to go into their first patient consultations using their new skills and knowledge they had acquired</w:t>
            </w:r>
          </w:p>
        </w:tc>
        <w:tc>
          <w:tcPr>
            <w:tcW w:w="3119" w:type="dxa"/>
          </w:tcPr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Facilitators: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Combination of self-directed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modules, and practical components (mock consultation and pilot patient consultations)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User-friendly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module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Self-paced nature of the web-based modules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7FA1" w:rsidRPr="00F60DCC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0D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Time consuming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Hugenholtz et al., 2008, Netherlands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evaluate the effect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on knowledge on mental health issues as compared to lecture-based learning in a Continuous Medical Education programme for Occupational Physicians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Randomised controlled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trial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Occupational physicians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Self-learning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A significant gain in knowledge on mental health care was found with the use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</w:p>
        </w:tc>
        <w:tc>
          <w:tcPr>
            <w:tcW w:w="3119" w:type="dxa"/>
          </w:tcPr>
          <w:p w:rsidR="00FF7FA1" w:rsidRPr="00AB4997" w:rsidRDefault="00FF7FA1" w:rsidP="00FF7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Perkins et al., 2010</w:t>
            </w:r>
          </w:p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To examine the relationship between the use of 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simulation programme (Microsim) prior to attending an Advanced Life Support (ALS) Course and the subsequent relationship to candidate performance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Randomised controlled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trial 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Individuals undertaking the ALS course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Blended asynchronous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According to the participants Microsim improved their understanding of ALS theory and skills</w:t>
            </w: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Difficulty with installation or technical problems with the microsims</w:t>
            </w:r>
          </w:p>
        </w:tc>
      </w:tr>
      <w:tr w:rsidR="00FF7FA1" w:rsidRPr="00AB4997" w:rsidTr="00FF7FA1">
        <w:trPr>
          <w:trHeight w:val="1134"/>
        </w:trPr>
        <w:tc>
          <w:tcPr>
            <w:tcW w:w="1336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de Beurs et al., 2015, Netherlands</w:t>
            </w:r>
          </w:p>
        </w:tc>
        <w:tc>
          <w:tcPr>
            <w:tcW w:w="2918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The effect of 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supported Train-the-Trainer programme on implementation of suicide guidelines in mental health care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Randomized controlled trial</w:t>
            </w:r>
          </w:p>
        </w:tc>
        <w:tc>
          <w:tcPr>
            <w:tcW w:w="1559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Registered nurses, psychologists, and psychiatrists</w:t>
            </w:r>
          </w:p>
        </w:tc>
        <w:tc>
          <w:tcPr>
            <w:tcW w:w="992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701" w:type="dxa"/>
          </w:tcPr>
          <w:p w:rsidR="00FF7FA1" w:rsidRPr="00AB4997" w:rsidRDefault="00FF7FA1" w:rsidP="00FF7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Blended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synchronous</w:t>
            </w:r>
          </w:p>
        </w:tc>
        <w:tc>
          <w:tcPr>
            <w:tcW w:w="2835" w:type="dxa"/>
          </w:tcPr>
          <w:p w:rsidR="00FF7FA1" w:rsidRPr="00AB4997" w:rsidRDefault="00FF7FA1" w:rsidP="004761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eLearning</w:t>
            </w: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 xml:space="preserve"> supported Train-the-Trainer programme was found to be an effective strategy for implementing clinical guidelines and improving care for suicidal patients.</w:t>
            </w:r>
          </w:p>
        </w:tc>
        <w:tc>
          <w:tcPr>
            <w:tcW w:w="3119" w:type="dxa"/>
          </w:tcPr>
          <w:p w:rsidR="00FF7FA1" w:rsidRPr="00CC6FE3" w:rsidRDefault="00FF7FA1" w:rsidP="00FF7FA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6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Barrier:</w:t>
            </w:r>
          </w:p>
          <w:p w:rsidR="00FF7FA1" w:rsidRPr="00AB4997" w:rsidRDefault="00FF7FA1" w:rsidP="00FF7F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4997">
              <w:rPr>
                <w:rFonts w:ascii="Times New Roman" w:hAnsi="Times New Roman" w:cs="Times New Roman"/>
                <w:sz w:val="20"/>
                <w:szCs w:val="20"/>
              </w:rPr>
              <w:t>Technical inadequacy on the part of the ICT department</w:t>
            </w:r>
          </w:p>
        </w:tc>
      </w:tr>
    </w:tbl>
    <w:p w:rsidR="00B723C0" w:rsidRDefault="00B723C0"/>
    <w:sectPr w:rsidR="00B723C0" w:rsidSect="00FF7FA1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lassicalGaramondB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A1"/>
    <w:rsid w:val="00476197"/>
    <w:rsid w:val="009A240D"/>
    <w:rsid w:val="00B723C0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4762E"/>
  <w15:chartTrackingRefBased/>
  <w15:docId w15:val="{7D773486-9D65-43F4-BA4B-EEC68A64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FA1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FF7F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7F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F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FA1"/>
    <w:rPr>
      <w:kern w:val="2"/>
      <w:sz w:val="20"/>
      <w:szCs w:val="20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FA1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3619</Words>
  <Characters>20634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2023-11-22T19:25:00Z</dcterms:created>
  <dcterms:modified xsi:type="dcterms:W3CDTF">2023-11-22T20:25:00Z</dcterms:modified>
</cp:coreProperties>
</file>