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590E" w14:textId="5563B84E" w:rsidR="00DD688D" w:rsidRDefault="004E28A6" w:rsidP="00DC14E6">
      <w:pPr>
        <w:pStyle w:val="ListParagraph"/>
        <w:spacing w:after="0"/>
        <w:jc w:val="center"/>
        <w:rPr>
          <w:rFonts w:ascii="Gill Sans MT" w:hAnsi="Gill Sans MT"/>
          <w:b/>
          <w:bCs/>
          <w:color w:val="002060"/>
          <w:sz w:val="28"/>
          <w:szCs w:val="28"/>
        </w:rPr>
      </w:pPr>
      <w:r>
        <w:rPr>
          <w:rFonts w:ascii="Gill Sans MT" w:hAnsi="Gill Sans MT"/>
          <w:b/>
          <w:bCs/>
          <w:color w:val="002060"/>
          <w:sz w:val="28"/>
          <w:szCs w:val="28"/>
        </w:rPr>
        <w:t>Supplementa</w:t>
      </w:r>
      <w:r w:rsidR="00DC14E6">
        <w:rPr>
          <w:rFonts w:ascii="Gill Sans MT" w:hAnsi="Gill Sans MT"/>
          <w:b/>
          <w:bCs/>
          <w:color w:val="002060"/>
          <w:sz w:val="28"/>
          <w:szCs w:val="28"/>
        </w:rPr>
        <w:t xml:space="preserve">ry </w:t>
      </w:r>
      <w:r w:rsidR="000E38A2">
        <w:rPr>
          <w:rFonts w:ascii="Gill Sans MT" w:hAnsi="Gill Sans MT"/>
          <w:b/>
          <w:bCs/>
          <w:color w:val="002060"/>
          <w:sz w:val="28"/>
          <w:szCs w:val="28"/>
        </w:rPr>
        <w:t>File</w:t>
      </w:r>
      <w:r w:rsidR="00DC14E6">
        <w:rPr>
          <w:rFonts w:ascii="Gill Sans MT" w:hAnsi="Gill Sans MT"/>
          <w:b/>
          <w:bCs/>
          <w:color w:val="002060"/>
          <w:sz w:val="28"/>
          <w:szCs w:val="28"/>
        </w:rPr>
        <w:t xml:space="preserve"> 2: Reviewed Documents</w:t>
      </w:r>
    </w:p>
    <w:p w14:paraId="08723779" w14:textId="77777777" w:rsidR="000E38A2" w:rsidRPr="00DC14E6" w:rsidRDefault="000E38A2" w:rsidP="00DC14E6">
      <w:pPr>
        <w:pStyle w:val="ListParagraph"/>
        <w:spacing w:after="0"/>
        <w:jc w:val="center"/>
        <w:rPr>
          <w:rFonts w:ascii="Gill Sans MT" w:hAnsi="Gill Sans MT"/>
          <w:b/>
          <w:bCs/>
          <w:color w:val="002060"/>
          <w:sz w:val="28"/>
          <w:szCs w:val="28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962"/>
        <w:gridCol w:w="6004"/>
        <w:gridCol w:w="4984"/>
      </w:tblGrid>
      <w:tr w:rsidR="00DC2AB8" w:rsidRPr="00CF3129" w14:paraId="38F5895C" w14:textId="615A2255" w:rsidTr="00CF3129">
        <w:tc>
          <w:tcPr>
            <w:tcW w:w="1962" w:type="dxa"/>
            <w:shd w:val="clear" w:color="auto" w:fill="002060"/>
          </w:tcPr>
          <w:p w14:paraId="444E703F" w14:textId="3D018E30" w:rsidR="00DC2AB8" w:rsidRPr="00CF3129" w:rsidRDefault="00DC2AB8" w:rsidP="00AB2184">
            <w:pPr>
              <w:jc w:val="center"/>
              <w:rPr>
                <w:rFonts w:ascii="Gill Sans MT" w:hAnsi="Gill Sans MT"/>
                <w:b/>
                <w:bCs/>
              </w:rPr>
            </w:pPr>
            <w:r w:rsidRPr="00CF3129">
              <w:rPr>
                <w:rFonts w:ascii="Gill Sans MT" w:hAnsi="Gill Sans MT" w:cstheme="minorHAnsi"/>
                <w:b/>
                <w:sz w:val="18"/>
                <w:szCs w:val="18"/>
              </w:rPr>
              <w:t>Theme</w:t>
            </w:r>
          </w:p>
        </w:tc>
        <w:tc>
          <w:tcPr>
            <w:tcW w:w="6004" w:type="dxa"/>
            <w:shd w:val="clear" w:color="auto" w:fill="002060"/>
          </w:tcPr>
          <w:p w14:paraId="10A8DB66" w14:textId="77777777" w:rsidR="00DC2AB8" w:rsidRPr="00CF3129" w:rsidRDefault="00DC2AB8" w:rsidP="00AB2184">
            <w:pPr>
              <w:jc w:val="center"/>
              <w:rPr>
                <w:rFonts w:ascii="Gill Sans MT" w:hAnsi="Gill Sans MT"/>
                <w:b/>
                <w:bCs/>
              </w:rPr>
            </w:pPr>
            <w:r w:rsidRPr="00CF3129">
              <w:rPr>
                <w:rFonts w:ascii="Gill Sans MT" w:hAnsi="Gill Sans MT"/>
                <w:b/>
                <w:bCs/>
              </w:rPr>
              <w:t>Source documents</w:t>
            </w:r>
          </w:p>
        </w:tc>
        <w:tc>
          <w:tcPr>
            <w:tcW w:w="4984" w:type="dxa"/>
            <w:shd w:val="clear" w:color="auto" w:fill="002060"/>
          </w:tcPr>
          <w:p w14:paraId="59E40120" w14:textId="07829D93" w:rsidR="00DC2AB8" w:rsidRPr="00CF3129" w:rsidRDefault="00DC2AB8" w:rsidP="00AB2184">
            <w:pPr>
              <w:jc w:val="center"/>
              <w:rPr>
                <w:rFonts w:ascii="Gill Sans MT" w:hAnsi="Gill Sans MT"/>
                <w:b/>
                <w:bCs/>
              </w:rPr>
            </w:pPr>
            <w:r w:rsidRPr="00CF3129">
              <w:rPr>
                <w:rFonts w:ascii="Gill Sans MT" w:hAnsi="Gill Sans MT"/>
                <w:b/>
                <w:bCs/>
              </w:rPr>
              <w:t>Data/Information</w:t>
            </w:r>
          </w:p>
        </w:tc>
      </w:tr>
      <w:tr w:rsidR="00DC2AB8" w:rsidRPr="00CF3129" w14:paraId="20B68B08" w14:textId="1B0C1832" w:rsidTr="00DC2AB8">
        <w:tc>
          <w:tcPr>
            <w:tcW w:w="1962" w:type="dxa"/>
          </w:tcPr>
          <w:p w14:paraId="5ABD432B" w14:textId="129F3C04" w:rsidR="00DC2AB8" w:rsidRPr="00CF3129" w:rsidRDefault="00DC2AB8" w:rsidP="00AB2184">
            <w:pPr>
              <w:jc w:val="both"/>
              <w:rPr>
                <w:rFonts w:ascii="Gill Sans MT" w:hAnsi="Gill Sans MT"/>
                <w:b/>
                <w:color w:val="000000" w:themeColor="text1"/>
              </w:rPr>
            </w:pPr>
            <w:r w:rsidRPr="00CF3129">
              <w:rPr>
                <w:rFonts w:ascii="Gill Sans MT" w:hAnsi="Gill Sans MT"/>
                <w:b/>
                <w:color w:val="000000" w:themeColor="text1"/>
              </w:rPr>
              <w:t>Service delivery performance data</w:t>
            </w:r>
          </w:p>
        </w:tc>
        <w:tc>
          <w:tcPr>
            <w:tcW w:w="6004" w:type="dxa"/>
          </w:tcPr>
          <w:p w14:paraId="1B2083D4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National Demographic and Health Survey (available online)</w:t>
            </w:r>
          </w:p>
          <w:p w14:paraId="741C2D58" w14:textId="3C6B57EB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spacing w:line="276" w:lineRule="auto"/>
              <w:ind w:right="-243"/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Multiple Indicator Cluster Survey (MICS 2013, 2016-2017, 2021) (available online)</w:t>
            </w:r>
          </w:p>
          <w:p w14:paraId="496E1F60" w14:textId="623BD5E1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spacing w:line="276" w:lineRule="auto"/>
              <w:ind w:right="-243"/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National Health facility Survey report</w:t>
            </w:r>
          </w:p>
        </w:tc>
        <w:tc>
          <w:tcPr>
            <w:tcW w:w="4984" w:type="dxa"/>
          </w:tcPr>
          <w:p w14:paraId="736D28C1" w14:textId="7B3DC603" w:rsidR="00DC2AB8" w:rsidRPr="00CF3129" w:rsidRDefault="00DB17DD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Trend of state’s service delivery indicators (See </w:t>
            </w:r>
            <w:r w:rsidR="00526E0E">
              <w:rPr>
                <w:rFonts w:ascii="Gill Sans MT" w:hAnsi="Gill Sans MT"/>
              </w:rPr>
              <w:t>section B</w:t>
            </w:r>
            <w:r w:rsidRPr="00CF3129">
              <w:rPr>
                <w:rFonts w:ascii="Gill Sans MT" w:hAnsi="Gill Sans MT"/>
              </w:rPr>
              <w:t>)</w:t>
            </w:r>
          </w:p>
          <w:p w14:paraId="3A08FB66" w14:textId="289BA090" w:rsidR="00DB17DD" w:rsidRPr="00CF3129" w:rsidRDefault="00DB17DD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Facility service delivery indicators </w:t>
            </w:r>
          </w:p>
        </w:tc>
      </w:tr>
      <w:tr w:rsidR="00DC2AB8" w:rsidRPr="00CF3129" w14:paraId="408066B5" w14:textId="05A14B9B" w:rsidTr="00DC2AB8">
        <w:tc>
          <w:tcPr>
            <w:tcW w:w="1962" w:type="dxa"/>
          </w:tcPr>
          <w:p w14:paraId="4544CFAD" w14:textId="48898600" w:rsidR="00DC2AB8" w:rsidRPr="00CF3129" w:rsidRDefault="00DC2AB8" w:rsidP="00A40865">
            <w:pPr>
              <w:jc w:val="both"/>
              <w:rPr>
                <w:rFonts w:ascii="Gill Sans MT" w:hAnsi="Gill Sans MT"/>
                <w:b/>
                <w:color w:val="000000" w:themeColor="text1"/>
              </w:rPr>
            </w:pPr>
            <w:r w:rsidRPr="00CF3129">
              <w:rPr>
                <w:rFonts w:ascii="Gill Sans MT" w:hAnsi="Gill Sans MT" w:cstheme="minorHAnsi"/>
                <w:b/>
                <w:color w:val="000000" w:themeColor="text1"/>
              </w:rPr>
              <w:t xml:space="preserve">Analysis of </w:t>
            </w:r>
            <w:r w:rsidR="00A40865" w:rsidRPr="00CF3129">
              <w:rPr>
                <w:rFonts w:ascii="Gill Sans MT" w:hAnsi="Gill Sans MT" w:cstheme="minorHAnsi"/>
                <w:b/>
                <w:color w:val="000000" w:themeColor="text1"/>
              </w:rPr>
              <w:t xml:space="preserve">HRH </w:t>
            </w:r>
            <w:r w:rsidRPr="00CF3129">
              <w:rPr>
                <w:rFonts w:ascii="Gill Sans MT" w:hAnsi="Gill Sans MT" w:cstheme="minorHAnsi"/>
                <w:b/>
                <w:color w:val="000000" w:themeColor="text1"/>
              </w:rPr>
              <w:t xml:space="preserve">Policy </w:t>
            </w:r>
            <w:r w:rsidR="00A40865">
              <w:rPr>
                <w:rFonts w:ascii="Gill Sans MT" w:hAnsi="Gill Sans MT" w:cstheme="minorHAnsi"/>
                <w:b/>
                <w:color w:val="000000" w:themeColor="text1"/>
              </w:rPr>
              <w:t xml:space="preserve">and </w:t>
            </w:r>
            <w:r w:rsidRPr="00CF3129">
              <w:rPr>
                <w:rFonts w:ascii="Gill Sans MT" w:hAnsi="Gill Sans MT" w:cstheme="minorHAnsi"/>
                <w:b/>
                <w:color w:val="000000" w:themeColor="text1"/>
              </w:rPr>
              <w:t>governance</w:t>
            </w:r>
          </w:p>
        </w:tc>
        <w:tc>
          <w:tcPr>
            <w:tcW w:w="6004" w:type="dxa"/>
          </w:tcPr>
          <w:p w14:paraId="25F43CD2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State Development Plan </w:t>
            </w:r>
          </w:p>
          <w:p w14:paraId="25CE0C4C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State Strategic Health Development Plan </w:t>
            </w:r>
          </w:p>
          <w:p w14:paraId="6CBA8870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State Health Policy </w:t>
            </w:r>
          </w:p>
          <w:p w14:paraId="4B111FCE" w14:textId="27D4B42B" w:rsidR="00DC2AB8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Human Resource for Health Policy and Strategy</w:t>
            </w:r>
          </w:p>
          <w:p w14:paraId="2610A80B" w14:textId="1BFC338E" w:rsidR="00B636D7" w:rsidRPr="00B636D7" w:rsidRDefault="00B636D7" w:rsidP="00B636D7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Task shifting and Sharing Policy</w:t>
            </w:r>
          </w:p>
          <w:p w14:paraId="033FBC92" w14:textId="1238407E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spacing w:line="276" w:lineRule="auto"/>
              <w:ind w:right="-243"/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Law establishing the State Primary Health Care Agency </w:t>
            </w:r>
          </w:p>
          <w:p w14:paraId="38BC4617" w14:textId="7D18961A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spacing w:line="276" w:lineRule="auto"/>
              <w:ind w:right="-243"/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Operational Guideline for State Primary Health care Agency/Board</w:t>
            </w:r>
          </w:p>
          <w:p w14:paraId="33436B71" w14:textId="545E0EC1" w:rsidR="00DC2AB8" w:rsidRPr="00CF3129" w:rsidRDefault="00875E24" w:rsidP="00AB2184">
            <w:pPr>
              <w:pStyle w:val="ListParagraph"/>
              <w:numPr>
                <w:ilvl w:val="0"/>
                <w:numId w:val="5"/>
              </w:numPr>
              <w:spacing w:line="276" w:lineRule="auto"/>
              <w:ind w:right="-24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Human </w:t>
            </w:r>
            <w:r w:rsidR="00DC2AB8" w:rsidRPr="00CF3129">
              <w:rPr>
                <w:rFonts w:ascii="Gill Sans MT" w:hAnsi="Gill Sans MT"/>
              </w:rPr>
              <w:t>Resource Optimization Strategy</w:t>
            </w:r>
          </w:p>
          <w:p w14:paraId="37CF8B56" w14:textId="7DD9618A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spacing w:line="276" w:lineRule="auto"/>
              <w:ind w:right="-243"/>
              <w:rPr>
                <w:rFonts w:ascii="Gill Sans MT" w:hAnsi="Gill Sans MT"/>
                <w:color w:val="000000" w:themeColor="text1"/>
              </w:rPr>
            </w:pPr>
            <w:r w:rsidRPr="00CF3129">
              <w:rPr>
                <w:rFonts w:ascii="Gill Sans MT" w:hAnsi="Gill Sans MT"/>
                <w:color w:val="000000" w:themeColor="text1"/>
              </w:rPr>
              <w:t>Quality of care Strategy</w:t>
            </w:r>
          </w:p>
          <w:p w14:paraId="3F31CE9B" w14:textId="5CF8604C" w:rsidR="00DC2AB8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PHCUOR implementation score card</w:t>
            </w:r>
          </w:p>
          <w:p w14:paraId="3F931A87" w14:textId="70E1C57B" w:rsidR="000C6045" w:rsidRDefault="000C6045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SSHIS scorecard</w:t>
            </w:r>
          </w:p>
          <w:p w14:paraId="2061F39A" w14:textId="0E2AE266" w:rsidR="00F8475F" w:rsidRPr="00CF3129" w:rsidRDefault="00F8475F" w:rsidP="00584EDC">
            <w:pPr>
              <w:pStyle w:val="ListParagraph"/>
              <w:rPr>
                <w:rFonts w:ascii="Gill Sans MT" w:hAnsi="Gill Sans MT"/>
              </w:rPr>
            </w:pPr>
          </w:p>
          <w:p w14:paraId="6873E0B5" w14:textId="23949E3C" w:rsidR="00DC2AB8" w:rsidRPr="00CF3129" w:rsidRDefault="00DC2AB8" w:rsidP="00AB2184">
            <w:pPr>
              <w:pStyle w:val="ListParagraph"/>
              <w:shd w:val="clear" w:color="auto" w:fill="FFFFFF"/>
              <w:ind w:left="360"/>
              <w:rPr>
                <w:rFonts w:ascii="Gill Sans MT" w:hAnsi="Gill Sans MT"/>
              </w:rPr>
            </w:pPr>
          </w:p>
        </w:tc>
        <w:tc>
          <w:tcPr>
            <w:tcW w:w="4984" w:type="dxa"/>
          </w:tcPr>
          <w:p w14:paraId="170CC4EB" w14:textId="10C5F82A" w:rsidR="00EF1726" w:rsidRPr="00EF1726" w:rsidRDefault="00722745" w:rsidP="00EF1726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State </w:t>
            </w:r>
            <w:r w:rsidR="00A40865">
              <w:rPr>
                <w:rFonts w:ascii="Gill Sans MT" w:hAnsi="Gill Sans MT"/>
              </w:rPr>
              <w:t xml:space="preserve">demographic </w:t>
            </w:r>
            <w:r w:rsidR="00EF1726">
              <w:rPr>
                <w:rFonts w:ascii="Gill Sans MT" w:hAnsi="Gill Sans MT"/>
              </w:rPr>
              <w:t>information</w:t>
            </w:r>
          </w:p>
          <w:p w14:paraId="6B73A39B" w14:textId="77777777" w:rsidR="00EF1726" w:rsidRDefault="00EF1726" w:rsidP="00EF1726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Current health sector landscape</w:t>
            </w:r>
          </w:p>
          <w:p w14:paraId="21E6A48D" w14:textId="77777777" w:rsidR="00EF1726" w:rsidRDefault="00EF1726" w:rsidP="00EF1726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Health sector governance structure</w:t>
            </w:r>
          </w:p>
          <w:p w14:paraId="3693F146" w14:textId="0DD3D860" w:rsidR="00722745" w:rsidRDefault="00BC39F5" w:rsidP="00EF1726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3209BD7" wp14:editId="68862A97">
                      <wp:simplePos x="0" y="0"/>
                      <wp:positionH relativeFrom="column">
                        <wp:posOffset>1463238</wp:posOffset>
                      </wp:positionH>
                      <wp:positionV relativeFrom="paragraph">
                        <wp:posOffset>113753</wp:posOffset>
                      </wp:positionV>
                      <wp:extent cx="360" cy="360"/>
                      <wp:effectExtent l="38100" t="38100" r="38100" b="38100"/>
                      <wp:wrapNone/>
                      <wp:docPr id="1556577640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F4508B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114.7pt;margin-top:8.4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">
                      <v:imagedata r:id="rId6" o:title=""/>
                    </v:shape>
                  </w:pict>
                </mc:Fallback>
              </mc:AlternateContent>
            </w:r>
            <w:r w:rsidR="00EF1726">
              <w:rPr>
                <w:rFonts w:ascii="Gill Sans MT" w:hAnsi="Gill Sans MT"/>
              </w:rPr>
              <w:t>Health policy thrusts</w:t>
            </w:r>
          </w:p>
          <w:p w14:paraId="071ACE3D" w14:textId="52DF1762" w:rsidR="000C6045" w:rsidRDefault="000C6045" w:rsidP="00EF1726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Status of implementation o</w:t>
            </w:r>
            <w:r w:rsidR="00F8475F">
              <w:rPr>
                <w:rFonts w:ascii="Gill Sans MT" w:hAnsi="Gill Sans MT"/>
              </w:rPr>
              <w:t>f</w:t>
            </w:r>
            <w:r>
              <w:rPr>
                <w:rFonts w:ascii="Gill Sans MT" w:hAnsi="Gill Sans MT"/>
              </w:rPr>
              <w:t xml:space="preserve"> health policy thrusts</w:t>
            </w:r>
          </w:p>
          <w:p w14:paraId="3948038A" w14:textId="625C5D08" w:rsidR="00EF1726" w:rsidRPr="00EF1726" w:rsidRDefault="00EF1726" w:rsidP="00EF1726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Health strategic plan and interventions</w:t>
            </w:r>
          </w:p>
          <w:p w14:paraId="267B220F" w14:textId="4DC974BE" w:rsidR="00EF1726" w:rsidRDefault="00EF1726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Human Resource for health data (See</w:t>
            </w:r>
            <w:r w:rsidR="00526E0E">
              <w:rPr>
                <w:rFonts w:ascii="Gill Sans MT" w:hAnsi="Gill Sans MT"/>
              </w:rPr>
              <w:t xml:space="preserve"> section D</w:t>
            </w:r>
            <w:r>
              <w:rPr>
                <w:rFonts w:ascii="Gill Sans MT" w:hAnsi="Gill Sans MT"/>
              </w:rPr>
              <w:t>)</w:t>
            </w:r>
          </w:p>
          <w:p w14:paraId="08BDF1C6" w14:textId="2AB3C0F3" w:rsidR="00DC2AB8" w:rsidRDefault="00722745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State </w:t>
            </w:r>
            <w:r w:rsidR="00EF1726">
              <w:rPr>
                <w:rFonts w:ascii="Gill Sans MT" w:hAnsi="Gill Sans MT"/>
              </w:rPr>
              <w:t>HRH policy</w:t>
            </w:r>
          </w:p>
          <w:p w14:paraId="4CFE052A" w14:textId="0A2EC473" w:rsidR="00EF1726" w:rsidRDefault="00875E24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State HRH governance structure</w:t>
            </w:r>
          </w:p>
          <w:p w14:paraId="58E4FC7B" w14:textId="5390F0BA" w:rsidR="006630A2" w:rsidRPr="006630A2" w:rsidRDefault="00875E24" w:rsidP="006630A2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State HRH plan and interventions</w:t>
            </w:r>
          </w:p>
          <w:p w14:paraId="52DD47E8" w14:textId="35B250F9" w:rsidR="000C6045" w:rsidRDefault="000C6045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Strategies for optimizing human resource for health</w:t>
            </w:r>
          </w:p>
          <w:p w14:paraId="1A81F14D" w14:textId="49131346" w:rsidR="00722745" w:rsidRDefault="00722745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Quality of care indicators</w:t>
            </w:r>
            <w:r w:rsidR="00526E0E">
              <w:rPr>
                <w:rFonts w:ascii="Gill Sans MT" w:hAnsi="Gill Sans MT"/>
              </w:rPr>
              <w:t xml:space="preserve"> (see section C)</w:t>
            </w:r>
          </w:p>
          <w:p w14:paraId="17DE1ABB" w14:textId="2682F185" w:rsidR="000C6045" w:rsidRPr="00CF3129" w:rsidRDefault="000C6045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Quality of care interventions</w:t>
            </w:r>
          </w:p>
        </w:tc>
      </w:tr>
      <w:tr w:rsidR="00DC2AB8" w:rsidRPr="00CF3129" w14:paraId="091AB045" w14:textId="3EB42BDC" w:rsidTr="00DC2AB8">
        <w:tc>
          <w:tcPr>
            <w:tcW w:w="1962" w:type="dxa"/>
          </w:tcPr>
          <w:p w14:paraId="4C683311" w14:textId="1F6203C5" w:rsidR="00DC2AB8" w:rsidRPr="00CF3129" w:rsidRDefault="00DC2AB8" w:rsidP="00AB2184">
            <w:pPr>
              <w:jc w:val="both"/>
              <w:rPr>
                <w:rFonts w:ascii="Gill Sans MT" w:hAnsi="Gill Sans MT" w:cstheme="minorHAnsi"/>
                <w:b/>
                <w:color w:val="000000" w:themeColor="text1"/>
              </w:rPr>
            </w:pPr>
            <w:r w:rsidRPr="00CF3129">
              <w:rPr>
                <w:rFonts w:ascii="Gill Sans MT" w:hAnsi="Gill Sans MT" w:cstheme="minorHAnsi"/>
                <w:b/>
                <w:color w:val="000000" w:themeColor="text1"/>
              </w:rPr>
              <w:t>Financing</w:t>
            </w:r>
          </w:p>
        </w:tc>
        <w:tc>
          <w:tcPr>
            <w:tcW w:w="6004" w:type="dxa"/>
          </w:tcPr>
          <w:p w14:paraId="6BB1EB16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 xml:space="preserve">Health Financing Policy and Strategy </w:t>
            </w:r>
          </w:p>
          <w:p w14:paraId="5DFF1597" w14:textId="130EEBCE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State Budget (2016-2022)</w:t>
            </w:r>
          </w:p>
          <w:p w14:paraId="29EE1A1A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Accountant General’s report (2026-2022)</w:t>
            </w:r>
          </w:p>
          <w:p w14:paraId="322679C8" w14:textId="210178CB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Expenditure Tracking Reports</w:t>
            </w:r>
          </w:p>
        </w:tc>
        <w:tc>
          <w:tcPr>
            <w:tcW w:w="4984" w:type="dxa"/>
          </w:tcPr>
          <w:p w14:paraId="0C0A1D56" w14:textId="6A6471CE" w:rsidR="00EB3DAD" w:rsidRDefault="00F8475F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State </w:t>
            </w:r>
            <w:r w:rsidR="00EB3DAD">
              <w:rPr>
                <w:rFonts w:ascii="Gill Sans MT" w:hAnsi="Gill Sans MT"/>
              </w:rPr>
              <w:t>Healthcare financing landscape</w:t>
            </w:r>
          </w:p>
          <w:p w14:paraId="2DFC2C94" w14:textId="21C79894" w:rsidR="00EB3DAD" w:rsidRDefault="00F8475F" w:rsidP="00722745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Strategies for</w:t>
            </w:r>
            <w:r w:rsidR="00EB3DAD">
              <w:rPr>
                <w:rFonts w:ascii="Gill Sans MT" w:hAnsi="Gill Sans MT"/>
              </w:rPr>
              <w:t xml:space="preserve"> financing health care</w:t>
            </w:r>
          </w:p>
          <w:p w14:paraId="3A23D062" w14:textId="551685E3" w:rsidR="00722745" w:rsidRPr="00CF3129" w:rsidRDefault="006630A2" w:rsidP="0072274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Trend of </w:t>
            </w:r>
            <w:r w:rsidR="00722745" w:rsidRPr="00CF3129">
              <w:rPr>
                <w:rFonts w:ascii="Gill Sans MT" w:hAnsi="Gill Sans MT"/>
              </w:rPr>
              <w:t xml:space="preserve">State Health Personnel </w:t>
            </w:r>
            <w:r>
              <w:rPr>
                <w:rFonts w:ascii="Gill Sans MT" w:hAnsi="Gill Sans MT"/>
              </w:rPr>
              <w:t xml:space="preserve">Budget &amp; </w:t>
            </w:r>
            <w:r w:rsidR="00722745" w:rsidRPr="00CF3129">
              <w:rPr>
                <w:rFonts w:ascii="Gill Sans MT" w:hAnsi="Gill Sans MT"/>
              </w:rPr>
              <w:t>Expenditure</w:t>
            </w:r>
            <w:r>
              <w:rPr>
                <w:rFonts w:ascii="Gill Sans MT" w:hAnsi="Gill Sans MT"/>
              </w:rPr>
              <w:t xml:space="preserve"> (2017 – 2022)</w:t>
            </w:r>
            <w:r w:rsidR="00526E0E">
              <w:rPr>
                <w:rFonts w:ascii="Gill Sans MT" w:hAnsi="Gill Sans MT"/>
              </w:rPr>
              <w:t xml:space="preserve"> (see section E)</w:t>
            </w:r>
          </w:p>
          <w:p w14:paraId="20564077" w14:textId="77777777" w:rsidR="00DC2AB8" w:rsidRDefault="00722745" w:rsidP="0072274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State Health Personnel Expenditure as a proportion of Health Expenditure</w:t>
            </w:r>
          </w:p>
          <w:p w14:paraId="21036C0B" w14:textId="2B41F29B" w:rsidR="006630A2" w:rsidRPr="00CF3129" w:rsidRDefault="00B636D7" w:rsidP="0072274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State Health Expenditure as a Proportion of the State Total Expenditure </w:t>
            </w:r>
          </w:p>
        </w:tc>
      </w:tr>
      <w:tr w:rsidR="00DC2AB8" w:rsidRPr="00CF3129" w14:paraId="7E950D02" w14:textId="1B54A2A9" w:rsidTr="00DC2AB8">
        <w:trPr>
          <w:trHeight w:val="720"/>
        </w:trPr>
        <w:tc>
          <w:tcPr>
            <w:tcW w:w="1962" w:type="dxa"/>
          </w:tcPr>
          <w:p w14:paraId="60F3E3C8" w14:textId="77777777" w:rsidR="00DC2AB8" w:rsidRPr="00CF3129" w:rsidRDefault="00DC2AB8" w:rsidP="00AB2184">
            <w:pPr>
              <w:rPr>
                <w:rFonts w:ascii="Gill Sans MT" w:hAnsi="Gill Sans MT" w:cstheme="minorHAnsi"/>
                <w:b/>
                <w:color w:val="000000" w:themeColor="text1"/>
              </w:rPr>
            </w:pPr>
            <w:r w:rsidRPr="00CF3129">
              <w:rPr>
                <w:rFonts w:ascii="Gill Sans MT" w:hAnsi="Gill Sans MT" w:cstheme="minorHAnsi"/>
                <w:b/>
                <w:color w:val="000000" w:themeColor="text1"/>
              </w:rPr>
              <w:lastRenderedPageBreak/>
              <w:t>HRH Management and regulation</w:t>
            </w:r>
          </w:p>
          <w:p w14:paraId="5A46E8F0" w14:textId="4B7EF7C3" w:rsidR="00DC2AB8" w:rsidRPr="00CF3129" w:rsidRDefault="00DC2AB8" w:rsidP="00AB2184">
            <w:pPr>
              <w:rPr>
                <w:rFonts w:ascii="Gill Sans MT" w:hAnsi="Gill Sans MT"/>
                <w:b/>
                <w:color w:val="000000" w:themeColor="text1"/>
              </w:rPr>
            </w:pPr>
            <w:r w:rsidRPr="00CF3129">
              <w:rPr>
                <w:rFonts w:ascii="Gill Sans MT" w:hAnsi="Gill Sans MT" w:cstheme="minorHAnsi"/>
                <w:b/>
                <w:color w:val="000000" w:themeColor="text1"/>
              </w:rPr>
              <w:t xml:space="preserve"> HRH Optimization </w:t>
            </w:r>
          </w:p>
        </w:tc>
        <w:tc>
          <w:tcPr>
            <w:tcW w:w="6004" w:type="dxa"/>
          </w:tcPr>
          <w:p w14:paraId="18208F0E" w14:textId="5083BEDD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Human Resource for Health Policy and Strategy</w:t>
            </w:r>
          </w:p>
          <w:p w14:paraId="693E0A2F" w14:textId="6CE70EE8" w:rsidR="00DC2AB8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Task shifting and Sharing Policy</w:t>
            </w:r>
          </w:p>
          <w:p w14:paraId="7733CA99" w14:textId="664B5944" w:rsidR="00B636D7" w:rsidRDefault="00B636D7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Staffing plan</w:t>
            </w:r>
          </w:p>
          <w:p w14:paraId="19FAA85A" w14:textId="39FE27D8" w:rsidR="00B636D7" w:rsidRPr="00CF3129" w:rsidRDefault="004E5FD5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Staff audit reports</w:t>
            </w:r>
          </w:p>
          <w:p w14:paraId="51352338" w14:textId="77777777" w:rsidR="00DC2AB8" w:rsidRPr="00CF3129" w:rsidRDefault="00DC2A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CF3129">
              <w:rPr>
                <w:rFonts w:ascii="Gill Sans MT" w:hAnsi="Gill Sans MT"/>
              </w:rPr>
              <w:t>PHCUOR implementation score card</w:t>
            </w:r>
          </w:p>
        </w:tc>
        <w:tc>
          <w:tcPr>
            <w:tcW w:w="4984" w:type="dxa"/>
          </w:tcPr>
          <w:p w14:paraId="0A976414" w14:textId="7BE53A6E" w:rsidR="00B636D7" w:rsidRDefault="004E5FD5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Trend of HRH workforce </w:t>
            </w:r>
          </w:p>
          <w:p w14:paraId="1B128FC1" w14:textId="194BF1E7" w:rsidR="003013C9" w:rsidRDefault="000D68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Strategies for </w:t>
            </w:r>
            <w:r w:rsidR="00D35B31">
              <w:rPr>
                <w:rFonts w:ascii="Gill Sans MT" w:hAnsi="Gill Sans MT"/>
              </w:rPr>
              <w:t xml:space="preserve">HRH </w:t>
            </w:r>
            <w:r>
              <w:rPr>
                <w:rFonts w:ascii="Gill Sans MT" w:hAnsi="Gill Sans MT"/>
              </w:rPr>
              <w:t>monitoring and supervision</w:t>
            </w:r>
          </w:p>
          <w:p w14:paraId="18F0FDDF" w14:textId="4D4FBA9D" w:rsidR="000D68B8" w:rsidRPr="00CF3129" w:rsidRDefault="000D68B8" w:rsidP="00AB2184">
            <w:pPr>
              <w:pStyle w:val="ListParagraph"/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Strategies for</w:t>
            </w:r>
            <w:r w:rsidR="00D35B31">
              <w:rPr>
                <w:rFonts w:ascii="Gill Sans MT" w:hAnsi="Gill Sans MT"/>
              </w:rPr>
              <w:t xml:space="preserve"> HRH</w:t>
            </w:r>
            <w:r>
              <w:rPr>
                <w:rFonts w:ascii="Gill Sans MT" w:hAnsi="Gill Sans MT"/>
              </w:rPr>
              <w:t xml:space="preserve"> performance management</w:t>
            </w:r>
          </w:p>
        </w:tc>
      </w:tr>
    </w:tbl>
    <w:p w14:paraId="06554B03" w14:textId="3807C920" w:rsidR="00DD688D" w:rsidRPr="00CF3129" w:rsidRDefault="00DD688D" w:rsidP="00DD688D">
      <w:pPr>
        <w:rPr>
          <w:rFonts w:ascii="Gill Sans MT" w:hAnsi="Gill Sans MT"/>
        </w:rPr>
      </w:pPr>
    </w:p>
    <w:sectPr w:rsidR="00DD688D" w:rsidRPr="00CF3129" w:rsidSect="005711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6344"/>
    <w:multiLevelType w:val="hybridMultilevel"/>
    <w:tmpl w:val="00FE8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49208A"/>
    <w:multiLevelType w:val="hybridMultilevel"/>
    <w:tmpl w:val="69381E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1321A"/>
    <w:multiLevelType w:val="hybridMultilevel"/>
    <w:tmpl w:val="89FC14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BB0280"/>
    <w:multiLevelType w:val="hybridMultilevel"/>
    <w:tmpl w:val="BD588010"/>
    <w:lvl w:ilvl="0" w:tplc="402678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3C50FA"/>
    <w:multiLevelType w:val="hybridMultilevel"/>
    <w:tmpl w:val="6510A73A"/>
    <w:lvl w:ilvl="0" w:tplc="402678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884341"/>
    <w:multiLevelType w:val="hybridMultilevel"/>
    <w:tmpl w:val="CF02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D7797"/>
    <w:multiLevelType w:val="hybridMultilevel"/>
    <w:tmpl w:val="FE3CCF36"/>
    <w:lvl w:ilvl="0" w:tplc="402678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3745026">
    <w:abstractNumId w:val="0"/>
  </w:num>
  <w:num w:numId="2" w16cid:durableId="1079012885">
    <w:abstractNumId w:val="3"/>
  </w:num>
  <w:num w:numId="3" w16cid:durableId="1851218738">
    <w:abstractNumId w:val="4"/>
  </w:num>
  <w:num w:numId="4" w16cid:durableId="966274478">
    <w:abstractNumId w:val="6"/>
  </w:num>
  <w:num w:numId="5" w16cid:durableId="1401948321">
    <w:abstractNumId w:val="5"/>
  </w:num>
  <w:num w:numId="6" w16cid:durableId="435710853">
    <w:abstractNumId w:val="1"/>
  </w:num>
  <w:num w:numId="7" w16cid:durableId="1012759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8D"/>
    <w:rsid w:val="000354D6"/>
    <w:rsid w:val="00042DE7"/>
    <w:rsid w:val="000C6045"/>
    <w:rsid w:val="000D68B8"/>
    <w:rsid w:val="000E38A2"/>
    <w:rsid w:val="00124BC1"/>
    <w:rsid w:val="00251852"/>
    <w:rsid w:val="0025492D"/>
    <w:rsid w:val="002920AA"/>
    <w:rsid w:val="002D7D8D"/>
    <w:rsid w:val="003013C9"/>
    <w:rsid w:val="0043711B"/>
    <w:rsid w:val="00476754"/>
    <w:rsid w:val="00487F62"/>
    <w:rsid w:val="004B5FA4"/>
    <w:rsid w:val="004D210E"/>
    <w:rsid w:val="004E28A6"/>
    <w:rsid w:val="004E5FD5"/>
    <w:rsid w:val="0051411F"/>
    <w:rsid w:val="00526E0E"/>
    <w:rsid w:val="00571117"/>
    <w:rsid w:val="00584EDC"/>
    <w:rsid w:val="006630A2"/>
    <w:rsid w:val="00695EEC"/>
    <w:rsid w:val="006A51E8"/>
    <w:rsid w:val="00722745"/>
    <w:rsid w:val="00760933"/>
    <w:rsid w:val="007E7E31"/>
    <w:rsid w:val="00875E24"/>
    <w:rsid w:val="008C33E3"/>
    <w:rsid w:val="008D3A5F"/>
    <w:rsid w:val="00A40865"/>
    <w:rsid w:val="00A67161"/>
    <w:rsid w:val="00AB2184"/>
    <w:rsid w:val="00B2453F"/>
    <w:rsid w:val="00B636D7"/>
    <w:rsid w:val="00B8281C"/>
    <w:rsid w:val="00BB36B1"/>
    <w:rsid w:val="00BC39F5"/>
    <w:rsid w:val="00C720E1"/>
    <w:rsid w:val="00CA10B1"/>
    <w:rsid w:val="00CE02A4"/>
    <w:rsid w:val="00CF3129"/>
    <w:rsid w:val="00D35B31"/>
    <w:rsid w:val="00D3709F"/>
    <w:rsid w:val="00DA08B3"/>
    <w:rsid w:val="00DB17DD"/>
    <w:rsid w:val="00DC14E6"/>
    <w:rsid w:val="00DC2AB8"/>
    <w:rsid w:val="00DD688D"/>
    <w:rsid w:val="00E21112"/>
    <w:rsid w:val="00EB3DAD"/>
    <w:rsid w:val="00EB7A9D"/>
    <w:rsid w:val="00EF1726"/>
    <w:rsid w:val="00F8475F"/>
    <w:rsid w:val="00F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6A940"/>
  <w15:chartTrackingRefBased/>
  <w15:docId w15:val="{E17DB50C-FC05-47E6-95AD-2AE075ED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88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88D"/>
    <w:pPr>
      <w:ind w:left="720"/>
      <w:contextualSpacing/>
    </w:pPr>
  </w:style>
  <w:style w:type="paragraph" w:styleId="NoSpacing">
    <w:name w:val="No Spacing"/>
    <w:uiPriority w:val="1"/>
    <w:qFormat/>
    <w:rsid w:val="00DD688D"/>
    <w:pPr>
      <w:spacing w:after="0" w:line="240" w:lineRule="auto"/>
    </w:pPr>
  </w:style>
  <w:style w:type="table" w:customStyle="1" w:styleId="GridTable4-Accent51">
    <w:name w:val="Grid Table 4 - Accent 51"/>
    <w:basedOn w:val="TableNormal"/>
    <w:uiPriority w:val="49"/>
    <w:rsid w:val="00695EEC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6T14:04:20.09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0 0 16583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 Consult Limited</dc:creator>
  <cp:keywords/>
  <dc:description/>
  <cp:lastModifiedBy>Abdul-Rahman Ajibola</cp:lastModifiedBy>
  <cp:revision>4</cp:revision>
  <dcterms:created xsi:type="dcterms:W3CDTF">2025-05-06T08:30:00Z</dcterms:created>
  <dcterms:modified xsi:type="dcterms:W3CDTF">2025-05-06T14:04:00Z</dcterms:modified>
</cp:coreProperties>
</file>