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29" w:rsidRDefault="00E52454" w:rsidP="00177429">
      <w:pPr>
        <w:pStyle w:val="Heading1"/>
      </w:pPr>
      <w:r>
        <w:t xml:space="preserve">Additional file 1: </w:t>
      </w:r>
      <w:r w:rsidR="00177429">
        <w:t>Supplementary Methods</w:t>
      </w:r>
    </w:p>
    <w:p w:rsidR="00177429" w:rsidRDefault="00177429" w:rsidP="00177429"/>
    <w:p w:rsidR="00177429" w:rsidRDefault="00177429" w:rsidP="00177429">
      <w:pPr>
        <w:spacing w:line="480" w:lineRule="auto"/>
      </w:pPr>
      <w:r>
        <w:t>The detailed methodology used in each individual UK Health Research Analysis is explained in more detail within the published reports</w:t>
      </w:r>
      <w:r>
        <w:rPr>
          <w:rStyle w:val="EndnoteReference"/>
        </w:rPr>
        <w:endnoteReference w:id="1"/>
      </w:r>
      <w:r>
        <w:t>. It is not our intention to simply replicate this information, but instead show how a standardised methodological approach was used across our ten year reporting period to allow comparable analysis of the UK health research portfolio over time.</w:t>
      </w:r>
    </w:p>
    <w:p w:rsidR="00177429" w:rsidRDefault="00177429" w:rsidP="00177429">
      <w:pPr>
        <w:pStyle w:val="Heading3"/>
      </w:pPr>
      <w:r>
        <w:t>Administrative organisation of HRCS reporting and estimating analysis costs</w:t>
      </w:r>
    </w:p>
    <w:p w:rsidR="00177429" w:rsidRPr="004D3348" w:rsidRDefault="00177429" w:rsidP="00177429">
      <w:pPr>
        <w:spacing w:line="480" w:lineRule="auto"/>
      </w:pPr>
      <w:r>
        <w:t xml:space="preserve">The first UK Health Research Analysis (2004/05) required </w:t>
      </w:r>
      <w:r w:rsidRPr="004D3348">
        <w:t xml:space="preserve">four dedicated </w:t>
      </w:r>
      <w:r>
        <w:t xml:space="preserve">UKCRC </w:t>
      </w:r>
      <w:r w:rsidRPr="004D3348">
        <w:t>secretariat staff working full time, with additional support from participat</w:t>
      </w:r>
      <w:r>
        <w:t>ing organisation staff.</w:t>
      </w:r>
      <w:r w:rsidRPr="002C19F6">
        <w:t xml:space="preserve"> </w:t>
      </w:r>
      <w:r>
        <w:t>O</w:t>
      </w:r>
      <w:r w:rsidRPr="002C19F6">
        <w:t>nly 5 of 11 participating funders maintained electronic award records and 4660 abstracts (48% of total) were imported manually.</w:t>
      </w:r>
      <w:r>
        <w:t xml:space="preserve"> C</w:t>
      </w:r>
      <w:r w:rsidRPr="004D3348">
        <w:t>omplet</w:t>
      </w:r>
      <w:r>
        <w:t>ion of</w:t>
      </w:r>
      <w:r w:rsidRPr="004D3348">
        <w:t xml:space="preserve"> the analysis and report took 18 months at an estimated cost of £150,000</w:t>
      </w:r>
      <w:r>
        <w:t>, or £185,600 in real terms. Note that i</w:t>
      </w:r>
      <w:r w:rsidRPr="0023477B">
        <w:t xml:space="preserve">n this paper, analysis spending is reported </w:t>
      </w:r>
      <w:r>
        <w:t>‘</w:t>
      </w:r>
      <w:r w:rsidRPr="0023477B">
        <w:t>in real terms</w:t>
      </w:r>
      <w:r>
        <w:t>’</w:t>
      </w:r>
      <w:r w:rsidRPr="0023477B">
        <w:t xml:space="preserve"> meaning 2014 prices, which matches the most recent UK Health Research Analysis</w:t>
      </w:r>
      <w:r>
        <w:t xml:space="preserve"> 2014</w:t>
      </w:r>
      <w:r w:rsidRPr="0023477B">
        <w:t>. This adjustment uses UK GDP deflator data from t</w:t>
      </w:r>
      <w:r>
        <w:t>he ONS, as of December 2014</w:t>
      </w:r>
      <w:r w:rsidRPr="004D3348">
        <w:t>.</w:t>
      </w:r>
    </w:p>
    <w:p w:rsidR="00177429" w:rsidRPr="004D3348" w:rsidRDefault="00177429" w:rsidP="00177429">
      <w:pPr>
        <w:spacing w:line="480" w:lineRule="auto"/>
      </w:pPr>
      <w:r w:rsidRPr="004D3348">
        <w:t>The second UK Health Research Analysis (2009/10)</w:t>
      </w:r>
      <w:r w:rsidRPr="004D3348">
        <w:rPr>
          <w:rStyle w:val="EndnoteReference"/>
        </w:rPr>
        <w:endnoteReference w:id="2"/>
      </w:r>
      <w:r w:rsidRPr="004D3348">
        <w:t xml:space="preserve"> followed a shift in UKCRC policy from centralised resources to </w:t>
      </w:r>
      <w:r>
        <w:t xml:space="preserve">a </w:t>
      </w:r>
      <w:r w:rsidRPr="004D3348">
        <w:t xml:space="preserve">partner-led model. Coordinated via a working group, the Health Research Analysis Forum (HRAF), HRCS coding was carried out </w:t>
      </w:r>
      <w:r>
        <w:t xml:space="preserve">directly </w:t>
      </w:r>
      <w:r w:rsidRPr="004D3348">
        <w:t>by the twelve participating organisation with central database management by the Medical Research Council (MRC). A total of 11,482 awards were collected over a period of 12 months with total project time to publication extending over 18 months. Without a dedicated secretariat, approximately £50,000 of additional contract coding</w:t>
      </w:r>
      <w:r>
        <w:t xml:space="preserve"> was required. The project cost</w:t>
      </w:r>
      <w:r w:rsidRPr="004D3348">
        <w:t xml:space="preserve"> of this new partner-led model, </w:t>
      </w:r>
      <w:r>
        <w:t>primarily the</w:t>
      </w:r>
      <w:r w:rsidRPr="004D3348">
        <w:t xml:space="preserve"> participating funder </w:t>
      </w:r>
      <w:r>
        <w:t>internal staff man hours required to complete coding etc.</w:t>
      </w:r>
      <w:r w:rsidRPr="004D3348">
        <w:t>,</w:t>
      </w:r>
      <w:r>
        <w:t xml:space="preserve"> are</w:t>
      </w:r>
      <w:r w:rsidRPr="004D3348">
        <w:t xml:space="preserve"> difficult to estimate. Based on average coding time per award and with the addition of data analysis and report production, we estimate the </w:t>
      </w:r>
      <w:r>
        <w:t xml:space="preserve">combined </w:t>
      </w:r>
      <w:r w:rsidRPr="004D3348">
        <w:t xml:space="preserve">internal funder </w:t>
      </w:r>
      <w:r>
        <w:t>project cost</w:t>
      </w:r>
      <w:r w:rsidRPr="004D3348">
        <w:t xml:space="preserve"> </w:t>
      </w:r>
      <w:r>
        <w:t>at £30,000, making the overall cost of the 2009/10 analysis £80,000 (£86,700 in real terms).</w:t>
      </w:r>
    </w:p>
    <w:p w:rsidR="00177429" w:rsidRDefault="00177429" w:rsidP="00177429">
      <w:pPr>
        <w:spacing w:line="480" w:lineRule="auto"/>
      </w:pPr>
      <w:r w:rsidRPr="004D3348">
        <w:lastRenderedPageBreak/>
        <w:t>The current HRCS analysis (2014)</w:t>
      </w:r>
      <w:r w:rsidRPr="004D3348">
        <w:rPr>
          <w:rStyle w:val="EndnoteReference"/>
        </w:rPr>
        <w:endnoteReference w:id="3"/>
      </w:r>
      <w:r w:rsidRPr="004D3348">
        <w:t xml:space="preserve"> continued the HRAF coordinated model with the addition of a part time dedicated project manager. This ring-fenced effort allowed for efficient expansion of the analysis to a wider range of UK research funders. In total 64 organisations with 17,021 </w:t>
      </w:r>
      <w:r>
        <w:t>health-</w:t>
      </w:r>
      <w:r w:rsidRPr="004D3348">
        <w:t>relevant awards were analysed</w:t>
      </w:r>
      <w:r>
        <w:t xml:space="preserve"> over a period of</w:t>
      </w:r>
      <w:r w:rsidRPr="004D3348">
        <w:t xml:space="preserve"> 10 months. Contract coders were still employed, although with a reduced workload. Direct costs </w:t>
      </w:r>
      <w:r>
        <w:t xml:space="preserve">for both contract coding and project manager </w:t>
      </w:r>
      <w:r w:rsidRPr="004D3348">
        <w:t>were approximately £42,000 with an estimated £39,000 attributed to internal funder costs.</w:t>
      </w:r>
      <w:r>
        <w:t xml:space="preserve"> </w:t>
      </w:r>
    </w:p>
    <w:p w:rsidR="00177429" w:rsidRPr="004D3348" w:rsidRDefault="00177429" w:rsidP="00177429">
      <w:pPr>
        <w:spacing w:line="480" w:lineRule="auto"/>
      </w:pPr>
      <w:r w:rsidRPr="004D3348">
        <w:t>Data collection and analysis for all three analyses used a combination of MS Excel and MS Access database management</w:t>
      </w:r>
      <w:r>
        <w:t>. Submissions from individual funders required</w:t>
      </w:r>
      <w:r w:rsidRPr="004D3348">
        <w:t xml:space="preserve"> conver</w:t>
      </w:r>
      <w:r>
        <w:t>sion from a</w:t>
      </w:r>
      <w:r w:rsidRPr="004D3348">
        <w:t xml:space="preserve"> single line award information </w:t>
      </w:r>
      <w:r>
        <w:t xml:space="preserve">format (with separate columns for award and coding information) </w:t>
      </w:r>
      <w:r w:rsidRPr="004D3348">
        <w:t xml:space="preserve">into </w:t>
      </w:r>
      <w:r>
        <w:t xml:space="preserve">a </w:t>
      </w:r>
      <w:r w:rsidRPr="004D3348">
        <w:t>multiple line award coding suited to pivot analysis</w:t>
      </w:r>
      <w:r>
        <w:t>. For more details on this process, see the UK Health Research Analysis 2014, page 96 - Appendix 10: Additional Methods</w:t>
      </w:r>
      <w:r w:rsidRPr="004D3348">
        <w:t>. Award commitment was annualised and apportioned between assigned codes to prevent double counting of analysed funds.</w:t>
      </w:r>
    </w:p>
    <w:p w:rsidR="00177429" w:rsidRDefault="00177429" w:rsidP="00177429">
      <w:pPr>
        <w:pStyle w:val="Heading3"/>
      </w:pPr>
      <w:r w:rsidRPr="003A3CF3">
        <w:rPr>
          <w:i/>
        </w:rPr>
        <w:t>From Donation to Innovation</w:t>
      </w:r>
      <w:r w:rsidRPr="002C19F6">
        <w:t xml:space="preserve"> </w:t>
      </w:r>
      <w:r>
        <w:t>(2007)</w:t>
      </w:r>
    </w:p>
    <w:p w:rsidR="00177429" w:rsidRPr="004D3348" w:rsidRDefault="00177429" w:rsidP="00177429">
      <w:pPr>
        <w:spacing w:line="480" w:lineRule="auto"/>
      </w:pPr>
      <w:r w:rsidRPr="004D3348">
        <w:t xml:space="preserve">In 2007, AMRC published a companion report to the first UKCRC analysis, using 2004/05 data from 29 small to medium charities in their </w:t>
      </w:r>
      <w:r w:rsidRPr="004D3348">
        <w:rPr>
          <w:i/>
        </w:rPr>
        <w:t>From Donation to Innovation</w:t>
      </w:r>
      <w:r w:rsidRPr="004D3348">
        <w:t xml:space="preserve"> report</w:t>
      </w:r>
      <w:r w:rsidRPr="004D3348">
        <w:rPr>
          <w:rStyle w:val="EndnoteReference"/>
          <w:rFonts w:ascii="Verdana" w:hAnsi="Verdana"/>
        </w:rPr>
        <w:endnoteReference w:id="4"/>
      </w:r>
      <w:r w:rsidRPr="004D3348">
        <w:t xml:space="preserve">. A total of 20 of these charities returned to participate in the 2014 UKCRC </w:t>
      </w:r>
      <w:bookmarkStart w:id="0" w:name="_GoBack"/>
      <w:bookmarkEnd w:id="0"/>
      <w:r w:rsidRPr="004D3348">
        <w:t>analysis, allowing direct comparison with their 2004/05 data. As with the larger health funders, the comparison showed a decrease in basic research (</w:t>
      </w:r>
      <w:r w:rsidRPr="004D3348">
        <w:rPr>
          <w:i/>
        </w:rPr>
        <w:t>Underpinning</w:t>
      </w:r>
      <w:r w:rsidRPr="004D3348">
        <w:t xml:space="preserve"> -8.1%, </w:t>
      </w:r>
      <w:r w:rsidRPr="004D3348">
        <w:rPr>
          <w:i/>
        </w:rPr>
        <w:t>Aetiology</w:t>
      </w:r>
      <w:r w:rsidRPr="004D3348">
        <w:t xml:space="preserve"> -5.3%) in favour of translational activities (</w:t>
      </w:r>
      <w:r w:rsidRPr="004D3348">
        <w:rPr>
          <w:i/>
        </w:rPr>
        <w:t>Detection and Diagnosis</w:t>
      </w:r>
      <w:r w:rsidRPr="004D3348">
        <w:t xml:space="preserve"> +4.7%, </w:t>
      </w:r>
      <w:r w:rsidRPr="004D3348">
        <w:rPr>
          <w:i/>
        </w:rPr>
        <w:t>Treatment Development</w:t>
      </w:r>
      <w:r w:rsidRPr="004D3348">
        <w:t xml:space="preserve"> +2.3%, </w:t>
      </w:r>
      <w:r w:rsidRPr="004D3348">
        <w:rPr>
          <w:i/>
        </w:rPr>
        <w:t>Treatment Evaluation</w:t>
      </w:r>
      <w:r w:rsidRPr="004D3348">
        <w:t xml:space="preserve"> +3.3%). </w:t>
      </w:r>
    </w:p>
    <w:p w:rsidR="004371CE" w:rsidRPr="004371CE" w:rsidRDefault="004371CE" w:rsidP="004371CE">
      <w:pPr>
        <w:rPr>
          <w:rStyle w:val="Strong"/>
          <w:b w:val="0"/>
          <w:bCs w:val="0"/>
        </w:rPr>
      </w:pPr>
    </w:p>
    <w:sectPr w:rsidR="004371CE" w:rsidRPr="004371CE" w:rsidSect="00F60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429" w:rsidRDefault="00177429" w:rsidP="00177429">
      <w:pPr>
        <w:spacing w:after="0" w:line="240" w:lineRule="auto"/>
      </w:pPr>
      <w:r>
        <w:separator/>
      </w:r>
    </w:p>
  </w:endnote>
  <w:endnote w:type="continuationSeparator" w:id="0">
    <w:p w:rsidR="00177429" w:rsidRDefault="00177429" w:rsidP="00177429">
      <w:pPr>
        <w:spacing w:after="0" w:line="240" w:lineRule="auto"/>
      </w:pPr>
      <w:r>
        <w:continuationSeparator/>
      </w:r>
    </w:p>
  </w:endnote>
  <w:endnote w:id="1">
    <w:p w:rsidR="00177429" w:rsidRDefault="00177429" w:rsidP="00177429">
      <w:pPr>
        <w:pStyle w:val="EndnoteText"/>
      </w:pPr>
      <w:r w:rsidRPr="007A7027">
        <w:rPr>
          <w:rStyle w:val="EndnoteReference"/>
          <w:sz w:val="18"/>
        </w:rPr>
        <w:endnoteRef/>
      </w:r>
      <w:r w:rsidRPr="007A7027">
        <w:rPr>
          <w:sz w:val="18"/>
        </w:rPr>
        <w:t xml:space="preserve"> All three UK Health Research Analyses are available via the HRCS website; </w:t>
      </w:r>
      <w:hyperlink r:id="rId1" w:history="1">
        <w:r w:rsidRPr="007A7027">
          <w:rPr>
            <w:rStyle w:val="Hyperlink"/>
            <w:sz w:val="18"/>
          </w:rPr>
          <w:t>http://www.hrcsonline.net/pages/reports</w:t>
        </w:r>
      </w:hyperlink>
      <w:r w:rsidRPr="007A7027">
        <w:rPr>
          <w:sz w:val="18"/>
        </w:rPr>
        <w:t xml:space="preserve"> </w:t>
      </w:r>
      <w:r>
        <w:rPr>
          <w:sz w:val="18"/>
        </w:rPr>
        <w:t>Accessed 03/05/</w:t>
      </w:r>
      <w:r w:rsidRPr="007A7027">
        <w:rPr>
          <w:sz w:val="18"/>
        </w:rPr>
        <w:t>2016.</w:t>
      </w:r>
    </w:p>
  </w:endnote>
  <w:endnote w:id="2">
    <w:p w:rsidR="00177429" w:rsidRPr="00770ED3" w:rsidRDefault="00177429" w:rsidP="00177429">
      <w:pPr>
        <w:pStyle w:val="EndnoteText"/>
        <w:rPr>
          <w:rFonts w:cstheme="minorHAnsi"/>
          <w:sz w:val="18"/>
          <w:szCs w:val="18"/>
        </w:rPr>
      </w:pPr>
      <w:r w:rsidRPr="00770ED3">
        <w:rPr>
          <w:rStyle w:val="EndnoteReference"/>
          <w:rFonts w:cstheme="minorHAnsi"/>
          <w:sz w:val="18"/>
          <w:szCs w:val="18"/>
        </w:rPr>
        <w:endnoteRef/>
      </w:r>
      <w:r w:rsidRPr="00770ED3">
        <w:rPr>
          <w:rFonts w:cstheme="minorHAnsi"/>
          <w:sz w:val="18"/>
          <w:szCs w:val="18"/>
        </w:rPr>
        <w:t xml:space="preserve"> UK Clinical Research Collaboration (2012). </w:t>
      </w:r>
      <w:r w:rsidRPr="00770ED3">
        <w:rPr>
          <w:rFonts w:cstheme="minorHAnsi"/>
          <w:i/>
          <w:sz w:val="18"/>
          <w:szCs w:val="18"/>
        </w:rPr>
        <w:t>UK</w:t>
      </w:r>
      <w:r w:rsidRPr="003325C6">
        <w:rPr>
          <w:rFonts w:cstheme="minorHAnsi"/>
          <w:i/>
          <w:sz w:val="18"/>
          <w:szCs w:val="18"/>
        </w:rPr>
        <w:t xml:space="preserve"> Health Research Analysis 2009/10</w:t>
      </w:r>
      <w:r w:rsidRPr="003325C6">
        <w:rPr>
          <w:rFonts w:cstheme="minorHAnsi"/>
          <w:sz w:val="18"/>
          <w:szCs w:val="18"/>
        </w:rPr>
        <w:t>. Published online by UKCRC</w:t>
      </w:r>
      <w:r>
        <w:rPr>
          <w:rFonts w:cstheme="minorHAnsi"/>
          <w:sz w:val="18"/>
          <w:szCs w:val="18"/>
        </w:rPr>
        <w:t xml:space="preserve"> </w:t>
      </w:r>
      <w:hyperlink r:id="rId2" w:history="1">
        <w:r w:rsidRPr="00F161EF">
          <w:rPr>
            <w:rStyle w:val="Hyperlink"/>
            <w:rFonts w:cstheme="minorHAnsi"/>
            <w:sz w:val="18"/>
            <w:szCs w:val="18"/>
          </w:rPr>
          <w:t>http://www.ukcrc.org/wp-content/uploads/2014/03/2UKHealthResearchAnalysis-1.pdf</w:t>
        </w:r>
      </w:hyperlink>
      <w:r>
        <w:rPr>
          <w:rFonts w:cstheme="minorHAnsi"/>
          <w:sz w:val="18"/>
          <w:szCs w:val="18"/>
        </w:rPr>
        <w:t xml:space="preserve"> Accessed 06/10/2015.</w:t>
      </w:r>
    </w:p>
  </w:endnote>
  <w:endnote w:id="3">
    <w:p w:rsidR="00177429" w:rsidRPr="00770ED3" w:rsidRDefault="00177429" w:rsidP="00177429">
      <w:pPr>
        <w:pStyle w:val="EndnoteText"/>
        <w:rPr>
          <w:rFonts w:cstheme="minorHAnsi"/>
          <w:sz w:val="18"/>
          <w:szCs w:val="18"/>
        </w:rPr>
      </w:pPr>
      <w:r w:rsidRPr="00770ED3">
        <w:rPr>
          <w:rStyle w:val="EndnoteReference"/>
          <w:rFonts w:cstheme="minorHAnsi"/>
          <w:sz w:val="18"/>
          <w:szCs w:val="18"/>
        </w:rPr>
        <w:endnoteRef/>
      </w:r>
      <w:r w:rsidRPr="00770ED3">
        <w:rPr>
          <w:rFonts w:cstheme="minorHAnsi"/>
          <w:sz w:val="18"/>
          <w:szCs w:val="18"/>
        </w:rPr>
        <w:t xml:space="preserve"> UK Clinical Research Collaboration (2015). </w:t>
      </w:r>
      <w:r w:rsidRPr="00770ED3">
        <w:rPr>
          <w:rFonts w:cstheme="minorHAnsi"/>
          <w:i/>
          <w:sz w:val="18"/>
          <w:szCs w:val="18"/>
        </w:rPr>
        <w:t>UK Health Research Analysis 2014.</w:t>
      </w:r>
      <w:r w:rsidRPr="003325C6">
        <w:rPr>
          <w:rFonts w:cstheme="minorHAnsi"/>
          <w:sz w:val="18"/>
          <w:szCs w:val="18"/>
        </w:rPr>
        <w:t xml:space="preserve"> Published online by UKCRC, ISBN 978-0903730-20-4. </w:t>
      </w:r>
      <w:hyperlink r:id="rId3" w:history="1">
        <w:r w:rsidRPr="00F161EF">
          <w:rPr>
            <w:rStyle w:val="Hyperlink"/>
            <w:rFonts w:cstheme="minorHAnsi"/>
            <w:sz w:val="18"/>
            <w:szCs w:val="18"/>
          </w:rPr>
          <w:t>http://www.hrcsonline.net/pages/uk-health-research-analysis-2014</w:t>
        </w:r>
      </w:hyperlink>
      <w:r>
        <w:rPr>
          <w:rFonts w:cstheme="minorHAnsi"/>
          <w:sz w:val="18"/>
          <w:szCs w:val="18"/>
        </w:rPr>
        <w:t xml:space="preserve"> Accessed 06/10/2015.</w:t>
      </w:r>
    </w:p>
  </w:endnote>
  <w:endnote w:id="4">
    <w:p w:rsidR="00177429" w:rsidRPr="00770ED3" w:rsidRDefault="00177429" w:rsidP="00177429">
      <w:pPr>
        <w:pStyle w:val="EndnoteText"/>
        <w:rPr>
          <w:rFonts w:cstheme="minorHAnsi"/>
          <w:sz w:val="18"/>
          <w:szCs w:val="18"/>
        </w:rPr>
      </w:pPr>
      <w:r w:rsidRPr="00770ED3">
        <w:rPr>
          <w:rStyle w:val="EndnoteReference"/>
          <w:rFonts w:cstheme="minorHAnsi"/>
          <w:sz w:val="18"/>
          <w:szCs w:val="18"/>
        </w:rPr>
        <w:endnoteRef/>
      </w:r>
      <w:r w:rsidRPr="00770ED3">
        <w:rPr>
          <w:rFonts w:cstheme="minorHAnsi"/>
          <w:sz w:val="18"/>
          <w:szCs w:val="18"/>
        </w:rPr>
        <w:t xml:space="preserve"> Association of Medical Research Charities &amp; UK Clinical Research Collaboration (2007) </w:t>
      </w:r>
      <w:r w:rsidRPr="00770ED3">
        <w:rPr>
          <w:rFonts w:cstheme="minorHAnsi"/>
          <w:i/>
          <w:sz w:val="18"/>
          <w:szCs w:val="18"/>
        </w:rPr>
        <w:t>From Donation to Innovation</w:t>
      </w:r>
      <w:r w:rsidRPr="003325C6">
        <w:rPr>
          <w:rFonts w:cstheme="minorHAnsi"/>
          <w:sz w:val="18"/>
          <w:szCs w:val="18"/>
        </w:rPr>
        <w:t>. Published online by UKCRC and AMRC.</w:t>
      </w:r>
      <w:r>
        <w:rPr>
          <w:rFonts w:cstheme="minorHAnsi"/>
          <w:sz w:val="18"/>
          <w:szCs w:val="18"/>
        </w:rPr>
        <w:t xml:space="preserve"> </w:t>
      </w:r>
      <w:hyperlink r:id="rId4" w:history="1">
        <w:r w:rsidRPr="00F161EF">
          <w:rPr>
            <w:rStyle w:val="Hyperlink"/>
            <w:rFonts w:cstheme="minorHAnsi"/>
            <w:sz w:val="18"/>
            <w:szCs w:val="18"/>
          </w:rPr>
          <w:t>http://www.ukcrc.org/wp-content/uploads/2014/03/From_Donation_to_Innovation_Report_071.pdf</w:t>
        </w:r>
      </w:hyperlink>
      <w:r>
        <w:rPr>
          <w:rStyle w:val="Hyperlink"/>
          <w:rFonts w:cstheme="minorHAnsi"/>
          <w:sz w:val="18"/>
          <w:szCs w:val="18"/>
        </w:rPr>
        <w:t xml:space="preserve"> </w:t>
      </w:r>
      <w:r w:rsidRPr="003325C6">
        <w:rPr>
          <w:rFonts w:cstheme="minorHAnsi"/>
          <w:sz w:val="18"/>
          <w:szCs w:val="18"/>
        </w:rPr>
        <w:t>Accessed 06/10/2015</w:t>
      </w:r>
      <w:r>
        <w:rPr>
          <w:rFonts w:cstheme="minorHAnsi"/>
          <w:sz w:val="18"/>
          <w:szCs w:val="18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429" w:rsidRDefault="00177429" w:rsidP="00177429">
      <w:pPr>
        <w:spacing w:after="0" w:line="240" w:lineRule="auto"/>
      </w:pPr>
      <w:r>
        <w:separator/>
      </w:r>
    </w:p>
  </w:footnote>
  <w:footnote w:type="continuationSeparator" w:id="0">
    <w:p w:rsidR="00177429" w:rsidRDefault="00177429" w:rsidP="001774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7429"/>
    <w:rsid w:val="00177429"/>
    <w:rsid w:val="002C133D"/>
    <w:rsid w:val="003658BA"/>
    <w:rsid w:val="004371CE"/>
    <w:rsid w:val="006A7C54"/>
    <w:rsid w:val="00CE0C5D"/>
    <w:rsid w:val="00D3361C"/>
    <w:rsid w:val="00E52454"/>
    <w:rsid w:val="00F60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429"/>
    <w:rPr>
      <w:rFonts w:asciiTheme="minorHAnsi" w:eastAsiaTheme="minorEastAsia" w:hAnsi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58BA"/>
    <w:pPr>
      <w:keepNext/>
      <w:keepLines/>
      <w:spacing w:before="480" w:after="0"/>
      <w:outlineLvl w:val="0"/>
    </w:pPr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BA"/>
    <w:pPr>
      <w:keepNext/>
      <w:keepLines/>
      <w:spacing w:before="200" w:after="0"/>
      <w:outlineLvl w:val="1"/>
    </w:pPr>
    <w:rPr>
      <w:rFonts w:ascii="Verdana" w:eastAsiaTheme="majorEastAsia" w:hAnsi="Verdan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58BA"/>
    <w:pPr>
      <w:keepNext/>
      <w:keepLines/>
      <w:spacing w:before="200" w:after="0"/>
      <w:outlineLvl w:val="2"/>
    </w:pPr>
    <w:rPr>
      <w:rFonts w:ascii="Verdana" w:eastAsiaTheme="majorEastAsia" w:hAnsi="Verdana" w:cstheme="majorBidi"/>
      <w:b/>
      <w:bCs/>
      <w:color w:val="4F81BD" w:themeColor="accent1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58BA"/>
    <w:pPr>
      <w:keepNext/>
      <w:keepLines/>
      <w:spacing w:before="200" w:after="0"/>
      <w:outlineLvl w:val="3"/>
    </w:pPr>
    <w:rPr>
      <w:rFonts w:ascii="Verdana" w:eastAsiaTheme="majorEastAsia" w:hAnsi="Verdana" w:cstheme="majorBidi"/>
      <w:b/>
      <w:bCs/>
      <w:i/>
      <w:iCs/>
      <w:color w:val="4F81BD" w:themeColor="accent1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58BA"/>
    <w:pPr>
      <w:keepNext/>
      <w:keepLines/>
      <w:spacing w:before="200" w:after="0"/>
      <w:outlineLvl w:val="4"/>
    </w:pPr>
    <w:rPr>
      <w:rFonts w:ascii="Verdana" w:eastAsiaTheme="majorEastAsia" w:hAnsi="Verdana" w:cstheme="majorBidi"/>
      <w:color w:val="243F60" w:themeColor="accent1" w:themeShade="7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3658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8BA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58BA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58BA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3658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58BA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3658BA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3658BA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658BA"/>
    <w:rPr>
      <w:rFonts w:eastAsiaTheme="majorEastAsia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658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8BA"/>
    <w:pPr>
      <w:numPr>
        <w:ilvl w:val="1"/>
      </w:numPr>
    </w:pPr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58BA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658BA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3658B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658BA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3658B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3658BA"/>
    <w:rPr>
      <w:rFonts w:ascii="Verdana" w:eastAsiaTheme="minorHAnsi" w:hAnsi="Verdana"/>
      <w:i/>
      <w:iCs/>
      <w:color w:val="000000" w:themeColor="text1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3658BA"/>
    <w:rPr>
      <w:i/>
      <w:iCs/>
      <w:color w:val="000000" w:themeColor="text1"/>
    </w:rPr>
  </w:style>
  <w:style w:type="character" w:styleId="Hyperlink">
    <w:name w:val="Hyperlink"/>
    <w:uiPriority w:val="99"/>
    <w:rsid w:val="00177429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774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77429"/>
    <w:rPr>
      <w:rFonts w:asciiTheme="minorHAnsi" w:eastAsiaTheme="minorEastAsia" w:hAnsiTheme="minorHAnsi"/>
    </w:rPr>
  </w:style>
  <w:style w:type="character" w:styleId="EndnoteReference">
    <w:name w:val="endnote reference"/>
    <w:basedOn w:val="DefaultParagraphFont"/>
    <w:uiPriority w:val="99"/>
    <w:semiHidden/>
    <w:unhideWhenUsed/>
    <w:rsid w:val="0017742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rcsonline.net/pages/uk-health-research-analysis-2014" TargetMode="External"/><Relationship Id="rId2" Type="http://schemas.openxmlformats.org/officeDocument/2006/relationships/hyperlink" Target="http://www.ukcrc.org/wp-content/uploads/2014/03/2UKHealthResearchAnalysis-1.pdf" TargetMode="External"/><Relationship Id="rId1" Type="http://schemas.openxmlformats.org/officeDocument/2006/relationships/hyperlink" Target="http://www.hrcsonline.net/pages/reports" TargetMode="External"/><Relationship Id="rId4" Type="http://schemas.openxmlformats.org/officeDocument/2006/relationships/hyperlink" Target="http://www.ukcrc.org/wp-content/uploads/2014/03/From_Donation_to_Innovation_Report_07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UK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 James</dc:creator>
  <cp:keywords/>
  <dc:description/>
  <cp:lastModifiedBy>lacosta</cp:lastModifiedBy>
  <cp:revision>2</cp:revision>
  <dcterms:created xsi:type="dcterms:W3CDTF">2016-05-13T09:11:00Z</dcterms:created>
  <dcterms:modified xsi:type="dcterms:W3CDTF">2016-06-03T21:54:00Z</dcterms:modified>
</cp:coreProperties>
</file>