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7C2" w:rsidRPr="0052255D" w:rsidRDefault="00D437C2" w:rsidP="00D437C2">
      <w:pPr>
        <w:autoSpaceDE w:val="0"/>
        <w:autoSpaceDN w:val="0"/>
        <w:adjustRightInd w:val="0"/>
        <w:spacing w:after="0" w:line="400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4</w:t>
      </w:r>
      <w:r w:rsidRPr="0052255D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52255D">
        <w:rPr>
          <w:rFonts w:ascii="Times New Roman" w:eastAsia="Times New Roman" w:hAnsi="Times New Roman" w:cs="Times New Roman"/>
          <w:i/>
          <w:sz w:val="24"/>
          <w:szCs w:val="24"/>
        </w:rPr>
        <w:t>Significant Moving Average and Autoregressive Parameters for Users in Target Agencies</w:t>
      </w:r>
      <w:r w:rsidRPr="0052255D">
        <w:rPr>
          <w:rFonts w:ascii="Times New Roman" w:eastAsia="Times New Roman" w:hAnsi="Times New Roman" w:cs="Times New Roman"/>
          <w:i/>
          <w:sz w:val="24"/>
          <w:szCs w:val="24"/>
        </w:rPr>
        <w:br/>
      </w:r>
    </w:p>
    <w:tbl>
      <w:tblPr>
        <w:tblStyle w:val="TableGrid1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78"/>
        <w:gridCol w:w="1890"/>
        <w:gridCol w:w="1122"/>
        <w:gridCol w:w="1295"/>
        <w:gridCol w:w="1376"/>
        <w:gridCol w:w="1405"/>
        <w:gridCol w:w="1246"/>
      </w:tblGrid>
      <w:tr w:rsidR="00D437C2" w:rsidRPr="0052255D" w:rsidTr="00AF4AB0">
        <w:tc>
          <w:tcPr>
            <w:tcW w:w="2268" w:type="dxa"/>
            <w:gridSpan w:val="2"/>
          </w:tcPr>
          <w:p w:rsidR="00D437C2" w:rsidRPr="0052255D" w:rsidRDefault="00D437C2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</w:rPr>
            </w:pPr>
            <w:r w:rsidRPr="0052255D">
              <w:rPr>
                <w:rFonts w:ascii="Times New Roman" w:eastAsia="Segoe UI" w:hAnsi="Times New Roman"/>
              </w:rPr>
              <w:t>Parameters/Predictors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Lag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Estimate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SE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t-statistic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 UI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sig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Segoe UI" w:hAnsi="Times New Roman"/>
                <w:sz w:val="24"/>
                <w:szCs w:val="24"/>
              </w:rPr>
            </w:pPr>
          </w:p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A. Temporary impact of agency-specific articles on usage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.992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.004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264.098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.934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.015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60.943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2268" w:type="dxa"/>
            <w:gridSpan w:val="2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2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.864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48.773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3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1.000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509.310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.993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.020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50.409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4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.917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.048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18.987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.857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.062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13.815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492.591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.965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77.726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5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.006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167.695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.896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.019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47.582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Segoe UI" w:hAnsi="Times New Roman"/>
                <w:sz w:val="24"/>
                <w:szCs w:val="24"/>
              </w:rPr>
            </w:pPr>
          </w:p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B. Sustained impact of agency-specific articles on usage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.992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.004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264.098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.934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.015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60.943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2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.866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49.358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3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1.000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.001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669.897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.991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.019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53.281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4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.917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.048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18.987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.857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.062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13.815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492.591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.965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77.726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5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.006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167.695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.896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.019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47.582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Segoe UI" w:hAnsi="Times New Roman"/>
                <w:sz w:val="24"/>
                <w:szCs w:val="24"/>
              </w:rPr>
            </w:pPr>
          </w:p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 xml:space="preserve">C. Temporary impact of external authored agency-specific </w:t>
            </w:r>
            <w:bookmarkStart w:id="0" w:name="_GoBack"/>
            <w:r w:rsidRPr="0052255D">
              <w:rPr>
                <w:rFonts w:ascii="Times New Roman" w:eastAsia="Segoe UI" w:hAnsi="Times New Roman"/>
                <w:sz w:val="24"/>
                <w:szCs w:val="24"/>
              </w:rPr>
              <w:t>blog</w:t>
            </w:r>
            <w:bookmarkEnd w:id="0"/>
            <w:r w:rsidRPr="0052255D">
              <w:rPr>
                <w:rFonts w:ascii="Times New Roman" w:eastAsia="Segoe UI" w:hAnsi="Times New Roman"/>
                <w:sz w:val="24"/>
                <w:szCs w:val="24"/>
              </w:rPr>
              <w:t>s on usage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.992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.004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264.098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.934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.015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60.943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2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.866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49.358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3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.999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.003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377.057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.988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55.583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4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.917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.048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18.987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.857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.062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13.815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492.591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.965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77.726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5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.006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166.109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.896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.019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47.472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Segoe UI" w:hAnsi="Times New Roman"/>
                <w:sz w:val="24"/>
                <w:szCs w:val="24"/>
              </w:rPr>
            </w:pPr>
          </w:p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D. Sustained impact of external authored agency-specific blogs on usage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.992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.004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264.098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.934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.015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60.943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2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.866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49.358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3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.999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.003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377.057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.988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55.583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4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.917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.048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18.987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.857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.062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13.815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492.591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.965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77.726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5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.006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167.695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.896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.019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47.582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Segoe UI" w:hAnsi="Times New Roman"/>
                <w:sz w:val="24"/>
                <w:szCs w:val="24"/>
              </w:rPr>
            </w:pPr>
          </w:p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E. Temporary impact of internal authored agency-specific blogs on usage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lastRenderedPageBreak/>
              <w:t>Agency 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.992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.004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264.098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.934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.015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60.943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2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.866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49.358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3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.999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.003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377.057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.988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55.583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4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 xml:space="preserve">AR, 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.917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.048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18.987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 xml:space="preserve">MA, 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.857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.062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13.815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492.591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.965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77.726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5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.006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166.496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.896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.019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47.411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rPr>
          <w:trHeight w:val="167"/>
        </w:trPr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Segoe UI" w:hAnsi="Times New Roman"/>
                <w:sz w:val="24"/>
                <w:szCs w:val="24"/>
              </w:rPr>
            </w:pPr>
          </w:p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F. Sustained impact of internal authored agency-specific blogs on usage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.992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.004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264.098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.934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.015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60.943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2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.866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49.358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3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.999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.003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377.057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.988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55.583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4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 xml:space="preserve">AR, 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.917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.048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18.987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 xml:space="preserve">MA, 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.857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.062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13.815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.997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492.591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.965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.012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77.726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8712" w:type="dxa"/>
            <w:gridSpan w:val="7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Agency 5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AR,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.987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.006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167.695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  <w:tr w:rsidR="00D437C2" w:rsidRPr="0052255D" w:rsidTr="00AF4AB0">
        <w:tc>
          <w:tcPr>
            <w:tcW w:w="378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MA, seasonal</w:t>
            </w:r>
          </w:p>
        </w:tc>
        <w:tc>
          <w:tcPr>
            <w:tcW w:w="1122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1</w:t>
            </w:r>
          </w:p>
        </w:tc>
        <w:tc>
          <w:tcPr>
            <w:tcW w:w="129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.896</w:t>
            </w:r>
          </w:p>
        </w:tc>
        <w:tc>
          <w:tcPr>
            <w:tcW w:w="137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.019</w:t>
            </w:r>
          </w:p>
        </w:tc>
        <w:tc>
          <w:tcPr>
            <w:tcW w:w="1405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47.582</w:t>
            </w:r>
          </w:p>
        </w:tc>
        <w:tc>
          <w:tcPr>
            <w:tcW w:w="1246" w:type="dxa"/>
          </w:tcPr>
          <w:p w:rsidR="00D437C2" w:rsidRPr="0052255D" w:rsidRDefault="00D437C2" w:rsidP="00AF4AB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255D">
              <w:rPr>
                <w:rFonts w:ascii="Times New Roman" w:eastAsia="Segoe UI" w:hAnsi="Times New Roman"/>
                <w:sz w:val="24"/>
                <w:szCs w:val="24"/>
              </w:rPr>
              <w:t>&lt;.001</w:t>
            </w:r>
          </w:p>
        </w:tc>
      </w:tr>
    </w:tbl>
    <w:p w:rsidR="00D74BBD" w:rsidRPr="00D74BBD" w:rsidRDefault="00D74BBD" w:rsidP="00D437C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</w:rPr>
      </w:pPr>
    </w:p>
    <w:sectPr w:rsidR="00D74BBD" w:rsidRPr="00D74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BD"/>
    <w:rsid w:val="000C371E"/>
    <w:rsid w:val="00252BE7"/>
    <w:rsid w:val="00267927"/>
    <w:rsid w:val="002D1308"/>
    <w:rsid w:val="004C0D86"/>
    <w:rsid w:val="007A58B4"/>
    <w:rsid w:val="00AA5C1D"/>
    <w:rsid w:val="00C72653"/>
    <w:rsid w:val="00C775FD"/>
    <w:rsid w:val="00D437C2"/>
    <w:rsid w:val="00D74BBD"/>
    <w:rsid w:val="00FD5863"/>
    <w:rsid w:val="00FF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74D1A"/>
  <w15:chartTrackingRefBased/>
  <w15:docId w15:val="{7E0A9403-EED6-4215-81D6-BE2BECC00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BE7"/>
    <w:pPr>
      <w:spacing w:after="200" w:line="276" w:lineRule="auto"/>
    </w:pPr>
    <w:rPr>
      <w:rFonts w:eastAsiaTheme="minorEastAsia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D74BBD"/>
    <w:pPr>
      <w:spacing w:after="0" w:line="240" w:lineRule="auto"/>
    </w:pPr>
    <w:rPr>
      <w:rFonts w:ascii="Segoe UI" w:eastAsia="Segoe UI" w:hAnsi="Segoe UI" w:cs="Times New Roman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74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Makkar</dc:creator>
  <cp:keywords/>
  <dc:description/>
  <cp:lastModifiedBy>Steve Makkar</cp:lastModifiedBy>
  <cp:revision>5</cp:revision>
  <dcterms:created xsi:type="dcterms:W3CDTF">2016-09-14T19:33:00Z</dcterms:created>
  <dcterms:modified xsi:type="dcterms:W3CDTF">2016-09-14T19:35:00Z</dcterms:modified>
</cp:coreProperties>
</file>