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7AC" w:rsidRPr="00033C32" w:rsidRDefault="004D77AC" w:rsidP="0098344E">
      <w:pPr>
        <w:tabs>
          <w:tab w:val="left" w:pos="1463"/>
          <w:tab w:val="left" w:pos="3498"/>
          <w:tab w:val="left" w:pos="5199"/>
          <w:tab w:val="left" w:pos="6758"/>
          <w:tab w:val="left" w:pos="10834"/>
        </w:tabs>
        <w:spacing w:line="276" w:lineRule="auto"/>
        <w:jc w:val="left"/>
        <w:rPr>
          <w:rFonts w:ascii="Times New Roman" w:hAnsi="Times New Roman"/>
          <w:b/>
        </w:rPr>
      </w:pPr>
      <w:r>
        <w:rPr>
          <w:rFonts w:ascii="Times New Roman" w:hAnsi="Times New Roman"/>
          <w:b/>
        </w:rPr>
        <w:t>Additional file 3</w:t>
      </w:r>
    </w:p>
    <w:tbl>
      <w:tblPr>
        <w:tblW w:w="14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2035"/>
        <w:gridCol w:w="1701"/>
        <w:gridCol w:w="1559"/>
        <w:gridCol w:w="4076"/>
        <w:gridCol w:w="3883"/>
      </w:tblGrid>
      <w:tr w:rsidR="0098344E" w:rsidRPr="00033C32">
        <w:trPr>
          <w:trHeight w:hRule="exact" w:val="708"/>
          <w:jc w:val="center"/>
        </w:trPr>
        <w:tc>
          <w:tcPr>
            <w:tcW w:w="1463" w:type="dxa"/>
            <w:shd w:val="clear" w:color="auto" w:fill="auto"/>
          </w:tcPr>
          <w:p w:rsidR="0098344E" w:rsidRPr="00033C32" w:rsidRDefault="0098344E" w:rsidP="0098344E">
            <w:pPr>
              <w:spacing w:line="276" w:lineRule="auto"/>
              <w:jc w:val="left"/>
              <w:rPr>
                <w:rFonts w:ascii="Times New Roman" w:hAnsi="Times New Roman"/>
                <w:b/>
              </w:rPr>
            </w:pPr>
            <w:r w:rsidRPr="00033C32">
              <w:rPr>
                <w:rFonts w:ascii="Times New Roman" w:hAnsi="Times New Roman"/>
                <w:b/>
              </w:rPr>
              <w:t>Author/Year</w:t>
            </w:r>
          </w:p>
        </w:tc>
        <w:tc>
          <w:tcPr>
            <w:tcW w:w="2035" w:type="dxa"/>
            <w:shd w:val="clear" w:color="auto" w:fill="auto"/>
          </w:tcPr>
          <w:p w:rsidR="0098344E" w:rsidRPr="00033C32" w:rsidRDefault="0098344E" w:rsidP="0098344E">
            <w:pPr>
              <w:spacing w:line="276" w:lineRule="auto"/>
              <w:rPr>
                <w:rFonts w:ascii="Times New Roman" w:hAnsi="Times New Roman"/>
                <w:b/>
              </w:rPr>
            </w:pPr>
            <w:r w:rsidRPr="00033C32">
              <w:rPr>
                <w:rFonts w:ascii="Times New Roman" w:hAnsi="Times New Roman"/>
                <w:b/>
              </w:rPr>
              <w:t>Aims</w:t>
            </w:r>
          </w:p>
        </w:tc>
        <w:tc>
          <w:tcPr>
            <w:tcW w:w="1701" w:type="dxa"/>
          </w:tcPr>
          <w:p w:rsidR="0098344E" w:rsidRPr="00033C32" w:rsidRDefault="00EB64A8" w:rsidP="0098344E">
            <w:pPr>
              <w:spacing w:line="276" w:lineRule="auto"/>
              <w:rPr>
                <w:rFonts w:ascii="Times New Roman" w:hAnsi="Times New Roman"/>
                <w:b/>
              </w:rPr>
            </w:pPr>
            <w:r w:rsidRPr="00033C32">
              <w:rPr>
                <w:rFonts w:ascii="Times New Roman" w:hAnsi="Times New Roman"/>
                <w:b/>
              </w:rPr>
              <w:t>Programme</w:t>
            </w:r>
            <w:r w:rsidR="00033C32" w:rsidRPr="00033C32">
              <w:rPr>
                <w:rFonts w:ascii="Times New Roman" w:hAnsi="Times New Roman"/>
                <w:b/>
              </w:rPr>
              <w:t xml:space="preserve">(s) </w:t>
            </w:r>
            <w:r w:rsidR="0098344E" w:rsidRPr="00033C32">
              <w:rPr>
                <w:rFonts w:ascii="Times New Roman" w:hAnsi="Times New Roman"/>
                <w:b/>
              </w:rPr>
              <w:t>assessed</w:t>
            </w:r>
          </w:p>
        </w:tc>
        <w:tc>
          <w:tcPr>
            <w:tcW w:w="1559" w:type="dxa"/>
            <w:shd w:val="clear" w:color="auto" w:fill="auto"/>
          </w:tcPr>
          <w:p w:rsidR="0098344E" w:rsidRPr="00033C32" w:rsidRDefault="0098344E" w:rsidP="0098344E">
            <w:pPr>
              <w:spacing w:line="276" w:lineRule="auto"/>
              <w:rPr>
                <w:rFonts w:ascii="Times New Roman" w:hAnsi="Times New Roman"/>
                <w:b/>
              </w:rPr>
            </w:pPr>
            <w:r w:rsidRPr="00033C32">
              <w:rPr>
                <w:rFonts w:ascii="Times New Roman" w:hAnsi="Times New Roman"/>
                <w:b/>
              </w:rPr>
              <w:t xml:space="preserve">Methods </w:t>
            </w:r>
          </w:p>
        </w:tc>
        <w:tc>
          <w:tcPr>
            <w:tcW w:w="4076" w:type="dxa"/>
          </w:tcPr>
          <w:p w:rsidR="0098344E" w:rsidRPr="00033C32" w:rsidRDefault="00043A12" w:rsidP="0098344E">
            <w:pPr>
              <w:spacing w:line="276" w:lineRule="auto"/>
              <w:rPr>
                <w:rFonts w:ascii="Times New Roman" w:hAnsi="Times New Roman"/>
                <w:b/>
              </w:rPr>
            </w:pPr>
            <w:r>
              <w:rPr>
                <w:rFonts w:ascii="Times New Roman" w:hAnsi="Times New Roman"/>
                <w:b/>
              </w:rPr>
              <w:t>Design</w:t>
            </w:r>
            <w:r w:rsidR="0098344E" w:rsidRPr="00033C32">
              <w:rPr>
                <w:rFonts w:ascii="Times New Roman" w:hAnsi="Times New Roman"/>
                <w:b/>
              </w:rPr>
              <w:t xml:space="preserve">  </w:t>
            </w:r>
          </w:p>
        </w:tc>
        <w:tc>
          <w:tcPr>
            <w:tcW w:w="3883" w:type="dxa"/>
            <w:shd w:val="clear" w:color="auto" w:fill="auto"/>
          </w:tcPr>
          <w:p w:rsidR="0098344E" w:rsidRPr="00033C32" w:rsidRDefault="0098344E" w:rsidP="0098344E">
            <w:pPr>
              <w:spacing w:line="276" w:lineRule="auto"/>
              <w:rPr>
                <w:rFonts w:ascii="Times New Roman" w:hAnsi="Times New Roman"/>
                <w:b/>
              </w:rPr>
            </w:pPr>
            <w:r w:rsidRPr="00033C32">
              <w:rPr>
                <w:rFonts w:ascii="Times New Roman" w:hAnsi="Times New Roman"/>
                <w:b/>
              </w:rPr>
              <w:t xml:space="preserve">Main Findings  </w:t>
            </w:r>
          </w:p>
        </w:tc>
      </w:tr>
      <w:tr w:rsidR="003F6E51" w:rsidRPr="00033C32">
        <w:trPr>
          <w:jc w:val="center"/>
        </w:trPr>
        <w:tc>
          <w:tcPr>
            <w:tcW w:w="1463" w:type="dxa"/>
            <w:shd w:val="clear" w:color="auto" w:fill="auto"/>
          </w:tcPr>
          <w:p w:rsidR="003F6E51" w:rsidRPr="00033C32" w:rsidRDefault="003F6E51" w:rsidP="00951DBE">
            <w:pPr>
              <w:spacing w:line="276" w:lineRule="auto"/>
              <w:jc w:val="left"/>
              <w:rPr>
                <w:rFonts w:ascii="Times New Roman" w:hAnsi="Times New Roman"/>
                <w:sz w:val="20"/>
                <w:szCs w:val="20"/>
              </w:rPr>
            </w:pPr>
            <w:r w:rsidRPr="00033C32">
              <w:rPr>
                <w:rFonts w:ascii="Times New Roman" w:hAnsi="Times New Roman"/>
                <w:sz w:val="20"/>
                <w:szCs w:val="20"/>
              </w:rPr>
              <w:t>Bunn et al,  2015</w:t>
            </w:r>
          </w:p>
        </w:tc>
        <w:tc>
          <w:tcPr>
            <w:tcW w:w="2035" w:type="dxa"/>
            <w:shd w:val="clear" w:color="auto" w:fill="auto"/>
          </w:tcPr>
          <w:p w:rsidR="003F6E51" w:rsidRPr="00033C32" w:rsidRDefault="003F6E51" w:rsidP="00951DBE">
            <w:pPr>
              <w:spacing w:line="276" w:lineRule="auto"/>
              <w:jc w:val="left"/>
              <w:rPr>
                <w:rFonts w:ascii="Times New Roman" w:hAnsi="Times New Roman"/>
                <w:sz w:val="20"/>
                <w:szCs w:val="20"/>
              </w:rPr>
            </w:pPr>
            <w:r w:rsidRPr="00033C32">
              <w:rPr>
                <w:rFonts w:ascii="Times New Roman" w:hAnsi="Times New Roman"/>
                <w:sz w:val="20"/>
                <w:szCs w:val="20"/>
              </w:rPr>
              <w:t>To identify the impacts and likely impacts on health care, patient outcomes and value for money of Cochrane Reviews published by 20 NIHR-funded CRGs during the years 2007–11.</w:t>
            </w:r>
          </w:p>
          <w:p w:rsidR="003F6E51" w:rsidRPr="00033C32" w:rsidRDefault="003F6E51" w:rsidP="00951DBE">
            <w:pPr>
              <w:autoSpaceDE w:val="0"/>
              <w:autoSpaceDN w:val="0"/>
              <w:adjustRightInd w:val="0"/>
              <w:spacing w:before="0" w:after="0" w:line="276" w:lineRule="auto"/>
              <w:jc w:val="left"/>
              <w:rPr>
                <w:rFonts w:ascii="Times New Roman" w:hAnsi="Times New Roman"/>
                <w:sz w:val="20"/>
                <w:szCs w:val="20"/>
              </w:rPr>
            </w:pPr>
          </w:p>
          <w:p w:rsidR="003F6E51" w:rsidRPr="00033C32" w:rsidRDefault="003F6E51" w:rsidP="00951DBE">
            <w:pPr>
              <w:autoSpaceDE w:val="0"/>
              <w:autoSpaceDN w:val="0"/>
              <w:adjustRightInd w:val="0"/>
              <w:spacing w:before="0" w:after="0" w:line="276" w:lineRule="auto"/>
              <w:jc w:val="left"/>
              <w:rPr>
                <w:rFonts w:ascii="Times New Roman" w:hAnsi="Times New Roman"/>
                <w:sz w:val="20"/>
                <w:szCs w:val="20"/>
              </w:rPr>
            </w:pPr>
            <w:r w:rsidRPr="00033C32">
              <w:rPr>
                <w:rFonts w:ascii="Times New Roman" w:hAnsi="Times New Roman"/>
                <w:sz w:val="20"/>
                <w:szCs w:val="20"/>
              </w:rPr>
              <w:t xml:space="preserve"> </w:t>
            </w:r>
          </w:p>
        </w:tc>
        <w:tc>
          <w:tcPr>
            <w:tcW w:w="1701" w:type="dxa"/>
          </w:tcPr>
          <w:p w:rsidR="003F6E51" w:rsidRPr="00033C32" w:rsidRDefault="003F6E51" w:rsidP="00951DBE">
            <w:pPr>
              <w:spacing w:after="120" w:line="276" w:lineRule="auto"/>
              <w:jc w:val="left"/>
              <w:rPr>
                <w:rFonts w:ascii="Times New Roman" w:eastAsia="Times New Roman" w:hAnsi="Times New Roman"/>
                <w:bCs/>
                <w:sz w:val="20"/>
                <w:szCs w:val="20"/>
              </w:rPr>
            </w:pPr>
            <w:r w:rsidRPr="00033C32">
              <w:rPr>
                <w:rFonts w:ascii="Times New Roman" w:eastAsia="Times New Roman" w:hAnsi="Times New Roman"/>
                <w:bCs/>
                <w:sz w:val="20"/>
                <w:szCs w:val="20"/>
              </w:rPr>
              <w:t>20 NIHR funded Cochrane Review Groups (CRG)</w:t>
            </w:r>
          </w:p>
        </w:tc>
        <w:tc>
          <w:tcPr>
            <w:tcW w:w="1559" w:type="dxa"/>
            <w:shd w:val="clear" w:color="auto" w:fill="auto"/>
          </w:tcPr>
          <w:p w:rsidR="003F6E51" w:rsidRPr="00033C32" w:rsidRDefault="003F6E51" w:rsidP="00951DBE">
            <w:pPr>
              <w:spacing w:after="120" w:line="276" w:lineRule="auto"/>
              <w:rPr>
                <w:rFonts w:ascii="Times New Roman" w:hAnsi="Times New Roman"/>
                <w:sz w:val="20"/>
                <w:szCs w:val="20"/>
              </w:rPr>
            </w:pPr>
            <w:r w:rsidRPr="00033C32">
              <w:rPr>
                <w:rFonts w:ascii="Times New Roman" w:hAnsi="Times New Roman"/>
                <w:sz w:val="20"/>
                <w:szCs w:val="20"/>
              </w:rPr>
              <w:t xml:space="preserve">Mixed-methods </w:t>
            </w:r>
          </w:p>
          <w:p w:rsidR="003F6E51" w:rsidRPr="00043A12" w:rsidRDefault="003F6E51" w:rsidP="00951DBE">
            <w:pPr>
              <w:spacing w:after="120" w:line="276" w:lineRule="auto"/>
              <w:jc w:val="left"/>
              <w:rPr>
                <w:rFonts w:ascii="Times New Roman" w:hAnsi="Times New Roman"/>
                <w:sz w:val="20"/>
                <w:szCs w:val="20"/>
              </w:rPr>
            </w:pPr>
          </w:p>
        </w:tc>
        <w:tc>
          <w:tcPr>
            <w:tcW w:w="4076" w:type="dxa"/>
          </w:tcPr>
          <w:p w:rsidR="005962CE" w:rsidRDefault="00043A12" w:rsidP="005962CE">
            <w:pPr>
              <w:pStyle w:val="ListParagraph"/>
              <w:numPr>
                <w:ilvl w:val="0"/>
                <w:numId w:val="3"/>
              </w:numPr>
              <w:spacing w:line="276" w:lineRule="auto"/>
              <w:ind w:left="317"/>
              <w:jc w:val="left"/>
              <w:rPr>
                <w:rFonts w:ascii="Times New Roman" w:hAnsi="Times New Roman"/>
                <w:sz w:val="20"/>
                <w:szCs w:val="20"/>
              </w:rPr>
            </w:pPr>
            <w:r w:rsidRPr="005962CE">
              <w:rPr>
                <w:rFonts w:ascii="Times New Roman" w:hAnsi="Times New Roman"/>
                <w:sz w:val="20"/>
                <w:szCs w:val="20"/>
              </w:rPr>
              <w:t>Questionnaire surv</w:t>
            </w:r>
            <w:r w:rsidR="005962CE" w:rsidRPr="005962CE">
              <w:rPr>
                <w:rFonts w:ascii="Times New Roman" w:hAnsi="Times New Roman"/>
                <w:sz w:val="20"/>
                <w:szCs w:val="20"/>
              </w:rPr>
              <w:t>ey of editorial boards of CRGs</w:t>
            </w:r>
          </w:p>
          <w:p w:rsidR="005962CE" w:rsidRDefault="005962CE" w:rsidP="005962CE">
            <w:pPr>
              <w:pStyle w:val="ListParagraph"/>
              <w:numPr>
                <w:ilvl w:val="0"/>
                <w:numId w:val="3"/>
              </w:numPr>
              <w:spacing w:line="276" w:lineRule="auto"/>
              <w:ind w:left="317"/>
              <w:jc w:val="left"/>
              <w:rPr>
                <w:rFonts w:ascii="Times New Roman" w:hAnsi="Times New Roman"/>
                <w:sz w:val="20"/>
                <w:szCs w:val="20"/>
              </w:rPr>
            </w:pPr>
            <w:r w:rsidRPr="005962CE">
              <w:rPr>
                <w:rFonts w:ascii="Times New Roman" w:hAnsi="Times New Roman"/>
                <w:sz w:val="20"/>
                <w:szCs w:val="20"/>
              </w:rPr>
              <w:t>D</w:t>
            </w:r>
            <w:r>
              <w:rPr>
                <w:rFonts w:ascii="Times New Roman" w:hAnsi="Times New Roman"/>
                <w:sz w:val="20"/>
                <w:szCs w:val="20"/>
              </w:rPr>
              <w:t>ocumentary review (hand search of annual CRG reports)</w:t>
            </w:r>
          </w:p>
          <w:p w:rsidR="005962CE" w:rsidRDefault="005962CE" w:rsidP="005962CE">
            <w:pPr>
              <w:pStyle w:val="ListParagraph"/>
              <w:numPr>
                <w:ilvl w:val="0"/>
                <w:numId w:val="3"/>
              </w:numPr>
              <w:spacing w:line="276" w:lineRule="auto"/>
              <w:ind w:left="317"/>
              <w:jc w:val="left"/>
              <w:rPr>
                <w:rFonts w:ascii="Times New Roman" w:hAnsi="Times New Roman"/>
                <w:sz w:val="20"/>
                <w:szCs w:val="20"/>
              </w:rPr>
            </w:pPr>
            <w:r>
              <w:rPr>
                <w:rFonts w:ascii="Times New Roman" w:hAnsi="Times New Roman"/>
                <w:sz w:val="20"/>
                <w:szCs w:val="20"/>
              </w:rPr>
              <w:t>B</w:t>
            </w:r>
            <w:r w:rsidR="00043A12" w:rsidRPr="005962CE">
              <w:rPr>
                <w:rFonts w:ascii="Times New Roman" w:hAnsi="Times New Roman"/>
                <w:sz w:val="20"/>
                <w:szCs w:val="20"/>
              </w:rPr>
              <w:t>ibliometr</w:t>
            </w:r>
            <w:r>
              <w:rPr>
                <w:rFonts w:ascii="Times New Roman" w:hAnsi="Times New Roman"/>
                <w:sz w:val="20"/>
                <w:szCs w:val="20"/>
              </w:rPr>
              <w:t>ic analysis of existing sources</w:t>
            </w:r>
            <w:r w:rsidR="00043A12" w:rsidRPr="005962CE">
              <w:rPr>
                <w:rFonts w:ascii="Times New Roman" w:hAnsi="Times New Roman"/>
                <w:sz w:val="20"/>
                <w:szCs w:val="20"/>
              </w:rPr>
              <w:t xml:space="preserve"> </w:t>
            </w:r>
          </w:p>
          <w:p w:rsidR="003F6E51" w:rsidRPr="005962CE" w:rsidRDefault="005962CE" w:rsidP="005962CE">
            <w:pPr>
              <w:pStyle w:val="ListParagraph"/>
              <w:numPr>
                <w:ilvl w:val="0"/>
                <w:numId w:val="3"/>
              </w:numPr>
              <w:spacing w:line="276" w:lineRule="auto"/>
              <w:ind w:left="317"/>
              <w:jc w:val="left"/>
              <w:rPr>
                <w:rFonts w:ascii="Times New Roman" w:hAnsi="Times New Roman"/>
                <w:sz w:val="20"/>
                <w:szCs w:val="20"/>
              </w:rPr>
            </w:pPr>
            <w:r>
              <w:rPr>
                <w:rFonts w:ascii="Times New Roman" w:hAnsi="Times New Roman"/>
                <w:sz w:val="20"/>
                <w:szCs w:val="20"/>
              </w:rPr>
              <w:t>Q</w:t>
            </w:r>
            <w:r w:rsidR="00043A12" w:rsidRPr="005962CE">
              <w:rPr>
                <w:rFonts w:ascii="Times New Roman" w:hAnsi="Times New Roman"/>
                <w:sz w:val="20"/>
                <w:szCs w:val="20"/>
              </w:rPr>
              <w:t xml:space="preserve">ualitative interviews with </w:t>
            </w:r>
            <w:r>
              <w:rPr>
                <w:rFonts w:ascii="Times New Roman" w:hAnsi="Times New Roman"/>
                <w:sz w:val="20"/>
                <w:szCs w:val="20"/>
              </w:rPr>
              <w:t xml:space="preserve">guideline developers from </w:t>
            </w:r>
            <w:r w:rsidR="00043A12" w:rsidRPr="005962CE">
              <w:rPr>
                <w:rFonts w:ascii="Times New Roman" w:hAnsi="Times New Roman"/>
                <w:sz w:val="20"/>
                <w:szCs w:val="20"/>
              </w:rPr>
              <w:t>NICE</w:t>
            </w:r>
            <w:bookmarkStart w:id="0" w:name="_GoBack"/>
            <w:bookmarkEnd w:id="0"/>
            <w:r w:rsidR="00043A12" w:rsidRPr="005962CE">
              <w:rPr>
                <w:rFonts w:ascii="Times New Roman" w:hAnsi="Times New Roman"/>
                <w:sz w:val="20"/>
                <w:szCs w:val="20"/>
              </w:rPr>
              <w:t xml:space="preserve">, SIGN and WHO </w:t>
            </w:r>
          </w:p>
        </w:tc>
        <w:tc>
          <w:tcPr>
            <w:tcW w:w="3883" w:type="dxa"/>
            <w:shd w:val="clear" w:color="auto" w:fill="auto"/>
          </w:tcPr>
          <w:p w:rsidR="00BC5F03" w:rsidRDefault="003F6E51" w:rsidP="00951DB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7C67C5">
              <w:rPr>
                <w:rFonts w:ascii="Times New Roman" w:eastAsiaTheme="minorEastAsia" w:hAnsi="Times New Roman"/>
                <w:sz w:val="20"/>
                <w:szCs w:val="20"/>
                <w:u w:val="single"/>
                <w:lang w:val="en-US" w:eastAsia="ja-JP"/>
              </w:rPr>
              <w:t>Knowledge</w:t>
            </w:r>
            <w:r w:rsidRPr="00033C32">
              <w:rPr>
                <w:rFonts w:ascii="Times New Roman" w:eastAsiaTheme="minorEastAsia" w:hAnsi="Times New Roman"/>
                <w:sz w:val="20"/>
                <w:szCs w:val="20"/>
                <w:lang w:val="en-US" w:eastAsia="ja-JP"/>
              </w:rPr>
              <w:t xml:space="preserve">: A total of 1,502 </w:t>
            </w:r>
            <w:r w:rsidR="00B45176">
              <w:rPr>
                <w:rFonts w:ascii="Times New Roman" w:eastAsiaTheme="minorEastAsia" w:hAnsi="Times New Roman"/>
                <w:sz w:val="20"/>
                <w:szCs w:val="20"/>
                <w:lang w:val="en-US" w:eastAsia="ja-JP"/>
              </w:rPr>
              <w:t xml:space="preserve">(out of a total 3,187) </w:t>
            </w:r>
            <w:r w:rsidRPr="00033C32">
              <w:rPr>
                <w:rFonts w:ascii="Times New Roman" w:eastAsiaTheme="minorEastAsia" w:hAnsi="Times New Roman"/>
                <w:sz w:val="20"/>
                <w:szCs w:val="20"/>
                <w:lang w:val="en-US" w:eastAsia="ja-JP"/>
              </w:rPr>
              <w:t xml:space="preserve">new and updated reviews were produced by the 20 NIHR-funded CRGs </w:t>
            </w:r>
            <w:r w:rsidR="00BC5F03">
              <w:rPr>
                <w:rFonts w:ascii="Times New Roman" w:eastAsiaTheme="minorEastAsia" w:hAnsi="Times New Roman"/>
                <w:sz w:val="20"/>
                <w:szCs w:val="20"/>
                <w:lang w:val="en-US" w:eastAsia="ja-JP"/>
              </w:rPr>
              <w:t>between 2007-</w:t>
            </w:r>
            <w:r w:rsidRPr="00033C32">
              <w:rPr>
                <w:rFonts w:ascii="Times New Roman" w:eastAsiaTheme="minorEastAsia" w:hAnsi="Times New Roman"/>
                <w:sz w:val="20"/>
                <w:szCs w:val="20"/>
                <w:lang w:val="en-US" w:eastAsia="ja-JP"/>
              </w:rPr>
              <w:t xml:space="preserve">2011. </w:t>
            </w:r>
          </w:p>
          <w:p w:rsidR="0006489F" w:rsidRPr="0006489F" w:rsidRDefault="0006489F" w:rsidP="00951DBE">
            <w:pPr>
              <w:widowControl w:val="0"/>
              <w:autoSpaceDE w:val="0"/>
              <w:autoSpaceDN w:val="0"/>
              <w:adjustRightInd w:val="0"/>
              <w:spacing w:before="0" w:after="0" w:line="240" w:lineRule="auto"/>
              <w:jc w:val="left"/>
              <w:rPr>
                <w:rFonts w:ascii="Times New Roman" w:eastAsiaTheme="minorEastAsia" w:hAnsi="Times New Roman"/>
                <w:sz w:val="4"/>
                <w:szCs w:val="4"/>
                <w:lang w:val="en-US" w:eastAsia="ja-JP"/>
              </w:rPr>
            </w:pPr>
          </w:p>
          <w:p w:rsidR="00BC5F03" w:rsidRPr="00033C32" w:rsidRDefault="00BC5F03" w:rsidP="00951DB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7C67C5">
              <w:rPr>
                <w:rFonts w:ascii="Times New Roman" w:eastAsiaTheme="minorEastAsia" w:hAnsi="Times New Roman"/>
                <w:sz w:val="20"/>
                <w:szCs w:val="20"/>
                <w:u w:val="single"/>
                <w:lang w:val="en-US" w:eastAsia="ja-JP"/>
              </w:rPr>
              <w:t>Future research</w:t>
            </w:r>
            <w:r>
              <w:rPr>
                <w:rFonts w:ascii="Times New Roman" w:eastAsiaTheme="minorEastAsia" w:hAnsi="Times New Roman"/>
                <w:sz w:val="20"/>
                <w:szCs w:val="20"/>
                <w:lang w:val="en-US" w:eastAsia="ja-JP"/>
              </w:rPr>
              <w:t>: questionnaire responses provided 40 examples where they felt reviews influences primary research and 13 that had been cited in a protocol.</w:t>
            </w:r>
          </w:p>
          <w:p w:rsidR="0006489F" w:rsidRPr="0006489F" w:rsidRDefault="0006489F" w:rsidP="00951DBE">
            <w:pPr>
              <w:widowControl w:val="0"/>
              <w:autoSpaceDE w:val="0"/>
              <w:autoSpaceDN w:val="0"/>
              <w:adjustRightInd w:val="0"/>
              <w:spacing w:before="0" w:after="0" w:line="240" w:lineRule="auto"/>
              <w:jc w:val="left"/>
              <w:rPr>
                <w:rFonts w:ascii="Times New Roman" w:eastAsiaTheme="minorEastAsia" w:hAnsi="Times New Roman"/>
                <w:sz w:val="4"/>
                <w:szCs w:val="4"/>
                <w:u w:val="single"/>
                <w:lang w:val="en-US" w:eastAsia="ja-JP"/>
              </w:rPr>
            </w:pPr>
          </w:p>
          <w:p w:rsidR="003F6E51" w:rsidRPr="00033C32" w:rsidRDefault="003F6E51" w:rsidP="00951DB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7C67C5">
              <w:rPr>
                <w:rFonts w:ascii="Times New Roman" w:eastAsiaTheme="minorEastAsia" w:hAnsi="Times New Roman"/>
                <w:sz w:val="20"/>
                <w:szCs w:val="20"/>
                <w:u w:val="single"/>
                <w:lang w:val="en-US" w:eastAsia="ja-JP"/>
              </w:rPr>
              <w:t>Policy</w:t>
            </w:r>
            <w:r w:rsidRPr="00033C32">
              <w:rPr>
                <w:rFonts w:ascii="Times New Roman" w:eastAsiaTheme="minorEastAsia" w:hAnsi="Times New Roman"/>
                <w:sz w:val="20"/>
                <w:szCs w:val="20"/>
                <w:lang w:val="en-US" w:eastAsia="ja-JP"/>
              </w:rPr>
              <w:t xml:space="preserve">: 483 systematic reviews cited in 247 sets of guidance: 62 international, 175 national and 10 local. </w:t>
            </w:r>
          </w:p>
          <w:p w:rsidR="003F6E51" w:rsidRPr="0006489F" w:rsidRDefault="003F6E51" w:rsidP="00951DBE">
            <w:pPr>
              <w:widowControl w:val="0"/>
              <w:autoSpaceDE w:val="0"/>
              <w:autoSpaceDN w:val="0"/>
              <w:adjustRightInd w:val="0"/>
              <w:spacing w:before="0" w:after="0" w:line="240" w:lineRule="auto"/>
              <w:jc w:val="left"/>
              <w:rPr>
                <w:rFonts w:ascii="Times New Roman" w:eastAsiaTheme="minorEastAsia" w:hAnsi="Times New Roman"/>
                <w:sz w:val="4"/>
                <w:szCs w:val="4"/>
                <w:lang w:val="en-US" w:eastAsia="ja-JP"/>
              </w:rPr>
            </w:pPr>
          </w:p>
          <w:p w:rsidR="003F6E51" w:rsidRPr="0006489F" w:rsidRDefault="002E0AB0" w:rsidP="0006489F">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Pr>
                <w:rFonts w:ascii="Times New Roman" w:eastAsiaTheme="minorEastAsia" w:hAnsi="Times New Roman"/>
                <w:sz w:val="20"/>
                <w:szCs w:val="20"/>
                <w:u w:val="single"/>
                <w:lang w:val="en-US" w:eastAsia="ja-JP"/>
              </w:rPr>
              <w:t>H</w:t>
            </w:r>
            <w:r w:rsidR="003F6E51" w:rsidRPr="007C67C5">
              <w:rPr>
                <w:rFonts w:ascii="Times New Roman" w:eastAsiaTheme="minorEastAsia" w:hAnsi="Times New Roman"/>
                <w:sz w:val="20"/>
                <w:szCs w:val="20"/>
                <w:u w:val="single"/>
                <w:lang w:val="en-US" w:eastAsia="ja-JP"/>
              </w:rPr>
              <w:t>ealth sector benefits</w:t>
            </w:r>
            <w:r w:rsidR="003F6E51" w:rsidRPr="00033C32">
              <w:rPr>
                <w:rFonts w:ascii="Times New Roman" w:eastAsiaTheme="minorEastAsia" w:hAnsi="Times New Roman"/>
                <w:sz w:val="20"/>
                <w:szCs w:val="20"/>
                <w:lang w:val="en-US" w:eastAsia="ja-JP"/>
              </w:rPr>
              <w:t>: Review authors and CRGs provided some examples of impact on practice or services, for example, safer use of medication, the identification of new e</w:t>
            </w:r>
            <w:r w:rsidR="007C67C5">
              <w:rPr>
                <w:rFonts w:ascii="Times New Roman" w:eastAsiaTheme="minorEastAsia" w:hAnsi="Times New Roman"/>
                <w:sz w:val="20"/>
                <w:szCs w:val="20"/>
                <w:lang w:val="en-US" w:eastAsia="ja-JP"/>
              </w:rPr>
              <w:t xml:space="preserve">ffective drugs or treatments. There are potential savings </w:t>
            </w:r>
            <w:r w:rsidR="003F6E51" w:rsidRPr="00033C32">
              <w:rPr>
                <w:rFonts w:ascii="Times New Roman" w:eastAsiaTheme="minorEastAsia" w:hAnsi="Times New Roman"/>
                <w:sz w:val="20"/>
                <w:szCs w:val="20"/>
                <w:lang w:val="en-US" w:eastAsia="ja-JP"/>
              </w:rPr>
              <w:t>through the reduction in the use of unproven or unnecessary procedures.</w:t>
            </w:r>
          </w:p>
        </w:tc>
      </w:tr>
      <w:tr w:rsidR="00E35AFB" w:rsidRPr="00E35AFB">
        <w:trPr>
          <w:trHeight w:val="416"/>
          <w:jc w:val="center"/>
        </w:trPr>
        <w:tc>
          <w:tcPr>
            <w:tcW w:w="1463" w:type="dxa"/>
            <w:shd w:val="clear" w:color="auto" w:fill="auto"/>
          </w:tcPr>
          <w:p w:rsidR="00E35AFB" w:rsidRPr="00E35AFB" w:rsidRDefault="00E35AFB" w:rsidP="00270DEF">
            <w:pPr>
              <w:spacing w:line="276" w:lineRule="auto"/>
              <w:jc w:val="left"/>
              <w:rPr>
                <w:rFonts w:ascii="Times New Roman" w:hAnsi="Times New Roman"/>
                <w:sz w:val="20"/>
                <w:szCs w:val="20"/>
              </w:rPr>
            </w:pPr>
            <w:r w:rsidRPr="00E35AFB">
              <w:rPr>
                <w:rFonts w:ascii="Times New Roman" w:hAnsi="Times New Roman"/>
                <w:sz w:val="20"/>
                <w:szCs w:val="20"/>
              </w:rPr>
              <w:t>Glover et al., 2014</w:t>
            </w:r>
          </w:p>
        </w:tc>
        <w:tc>
          <w:tcPr>
            <w:tcW w:w="2035" w:type="dxa"/>
            <w:shd w:val="clear" w:color="auto" w:fill="auto"/>
          </w:tcPr>
          <w:p w:rsidR="00E35AFB" w:rsidRPr="00E35AFB" w:rsidRDefault="00E35AFB" w:rsidP="00270DEF">
            <w:pPr>
              <w:autoSpaceDE w:val="0"/>
              <w:autoSpaceDN w:val="0"/>
              <w:adjustRightInd w:val="0"/>
              <w:spacing w:before="0" w:after="0" w:line="276" w:lineRule="auto"/>
              <w:jc w:val="left"/>
              <w:rPr>
                <w:rFonts w:ascii="Times New Roman" w:hAnsi="Times New Roman"/>
                <w:sz w:val="20"/>
                <w:szCs w:val="20"/>
              </w:rPr>
            </w:pPr>
            <w:r w:rsidRPr="00E35AFB">
              <w:rPr>
                <w:rFonts w:ascii="Times New Roman" w:eastAsia="Times New Roman" w:hAnsi="Times New Roman"/>
                <w:sz w:val="20"/>
                <w:szCs w:val="20"/>
              </w:rPr>
              <w:t>To estimate the economic returns from UK public and charitable funded cancer-related research that arise from the net v</w:t>
            </w:r>
            <w:r w:rsidR="00D0017B">
              <w:rPr>
                <w:rFonts w:ascii="Times New Roman" w:eastAsia="Times New Roman" w:hAnsi="Times New Roman"/>
                <w:sz w:val="20"/>
                <w:szCs w:val="20"/>
              </w:rPr>
              <w:t>alue of the improved health outcomes</w:t>
            </w:r>
          </w:p>
        </w:tc>
        <w:tc>
          <w:tcPr>
            <w:tcW w:w="1701" w:type="dxa"/>
          </w:tcPr>
          <w:p w:rsidR="00E35AFB" w:rsidRPr="00E35AFB" w:rsidRDefault="00E35AFB" w:rsidP="00270DEF">
            <w:pPr>
              <w:spacing w:after="120" w:line="276" w:lineRule="auto"/>
              <w:jc w:val="left"/>
              <w:rPr>
                <w:rFonts w:ascii="Times New Roman" w:eastAsia="Times New Roman" w:hAnsi="Times New Roman"/>
                <w:bCs/>
                <w:sz w:val="20"/>
                <w:szCs w:val="20"/>
              </w:rPr>
            </w:pPr>
            <w:r w:rsidRPr="00E35AFB">
              <w:rPr>
                <w:rFonts w:ascii="Times New Roman" w:eastAsia="Times New Roman" w:hAnsi="Times New Roman"/>
                <w:sz w:val="20"/>
                <w:szCs w:val="20"/>
              </w:rPr>
              <w:t xml:space="preserve">The leading funders of cancer research in the UK were identified by examining the National Cancer Research Institute (NCRI) Cancer </w:t>
            </w:r>
            <w:r w:rsidRPr="00E35AFB">
              <w:rPr>
                <w:rFonts w:ascii="Times New Roman" w:eastAsia="Times New Roman" w:hAnsi="Times New Roman"/>
                <w:sz w:val="20"/>
                <w:szCs w:val="20"/>
              </w:rPr>
              <w:lastRenderedPageBreak/>
              <w:t>Research Database</w:t>
            </w:r>
          </w:p>
        </w:tc>
        <w:tc>
          <w:tcPr>
            <w:tcW w:w="1559" w:type="dxa"/>
            <w:shd w:val="clear" w:color="auto" w:fill="auto"/>
          </w:tcPr>
          <w:p w:rsidR="00E35AFB" w:rsidRPr="00E35AFB" w:rsidRDefault="00E35AFB" w:rsidP="00270DEF">
            <w:pPr>
              <w:spacing w:after="120" w:line="276" w:lineRule="auto"/>
              <w:jc w:val="left"/>
              <w:rPr>
                <w:rFonts w:ascii="Times New Roman" w:eastAsia="Times New Roman" w:hAnsi="Times New Roman"/>
                <w:bCs/>
                <w:sz w:val="20"/>
                <w:szCs w:val="20"/>
              </w:rPr>
            </w:pPr>
            <w:r w:rsidRPr="00E35AFB">
              <w:rPr>
                <w:rFonts w:ascii="Times New Roman" w:eastAsia="Times New Roman" w:hAnsi="Times New Roman"/>
                <w:bCs/>
                <w:sz w:val="20"/>
                <w:szCs w:val="20"/>
              </w:rPr>
              <w:lastRenderedPageBreak/>
              <w:t xml:space="preserve">Quantitative </w:t>
            </w:r>
          </w:p>
          <w:p w:rsidR="00E35AFB" w:rsidRPr="00E35AFB" w:rsidRDefault="00E35AFB" w:rsidP="00270DEF">
            <w:pPr>
              <w:spacing w:after="120" w:line="276" w:lineRule="auto"/>
              <w:jc w:val="left"/>
              <w:rPr>
                <w:rFonts w:ascii="Times New Roman" w:eastAsia="Times New Roman" w:hAnsi="Times New Roman"/>
                <w:bCs/>
                <w:sz w:val="20"/>
                <w:szCs w:val="20"/>
              </w:rPr>
            </w:pPr>
          </w:p>
          <w:p w:rsidR="00E35AFB" w:rsidRPr="00E35AFB" w:rsidRDefault="00E35AFB" w:rsidP="00713EA5">
            <w:pPr>
              <w:spacing w:after="120" w:line="276" w:lineRule="auto"/>
              <w:jc w:val="left"/>
              <w:rPr>
                <w:rFonts w:ascii="Times New Roman" w:eastAsia="Times New Roman" w:hAnsi="Times New Roman"/>
                <w:bCs/>
                <w:sz w:val="20"/>
                <w:szCs w:val="20"/>
              </w:rPr>
            </w:pPr>
          </w:p>
        </w:tc>
        <w:tc>
          <w:tcPr>
            <w:tcW w:w="4076" w:type="dxa"/>
          </w:tcPr>
          <w:p w:rsidR="00E35AFB" w:rsidRPr="00713EA5" w:rsidRDefault="00713EA5" w:rsidP="00713EA5">
            <w:pPr>
              <w:pStyle w:val="ListParagraph"/>
              <w:numPr>
                <w:ilvl w:val="0"/>
                <w:numId w:val="3"/>
              </w:numPr>
              <w:spacing w:after="120" w:line="276" w:lineRule="auto"/>
              <w:ind w:left="317"/>
              <w:jc w:val="left"/>
              <w:rPr>
                <w:rFonts w:ascii="Times New Roman" w:hAnsi="Times New Roman"/>
                <w:sz w:val="20"/>
                <w:szCs w:val="20"/>
              </w:rPr>
            </w:pPr>
            <w:r w:rsidRPr="00713EA5">
              <w:rPr>
                <w:rFonts w:ascii="Times New Roman" w:hAnsi="Times New Roman"/>
                <w:sz w:val="20"/>
                <w:szCs w:val="20"/>
              </w:rPr>
              <w:t>Econometric analysis, using time-series of funding and health benefits to calculate the internal rate of return (IIR)</w:t>
            </w:r>
          </w:p>
          <w:p w:rsidR="00713EA5" w:rsidRPr="00713EA5" w:rsidRDefault="00713EA5" w:rsidP="00713EA5">
            <w:pPr>
              <w:spacing w:after="120" w:line="276" w:lineRule="auto"/>
              <w:jc w:val="left"/>
              <w:rPr>
                <w:rFonts w:ascii="Times New Roman" w:hAnsi="Times New Roman"/>
                <w:sz w:val="20"/>
                <w:szCs w:val="20"/>
              </w:rPr>
            </w:pPr>
          </w:p>
        </w:tc>
        <w:tc>
          <w:tcPr>
            <w:tcW w:w="3883" w:type="dxa"/>
            <w:shd w:val="clear" w:color="auto" w:fill="auto"/>
          </w:tcPr>
          <w:p w:rsidR="00E35AFB" w:rsidRDefault="002376B2" w:rsidP="00E35AFB">
            <w:pPr>
              <w:spacing w:line="276" w:lineRule="auto"/>
              <w:rPr>
                <w:rFonts w:ascii="Times New Roman" w:eastAsia="Times New Roman" w:hAnsi="Times New Roman"/>
                <w:sz w:val="20"/>
                <w:szCs w:val="20"/>
              </w:rPr>
            </w:pPr>
            <w:r w:rsidRPr="002376B2">
              <w:rPr>
                <w:rFonts w:ascii="Times New Roman" w:hAnsi="Times New Roman"/>
                <w:sz w:val="20"/>
                <w:szCs w:val="20"/>
                <w:u w:val="single"/>
              </w:rPr>
              <w:t>Economic impact</w:t>
            </w:r>
            <w:r>
              <w:rPr>
                <w:rFonts w:ascii="Times New Roman" w:hAnsi="Times New Roman"/>
                <w:sz w:val="20"/>
                <w:szCs w:val="20"/>
              </w:rPr>
              <w:t xml:space="preserve">: </w:t>
            </w:r>
            <w:r w:rsidR="00E35AFB" w:rsidRPr="00E35AFB">
              <w:rPr>
                <w:rFonts w:ascii="Times New Roman" w:hAnsi="Times New Roman"/>
                <w:sz w:val="20"/>
                <w:szCs w:val="20"/>
              </w:rPr>
              <w:t>I</w:t>
            </w:r>
            <w:r w:rsidR="00E35AFB" w:rsidRPr="00E35AFB">
              <w:rPr>
                <w:rFonts w:ascii="Times New Roman" w:eastAsia="Times New Roman" w:hAnsi="Times New Roman"/>
                <w:sz w:val="20"/>
                <w:szCs w:val="20"/>
              </w:rPr>
              <w:t xml:space="preserve">n 2011/12 prices, the net monetary benefit (NMB) of the 5.9 million QALYs gained from the prioritised interventions from 1991 to 2010 was £124 billion. Calculation of the IRR incorporated an estimated elapsed time of 15 years. The paper related 17% of the annual NMB estimated to be attributable to UK research (for each of the 20 years 1991 to 2010) to </w:t>
            </w:r>
            <w:r w:rsidR="00E35AFB" w:rsidRPr="00E35AFB">
              <w:rPr>
                <w:rFonts w:ascii="Times New Roman" w:eastAsia="Times New Roman" w:hAnsi="Times New Roman"/>
                <w:sz w:val="20"/>
                <w:szCs w:val="20"/>
              </w:rPr>
              <w:lastRenderedPageBreak/>
              <w:t xml:space="preserve">20 years of research investment 15 years earlier (that is, for 1976 to 1995). This produced a best-estimate IRR of 10%. </w:t>
            </w:r>
          </w:p>
          <w:p w:rsidR="0066310F" w:rsidRPr="00E35AFB" w:rsidRDefault="0066310F" w:rsidP="0066310F">
            <w:pPr>
              <w:spacing w:line="276" w:lineRule="auto"/>
              <w:rPr>
                <w:rFonts w:ascii="Times New Roman" w:hAnsi="Times New Roman"/>
                <w:sz w:val="20"/>
                <w:szCs w:val="20"/>
              </w:rPr>
            </w:pPr>
            <w:r w:rsidRPr="00FA1CFE">
              <w:rPr>
                <w:rFonts w:ascii="Times New Roman" w:eastAsia="Times New Roman" w:hAnsi="Times New Roman"/>
                <w:sz w:val="20"/>
                <w:szCs w:val="20"/>
                <w:u w:val="single"/>
              </w:rPr>
              <w:t>Health gains</w:t>
            </w:r>
            <w:r>
              <w:rPr>
                <w:rFonts w:ascii="Times New Roman" w:eastAsia="Times New Roman" w:hAnsi="Times New Roman"/>
                <w:sz w:val="20"/>
                <w:szCs w:val="20"/>
              </w:rPr>
              <w:t xml:space="preserve">: </w:t>
            </w:r>
            <w:r w:rsidRPr="00E35AFB">
              <w:rPr>
                <w:rFonts w:ascii="Times New Roman" w:eastAsia="Times New Roman" w:hAnsi="Times New Roman"/>
                <w:sz w:val="20"/>
                <w:szCs w:val="20"/>
              </w:rPr>
              <w:t>5.9 million QALYs gained from the prioritised interventions from 1991 to 2010.</w:t>
            </w:r>
          </w:p>
        </w:tc>
      </w:tr>
      <w:tr w:rsidR="00364263" w:rsidRPr="00AB7E25">
        <w:trPr>
          <w:jc w:val="center"/>
        </w:trPr>
        <w:tc>
          <w:tcPr>
            <w:tcW w:w="1463" w:type="dxa"/>
            <w:shd w:val="clear" w:color="auto" w:fill="auto"/>
          </w:tcPr>
          <w:p w:rsidR="00364263" w:rsidRPr="00AB7E25" w:rsidRDefault="00364263" w:rsidP="00AB7E25">
            <w:pPr>
              <w:spacing w:line="276" w:lineRule="auto"/>
              <w:jc w:val="left"/>
              <w:rPr>
                <w:rFonts w:ascii="Times New Roman" w:hAnsi="Times New Roman"/>
                <w:sz w:val="20"/>
                <w:szCs w:val="20"/>
              </w:rPr>
            </w:pPr>
            <w:r w:rsidRPr="00AB7E25">
              <w:rPr>
                <w:rFonts w:ascii="Times New Roman" w:hAnsi="Times New Roman"/>
                <w:sz w:val="20"/>
                <w:szCs w:val="20"/>
              </w:rPr>
              <w:lastRenderedPageBreak/>
              <w:t>Guthrie et al., 2015</w:t>
            </w:r>
          </w:p>
        </w:tc>
        <w:tc>
          <w:tcPr>
            <w:tcW w:w="2035" w:type="dxa"/>
            <w:shd w:val="clear" w:color="auto" w:fill="auto"/>
          </w:tcPr>
          <w:p w:rsidR="00364263" w:rsidRPr="00AB7E25" w:rsidRDefault="00364263" w:rsidP="00AB7E25">
            <w:pPr>
              <w:jc w:val="left"/>
              <w:rPr>
                <w:rFonts w:ascii="Times New Roman" w:hAnsi="Times New Roman"/>
                <w:sz w:val="20"/>
                <w:szCs w:val="20"/>
              </w:rPr>
            </w:pPr>
            <w:r w:rsidRPr="00AB7E25">
              <w:rPr>
                <w:rFonts w:ascii="Times New Roman" w:hAnsi="Times New Roman"/>
                <w:sz w:val="20"/>
                <w:szCs w:val="20"/>
              </w:rPr>
              <w:t xml:space="preserve">To review the impact of NIHR HTA programme from 2003 to 2013, considering the following research impacts: academic, clinical practice, health and economic impacts. </w:t>
            </w:r>
          </w:p>
          <w:p w:rsidR="00364263" w:rsidRPr="00AB7E25" w:rsidRDefault="00364263" w:rsidP="00AB7E25">
            <w:pPr>
              <w:autoSpaceDE w:val="0"/>
              <w:autoSpaceDN w:val="0"/>
              <w:adjustRightInd w:val="0"/>
              <w:spacing w:before="0" w:after="0" w:line="276" w:lineRule="auto"/>
              <w:jc w:val="left"/>
              <w:rPr>
                <w:rFonts w:ascii="Times New Roman" w:hAnsi="Times New Roman"/>
                <w:sz w:val="20"/>
                <w:szCs w:val="20"/>
              </w:rPr>
            </w:pPr>
          </w:p>
        </w:tc>
        <w:tc>
          <w:tcPr>
            <w:tcW w:w="1701" w:type="dxa"/>
          </w:tcPr>
          <w:p w:rsidR="00364263" w:rsidRPr="00AB7E25" w:rsidRDefault="00364263" w:rsidP="00AB7E25">
            <w:pPr>
              <w:spacing w:after="120" w:line="276" w:lineRule="auto"/>
              <w:jc w:val="left"/>
              <w:rPr>
                <w:rFonts w:ascii="Times New Roman" w:eastAsia="Times New Roman" w:hAnsi="Times New Roman"/>
                <w:bCs/>
                <w:sz w:val="20"/>
                <w:szCs w:val="20"/>
              </w:rPr>
            </w:pPr>
            <w:r w:rsidRPr="00AB7E25">
              <w:rPr>
                <w:rFonts w:ascii="Times New Roman" w:eastAsia="Times New Roman" w:hAnsi="Times New Roman"/>
                <w:bCs/>
                <w:sz w:val="20"/>
                <w:szCs w:val="20"/>
              </w:rPr>
              <w:t>NIHR’s Health Technology Assessment programme</w:t>
            </w:r>
          </w:p>
        </w:tc>
        <w:tc>
          <w:tcPr>
            <w:tcW w:w="1559" w:type="dxa"/>
            <w:shd w:val="clear" w:color="auto" w:fill="auto"/>
          </w:tcPr>
          <w:p w:rsidR="00364263" w:rsidRPr="00AB7E25" w:rsidRDefault="00364263" w:rsidP="00AB7E25">
            <w:pPr>
              <w:spacing w:after="120" w:line="276" w:lineRule="auto"/>
              <w:jc w:val="left"/>
              <w:rPr>
                <w:rFonts w:ascii="Times New Roman" w:eastAsia="Times New Roman" w:hAnsi="Times New Roman"/>
                <w:bCs/>
                <w:sz w:val="20"/>
                <w:szCs w:val="20"/>
              </w:rPr>
            </w:pPr>
            <w:r w:rsidRPr="00AB7E25">
              <w:rPr>
                <w:rFonts w:ascii="Times New Roman" w:eastAsia="Times New Roman" w:hAnsi="Times New Roman"/>
                <w:bCs/>
                <w:sz w:val="20"/>
                <w:szCs w:val="20"/>
              </w:rPr>
              <w:t xml:space="preserve">Mixed methods </w:t>
            </w:r>
          </w:p>
          <w:p w:rsidR="00364263" w:rsidRPr="00AB7E25" w:rsidRDefault="00364263" w:rsidP="00A11A8F">
            <w:pPr>
              <w:spacing w:after="120" w:line="276" w:lineRule="auto"/>
              <w:jc w:val="left"/>
              <w:rPr>
                <w:rFonts w:ascii="Times New Roman" w:eastAsia="Times New Roman" w:hAnsi="Times New Roman"/>
                <w:bCs/>
                <w:sz w:val="20"/>
                <w:szCs w:val="20"/>
              </w:rPr>
            </w:pPr>
          </w:p>
        </w:tc>
        <w:tc>
          <w:tcPr>
            <w:tcW w:w="4076" w:type="dxa"/>
          </w:tcPr>
          <w:p w:rsidR="00A11A8F" w:rsidRPr="00A11A8F" w:rsidRDefault="00A11A8F" w:rsidP="00A11A8F">
            <w:pPr>
              <w:pStyle w:val="ListParagraph"/>
              <w:numPr>
                <w:ilvl w:val="0"/>
                <w:numId w:val="2"/>
              </w:numPr>
              <w:spacing w:after="120" w:line="276" w:lineRule="auto"/>
              <w:ind w:left="389"/>
              <w:jc w:val="left"/>
              <w:rPr>
                <w:rFonts w:ascii="Times New Roman" w:hAnsi="Times New Roman"/>
                <w:sz w:val="20"/>
                <w:szCs w:val="20"/>
              </w:rPr>
            </w:pPr>
            <w:r w:rsidRPr="00AB7E25">
              <w:rPr>
                <w:rFonts w:ascii="Times New Roman" w:eastAsia="Times New Roman" w:hAnsi="Times New Roman"/>
                <w:bCs/>
                <w:sz w:val="20"/>
                <w:szCs w:val="20"/>
              </w:rPr>
              <w:t>Qualitative interviews with academics, poli</w:t>
            </w:r>
            <w:r>
              <w:rPr>
                <w:rFonts w:ascii="Times New Roman" w:eastAsia="Times New Roman" w:hAnsi="Times New Roman"/>
                <w:bCs/>
                <w:sz w:val="20"/>
                <w:szCs w:val="20"/>
              </w:rPr>
              <w:t>cy-makers and the HTA programme</w:t>
            </w:r>
          </w:p>
          <w:p w:rsidR="00A11A8F" w:rsidRPr="00A11A8F" w:rsidRDefault="00A11A8F" w:rsidP="00A11A8F">
            <w:pPr>
              <w:pStyle w:val="ListParagraph"/>
              <w:numPr>
                <w:ilvl w:val="0"/>
                <w:numId w:val="2"/>
              </w:numPr>
              <w:spacing w:after="120" w:line="276" w:lineRule="auto"/>
              <w:ind w:left="389"/>
              <w:jc w:val="left"/>
              <w:rPr>
                <w:rFonts w:ascii="Times New Roman" w:hAnsi="Times New Roman"/>
                <w:sz w:val="20"/>
                <w:szCs w:val="20"/>
              </w:rPr>
            </w:pPr>
            <w:r>
              <w:rPr>
                <w:rFonts w:ascii="Times New Roman" w:eastAsia="Times New Roman" w:hAnsi="Times New Roman"/>
                <w:bCs/>
                <w:sz w:val="20"/>
                <w:szCs w:val="20"/>
              </w:rPr>
              <w:t>Bibliometric analysis</w:t>
            </w:r>
          </w:p>
          <w:p w:rsidR="00A11A8F" w:rsidRPr="00A11A8F" w:rsidRDefault="00A11A8F" w:rsidP="00A11A8F">
            <w:pPr>
              <w:pStyle w:val="ListParagraph"/>
              <w:numPr>
                <w:ilvl w:val="0"/>
                <w:numId w:val="2"/>
              </w:numPr>
              <w:spacing w:after="120" w:line="276" w:lineRule="auto"/>
              <w:ind w:left="389"/>
              <w:jc w:val="left"/>
              <w:rPr>
                <w:rFonts w:ascii="Times New Roman" w:hAnsi="Times New Roman"/>
                <w:sz w:val="20"/>
                <w:szCs w:val="20"/>
              </w:rPr>
            </w:pPr>
            <w:r>
              <w:rPr>
                <w:rFonts w:ascii="Times New Roman" w:eastAsia="Times New Roman" w:hAnsi="Times New Roman"/>
                <w:bCs/>
                <w:sz w:val="20"/>
                <w:szCs w:val="20"/>
              </w:rPr>
              <w:t>Q</w:t>
            </w:r>
            <w:r w:rsidRPr="00AB7E25">
              <w:rPr>
                <w:rFonts w:ascii="Times New Roman" w:eastAsia="Times New Roman" w:hAnsi="Times New Roman"/>
                <w:bCs/>
                <w:sz w:val="20"/>
                <w:szCs w:val="20"/>
              </w:rPr>
              <w:t>uantitative s</w:t>
            </w:r>
            <w:r>
              <w:rPr>
                <w:rFonts w:ascii="Times New Roman" w:eastAsia="Times New Roman" w:hAnsi="Times New Roman"/>
                <w:bCs/>
                <w:sz w:val="20"/>
                <w:szCs w:val="20"/>
              </w:rPr>
              <w:t>urvey of all HTA grant holders</w:t>
            </w:r>
          </w:p>
          <w:p w:rsidR="00364263" w:rsidRPr="00AB7E25" w:rsidRDefault="00A11A8F" w:rsidP="00A11A8F">
            <w:pPr>
              <w:pStyle w:val="ListParagraph"/>
              <w:numPr>
                <w:ilvl w:val="0"/>
                <w:numId w:val="2"/>
              </w:numPr>
              <w:spacing w:after="120" w:line="276" w:lineRule="auto"/>
              <w:ind w:left="389"/>
              <w:jc w:val="left"/>
              <w:rPr>
                <w:rFonts w:ascii="Times New Roman" w:hAnsi="Times New Roman"/>
                <w:sz w:val="20"/>
                <w:szCs w:val="20"/>
              </w:rPr>
            </w:pPr>
            <w:r>
              <w:rPr>
                <w:rFonts w:ascii="Times New Roman" w:eastAsia="Times New Roman" w:hAnsi="Times New Roman"/>
                <w:bCs/>
                <w:sz w:val="20"/>
                <w:szCs w:val="20"/>
              </w:rPr>
              <w:t>C</w:t>
            </w:r>
            <w:r w:rsidRPr="00AB7E25">
              <w:rPr>
                <w:rFonts w:ascii="Times New Roman" w:eastAsia="Times New Roman" w:hAnsi="Times New Roman"/>
                <w:bCs/>
                <w:sz w:val="20"/>
                <w:szCs w:val="20"/>
              </w:rPr>
              <w:t>ase studies</w:t>
            </w:r>
          </w:p>
        </w:tc>
        <w:tc>
          <w:tcPr>
            <w:tcW w:w="3883" w:type="dxa"/>
            <w:shd w:val="clear" w:color="auto" w:fill="auto"/>
          </w:tcPr>
          <w:p w:rsidR="00DE2059" w:rsidRPr="00AB7E25" w:rsidRDefault="00202853" w:rsidP="00AB7E25">
            <w:pPr>
              <w:spacing w:line="276" w:lineRule="auto"/>
              <w:jc w:val="left"/>
              <w:rPr>
                <w:rFonts w:ascii="Times New Roman" w:hAnsi="Times New Roman"/>
                <w:sz w:val="20"/>
                <w:szCs w:val="20"/>
              </w:rPr>
            </w:pPr>
            <w:r w:rsidRPr="00202853">
              <w:rPr>
                <w:rFonts w:ascii="Times New Roman" w:hAnsi="Times New Roman"/>
                <w:sz w:val="20"/>
                <w:szCs w:val="20"/>
                <w:u w:val="single"/>
              </w:rPr>
              <w:t>Knowledge</w:t>
            </w:r>
            <w:r w:rsidR="00DE2059" w:rsidRPr="00AB7E25">
              <w:rPr>
                <w:rFonts w:ascii="Times New Roman" w:hAnsi="Times New Roman"/>
                <w:sz w:val="20"/>
                <w:szCs w:val="20"/>
              </w:rPr>
              <w:t xml:space="preserve">: </w:t>
            </w:r>
            <w:r w:rsidR="00FD04BF" w:rsidRPr="00AB7E25">
              <w:rPr>
                <w:rFonts w:ascii="Times New Roman" w:hAnsi="Times New Roman"/>
                <w:sz w:val="20"/>
                <w:szCs w:val="20"/>
              </w:rPr>
              <w:t>On average, work funded by the HTA is cited more than twice as frequently as would be expected on average.</w:t>
            </w:r>
          </w:p>
          <w:p w:rsidR="00FD04BF" w:rsidRPr="00AB7E25" w:rsidRDefault="00FD04BF" w:rsidP="00AB7E25">
            <w:pPr>
              <w:spacing w:line="276" w:lineRule="auto"/>
              <w:jc w:val="left"/>
              <w:rPr>
                <w:rFonts w:ascii="Times New Roman" w:hAnsi="Times New Roman"/>
                <w:sz w:val="20"/>
                <w:szCs w:val="20"/>
              </w:rPr>
            </w:pPr>
            <w:r w:rsidRPr="00202853">
              <w:rPr>
                <w:rFonts w:ascii="Times New Roman" w:hAnsi="Times New Roman"/>
                <w:sz w:val="20"/>
                <w:szCs w:val="20"/>
                <w:u w:val="single"/>
              </w:rPr>
              <w:t>Future research/research use</w:t>
            </w:r>
            <w:r w:rsidRPr="00AB7E25">
              <w:rPr>
                <w:rFonts w:ascii="Times New Roman" w:hAnsi="Times New Roman"/>
                <w:sz w:val="20"/>
                <w:szCs w:val="20"/>
              </w:rPr>
              <w:t xml:space="preserve">: </w:t>
            </w:r>
            <w:r w:rsidR="00AB7E25" w:rsidRPr="00AB7E25">
              <w:rPr>
                <w:rFonts w:ascii="Times New Roman" w:hAnsi="Times New Roman"/>
                <w:sz w:val="20"/>
                <w:szCs w:val="20"/>
              </w:rPr>
              <w:t>half of the studies were extended, in several cases new studies were shaped up, all had capacity building for their researchers.</w:t>
            </w:r>
          </w:p>
          <w:p w:rsidR="00AB7E25" w:rsidRPr="00AB7E25" w:rsidRDefault="00AB7E25" w:rsidP="00AB7E25">
            <w:pPr>
              <w:spacing w:line="276" w:lineRule="auto"/>
              <w:jc w:val="left"/>
              <w:rPr>
                <w:rFonts w:ascii="Times New Roman" w:hAnsi="Times New Roman"/>
                <w:sz w:val="20"/>
                <w:szCs w:val="20"/>
              </w:rPr>
            </w:pPr>
            <w:r w:rsidRPr="00202853">
              <w:rPr>
                <w:rFonts w:ascii="Times New Roman" w:hAnsi="Times New Roman"/>
                <w:sz w:val="20"/>
                <w:szCs w:val="20"/>
                <w:u w:val="single"/>
              </w:rPr>
              <w:t>Policy</w:t>
            </w:r>
            <w:r w:rsidRPr="00AB7E25">
              <w:rPr>
                <w:rFonts w:ascii="Times New Roman" w:hAnsi="Times New Roman"/>
                <w:sz w:val="20"/>
                <w:szCs w:val="20"/>
              </w:rPr>
              <w:t xml:space="preserve">: 15% of the overall portfolio of studies reported having some impact on policy: Influenced training of practitioners, membership in a committee, citation in clinical reviews and policy documents, rapid advice and giving evidence to the government. Of these projects 60% were within the UK. Seven studies influences NICE guidelines and two the NSC pilot. </w:t>
            </w:r>
          </w:p>
          <w:p w:rsidR="005317DC" w:rsidRPr="00AB7E25" w:rsidRDefault="005317DC" w:rsidP="00AB7E25">
            <w:pPr>
              <w:spacing w:line="276" w:lineRule="auto"/>
              <w:jc w:val="left"/>
              <w:rPr>
                <w:rFonts w:ascii="Times New Roman" w:hAnsi="Times New Roman"/>
                <w:sz w:val="20"/>
                <w:szCs w:val="20"/>
              </w:rPr>
            </w:pPr>
            <w:r w:rsidRPr="00202853">
              <w:rPr>
                <w:rFonts w:ascii="Times New Roman" w:hAnsi="Times New Roman"/>
                <w:sz w:val="20"/>
                <w:szCs w:val="20"/>
                <w:u w:val="single"/>
              </w:rPr>
              <w:t>Health sector benefits</w:t>
            </w:r>
            <w:r w:rsidRPr="00AB7E25">
              <w:rPr>
                <w:rFonts w:ascii="Times New Roman" w:hAnsi="Times New Roman"/>
                <w:sz w:val="20"/>
                <w:szCs w:val="20"/>
              </w:rPr>
              <w:t xml:space="preserve">: The primary root to impact is through guidelines (mainly NICE). Three of the cases studies reviewed showed </w:t>
            </w:r>
            <w:r w:rsidRPr="00AB7E25">
              <w:rPr>
                <w:rFonts w:ascii="Times New Roman" w:hAnsi="Times New Roman"/>
                <w:sz w:val="20"/>
                <w:szCs w:val="20"/>
              </w:rPr>
              <w:lastRenderedPageBreak/>
              <w:t xml:space="preserve">benefits to patients in trauma, respiratory failure and stroke. Three studies showed impact on patient choice, two cases (limited) impact on potential cost savings, two cases showed current practice is </w:t>
            </w:r>
            <w:r w:rsidR="00DE2059" w:rsidRPr="00AB7E25">
              <w:rPr>
                <w:rFonts w:ascii="Times New Roman" w:hAnsi="Times New Roman"/>
                <w:sz w:val="20"/>
                <w:szCs w:val="20"/>
              </w:rPr>
              <w:t>appropriate.</w:t>
            </w:r>
          </w:p>
          <w:p w:rsidR="00AB7E25" w:rsidRPr="00AB7E25" w:rsidRDefault="00AB7E25" w:rsidP="00D964AE">
            <w:pPr>
              <w:spacing w:line="276" w:lineRule="auto"/>
              <w:jc w:val="left"/>
              <w:rPr>
                <w:rFonts w:ascii="Times New Roman" w:hAnsi="Times New Roman"/>
                <w:sz w:val="20"/>
                <w:szCs w:val="20"/>
              </w:rPr>
            </w:pPr>
            <w:r w:rsidRPr="00202853">
              <w:rPr>
                <w:rFonts w:ascii="Times New Roman" w:hAnsi="Times New Roman"/>
                <w:sz w:val="20"/>
                <w:szCs w:val="20"/>
                <w:u w:val="single"/>
              </w:rPr>
              <w:t>Economic impact</w:t>
            </w:r>
            <w:r w:rsidRPr="00AB7E25">
              <w:rPr>
                <w:rFonts w:ascii="Times New Roman" w:hAnsi="Times New Roman"/>
                <w:sz w:val="20"/>
                <w:szCs w:val="20"/>
              </w:rPr>
              <w:t xml:space="preserve">: little overlap between HTA and industry. Half of the studies showed impact on industry, potential impact through increased sales. </w:t>
            </w:r>
          </w:p>
        </w:tc>
      </w:tr>
      <w:tr w:rsidR="00364263" w:rsidRPr="00E210C7">
        <w:trPr>
          <w:jc w:val="center"/>
        </w:trPr>
        <w:tc>
          <w:tcPr>
            <w:tcW w:w="1463" w:type="dxa"/>
            <w:shd w:val="clear" w:color="auto" w:fill="auto"/>
          </w:tcPr>
          <w:p w:rsidR="00364263" w:rsidRPr="00E210C7" w:rsidRDefault="00E210C7" w:rsidP="00364263">
            <w:pPr>
              <w:spacing w:line="276" w:lineRule="auto"/>
              <w:jc w:val="left"/>
              <w:rPr>
                <w:rFonts w:ascii="Times New Roman" w:hAnsi="Times New Roman"/>
                <w:sz w:val="20"/>
                <w:szCs w:val="20"/>
              </w:rPr>
            </w:pPr>
            <w:r w:rsidRPr="00E210C7">
              <w:rPr>
                <w:rFonts w:ascii="Times New Roman" w:hAnsi="Times New Roman"/>
                <w:sz w:val="20"/>
                <w:szCs w:val="20"/>
              </w:rPr>
              <w:lastRenderedPageBreak/>
              <w:t>Guthrie et al., 201</w:t>
            </w:r>
            <w:r w:rsidR="00D10D20">
              <w:rPr>
                <w:rFonts w:ascii="Times New Roman" w:hAnsi="Times New Roman"/>
                <w:sz w:val="20"/>
                <w:szCs w:val="20"/>
              </w:rPr>
              <w:t>6</w:t>
            </w:r>
          </w:p>
        </w:tc>
        <w:tc>
          <w:tcPr>
            <w:tcW w:w="2035" w:type="dxa"/>
            <w:shd w:val="clear" w:color="auto" w:fill="auto"/>
          </w:tcPr>
          <w:p w:rsidR="00E210C7" w:rsidRDefault="00E210C7" w:rsidP="00364263">
            <w:pPr>
              <w:autoSpaceDE w:val="0"/>
              <w:autoSpaceDN w:val="0"/>
              <w:adjustRightInd w:val="0"/>
              <w:spacing w:before="0" w:after="0" w:line="276" w:lineRule="auto"/>
              <w:jc w:val="left"/>
              <w:rPr>
                <w:rFonts w:ascii="Times New Roman" w:hAnsi="Times New Roman"/>
                <w:sz w:val="20"/>
                <w:szCs w:val="20"/>
              </w:rPr>
            </w:pPr>
          </w:p>
          <w:p w:rsidR="00364263" w:rsidRPr="00E210C7" w:rsidRDefault="00E210C7" w:rsidP="00364263">
            <w:pPr>
              <w:autoSpaceDE w:val="0"/>
              <w:autoSpaceDN w:val="0"/>
              <w:adjustRightInd w:val="0"/>
              <w:spacing w:before="0" w:after="0" w:line="276" w:lineRule="auto"/>
              <w:jc w:val="left"/>
              <w:rPr>
                <w:rFonts w:ascii="Times New Roman" w:hAnsi="Times New Roman"/>
                <w:sz w:val="20"/>
                <w:szCs w:val="20"/>
              </w:rPr>
            </w:pPr>
            <w:r w:rsidRPr="00E210C7">
              <w:rPr>
                <w:rFonts w:ascii="Times New Roman" w:hAnsi="Times New Roman"/>
                <w:sz w:val="20"/>
                <w:szCs w:val="20"/>
              </w:rPr>
              <w:t>To</w:t>
            </w:r>
            <w:r w:rsidR="00364263" w:rsidRPr="00E210C7">
              <w:rPr>
                <w:rFonts w:ascii="Times New Roman" w:hAnsi="Times New Roman"/>
                <w:sz w:val="20"/>
                <w:szCs w:val="20"/>
              </w:rPr>
              <w:t xml:space="preserve"> </w:t>
            </w:r>
            <w:r w:rsidRPr="00E210C7">
              <w:rPr>
                <w:rFonts w:ascii="Times New Roman" w:eastAsia="Times New Roman" w:hAnsi="Times New Roman"/>
                <w:sz w:val="20"/>
                <w:szCs w:val="20"/>
              </w:rPr>
              <w:t>conduct an economic analysis of the impact of the HTA Programme</w:t>
            </w:r>
          </w:p>
        </w:tc>
        <w:tc>
          <w:tcPr>
            <w:tcW w:w="1701" w:type="dxa"/>
          </w:tcPr>
          <w:p w:rsidR="00364263" w:rsidRPr="00E210C7" w:rsidRDefault="00E210C7" w:rsidP="00364263">
            <w:pPr>
              <w:spacing w:after="120" w:line="276" w:lineRule="auto"/>
              <w:jc w:val="left"/>
              <w:rPr>
                <w:rFonts w:ascii="Times New Roman" w:eastAsia="Times New Roman" w:hAnsi="Times New Roman"/>
                <w:bCs/>
                <w:sz w:val="20"/>
                <w:szCs w:val="20"/>
              </w:rPr>
            </w:pPr>
            <w:r w:rsidRPr="00E210C7">
              <w:rPr>
                <w:rFonts w:ascii="Times New Roman" w:eastAsia="Times New Roman" w:hAnsi="Times New Roman"/>
                <w:bCs/>
                <w:sz w:val="20"/>
                <w:szCs w:val="20"/>
              </w:rPr>
              <w:t>NIHR’s Health Technology Assessment programme</w:t>
            </w:r>
          </w:p>
        </w:tc>
        <w:tc>
          <w:tcPr>
            <w:tcW w:w="1559" w:type="dxa"/>
            <w:shd w:val="clear" w:color="auto" w:fill="auto"/>
          </w:tcPr>
          <w:p w:rsidR="00E210C7" w:rsidRPr="00E210C7" w:rsidRDefault="00E210C7" w:rsidP="00364263">
            <w:pPr>
              <w:spacing w:after="120" w:line="276" w:lineRule="auto"/>
              <w:jc w:val="left"/>
              <w:rPr>
                <w:rFonts w:ascii="Times New Roman" w:eastAsia="Times New Roman" w:hAnsi="Times New Roman"/>
                <w:sz w:val="20"/>
                <w:szCs w:val="20"/>
              </w:rPr>
            </w:pPr>
            <w:r w:rsidRPr="00E210C7">
              <w:rPr>
                <w:rFonts w:ascii="Times New Roman" w:eastAsia="Times New Roman" w:hAnsi="Times New Roman"/>
                <w:sz w:val="20"/>
                <w:szCs w:val="20"/>
              </w:rPr>
              <w:t>Mixed methods</w:t>
            </w:r>
          </w:p>
          <w:p w:rsidR="00364263" w:rsidRPr="00E210C7" w:rsidRDefault="00364263" w:rsidP="005629EE">
            <w:pPr>
              <w:spacing w:after="120" w:line="276" w:lineRule="auto"/>
              <w:jc w:val="left"/>
              <w:rPr>
                <w:rFonts w:ascii="Times New Roman" w:eastAsia="Times New Roman" w:hAnsi="Times New Roman"/>
                <w:sz w:val="20"/>
                <w:szCs w:val="20"/>
              </w:rPr>
            </w:pPr>
          </w:p>
        </w:tc>
        <w:tc>
          <w:tcPr>
            <w:tcW w:w="4076" w:type="dxa"/>
          </w:tcPr>
          <w:p w:rsidR="005629EE" w:rsidRPr="005629EE" w:rsidRDefault="005629EE" w:rsidP="005629EE">
            <w:pPr>
              <w:pStyle w:val="ListParagraph"/>
              <w:numPr>
                <w:ilvl w:val="0"/>
                <w:numId w:val="2"/>
              </w:numPr>
              <w:spacing w:after="120" w:line="276" w:lineRule="auto"/>
              <w:ind w:left="317"/>
              <w:jc w:val="left"/>
              <w:rPr>
                <w:rFonts w:ascii="Times New Roman" w:hAnsi="Times New Roman"/>
                <w:sz w:val="20"/>
                <w:szCs w:val="20"/>
              </w:rPr>
            </w:pPr>
            <w:r w:rsidRPr="00E210C7">
              <w:rPr>
                <w:rFonts w:ascii="Times New Roman" w:eastAsia="Times New Roman" w:hAnsi="Times New Roman"/>
                <w:sz w:val="20"/>
                <w:szCs w:val="20"/>
              </w:rPr>
              <w:t>Analysis of the potential economic benefits of a sample of HTA funded studies and comparison to p</w:t>
            </w:r>
            <w:r>
              <w:rPr>
                <w:rFonts w:ascii="Times New Roman" w:eastAsia="Times New Roman" w:hAnsi="Times New Roman"/>
                <w:sz w:val="20"/>
                <w:szCs w:val="20"/>
              </w:rPr>
              <w:t>rogramme costs</w:t>
            </w:r>
          </w:p>
          <w:p w:rsidR="00E210C7" w:rsidRPr="00E210C7" w:rsidRDefault="005629EE" w:rsidP="005629EE">
            <w:pPr>
              <w:pStyle w:val="ListParagraph"/>
              <w:numPr>
                <w:ilvl w:val="0"/>
                <w:numId w:val="2"/>
              </w:numPr>
              <w:spacing w:after="120" w:line="276" w:lineRule="auto"/>
              <w:ind w:left="317"/>
              <w:jc w:val="left"/>
              <w:rPr>
                <w:rFonts w:ascii="Times New Roman" w:hAnsi="Times New Roman"/>
                <w:sz w:val="20"/>
                <w:szCs w:val="20"/>
              </w:rPr>
            </w:pPr>
            <w:r>
              <w:rPr>
                <w:rFonts w:ascii="Times New Roman" w:eastAsia="Times New Roman" w:hAnsi="Times New Roman"/>
                <w:sz w:val="20"/>
                <w:szCs w:val="20"/>
              </w:rPr>
              <w:t>Analysis of a</w:t>
            </w:r>
            <w:r w:rsidRPr="00E210C7">
              <w:rPr>
                <w:rFonts w:ascii="Times New Roman" w:eastAsia="Times New Roman" w:hAnsi="Times New Roman"/>
                <w:sz w:val="20"/>
                <w:szCs w:val="20"/>
              </w:rPr>
              <w:t xml:space="preserve"> set of short case studies exploring the impacts of the HTA Programme on policy and practice</w:t>
            </w:r>
          </w:p>
          <w:p w:rsidR="00364263" w:rsidRPr="00E210C7" w:rsidRDefault="00364263" w:rsidP="00364263">
            <w:pPr>
              <w:spacing w:line="276" w:lineRule="auto"/>
              <w:rPr>
                <w:rFonts w:ascii="Times New Roman" w:hAnsi="Times New Roman"/>
                <w:sz w:val="20"/>
                <w:szCs w:val="20"/>
              </w:rPr>
            </w:pPr>
          </w:p>
        </w:tc>
        <w:tc>
          <w:tcPr>
            <w:tcW w:w="3883" w:type="dxa"/>
            <w:shd w:val="clear" w:color="auto" w:fill="auto"/>
          </w:tcPr>
          <w:p w:rsidR="00364263" w:rsidRPr="005629EE" w:rsidRDefault="00D964AE" w:rsidP="00364263">
            <w:pPr>
              <w:spacing w:line="276" w:lineRule="auto"/>
              <w:rPr>
                <w:rFonts w:ascii="Times New Roman" w:eastAsia="Times New Roman" w:hAnsi="Times New Roman"/>
                <w:sz w:val="20"/>
                <w:szCs w:val="20"/>
              </w:rPr>
            </w:pPr>
            <w:r w:rsidRPr="00D964AE">
              <w:rPr>
                <w:rFonts w:ascii="Times New Roman" w:eastAsia="Times New Roman" w:hAnsi="Times New Roman"/>
                <w:sz w:val="20"/>
                <w:szCs w:val="20"/>
                <w:u w:val="single"/>
              </w:rPr>
              <w:t>Economic benefit</w:t>
            </w:r>
            <w:r>
              <w:rPr>
                <w:rFonts w:ascii="Times New Roman" w:eastAsia="Times New Roman" w:hAnsi="Times New Roman"/>
                <w:sz w:val="20"/>
                <w:szCs w:val="20"/>
              </w:rPr>
              <w:t xml:space="preserve">: </w:t>
            </w:r>
            <w:r w:rsidR="00E210C7" w:rsidRPr="00E210C7">
              <w:rPr>
                <w:rFonts w:ascii="Times New Roman" w:eastAsia="Times New Roman" w:hAnsi="Times New Roman"/>
                <w:sz w:val="20"/>
                <w:szCs w:val="20"/>
              </w:rPr>
              <w:t xml:space="preserve">If 12 per cent of the potential net benefit of implementing the findings of this sample of 10 studies for one year was realised, it would cover the cost of the </w:t>
            </w:r>
            <w:r w:rsidR="00E210C7" w:rsidRPr="005629EE">
              <w:rPr>
                <w:rFonts w:ascii="Times New Roman" w:eastAsia="Times New Roman" w:hAnsi="Times New Roman"/>
                <w:sz w:val="20"/>
                <w:szCs w:val="20"/>
              </w:rPr>
              <w:t>HTA Programme from 1993 to 2012.</w:t>
            </w:r>
          </w:p>
          <w:p w:rsidR="005629EE" w:rsidRDefault="005629EE" w:rsidP="005629E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5629EE">
              <w:rPr>
                <w:rFonts w:ascii="Times New Roman" w:eastAsia="Times New Roman" w:hAnsi="Times New Roman"/>
                <w:sz w:val="20"/>
                <w:szCs w:val="20"/>
                <w:u w:val="single"/>
              </w:rPr>
              <w:t>Policy development</w:t>
            </w:r>
            <w:r w:rsidRPr="005629EE">
              <w:rPr>
                <w:rFonts w:ascii="Times New Roman" w:eastAsia="Times New Roman" w:hAnsi="Times New Roman"/>
                <w:sz w:val="20"/>
                <w:szCs w:val="20"/>
              </w:rPr>
              <w:t xml:space="preserve">: </w:t>
            </w:r>
            <w:r w:rsidRPr="005629EE">
              <w:rPr>
                <w:rFonts w:ascii="Times New Roman" w:eastAsiaTheme="minorEastAsia" w:hAnsi="Times New Roman"/>
                <w:sz w:val="20"/>
                <w:szCs w:val="20"/>
                <w:lang w:val="en-US" w:eastAsia="ja-JP"/>
              </w:rPr>
              <w:t xml:space="preserve">Three </w:t>
            </w:r>
            <w:r>
              <w:rPr>
                <w:rFonts w:ascii="Times New Roman" w:eastAsiaTheme="minorEastAsia" w:hAnsi="Times New Roman"/>
                <w:sz w:val="20"/>
                <w:szCs w:val="20"/>
                <w:lang w:val="en-US" w:eastAsia="ja-JP"/>
              </w:rPr>
              <w:t xml:space="preserve">studies </w:t>
            </w:r>
            <w:r w:rsidRPr="005629EE">
              <w:rPr>
                <w:rFonts w:ascii="Times New Roman" w:eastAsiaTheme="minorEastAsia" w:hAnsi="Times New Roman"/>
                <w:sz w:val="20"/>
                <w:szCs w:val="20"/>
                <w:lang w:val="en-US" w:eastAsia="ja-JP"/>
              </w:rPr>
              <w:t>had a clear impact on policy through citation on guidance, with another expected to be</w:t>
            </w:r>
            <w:r>
              <w:rPr>
                <w:rFonts w:ascii="Times New Roman" w:eastAsiaTheme="minorEastAsia" w:hAnsi="Times New Roman"/>
                <w:sz w:val="20"/>
                <w:szCs w:val="20"/>
                <w:lang w:val="en-US" w:eastAsia="ja-JP"/>
              </w:rPr>
              <w:t xml:space="preserve"> </w:t>
            </w:r>
            <w:r w:rsidRPr="005629EE">
              <w:rPr>
                <w:rFonts w:ascii="Times New Roman" w:eastAsiaTheme="minorEastAsia" w:hAnsi="Times New Roman"/>
                <w:sz w:val="20"/>
                <w:szCs w:val="20"/>
                <w:lang w:val="en-US" w:eastAsia="ja-JP"/>
              </w:rPr>
              <w:t>included in guidance that is forthcoming.</w:t>
            </w:r>
            <w:r>
              <w:rPr>
                <w:rFonts w:ascii="Times New Roman" w:eastAsiaTheme="minorEastAsia" w:hAnsi="Times New Roman"/>
                <w:sz w:val="20"/>
                <w:szCs w:val="20"/>
                <w:lang w:val="en-US" w:eastAsia="ja-JP"/>
              </w:rPr>
              <w:t xml:space="preserve"> </w:t>
            </w:r>
          </w:p>
          <w:p w:rsidR="005629EE" w:rsidRDefault="005629EE" w:rsidP="005629E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p>
          <w:p w:rsidR="005629EE" w:rsidRPr="005629EE" w:rsidRDefault="005629EE" w:rsidP="005629E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5629EE">
              <w:rPr>
                <w:rFonts w:ascii="Times New Roman" w:eastAsiaTheme="minorEastAsia" w:hAnsi="Times New Roman"/>
                <w:sz w:val="20"/>
                <w:szCs w:val="20"/>
                <w:u w:val="single"/>
                <w:lang w:val="en-US" w:eastAsia="ja-JP"/>
              </w:rPr>
              <w:t>Health sector benefits</w:t>
            </w:r>
            <w:r>
              <w:rPr>
                <w:rFonts w:ascii="Times New Roman" w:eastAsiaTheme="minorEastAsia" w:hAnsi="Times New Roman"/>
                <w:sz w:val="20"/>
                <w:szCs w:val="20"/>
                <w:lang w:val="en-US" w:eastAsia="ja-JP"/>
              </w:rPr>
              <w:t xml:space="preserve">: </w:t>
            </w:r>
            <w:r w:rsidRPr="005629EE">
              <w:rPr>
                <w:rFonts w:ascii="Times New Roman" w:eastAsiaTheme="minorEastAsia" w:hAnsi="Times New Roman"/>
                <w:sz w:val="20"/>
                <w:szCs w:val="20"/>
                <w:lang w:val="en-US" w:eastAsia="ja-JP"/>
              </w:rPr>
              <w:t xml:space="preserve">Three </w:t>
            </w:r>
            <w:r>
              <w:rPr>
                <w:rFonts w:ascii="Times New Roman" w:eastAsiaTheme="minorEastAsia" w:hAnsi="Times New Roman"/>
                <w:sz w:val="20"/>
                <w:szCs w:val="20"/>
                <w:lang w:val="en-US" w:eastAsia="ja-JP"/>
              </w:rPr>
              <w:t xml:space="preserve">studies </w:t>
            </w:r>
            <w:r w:rsidRPr="005629EE">
              <w:rPr>
                <w:rFonts w:ascii="Times New Roman" w:eastAsiaTheme="minorEastAsia" w:hAnsi="Times New Roman"/>
                <w:sz w:val="20"/>
                <w:szCs w:val="20"/>
                <w:lang w:val="en-US" w:eastAsia="ja-JP"/>
              </w:rPr>
              <w:t>showed a clear impact on practice.</w:t>
            </w:r>
            <w:r>
              <w:rPr>
                <w:rFonts w:ascii="Times New Roman" w:eastAsiaTheme="minorEastAsia" w:hAnsi="Times New Roman"/>
                <w:sz w:val="20"/>
                <w:szCs w:val="20"/>
                <w:lang w:val="en-US" w:eastAsia="ja-JP"/>
              </w:rPr>
              <w:t xml:space="preserve"> </w:t>
            </w:r>
            <w:r w:rsidRPr="005629EE">
              <w:rPr>
                <w:rFonts w:ascii="Times New Roman" w:eastAsiaTheme="minorEastAsia" w:hAnsi="Times New Roman"/>
                <w:sz w:val="20"/>
                <w:szCs w:val="20"/>
                <w:lang w:val="en-US" w:eastAsia="ja-JP"/>
              </w:rPr>
              <w:t>A further three cases showed some evidence of changes in practice but attributing that to the</w:t>
            </w:r>
            <w:r>
              <w:rPr>
                <w:rFonts w:ascii="Times New Roman" w:eastAsiaTheme="minorEastAsia" w:hAnsi="Times New Roman"/>
                <w:sz w:val="20"/>
                <w:szCs w:val="20"/>
                <w:lang w:val="en-US" w:eastAsia="ja-JP"/>
              </w:rPr>
              <w:t xml:space="preserve"> </w:t>
            </w:r>
            <w:r w:rsidRPr="005629EE">
              <w:rPr>
                <w:rFonts w:ascii="Times New Roman" w:eastAsiaTheme="minorEastAsia" w:hAnsi="Times New Roman"/>
                <w:sz w:val="20"/>
                <w:szCs w:val="20"/>
                <w:lang w:val="en-US" w:eastAsia="ja-JP"/>
              </w:rPr>
              <w:t>specific study is more challenging, though it is likely the study played a role.</w:t>
            </w:r>
          </w:p>
        </w:tc>
      </w:tr>
      <w:tr w:rsidR="00A12E93" w:rsidRPr="00DB2FF3">
        <w:trPr>
          <w:jc w:val="center"/>
        </w:trPr>
        <w:tc>
          <w:tcPr>
            <w:tcW w:w="1463" w:type="dxa"/>
            <w:shd w:val="clear" w:color="auto" w:fill="auto"/>
          </w:tcPr>
          <w:p w:rsidR="00A12E93" w:rsidRPr="00DB2FF3" w:rsidRDefault="00A12E93" w:rsidP="0077797A">
            <w:pPr>
              <w:spacing w:line="240" w:lineRule="auto"/>
              <w:jc w:val="left"/>
              <w:rPr>
                <w:rFonts w:ascii="Times New Roman" w:hAnsi="Times New Roman"/>
                <w:sz w:val="20"/>
                <w:szCs w:val="20"/>
              </w:rPr>
            </w:pPr>
            <w:proofErr w:type="spellStart"/>
            <w:r w:rsidRPr="00DB2FF3">
              <w:rPr>
                <w:rFonts w:ascii="Times New Roman" w:hAnsi="Times New Roman"/>
                <w:sz w:val="20"/>
                <w:szCs w:val="20"/>
              </w:rPr>
              <w:t>Hanney</w:t>
            </w:r>
            <w:proofErr w:type="spellEnd"/>
            <w:r w:rsidRPr="00DB2FF3">
              <w:rPr>
                <w:rFonts w:ascii="Times New Roman" w:hAnsi="Times New Roman"/>
                <w:sz w:val="20"/>
                <w:szCs w:val="20"/>
              </w:rPr>
              <w:t xml:space="preserve"> et al., 2007</w:t>
            </w:r>
          </w:p>
        </w:tc>
        <w:tc>
          <w:tcPr>
            <w:tcW w:w="2035" w:type="dxa"/>
            <w:shd w:val="clear" w:color="auto" w:fill="auto"/>
          </w:tcPr>
          <w:p w:rsidR="00A12E93" w:rsidRPr="00DB2FF3" w:rsidRDefault="00A12E93" w:rsidP="0077797A">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DB2FF3">
              <w:rPr>
                <w:rFonts w:ascii="Times New Roman" w:hAnsi="Times New Roman"/>
                <w:sz w:val="20"/>
                <w:szCs w:val="20"/>
              </w:rPr>
              <w:t>To assess</w:t>
            </w:r>
            <w:r w:rsidRPr="00DB2FF3">
              <w:rPr>
                <w:rFonts w:ascii="Times New Roman" w:eastAsiaTheme="minorEastAsia" w:hAnsi="Times New Roman"/>
                <w:sz w:val="20"/>
                <w:szCs w:val="20"/>
                <w:lang w:val="en-US" w:eastAsia="ja-JP"/>
              </w:rPr>
              <w:t xml:space="preserve"> the impact of the first 10 years of the NHS HTA programme from its </w:t>
            </w:r>
            <w:r w:rsidRPr="00DB2FF3">
              <w:rPr>
                <w:rFonts w:ascii="Times New Roman" w:eastAsiaTheme="minorEastAsia" w:hAnsi="Times New Roman"/>
                <w:sz w:val="20"/>
                <w:szCs w:val="20"/>
                <w:lang w:val="en-US" w:eastAsia="ja-JP"/>
              </w:rPr>
              <w:lastRenderedPageBreak/>
              <w:t>inception in 1993 to June 2003 and identify the factors that seem to be associated with HTA research making an impact.</w:t>
            </w:r>
          </w:p>
        </w:tc>
        <w:tc>
          <w:tcPr>
            <w:tcW w:w="1701" w:type="dxa"/>
          </w:tcPr>
          <w:p w:rsidR="00A12E93" w:rsidRPr="00DB2FF3" w:rsidRDefault="0077797A" w:rsidP="0077797A">
            <w:pPr>
              <w:spacing w:after="120" w:line="240" w:lineRule="auto"/>
              <w:jc w:val="left"/>
              <w:rPr>
                <w:rFonts w:ascii="Times New Roman" w:eastAsia="Times New Roman" w:hAnsi="Times New Roman"/>
                <w:bCs/>
                <w:sz w:val="20"/>
                <w:szCs w:val="20"/>
              </w:rPr>
            </w:pPr>
            <w:r w:rsidRPr="00DB2FF3">
              <w:rPr>
                <w:rFonts w:ascii="Times New Roman" w:eastAsia="Times New Roman" w:hAnsi="Times New Roman"/>
                <w:bCs/>
                <w:sz w:val="20"/>
                <w:szCs w:val="20"/>
              </w:rPr>
              <w:lastRenderedPageBreak/>
              <w:t>NIHR’s HTA</w:t>
            </w:r>
          </w:p>
        </w:tc>
        <w:tc>
          <w:tcPr>
            <w:tcW w:w="1559" w:type="dxa"/>
            <w:shd w:val="clear" w:color="auto" w:fill="auto"/>
          </w:tcPr>
          <w:p w:rsidR="00A12E93" w:rsidRPr="00DB2FF3" w:rsidRDefault="0077797A" w:rsidP="0077797A">
            <w:pPr>
              <w:spacing w:after="120" w:line="240" w:lineRule="auto"/>
              <w:jc w:val="left"/>
              <w:rPr>
                <w:rFonts w:ascii="Times New Roman" w:eastAsia="Times New Roman" w:hAnsi="Times New Roman"/>
                <w:bCs/>
                <w:sz w:val="20"/>
                <w:szCs w:val="20"/>
              </w:rPr>
            </w:pPr>
            <w:r w:rsidRPr="00DB2FF3">
              <w:rPr>
                <w:rFonts w:ascii="Times New Roman" w:eastAsia="Times New Roman" w:hAnsi="Times New Roman"/>
                <w:bCs/>
                <w:sz w:val="20"/>
                <w:szCs w:val="20"/>
              </w:rPr>
              <w:t>Mixed methods</w:t>
            </w:r>
          </w:p>
          <w:p w:rsidR="0077797A" w:rsidRPr="00DB2FF3" w:rsidRDefault="0077797A" w:rsidP="0077797A">
            <w:pPr>
              <w:spacing w:after="120" w:line="240" w:lineRule="auto"/>
              <w:jc w:val="left"/>
              <w:rPr>
                <w:rFonts w:ascii="Times New Roman" w:eastAsia="Times New Roman" w:hAnsi="Times New Roman"/>
                <w:bCs/>
              </w:rPr>
            </w:pPr>
          </w:p>
        </w:tc>
        <w:tc>
          <w:tcPr>
            <w:tcW w:w="4076" w:type="dxa"/>
          </w:tcPr>
          <w:p w:rsidR="0032029B" w:rsidRDefault="0032029B" w:rsidP="0032029B">
            <w:pPr>
              <w:pStyle w:val="ListParagraph"/>
              <w:numPr>
                <w:ilvl w:val="0"/>
                <w:numId w:val="2"/>
              </w:numPr>
              <w:spacing w:after="120" w:line="276" w:lineRule="auto"/>
              <w:ind w:left="317"/>
              <w:jc w:val="left"/>
              <w:rPr>
                <w:rFonts w:ascii="Times New Roman" w:eastAsia="Times New Roman" w:hAnsi="Times New Roman"/>
                <w:sz w:val="20"/>
                <w:szCs w:val="20"/>
              </w:rPr>
            </w:pPr>
            <w:r w:rsidRPr="0032029B">
              <w:rPr>
                <w:rFonts w:ascii="Times New Roman" w:eastAsia="Times New Roman" w:hAnsi="Times New Roman"/>
                <w:sz w:val="20"/>
                <w:szCs w:val="20"/>
              </w:rPr>
              <w:t>A literature review of research programmes the work of the NCCHTA was reviewed</w:t>
            </w:r>
          </w:p>
          <w:p w:rsidR="0032029B" w:rsidRDefault="0032029B" w:rsidP="0032029B">
            <w:pPr>
              <w:pStyle w:val="ListParagraph"/>
              <w:numPr>
                <w:ilvl w:val="0"/>
                <w:numId w:val="2"/>
              </w:numPr>
              <w:spacing w:after="120" w:line="276" w:lineRule="auto"/>
              <w:ind w:left="317"/>
              <w:jc w:val="left"/>
              <w:rPr>
                <w:rFonts w:ascii="Times New Roman" w:eastAsia="Times New Roman" w:hAnsi="Times New Roman"/>
                <w:sz w:val="20"/>
                <w:szCs w:val="20"/>
              </w:rPr>
            </w:pPr>
            <w:r>
              <w:rPr>
                <w:rFonts w:ascii="Times New Roman" w:eastAsia="Times New Roman" w:hAnsi="Times New Roman"/>
                <w:sz w:val="20"/>
                <w:szCs w:val="20"/>
              </w:rPr>
              <w:t xml:space="preserve">Survey of </w:t>
            </w:r>
            <w:r w:rsidRPr="0032029B">
              <w:rPr>
                <w:rFonts w:ascii="Times New Roman" w:eastAsia="Times New Roman" w:hAnsi="Times New Roman"/>
                <w:sz w:val="20"/>
                <w:szCs w:val="20"/>
              </w:rPr>
              <w:t xml:space="preserve">lead researchers </w:t>
            </w:r>
          </w:p>
          <w:p w:rsidR="00A12E93" w:rsidRPr="0032029B" w:rsidRDefault="0032029B" w:rsidP="0032029B">
            <w:pPr>
              <w:pStyle w:val="ListParagraph"/>
              <w:numPr>
                <w:ilvl w:val="0"/>
                <w:numId w:val="2"/>
              </w:numPr>
              <w:spacing w:after="120" w:line="276" w:lineRule="auto"/>
              <w:ind w:left="317"/>
              <w:jc w:val="left"/>
              <w:rPr>
                <w:rFonts w:ascii="Times New Roman" w:eastAsia="Times New Roman" w:hAnsi="Times New Roman"/>
                <w:sz w:val="20"/>
                <w:szCs w:val="20"/>
              </w:rPr>
            </w:pPr>
            <w:r>
              <w:rPr>
                <w:rFonts w:ascii="Times New Roman" w:eastAsia="Times New Roman" w:hAnsi="Times New Roman"/>
                <w:sz w:val="20"/>
                <w:szCs w:val="20"/>
              </w:rPr>
              <w:lastRenderedPageBreak/>
              <w:t>Analysis of</w:t>
            </w:r>
            <w:r w:rsidRPr="0032029B">
              <w:rPr>
                <w:rFonts w:ascii="Times New Roman" w:eastAsia="Times New Roman" w:hAnsi="Times New Roman"/>
                <w:sz w:val="20"/>
                <w:szCs w:val="20"/>
              </w:rPr>
              <w:t xml:space="preserve"> 16 detailed case studies </w:t>
            </w:r>
          </w:p>
        </w:tc>
        <w:tc>
          <w:tcPr>
            <w:tcW w:w="3883" w:type="dxa"/>
            <w:shd w:val="clear" w:color="auto" w:fill="auto"/>
          </w:tcPr>
          <w:p w:rsidR="00A12E93" w:rsidRPr="00DB2FF3" w:rsidRDefault="0077797A" w:rsidP="0077797A">
            <w:pPr>
              <w:spacing w:line="240" w:lineRule="auto"/>
              <w:rPr>
                <w:rFonts w:ascii="Times New Roman" w:eastAsia="Times New Roman" w:hAnsi="Times New Roman"/>
                <w:sz w:val="20"/>
                <w:szCs w:val="20"/>
              </w:rPr>
            </w:pPr>
            <w:r w:rsidRPr="00D95260">
              <w:rPr>
                <w:rFonts w:ascii="Times New Roman" w:hAnsi="Times New Roman"/>
                <w:sz w:val="20"/>
                <w:szCs w:val="20"/>
                <w:u w:val="single"/>
              </w:rPr>
              <w:lastRenderedPageBreak/>
              <w:t>Knowledge</w:t>
            </w:r>
            <w:r w:rsidRPr="00DB2FF3">
              <w:rPr>
                <w:rFonts w:ascii="Times New Roman" w:hAnsi="Times New Roman"/>
                <w:sz w:val="20"/>
                <w:szCs w:val="20"/>
              </w:rPr>
              <w:t xml:space="preserve">: </w:t>
            </w:r>
            <w:r w:rsidRPr="00DB2FF3">
              <w:rPr>
                <w:rFonts w:ascii="Times New Roman" w:eastAsia="Times New Roman" w:hAnsi="Times New Roman"/>
                <w:sz w:val="20"/>
                <w:szCs w:val="20"/>
              </w:rPr>
              <w:t xml:space="preserve">Mean publications per project were 2.93 (1.98 excluding the monographs), above the level reported for other </w:t>
            </w:r>
            <w:r w:rsidRPr="00DB2FF3">
              <w:rPr>
                <w:rFonts w:ascii="Times New Roman" w:eastAsia="Times New Roman" w:hAnsi="Times New Roman"/>
                <w:sz w:val="20"/>
                <w:szCs w:val="20"/>
              </w:rPr>
              <w:lastRenderedPageBreak/>
              <w:t>programmes.</w:t>
            </w:r>
          </w:p>
          <w:p w:rsidR="0077797A" w:rsidRPr="00DB2FF3" w:rsidRDefault="0077797A" w:rsidP="0077797A">
            <w:pPr>
              <w:spacing w:line="240" w:lineRule="auto"/>
              <w:rPr>
                <w:rFonts w:ascii="Times New Roman" w:eastAsia="Times New Roman" w:hAnsi="Times New Roman"/>
                <w:sz w:val="20"/>
                <w:szCs w:val="20"/>
              </w:rPr>
            </w:pPr>
            <w:r w:rsidRPr="00D95260">
              <w:rPr>
                <w:rFonts w:ascii="Times New Roman" w:eastAsia="Times New Roman" w:hAnsi="Times New Roman"/>
                <w:sz w:val="20"/>
                <w:szCs w:val="20"/>
                <w:u w:val="single"/>
              </w:rPr>
              <w:t>Future research</w:t>
            </w:r>
            <w:r w:rsidRPr="00DB2FF3">
              <w:rPr>
                <w:rFonts w:ascii="Times New Roman" w:eastAsia="Times New Roman" w:hAnsi="Times New Roman"/>
                <w:sz w:val="20"/>
                <w:szCs w:val="20"/>
              </w:rPr>
              <w:t>: The case studies confirmed the questionnaire responses but also showed how some projects led to further research</w:t>
            </w:r>
            <w:r w:rsidR="00002FC2">
              <w:rPr>
                <w:rFonts w:ascii="Times New Roman" w:eastAsia="Times New Roman" w:hAnsi="Times New Roman"/>
                <w:sz w:val="20"/>
                <w:szCs w:val="20"/>
              </w:rPr>
              <w:t xml:space="preserve"> and research capacity</w:t>
            </w:r>
          </w:p>
          <w:p w:rsidR="0077797A" w:rsidRPr="00DB2FF3" w:rsidRDefault="0077797A" w:rsidP="0077797A">
            <w:pPr>
              <w:spacing w:line="240" w:lineRule="auto"/>
              <w:rPr>
                <w:rFonts w:ascii="Times New Roman" w:eastAsia="Times New Roman" w:hAnsi="Times New Roman"/>
                <w:sz w:val="20"/>
                <w:szCs w:val="20"/>
              </w:rPr>
            </w:pPr>
            <w:r w:rsidRPr="00D95260">
              <w:rPr>
                <w:rFonts w:ascii="Times New Roman" w:eastAsia="Times New Roman" w:hAnsi="Times New Roman"/>
                <w:sz w:val="20"/>
                <w:szCs w:val="20"/>
                <w:u w:val="single"/>
              </w:rPr>
              <w:t>Policy</w:t>
            </w:r>
            <w:r w:rsidRPr="00DB2FF3">
              <w:rPr>
                <w:rFonts w:ascii="Times New Roman" w:eastAsia="Times New Roman" w:hAnsi="Times New Roman"/>
                <w:sz w:val="20"/>
                <w:szCs w:val="20"/>
              </w:rPr>
              <w:t>: The Technology Assessment Reports (TARs) for the National Institute for Health and Clinical Excellence (NICE) had the clearest impact on policy in the form of NICE guidance. Other bodies were the projects had impact included the National Screening Committee, the National Service Frameworks, professional bodies or the Department of Health</w:t>
            </w:r>
            <w:r w:rsidR="00D95260">
              <w:rPr>
                <w:rFonts w:ascii="Times New Roman" w:eastAsia="Times New Roman" w:hAnsi="Times New Roman"/>
                <w:sz w:val="20"/>
                <w:szCs w:val="20"/>
              </w:rPr>
              <w:t>.</w:t>
            </w:r>
          </w:p>
        </w:tc>
      </w:tr>
      <w:tr w:rsidR="00A31ABC" w:rsidRPr="006A0D6B">
        <w:trPr>
          <w:jc w:val="center"/>
        </w:trPr>
        <w:tc>
          <w:tcPr>
            <w:tcW w:w="1463" w:type="dxa"/>
            <w:shd w:val="clear" w:color="auto" w:fill="auto"/>
          </w:tcPr>
          <w:p w:rsidR="00A31ABC" w:rsidRPr="006A0D6B" w:rsidRDefault="00A31ABC" w:rsidP="00A31ABC">
            <w:pPr>
              <w:spacing w:line="276" w:lineRule="auto"/>
              <w:jc w:val="left"/>
              <w:rPr>
                <w:rFonts w:ascii="Times New Roman" w:hAnsi="Times New Roman"/>
                <w:sz w:val="20"/>
                <w:szCs w:val="20"/>
              </w:rPr>
            </w:pPr>
            <w:proofErr w:type="spellStart"/>
            <w:r w:rsidRPr="006A0D6B">
              <w:rPr>
                <w:rFonts w:ascii="Times New Roman" w:hAnsi="Times New Roman"/>
                <w:sz w:val="20"/>
                <w:szCs w:val="20"/>
              </w:rPr>
              <w:lastRenderedPageBreak/>
              <w:t>Hanney</w:t>
            </w:r>
            <w:proofErr w:type="spellEnd"/>
            <w:r w:rsidRPr="006A0D6B">
              <w:rPr>
                <w:rFonts w:ascii="Times New Roman" w:hAnsi="Times New Roman"/>
                <w:sz w:val="20"/>
                <w:szCs w:val="20"/>
              </w:rPr>
              <w:t xml:space="preserve"> et al., 2013</w:t>
            </w:r>
          </w:p>
        </w:tc>
        <w:tc>
          <w:tcPr>
            <w:tcW w:w="2035" w:type="dxa"/>
            <w:shd w:val="clear" w:color="auto" w:fill="auto"/>
          </w:tcPr>
          <w:p w:rsidR="00A31ABC" w:rsidRPr="006A0D6B" w:rsidRDefault="00A31ABC" w:rsidP="00A31ABC">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6A0D6B">
              <w:rPr>
                <w:rFonts w:ascii="Times New Roman" w:eastAsiaTheme="minorEastAsia" w:hAnsi="Times New Roman"/>
                <w:sz w:val="20"/>
                <w:szCs w:val="20"/>
                <w:lang w:val="en-US" w:eastAsia="ja-JP"/>
              </w:rPr>
              <w:t>This paper aims to describe the various impacts identified from a range of Asthma UK research.</w:t>
            </w:r>
          </w:p>
          <w:p w:rsidR="00A31ABC" w:rsidRPr="006A0D6B" w:rsidRDefault="00A31ABC" w:rsidP="00A31ABC">
            <w:pPr>
              <w:autoSpaceDE w:val="0"/>
              <w:autoSpaceDN w:val="0"/>
              <w:adjustRightInd w:val="0"/>
              <w:spacing w:before="0" w:after="0" w:line="276" w:lineRule="auto"/>
              <w:jc w:val="left"/>
              <w:rPr>
                <w:rFonts w:ascii="Times New Roman" w:hAnsi="Times New Roman"/>
                <w:sz w:val="20"/>
                <w:szCs w:val="20"/>
              </w:rPr>
            </w:pPr>
            <w:r w:rsidRPr="006A0D6B">
              <w:rPr>
                <w:rFonts w:ascii="Times New Roman" w:hAnsi="Times New Roman"/>
                <w:sz w:val="20"/>
                <w:szCs w:val="20"/>
              </w:rPr>
              <w:t xml:space="preserve"> </w:t>
            </w:r>
          </w:p>
        </w:tc>
        <w:tc>
          <w:tcPr>
            <w:tcW w:w="1701" w:type="dxa"/>
          </w:tcPr>
          <w:p w:rsidR="00A31ABC" w:rsidRPr="006A0D6B" w:rsidRDefault="00A31ABC" w:rsidP="00A31ABC">
            <w:pPr>
              <w:spacing w:after="120" w:line="276" w:lineRule="auto"/>
              <w:jc w:val="left"/>
              <w:rPr>
                <w:rFonts w:ascii="Times New Roman" w:eastAsia="Times New Roman" w:hAnsi="Times New Roman"/>
                <w:bCs/>
                <w:sz w:val="20"/>
                <w:szCs w:val="20"/>
              </w:rPr>
            </w:pPr>
            <w:r w:rsidRPr="006A0D6B">
              <w:rPr>
                <w:rFonts w:ascii="Times New Roman" w:eastAsia="Times New Roman" w:hAnsi="Times New Roman"/>
                <w:bCs/>
                <w:sz w:val="20"/>
                <w:szCs w:val="20"/>
              </w:rPr>
              <w:t>Asthma UK</w:t>
            </w:r>
          </w:p>
        </w:tc>
        <w:tc>
          <w:tcPr>
            <w:tcW w:w="1559" w:type="dxa"/>
            <w:shd w:val="clear" w:color="auto" w:fill="auto"/>
          </w:tcPr>
          <w:p w:rsidR="00A31ABC" w:rsidRPr="006A0D6B" w:rsidRDefault="00A31ABC" w:rsidP="00A31ABC">
            <w:pPr>
              <w:spacing w:after="120" w:line="276" w:lineRule="auto"/>
              <w:jc w:val="left"/>
              <w:rPr>
                <w:rFonts w:ascii="Times New Roman" w:eastAsia="Times New Roman" w:hAnsi="Times New Roman"/>
                <w:bCs/>
                <w:sz w:val="20"/>
                <w:szCs w:val="20"/>
              </w:rPr>
            </w:pPr>
            <w:r w:rsidRPr="006A0D6B">
              <w:rPr>
                <w:rFonts w:ascii="Times New Roman" w:eastAsia="Times New Roman" w:hAnsi="Times New Roman"/>
                <w:bCs/>
                <w:sz w:val="20"/>
                <w:szCs w:val="20"/>
              </w:rPr>
              <w:t>Mixed Methods</w:t>
            </w:r>
          </w:p>
          <w:p w:rsidR="00A31ABC" w:rsidRPr="006A0D6B" w:rsidRDefault="00A31ABC" w:rsidP="004752A5">
            <w:pPr>
              <w:spacing w:after="120" w:line="276" w:lineRule="auto"/>
              <w:jc w:val="left"/>
              <w:rPr>
                <w:rFonts w:ascii="Times New Roman" w:eastAsia="Times New Roman" w:hAnsi="Times New Roman"/>
                <w:bCs/>
                <w:sz w:val="20"/>
                <w:szCs w:val="20"/>
              </w:rPr>
            </w:pPr>
          </w:p>
        </w:tc>
        <w:tc>
          <w:tcPr>
            <w:tcW w:w="4076" w:type="dxa"/>
          </w:tcPr>
          <w:p w:rsidR="004752A5" w:rsidRDefault="004752A5" w:rsidP="004752A5">
            <w:pPr>
              <w:pStyle w:val="ListParagraph"/>
              <w:numPr>
                <w:ilvl w:val="0"/>
                <w:numId w:val="2"/>
              </w:numPr>
              <w:spacing w:after="120" w:line="276" w:lineRule="auto"/>
              <w:ind w:left="317"/>
              <w:jc w:val="left"/>
              <w:rPr>
                <w:rFonts w:ascii="Times New Roman" w:eastAsia="Times New Roman" w:hAnsi="Times New Roman"/>
                <w:bCs/>
                <w:sz w:val="20"/>
                <w:szCs w:val="20"/>
              </w:rPr>
            </w:pPr>
            <w:r w:rsidRPr="004752A5">
              <w:rPr>
                <w:rFonts w:ascii="Times New Roman" w:eastAsia="Times New Roman" w:hAnsi="Times New Roman"/>
                <w:bCs/>
                <w:sz w:val="20"/>
                <w:szCs w:val="20"/>
              </w:rPr>
              <w:t xml:space="preserve">Questionnaire survey </w:t>
            </w:r>
          </w:p>
          <w:p w:rsidR="004752A5" w:rsidRDefault="004752A5" w:rsidP="004752A5">
            <w:pPr>
              <w:pStyle w:val="ListParagraph"/>
              <w:numPr>
                <w:ilvl w:val="0"/>
                <w:numId w:val="2"/>
              </w:numPr>
              <w:spacing w:after="120" w:line="276" w:lineRule="auto"/>
              <w:ind w:left="317"/>
              <w:jc w:val="left"/>
              <w:rPr>
                <w:rFonts w:ascii="Times New Roman" w:eastAsia="Times New Roman" w:hAnsi="Times New Roman"/>
                <w:bCs/>
                <w:sz w:val="20"/>
                <w:szCs w:val="20"/>
              </w:rPr>
            </w:pPr>
            <w:r w:rsidRPr="004752A5">
              <w:rPr>
                <w:rFonts w:ascii="Times New Roman" w:eastAsia="Times New Roman" w:hAnsi="Times New Roman"/>
                <w:bCs/>
                <w:sz w:val="20"/>
                <w:szCs w:val="20"/>
              </w:rPr>
              <w:t xml:space="preserve">Qualitative interviews </w:t>
            </w:r>
          </w:p>
          <w:p w:rsidR="00A31ABC" w:rsidRPr="004752A5" w:rsidRDefault="004752A5" w:rsidP="004752A5">
            <w:pPr>
              <w:pStyle w:val="ListParagraph"/>
              <w:numPr>
                <w:ilvl w:val="0"/>
                <w:numId w:val="2"/>
              </w:numPr>
              <w:spacing w:after="120" w:line="276" w:lineRule="auto"/>
              <w:ind w:left="317"/>
              <w:jc w:val="left"/>
              <w:rPr>
                <w:rFonts w:ascii="Times New Roman" w:eastAsia="Times New Roman" w:hAnsi="Times New Roman"/>
                <w:bCs/>
                <w:sz w:val="20"/>
                <w:szCs w:val="20"/>
              </w:rPr>
            </w:pPr>
            <w:r w:rsidRPr="004752A5">
              <w:rPr>
                <w:rFonts w:ascii="Times New Roman" w:eastAsia="Times New Roman" w:hAnsi="Times New Roman"/>
                <w:bCs/>
                <w:sz w:val="20"/>
                <w:szCs w:val="20"/>
              </w:rPr>
              <w:t>Case studies</w:t>
            </w:r>
            <w:r w:rsidR="00A31ABC" w:rsidRPr="004752A5">
              <w:rPr>
                <w:rFonts w:ascii="Times New Roman" w:hAnsi="Times New Roman"/>
                <w:sz w:val="20"/>
                <w:szCs w:val="20"/>
              </w:rPr>
              <w:t xml:space="preserve"> </w:t>
            </w:r>
          </w:p>
          <w:p w:rsidR="00A31ABC" w:rsidRPr="006A0D6B" w:rsidRDefault="00A31ABC" w:rsidP="00D77C25">
            <w:pPr>
              <w:pStyle w:val="ListParagraph"/>
              <w:spacing w:after="120" w:line="276" w:lineRule="auto"/>
              <w:ind w:left="389"/>
              <w:jc w:val="left"/>
              <w:rPr>
                <w:rFonts w:ascii="Times New Roman" w:hAnsi="Times New Roman"/>
                <w:sz w:val="20"/>
                <w:szCs w:val="20"/>
              </w:rPr>
            </w:pPr>
          </w:p>
        </w:tc>
        <w:tc>
          <w:tcPr>
            <w:tcW w:w="3883" w:type="dxa"/>
            <w:shd w:val="clear" w:color="auto" w:fill="auto"/>
          </w:tcPr>
          <w:p w:rsidR="00A31ABC" w:rsidRPr="006A0D6B" w:rsidRDefault="00A31ABC" w:rsidP="00A31ABC">
            <w:pPr>
              <w:spacing w:line="276" w:lineRule="auto"/>
              <w:rPr>
                <w:rFonts w:ascii="Times New Roman" w:hAnsi="Times New Roman"/>
                <w:sz w:val="20"/>
                <w:szCs w:val="20"/>
              </w:rPr>
            </w:pPr>
            <w:r w:rsidRPr="006A0D6B">
              <w:rPr>
                <w:rFonts w:ascii="Times New Roman" w:hAnsi="Times New Roman"/>
                <w:sz w:val="20"/>
                <w:szCs w:val="20"/>
                <w:u w:val="single"/>
              </w:rPr>
              <w:t>Knowledge</w:t>
            </w:r>
            <w:r w:rsidRPr="006A0D6B">
              <w:rPr>
                <w:rFonts w:ascii="Times New Roman" w:hAnsi="Times New Roman"/>
                <w:sz w:val="20"/>
                <w:szCs w:val="20"/>
              </w:rPr>
              <w:t>: The 90 projects reported an average of four-peer reviewed journal articles per project. Four did not produce any.</w:t>
            </w:r>
          </w:p>
          <w:p w:rsidR="00D77C25" w:rsidRPr="006A0D6B" w:rsidRDefault="006A0D6B" w:rsidP="006A0D6B">
            <w:pPr>
              <w:spacing w:line="276" w:lineRule="auto"/>
              <w:rPr>
                <w:rFonts w:ascii="Times New Roman" w:hAnsi="Times New Roman"/>
                <w:sz w:val="20"/>
                <w:szCs w:val="20"/>
              </w:rPr>
            </w:pPr>
            <w:r w:rsidRPr="006A0D6B">
              <w:rPr>
                <w:rFonts w:ascii="Times New Roman" w:hAnsi="Times New Roman"/>
                <w:sz w:val="20"/>
                <w:szCs w:val="20"/>
                <w:u w:val="single"/>
              </w:rPr>
              <w:t>Future research and career development</w:t>
            </w:r>
            <w:r w:rsidR="00A31ABC" w:rsidRPr="006A0D6B">
              <w:rPr>
                <w:rFonts w:ascii="Times New Roman" w:hAnsi="Times New Roman"/>
                <w:sz w:val="20"/>
                <w:szCs w:val="20"/>
              </w:rPr>
              <w:t xml:space="preserve">: </w:t>
            </w:r>
            <w:r w:rsidR="00D77C25" w:rsidRPr="006A0D6B">
              <w:rPr>
                <w:rFonts w:ascii="Times New Roman" w:hAnsi="Times New Roman"/>
                <w:sz w:val="20"/>
                <w:szCs w:val="20"/>
              </w:rPr>
              <w:t>64% reported career development opportunities as a result. 99 follow-up projects were developed, that received almost £25 million in funding from funders other than Asthma UK.</w:t>
            </w:r>
          </w:p>
          <w:p w:rsidR="006508FA" w:rsidRDefault="00D77C25" w:rsidP="00D77C25">
            <w:pPr>
              <w:spacing w:line="276" w:lineRule="auto"/>
              <w:rPr>
                <w:rFonts w:ascii="Times New Roman" w:hAnsi="Times New Roman"/>
                <w:sz w:val="20"/>
                <w:szCs w:val="20"/>
              </w:rPr>
            </w:pPr>
            <w:r w:rsidRPr="006A0D6B">
              <w:rPr>
                <w:rFonts w:ascii="Times New Roman" w:hAnsi="Times New Roman"/>
                <w:sz w:val="20"/>
                <w:szCs w:val="20"/>
                <w:u w:val="single"/>
              </w:rPr>
              <w:t>Policy</w:t>
            </w:r>
            <w:r w:rsidR="006508FA" w:rsidRPr="006A0D6B">
              <w:rPr>
                <w:rFonts w:ascii="Times New Roman" w:hAnsi="Times New Roman"/>
                <w:sz w:val="20"/>
                <w:szCs w:val="20"/>
                <w:u w:val="single"/>
              </w:rPr>
              <w:t xml:space="preserve"> and product</w:t>
            </w:r>
            <w:r w:rsidRPr="006A0D6B">
              <w:rPr>
                <w:rFonts w:ascii="Times New Roman" w:hAnsi="Times New Roman"/>
                <w:sz w:val="20"/>
                <w:szCs w:val="20"/>
                <w:u w:val="single"/>
              </w:rPr>
              <w:t xml:space="preserve"> development</w:t>
            </w:r>
            <w:r w:rsidRPr="006A0D6B">
              <w:rPr>
                <w:rFonts w:ascii="Times New Roman" w:hAnsi="Times New Roman"/>
                <w:sz w:val="20"/>
                <w:szCs w:val="20"/>
              </w:rPr>
              <w:t>: Just 13% respondents claimed to have made an impact on policy, and 17% expected to do so in the future.</w:t>
            </w:r>
            <w:r w:rsidR="006508FA" w:rsidRPr="006A0D6B">
              <w:rPr>
                <w:rFonts w:ascii="Times New Roman" w:hAnsi="Times New Roman"/>
                <w:sz w:val="20"/>
                <w:szCs w:val="20"/>
              </w:rPr>
              <w:t xml:space="preserve"> In addition, 17% respondents claimed </w:t>
            </w:r>
            <w:r w:rsidR="006508FA" w:rsidRPr="006A0D6B">
              <w:rPr>
                <w:rFonts w:ascii="Times New Roman" w:hAnsi="Times New Roman"/>
                <w:sz w:val="20"/>
                <w:szCs w:val="20"/>
              </w:rPr>
              <w:lastRenderedPageBreak/>
              <w:t>to have made an impact on product development already, and 31% expected to do so in the future</w:t>
            </w:r>
            <w:r w:rsidR="006A0D6B">
              <w:rPr>
                <w:rFonts w:ascii="Times New Roman" w:hAnsi="Times New Roman"/>
                <w:sz w:val="20"/>
                <w:szCs w:val="20"/>
              </w:rPr>
              <w:t>.</w:t>
            </w:r>
          </w:p>
          <w:p w:rsidR="006A0D6B" w:rsidRDefault="006A0D6B" w:rsidP="00D77C25">
            <w:pPr>
              <w:spacing w:line="276" w:lineRule="auto"/>
              <w:rPr>
                <w:rFonts w:ascii="Times New Roman" w:hAnsi="Times New Roman"/>
                <w:sz w:val="20"/>
                <w:szCs w:val="20"/>
              </w:rPr>
            </w:pPr>
            <w:r w:rsidRPr="006A0D6B">
              <w:rPr>
                <w:rFonts w:ascii="Times New Roman" w:hAnsi="Times New Roman"/>
                <w:sz w:val="20"/>
                <w:szCs w:val="20"/>
                <w:u w:val="single"/>
              </w:rPr>
              <w:t>Health gains</w:t>
            </w:r>
            <w:r>
              <w:rPr>
                <w:rFonts w:ascii="Times New Roman" w:hAnsi="Times New Roman"/>
                <w:sz w:val="20"/>
                <w:szCs w:val="20"/>
              </w:rPr>
              <w:t>: Only a small minority (10%) claim to have already made an impact in any of the various forms this could take, with 6% believing they had made an impact specifically to health.</w:t>
            </w:r>
          </w:p>
          <w:p w:rsidR="006A0D6B" w:rsidRPr="006A0D6B" w:rsidRDefault="006A0D6B" w:rsidP="00D77C25">
            <w:pPr>
              <w:spacing w:line="276" w:lineRule="auto"/>
              <w:rPr>
                <w:rFonts w:ascii="Times New Roman" w:hAnsi="Times New Roman"/>
                <w:sz w:val="20"/>
                <w:szCs w:val="20"/>
              </w:rPr>
            </w:pPr>
            <w:r w:rsidRPr="006A0D6B">
              <w:rPr>
                <w:rFonts w:ascii="Times New Roman" w:hAnsi="Times New Roman"/>
                <w:sz w:val="20"/>
                <w:szCs w:val="20"/>
                <w:u w:val="single"/>
              </w:rPr>
              <w:t>Economic benefits</w:t>
            </w:r>
            <w:r>
              <w:rPr>
                <w:rFonts w:ascii="Times New Roman" w:hAnsi="Times New Roman"/>
                <w:sz w:val="20"/>
                <w:szCs w:val="20"/>
              </w:rPr>
              <w:t>: Limited evidence. Two spin-out companies were developed.</w:t>
            </w:r>
          </w:p>
        </w:tc>
      </w:tr>
      <w:tr w:rsidR="00270DEF" w:rsidRPr="007C6049">
        <w:trPr>
          <w:jc w:val="center"/>
        </w:trPr>
        <w:tc>
          <w:tcPr>
            <w:tcW w:w="1463" w:type="dxa"/>
            <w:shd w:val="clear" w:color="auto" w:fill="auto"/>
          </w:tcPr>
          <w:p w:rsidR="00270DEF" w:rsidRPr="007C6049" w:rsidRDefault="00EF7DCE" w:rsidP="00270DEF">
            <w:pPr>
              <w:spacing w:line="276" w:lineRule="auto"/>
              <w:jc w:val="left"/>
              <w:rPr>
                <w:rFonts w:ascii="Times New Roman" w:hAnsi="Times New Roman"/>
                <w:sz w:val="20"/>
                <w:szCs w:val="20"/>
              </w:rPr>
            </w:pPr>
            <w:proofErr w:type="spellStart"/>
            <w:r w:rsidRPr="007C6049">
              <w:rPr>
                <w:rFonts w:ascii="Times New Roman" w:hAnsi="Times New Roman"/>
                <w:sz w:val="20"/>
                <w:szCs w:val="20"/>
              </w:rPr>
              <w:lastRenderedPageBreak/>
              <w:t>Lichten</w:t>
            </w:r>
            <w:proofErr w:type="spellEnd"/>
            <w:r w:rsidRPr="007C6049">
              <w:rPr>
                <w:rFonts w:ascii="Times New Roman" w:hAnsi="Times New Roman"/>
                <w:sz w:val="20"/>
                <w:szCs w:val="20"/>
              </w:rPr>
              <w:t xml:space="preserve"> et al, 2017</w:t>
            </w:r>
          </w:p>
        </w:tc>
        <w:tc>
          <w:tcPr>
            <w:tcW w:w="2035" w:type="dxa"/>
            <w:shd w:val="clear" w:color="auto" w:fill="auto"/>
          </w:tcPr>
          <w:p w:rsidR="00270DEF" w:rsidRPr="007C6049" w:rsidRDefault="00EF7DCE" w:rsidP="00270DEF">
            <w:pPr>
              <w:autoSpaceDE w:val="0"/>
              <w:autoSpaceDN w:val="0"/>
              <w:adjustRightInd w:val="0"/>
              <w:spacing w:before="0" w:after="0" w:line="276" w:lineRule="auto"/>
              <w:jc w:val="left"/>
              <w:rPr>
                <w:rFonts w:ascii="Times New Roman" w:hAnsi="Times New Roman"/>
                <w:sz w:val="20"/>
                <w:szCs w:val="20"/>
              </w:rPr>
            </w:pPr>
            <w:r w:rsidRPr="007C6049">
              <w:rPr>
                <w:rFonts w:ascii="Times New Roman" w:hAnsi="Times New Roman"/>
                <w:sz w:val="20"/>
                <w:szCs w:val="20"/>
              </w:rPr>
              <w:t>To ev</w:t>
            </w:r>
            <w:r w:rsidRPr="007C6049">
              <w:rPr>
                <w:rFonts w:ascii="Times New Roman" w:eastAsia="Times New Roman" w:hAnsi="Times New Roman"/>
                <w:sz w:val="20"/>
                <w:szCs w:val="20"/>
              </w:rPr>
              <w:t>aluate the impact of the Oxford Biomedical Research Centre (Oxford BRC), a university-hospital partnership, on the effectiveness and efficiency of healthcare in local hospitals.</w:t>
            </w:r>
          </w:p>
        </w:tc>
        <w:tc>
          <w:tcPr>
            <w:tcW w:w="1701" w:type="dxa"/>
          </w:tcPr>
          <w:p w:rsidR="00270DEF" w:rsidRPr="007C6049" w:rsidRDefault="00EF7DCE" w:rsidP="00270DEF">
            <w:pPr>
              <w:spacing w:after="120" w:line="276" w:lineRule="auto"/>
              <w:jc w:val="left"/>
              <w:rPr>
                <w:rFonts w:ascii="Times New Roman" w:eastAsia="Times New Roman" w:hAnsi="Times New Roman"/>
                <w:bCs/>
                <w:sz w:val="20"/>
                <w:szCs w:val="20"/>
              </w:rPr>
            </w:pPr>
            <w:r w:rsidRPr="007C6049">
              <w:rPr>
                <w:rFonts w:ascii="Times New Roman" w:eastAsia="Times New Roman" w:hAnsi="Times New Roman"/>
                <w:bCs/>
                <w:sz w:val="20"/>
                <w:szCs w:val="20"/>
              </w:rPr>
              <w:t>Oxford BRC (NIHR funded)</w:t>
            </w:r>
          </w:p>
        </w:tc>
        <w:tc>
          <w:tcPr>
            <w:tcW w:w="1559" w:type="dxa"/>
            <w:shd w:val="clear" w:color="auto" w:fill="auto"/>
          </w:tcPr>
          <w:p w:rsidR="008D4956" w:rsidRPr="007C6049" w:rsidRDefault="008D4956" w:rsidP="008D4956">
            <w:pPr>
              <w:spacing w:after="120" w:line="276" w:lineRule="auto"/>
              <w:jc w:val="left"/>
              <w:rPr>
                <w:rFonts w:ascii="Times New Roman" w:eastAsia="Times New Roman" w:hAnsi="Times New Roman"/>
                <w:sz w:val="20"/>
                <w:szCs w:val="20"/>
              </w:rPr>
            </w:pPr>
            <w:r w:rsidRPr="007C6049">
              <w:rPr>
                <w:rFonts w:ascii="Times New Roman" w:eastAsia="Times New Roman" w:hAnsi="Times New Roman"/>
                <w:sz w:val="20"/>
                <w:szCs w:val="20"/>
              </w:rPr>
              <w:t>Qualitative</w:t>
            </w:r>
          </w:p>
          <w:p w:rsidR="000D2775" w:rsidRPr="007C6049" w:rsidRDefault="000D2775" w:rsidP="000D2775">
            <w:pPr>
              <w:spacing w:after="120" w:line="276" w:lineRule="auto"/>
              <w:jc w:val="left"/>
              <w:rPr>
                <w:rFonts w:ascii="Times New Roman" w:eastAsia="Times New Roman" w:hAnsi="Times New Roman"/>
                <w:bCs/>
                <w:sz w:val="20"/>
                <w:szCs w:val="20"/>
              </w:rPr>
            </w:pPr>
          </w:p>
          <w:p w:rsidR="00270DEF" w:rsidRPr="007C6049" w:rsidRDefault="00270DEF" w:rsidP="008D4956">
            <w:pPr>
              <w:spacing w:after="120" w:line="276" w:lineRule="auto"/>
              <w:jc w:val="left"/>
              <w:rPr>
                <w:rFonts w:ascii="Times New Roman" w:eastAsia="Times New Roman" w:hAnsi="Times New Roman"/>
                <w:bCs/>
                <w:sz w:val="20"/>
                <w:szCs w:val="20"/>
              </w:rPr>
            </w:pPr>
          </w:p>
        </w:tc>
        <w:tc>
          <w:tcPr>
            <w:tcW w:w="4076" w:type="dxa"/>
          </w:tcPr>
          <w:p w:rsidR="000D2775" w:rsidRDefault="000D2775" w:rsidP="000D2775">
            <w:pPr>
              <w:pStyle w:val="ListParagraph"/>
              <w:numPr>
                <w:ilvl w:val="0"/>
                <w:numId w:val="2"/>
              </w:numPr>
              <w:spacing w:after="120" w:line="276" w:lineRule="auto"/>
              <w:ind w:left="317"/>
              <w:jc w:val="left"/>
              <w:rPr>
                <w:rFonts w:ascii="Times New Roman" w:eastAsia="Times New Roman" w:hAnsi="Times New Roman"/>
                <w:sz w:val="20"/>
                <w:szCs w:val="20"/>
              </w:rPr>
            </w:pPr>
            <w:r w:rsidRPr="000D2775">
              <w:rPr>
                <w:rFonts w:ascii="Times New Roman" w:eastAsia="Times New Roman" w:hAnsi="Times New Roman"/>
                <w:sz w:val="20"/>
                <w:szCs w:val="20"/>
              </w:rPr>
              <w:t>Documentation review from Oxford BRC</w:t>
            </w:r>
          </w:p>
          <w:p w:rsidR="000D2775" w:rsidRDefault="000D2775" w:rsidP="000D2775">
            <w:pPr>
              <w:pStyle w:val="ListParagraph"/>
              <w:numPr>
                <w:ilvl w:val="0"/>
                <w:numId w:val="2"/>
              </w:numPr>
              <w:spacing w:after="120" w:line="276" w:lineRule="auto"/>
              <w:ind w:left="317"/>
              <w:jc w:val="left"/>
              <w:rPr>
                <w:rFonts w:ascii="Times New Roman" w:eastAsia="Times New Roman" w:hAnsi="Times New Roman"/>
                <w:sz w:val="20"/>
                <w:szCs w:val="20"/>
              </w:rPr>
            </w:pPr>
            <w:r w:rsidRPr="000D2775">
              <w:rPr>
                <w:rFonts w:ascii="Times New Roman" w:eastAsia="Times New Roman" w:hAnsi="Times New Roman"/>
                <w:sz w:val="20"/>
                <w:szCs w:val="20"/>
              </w:rPr>
              <w:t>Interviews with 17 leaders</w:t>
            </w:r>
          </w:p>
          <w:p w:rsidR="00FE679F" w:rsidRPr="000D2775" w:rsidRDefault="000D2775" w:rsidP="000D2775">
            <w:pPr>
              <w:pStyle w:val="ListParagraph"/>
              <w:numPr>
                <w:ilvl w:val="0"/>
                <w:numId w:val="2"/>
              </w:numPr>
              <w:spacing w:after="120" w:line="276" w:lineRule="auto"/>
              <w:ind w:left="317"/>
              <w:jc w:val="left"/>
              <w:rPr>
                <w:rFonts w:ascii="Times New Roman" w:eastAsia="Times New Roman" w:hAnsi="Times New Roman"/>
                <w:sz w:val="20"/>
                <w:szCs w:val="20"/>
              </w:rPr>
            </w:pPr>
            <w:r w:rsidRPr="000D2775">
              <w:rPr>
                <w:rFonts w:ascii="Times New Roman" w:eastAsia="Times New Roman" w:hAnsi="Times New Roman"/>
                <w:sz w:val="20"/>
                <w:szCs w:val="20"/>
              </w:rPr>
              <w:t>Interviews with 19 senior clinicians</w:t>
            </w:r>
          </w:p>
          <w:p w:rsidR="00FE679F" w:rsidRPr="00FE679F" w:rsidRDefault="00FE679F" w:rsidP="00FE679F">
            <w:pPr>
              <w:spacing w:after="120" w:line="276" w:lineRule="auto"/>
              <w:jc w:val="left"/>
              <w:rPr>
                <w:rFonts w:ascii="Times New Roman" w:hAnsi="Times New Roman"/>
                <w:sz w:val="20"/>
                <w:szCs w:val="20"/>
              </w:rPr>
            </w:pPr>
          </w:p>
          <w:p w:rsidR="00270DEF" w:rsidRPr="007C6049" w:rsidRDefault="00270DEF" w:rsidP="007C6049">
            <w:pPr>
              <w:pStyle w:val="ListParagraph"/>
              <w:spacing w:after="120" w:line="276" w:lineRule="auto"/>
              <w:ind w:left="389"/>
              <w:jc w:val="left"/>
              <w:rPr>
                <w:rFonts w:ascii="Times New Roman" w:hAnsi="Times New Roman"/>
                <w:sz w:val="20"/>
                <w:szCs w:val="20"/>
              </w:rPr>
            </w:pPr>
          </w:p>
        </w:tc>
        <w:tc>
          <w:tcPr>
            <w:tcW w:w="3883" w:type="dxa"/>
            <w:shd w:val="clear" w:color="auto" w:fill="auto"/>
          </w:tcPr>
          <w:p w:rsidR="00270DEF" w:rsidRPr="007C6049" w:rsidRDefault="00212ED8" w:rsidP="00270DEF">
            <w:pPr>
              <w:spacing w:line="276" w:lineRule="auto"/>
              <w:rPr>
                <w:rFonts w:ascii="Times New Roman" w:eastAsia="Times New Roman" w:hAnsi="Times New Roman"/>
                <w:sz w:val="20"/>
                <w:szCs w:val="20"/>
              </w:rPr>
            </w:pPr>
            <w:r w:rsidRPr="00212ED8">
              <w:rPr>
                <w:rFonts w:ascii="Times New Roman" w:eastAsia="Times New Roman" w:hAnsi="Times New Roman"/>
                <w:sz w:val="20"/>
                <w:szCs w:val="20"/>
                <w:u w:val="single"/>
              </w:rPr>
              <w:t>Health sector benefits</w:t>
            </w:r>
            <w:r>
              <w:rPr>
                <w:rFonts w:ascii="Times New Roman" w:eastAsia="Times New Roman" w:hAnsi="Times New Roman"/>
                <w:sz w:val="20"/>
                <w:szCs w:val="20"/>
              </w:rPr>
              <w:t xml:space="preserve">: </w:t>
            </w:r>
            <w:r w:rsidR="00684FD2" w:rsidRPr="007C6049">
              <w:rPr>
                <w:rFonts w:ascii="Times New Roman" w:eastAsia="Times New Roman" w:hAnsi="Times New Roman"/>
                <w:sz w:val="20"/>
                <w:szCs w:val="20"/>
              </w:rPr>
              <w:t>The research leaders identified a wide range of beneficial impacts that they expected might be felt at local hospitals as a result of their research activity.</w:t>
            </w:r>
          </w:p>
          <w:p w:rsidR="00684FD2" w:rsidRPr="007C6049" w:rsidRDefault="00684FD2" w:rsidP="00270DEF">
            <w:pPr>
              <w:spacing w:line="276" w:lineRule="auto"/>
              <w:rPr>
                <w:rFonts w:ascii="Times New Roman" w:hAnsi="Times New Roman"/>
                <w:sz w:val="20"/>
                <w:szCs w:val="20"/>
              </w:rPr>
            </w:pPr>
            <w:r w:rsidRPr="007C6049">
              <w:rPr>
                <w:rFonts w:ascii="Times New Roman" w:eastAsia="Times New Roman" w:hAnsi="Times New Roman"/>
                <w:sz w:val="20"/>
                <w:szCs w:val="20"/>
              </w:rPr>
              <w:t>The senior clinicians responsible for patient care at those hospitals presented a more mixed picture, identifying many positive impacts, but also a smaller number of negative impacts, from research activity, including that of the Oxford BRC</w:t>
            </w:r>
            <w:r w:rsidR="00690C4D">
              <w:rPr>
                <w:rFonts w:ascii="Times New Roman" w:eastAsia="Times New Roman" w:hAnsi="Times New Roman"/>
                <w:sz w:val="20"/>
                <w:szCs w:val="20"/>
              </w:rPr>
              <w:t>.</w:t>
            </w:r>
          </w:p>
        </w:tc>
      </w:tr>
      <w:tr w:rsidR="001B1036" w:rsidRPr="00591BA7">
        <w:trPr>
          <w:jc w:val="center"/>
        </w:trPr>
        <w:tc>
          <w:tcPr>
            <w:tcW w:w="1463" w:type="dxa"/>
            <w:shd w:val="clear" w:color="auto" w:fill="auto"/>
          </w:tcPr>
          <w:p w:rsidR="001B1036" w:rsidRPr="00591BA7" w:rsidRDefault="001B1036" w:rsidP="006408B9">
            <w:pPr>
              <w:spacing w:line="240" w:lineRule="auto"/>
              <w:jc w:val="left"/>
              <w:rPr>
                <w:rFonts w:ascii="Times New Roman" w:hAnsi="Times New Roman"/>
                <w:sz w:val="20"/>
                <w:szCs w:val="20"/>
              </w:rPr>
            </w:pPr>
            <w:r>
              <w:rPr>
                <w:rFonts w:ascii="Times New Roman" w:hAnsi="Times New Roman"/>
                <w:sz w:val="20"/>
                <w:szCs w:val="20"/>
              </w:rPr>
              <w:t>Morgan Jones et al 2016</w:t>
            </w:r>
          </w:p>
        </w:tc>
        <w:tc>
          <w:tcPr>
            <w:tcW w:w="2035" w:type="dxa"/>
            <w:shd w:val="clear" w:color="auto" w:fill="auto"/>
          </w:tcPr>
          <w:p w:rsidR="001B1036" w:rsidRPr="00591BA7" w:rsidRDefault="001B1036" w:rsidP="006408B9">
            <w:pPr>
              <w:autoSpaceDE w:val="0"/>
              <w:autoSpaceDN w:val="0"/>
              <w:adjustRightInd w:val="0"/>
              <w:spacing w:before="0" w:after="0" w:line="240" w:lineRule="auto"/>
              <w:jc w:val="left"/>
              <w:rPr>
                <w:rFonts w:ascii="Times New Roman" w:hAnsi="Times New Roman"/>
                <w:sz w:val="20"/>
                <w:szCs w:val="20"/>
              </w:rPr>
            </w:pPr>
            <w:r w:rsidRPr="00591BA7">
              <w:rPr>
                <w:rFonts w:ascii="Times New Roman" w:hAnsi="Times New Roman"/>
                <w:sz w:val="20"/>
                <w:szCs w:val="20"/>
                <w:lang w:eastAsia="en-GB"/>
              </w:rPr>
              <w:t xml:space="preserve">To identify and synthesise evidence of NHIR funded research which has generated benefits to and wider impacts on the health </w:t>
            </w:r>
            <w:r w:rsidRPr="00591BA7">
              <w:rPr>
                <w:rFonts w:ascii="Times New Roman" w:hAnsi="Times New Roman"/>
                <w:sz w:val="20"/>
                <w:szCs w:val="20"/>
                <w:lang w:eastAsia="en-GB"/>
              </w:rPr>
              <w:lastRenderedPageBreak/>
              <w:t>research landscape.</w:t>
            </w:r>
          </w:p>
        </w:tc>
        <w:tc>
          <w:tcPr>
            <w:tcW w:w="1701" w:type="dxa"/>
          </w:tcPr>
          <w:p w:rsidR="001B1036" w:rsidRPr="00591BA7" w:rsidRDefault="001B1036" w:rsidP="006408B9">
            <w:pPr>
              <w:spacing w:after="120" w:line="240" w:lineRule="auto"/>
              <w:jc w:val="left"/>
              <w:rPr>
                <w:rFonts w:ascii="Times New Roman" w:eastAsia="Times New Roman" w:hAnsi="Times New Roman"/>
                <w:bCs/>
                <w:sz w:val="20"/>
                <w:szCs w:val="20"/>
              </w:rPr>
            </w:pPr>
            <w:r w:rsidRPr="00591BA7">
              <w:rPr>
                <w:rFonts w:ascii="Times New Roman" w:eastAsia="Times New Roman" w:hAnsi="Times New Roman"/>
                <w:bCs/>
                <w:sz w:val="20"/>
                <w:szCs w:val="20"/>
              </w:rPr>
              <w:lastRenderedPageBreak/>
              <w:t xml:space="preserve">NIHR </w:t>
            </w:r>
          </w:p>
        </w:tc>
        <w:tc>
          <w:tcPr>
            <w:tcW w:w="1559" w:type="dxa"/>
            <w:shd w:val="clear" w:color="auto" w:fill="auto"/>
          </w:tcPr>
          <w:p w:rsidR="001B1036" w:rsidRDefault="001B1036" w:rsidP="006408B9">
            <w:pPr>
              <w:spacing w:after="120" w:line="240" w:lineRule="auto"/>
              <w:jc w:val="left"/>
              <w:rPr>
                <w:rFonts w:ascii="Times New Roman" w:eastAsia="Times New Roman" w:hAnsi="Times New Roman"/>
                <w:bCs/>
                <w:sz w:val="20"/>
                <w:szCs w:val="20"/>
              </w:rPr>
            </w:pPr>
            <w:r>
              <w:rPr>
                <w:rFonts w:ascii="Times New Roman" w:eastAsia="Times New Roman" w:hAnsi="Times New Roman"/>
                <w:bCs/>
                <w:sz w:val="20"/>
                <w:szCs w:val="20"/>
              </w:rPr>
              <w:t>Synthesis report</w:t>
            </w:r>
          </w:p>
          <w:p w:rsidR="001B1036" w:rsidRPr="00591BA7" w:rsidRDefault="001B1036" w:rsidP="00636F4E">
            <w:pPr>
              <w:spacing w:after="120" w:line="240" w:lineRule="auto"/>
              <w:jc w:val="left"/>
              <w:rPr>
                <w:rFonts w:ascii="Times New Roman" w:eastAsia="Times New Roman" w:hAnsi="Times New Roman"/>
                <w:bCs/>
                <w:sz w:val="20"/>
                <w:szCs w:val="20"/>
              </w:rPr>
            </w:pPr>
          </w:p>
        </w:tc>
        <w:tc>
          <w:tcPr>
            <w:tcW w:w="4076" w:type="dxa"/>
          </w:tcPr>
          <w:p w:rsidR="001B1036" w:rsidRPr="00591BA7" w:rsidRDefault="00636F4E" w:rsidP="006408B9">
            <w:pPr>
              <w:pStyle w:val="ListParagraph"/>
              <w:numPr>
                <w:ilvl w:val="0"/>
                <w:numId w:val="2"/>
              </w:numPr>
              <w:spacing w:after="120" w:line="240" w:lineRule="auto"/>
              <w:ind w:left="353"/>
              <w:jc w:val="left"/>
              <w:rPr>
                <w:rFonts w:ascii="Times New Roman" w:hAnsi="Times New Roman"/>
                <w:sz w:val="20"/>
                <w:szCs w:val="20"/>
              </w:rPr>
            </w:pPr>
            <w:r>
              <w:rPr>
                <w:rFonts w:ascii="Times New Roman" w:hAnsi="Times New Roman"/>
                <w:sz w:val="20"/>
                <w:szCs w:val="20"/>
              </w:rPr>
              <w:t xml:space="preserve">Analysis of </w:t>
            </w:r>
            <w:r>
              <w:rPr>
                <w:rFonts w:ascii="Times New Roman" w:eastAsia="Times New Roman" w:hAnsi="Times New Roman"/>
                <w:bCs/>
                <w:sz w:val="20"/>
                <w:szCs w:val="20"/>
              </w:rPr>
              <w:t>100 NIHR funded studies</w:t>
            </w:r>
          </w:p>
        </w:tc>
        <w:tc>
          <w:tcPr>
            <w:tcW w:w="3883" w:type="dxa"/>
            <w:shd w:val="clear" w:color="auto" w:fill="auto"/>
          </w:tcPr>
          <w:p w:rsidR="001B1036" w:rsidRPr="00591BA7" w:rsidRDefault="001B1036" w:rsidP="006408B9">
            <w:pPr>
              <w:spacing w:after="120" w:line="240" w:lineRule="auto"/>
              <w:ind w:left="-7"/>
              <w:jc w:val="left"/>
              <w:rPr>
                <w:rFonts w:ascii="Times New Roman" w:hAnsi="Times New Roman"/>
                <w:sz w:val="20"/>
                <w:szCs w:val="20"/>
              </w:rPr>
            </w:pPr>
            <w:r w:rsidRPr="00057B16">
              <w:rPr>
                <w:rFonts w:ascii="Times New Roman" w:hAnsi="Times New Roman"/>
                <w:sz w:val="20"/>
                <w:szCs w:val="20"/>
                <w:u w:val="single"/>
              </w:rPr>
              <w:t>Knowledge</w:t>
            </w:r>
            <w:r w:rsidRPr="00591BA7">
              <w:rPr>
                <w:rFonts w:ascii="Times New Roman" w:hAnsi="Times New Roman"/>
                <w:sz w:val="20"/>
                <w:szCs w:val="20"/>
              </w:rPr>
              <w:t xml:space="preserve">: </w:t>
            </w:r>
            <w:r>
              <w:rPr>
                <w:rFonts w:ascii="Times New Roman" w:hAnsi="Times New Roman"/>
                <w:sz w:val="20"/>
                <w:szCs w:val="20"/>
              </w:rPr>
              <w:t xml:space="preserve">Managing a shared knowledge resource: the Journals Library and </w:t>
            </w:r>
            <w:proofErr w:type="spellStart"/>
            <w:r>
              <w:rPr>
                <w:rFonts w:ascii="Times New Roman" w:hAnsi="Times New Roman"/>
                <w:sz w:val="20"/>
                <w:szCs w:val="20"/>
              </w:rPr>
              <w:t>BioResource</w:t>
            </w:r>
            <w:proofErr w:type="spellEnd"/>
            <w:r>
              <w:rPr>
                <w:rFonts w:ascii="Times New Roman" w:hAnsi="Times New Roman"/>
                <w:sz w:val="20"/>
                <w:szCs w:val="20"/>
              </w:rPr>
              <w:t>.</w:t>
            </w:r>
          </w:p>
          <w:p w:rsidR="001B1036" w:rsidRPr="00591BA7" w:rsidRDefault="001B1036" w:rsidP="006408B9">
            <w:pPr>
              <w:spacing w:after="120" w:line="240" w:lineRule="auto"/>
              <w:ind w:left="-7"/>
              <w:jc w:val="left"/>
              <w:rPr>
                <w:rFonts w:ascii="Times New Roman" w:hAnsi="Times New Roman"/>
                <w:sz w:val="20"/>
                <w:szCs w:val="20"/>
              </w:rPr>
            </w:pPr>
            <w:r w:rsidRPr="00057B16">
              <w:rPr>
                <w:rFonts w:ascii="Times New Roman" w:hAnsi="Times New Roman"/>
                <w:sz w:val="20"/>
                <w:szCs w:val="20"/>
                <w:u w:val="single"/>
              </w:rPr>
              <w:t>Future Research/ Research Use</w:t>
            </w:r>
            <w:r w:rsidRPr="00591BA7">
              <w:rPr>
                <w:rFonts w:ascii="Times New Roman" w:hAnsi="Times New Roman"/>
                <w:sz w:val="20"/>
                <w:szCs w:val="20"/>
              </w:rPr>
              <w:t>:</w:t>
            </w:r>
            <w:r>
              <w:rPr>
                <w:rFonts w:ascii="Times New Roman" w:hAnsi="Times New Roman"/>
                <w:sz w:val="20"/>
                <w:szCs w:val="20"/>
              </w:rPr>
              <w:t xml:space="preserve"> 10 cases showing collaboration with charities and the </w:t>
            </w:r>
            <w:r>
              <w:rPr>
                <w:rFonts w:ascii="Times New Roman" w:hAnsi="Times New Roman"/>
                <w:sz w:val="20"/>
                <w:szCs w:val="20"/>
              </w:rPr>
              <w:lastRenderedPageBreak/>
              <w:t>third sector; 10 cases showing patient involvement in research; 10 cases showing impact on training and developing workforce in the NHS and academia.</w:t>
            </w:r>
          </w:p>
          <w:p w:rsidR="001B1036" w:rsidRPr="00591BA7" w:rsidRDefault="001B1036" w:rsidP="006408B9">
            <w:pPr>
              <w:spacing w:after="120" w:line="240" w:lineRule="auto"/>
              <w:jc w:val="left"/>
              <w:rPr>
                <w:rFonts w:ascii="Times New Roman" w:hAnsi="Times New Roman"/>
                <w:sz w:val="20"/>
                <w:szCs w:val="20"/>
              </w:rPr>
            </w:pPr>
            <w:r w:rsidRPr="00057B16">
              <w:rPr>
                <w:rFonts w:ascii="Times New Roman" w:hAnsi="Times New Roman"/>
                <w:sz w:val="20"/>
                <w:szCs w:val="20"/>
                <w:u w:val="single"/>
              </w:rPr>
              <w:t>Policy and product development</w:t>
            </w:r>
            <w:r w:rsidRPr="00591BA7">
              <w:rPr>
                <w:rFonts w:ascii="Times New Roman" w:hAnsi="Times New Roman"/>
                <w:sz w:val="20"/>
                <w:szCs w:val="20"/>
              </w:rPr>
              <w:t>:</w:t>
            </w:r>
            <w:r>
              <w:rPr>
                <w:rFonts w:ascii="Times New Roman" w:hAnsi="Times New Roman"/>
                <w:sz w:val="20"/>
                <w:szCs w:val="20"/>
              </w:rPr>
              <w:t xml:space="preserve"> 10 cases showing global impact; 10 cases showing investment across the nation.</w:t>
            </w:r>
          </w:p>
          <w:p w:rsidR="001B1036" w:rsidRPr="00591BA7" w:rsidRDefault="001B1036" w:rsidP="006408B9">
            <w:pPr>
              <w:spacing w:after="120" w:line="240" w:lineRule="auto"/>
              <w:jc w:val="left"/>
              <w:rPr>
                <w:rFonts w:ascii="Times New Roman" w:hAnsi="Times New Roman"/>
                <w:sz w:val="20"/>
                <w:szCs w:val="20"/>
              </w:rPr>
            </w:pPr>
            <w:r>
              <w:rPr>
                <w:rFonts w:ascii="Times New Roman" w:eastAsia="Times New Roman" w:hAnsi="Times New Roman"/>
                <w:bCs/>
                <w:sz w:val="20"/>
                <w:szCs w:val="20"/>
                <w:u w:val="single"/>
              </w:rPr>
              <w:t>Health s</w:t>
            </w:r>
            <w:r w:rsidRPr="00057B16">
              <w:rPr>
                <w:rFonts w:ascii="Times New Roman" w:eastAsia="Times New Roman" w:hAnsi="Times New Roman"/>
                <w:bCs/>
                <w:sz w:val="20"/>
                <w:szCs w:val="20"/>
                <w:u w:val="single"/>
              </w:rPr>
              <w:t xml:space="preserve">ector </w:t>
            </w:r>
            <w:r>
              <w:rPr>
                <w:rFonts w:ascii="Times New Roman" w:eastAsia="Times New Roman" w:hAnsi="Times New Roman"/>
                <w:bCs/>
                <w:sz w:val="20"/>
                <w:szCs w:val="20"/>
                <w:u w:val="single"/>
              </w:rPr>
              <w:t>b</w:t>
            </w:r>
            <w:r w:rsidRPr="00057B16">
              <w:rPr>
                <w:rFonts w:ascii="Times New Roman" w:eastAsia="Times New Roman" w:hAnsi="Times New Roman"/>
                <w:bCs/>
                <w:sz w:val="20"/>
                <w:szCs w:val="20"/>
                <w:u w:val="single"/>
              </w:rPr>
              <w:t>enefits</w:t>
            </w:r>
            <w:r w:rsidRPr="00591BA7">
              <w:rPr>
                <w:rFonts w:ascii="Times New Roman" w:eastAsia="Times New Roman" w:hAnsi="Times New Roman"/>
                <w:bCs/>
                <w:sz w:val="20"/>
                <w:szCs w:val="20"/>
              </w:rPr>
              <w:t>:</w:t>
            </w:r>
            <w:r>
              <w:rPr>
                <w:rFonts w:ascii="Times New Roman" w:eastAsia="Times New Roman" w:hAnsi="Times New Roman"/>
                <w:bCs/>
                <w:sz w:val="20"/>
                <w:szCs w:val="20"/>
              </w:rPr>
              <w:t xml:space="preserve"> 10 cases showing breakthroughs to patients; 10 cases improving the nation’s health and care system, 10 cases on public health delivery</w:t>
            </w:r>
          </w:p>
          <w:p w:rsidR="001B1036" w:rsidRPr="00591BA7" w:rsidRDefault="001B1036" w:rsidP="006408B9">
            <w:pPr>
              <w:spacing w:line="240" w:lineRule="auto"/>
              <w:jc w:val="left"/>
              <w:rPr>
                <w:rFonts w:ascii="Times New Roman" w:hAnsi="Times New Roman"/>
                <w:sz w:val="20"/>
                <w:szCs w:val="20"/>
              </w:rPr>
            </w:pPr>
            <w:r>
              <w:rPr>
                <w:rFonts w:ascii="Times New Roman" w:eastAsia="Times New Roman" w:hAnsi="Times New Roman"/>
                <w:bCs/>
                <w:sz w:val="20"/>
                <w:szCs w:val="20"/>
                <w:u w:val="single"/>
              </w:rPr>
              <w:t>Broader e</w:t>
            </w:r>
            <w:r w:rsidRPr="00057B16">
              <w:rPr>
                <w:rFonts w:ascii="Times New Roman" w:eastAsia="Times New Roman" w:hAnsi="Times New Roman"/>
                <w:bCs/>
                <w:sz w:val="20"/>
                <w:szCs w:val="20"/>
                <w:u w:val="single"/>
              </w:rPr>
              <w:t>conomi</w:t>
            </w:r>
            <w:r>
              <w:rPr>
                <w:rFonts w:ascii="Times New Roman" w:eastAsia="Times New Roman" w:hAnsi="Times New Roman"/>
                <w:bCs/>
                <w:sz w:val="20"/>
                <w:szCs w:val="20"/>
                <w:u w:val="single"/>
              </w:rPr>
              <w:t>c benefit</w:t>
            </w:r>
            <w:r w:rsidRPr="00591BA7">
              <w:rPr>
                <w:rFonts w:ascii="Times New Roman" w:eastAsia="Times New Roman" w:hAnsi="Times New Roman"/>
                <w:bCs/>
                <w:sz w:val="20"/>
                <w:szCs w:val="20"/>
              </w:rPr>
              <w:t>:</w:t>
            </w:r>
            <w:r>
              <w:rPr>
                <w:rFonts w:ascii="Times New Roman" w:eastAsia="Times New Roman" w:hAnsi="Times New Roman"/>
                <w:bCs/>
                <w:sz w:val="20"/>
                <w:szCs w:val="20"/>
              </w:rPr>
              <w:t xml:space="preserve"> 10 cases creating opportunities for economic and social returns</w:t>
            </w:r>
          </w:p>
        </w:tc>
      </w:tr>
      <w:tr w:rsidR="0098344E" w:rsidRPr="00033C32">
        <w:trPr>
          <w:jc w:val="center"/>
        </w:trPr>
        <w:tc>
          <w:tcPr>
            <w:tcW w:w="1463" w:type="dxa"/>
            <w:shd w:val="clear" w:color="auto" w:fill="auto"/>
          </w:tcPr>
          <w:p w:rsidR="0098344E" w:rsidRPr="00033C32" w:rsidRDefault="0098344E" w:rsidP="0098344E">
            <w:pPr>
              <w:spacing w:line="276" w:lineRule="auto"/>
              <w:jc w:val="left"/>
              <w:rPr>
                <w:rFonts w:ascii="Times New Roman" w:hAnsi="Times New Roman"/>
                <w:sz w:val="20"/>
                <w:szCs w:val="20"/>
              </w:rPr>
            </w:pPr>
            <w:r w:rsidRPr="00033C32">
              <w:rPr>
                <w:rFonts w:ascii="Times New Roman" w:hAnsi="Times New Roman"/>
                <w:sz w:val="20"/>
                <w:szCs w:val="20"/>
              </w:rPr>
              <w:lastRenderedPageBreak/>
              <w:t>McCrae et al, 2012</w:t>
            </w:r>
          </w:p>
        </w:tc>
        <w:tc>
          <w:tcPr>
            <w:tcW w:w="2035" w:type="dxa"/>
            <w:shd w:val="clear" w:color="auto" w:fill="auto"/>
          </w:tcPr>
          <w:p w:rsidR="0098344E" w:rsidRPr="00033C32" w:rsidRDefault="0098344E" w:rsidP="0098344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033C32">
              <w:rPr>
                <w:rFonts w:ascii="Times New Roman" w:eastAsiaTheme="minorEastAsia" w:hAnsi="Times New Roman"/>
                <w:sz w:val="20"/>
                <w:szCs w:val="20"/>
                <w:lang w:val="en-US" w:eastAsia="ja-JP"/>
              </w:rPr>
              <w:t>To examine research network support to a multi-centre RCT of antidepressants in people with depression superimposed on dementia</w:t>
            </w:r>
          </w:p>
        </w:tc>
        <w:tc>
          <w:tcPr>
            <w:tcW w:w="1701" w:type="dxa"/>
          </w:tcPr>
          <w:p w:rsidR="00EB64A8" w:rsidRPr="00033C32" w:rsidRDefault="00EB64A8" w:rsidP="00EB64A8">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033C32">
              <w:rPr>
                <w:rFonts w:ascii="Times New Roman" w:eastAsiaTheme="minorEastAsia" w:hAnsi="Times New Roman"/>
                <w:sz w:val="20"/>
                <w:szCs w:val="20"/>
                <w:lang w:val="en-US" w:eastAsia="ja-JP"/>
              </w:rPr>
              <w:t>The Mental Health Research Network (MHRN) and</w:t>
            </w:r>
            <w:r w:rsidR="00BF5E05">
              <w:rPr>
                <w:rFonts w:ascii="Times New Roman" w:eastAsiaTheme="minorEastAsia" w:hAnsi="Times New Roman"/>
                <w:sz w:val="20"/>
                <w:szCs w:val="20"/>
                <w:lang w:val="en-US" w:eastAsia="ja-JP"/>
              </w:rPr>
              <w:t xml:space="preserve"> </w:t>
            </w:r>
            <w:r w:rsidRPr="00033C32">
              <w:rPr>
                <w:rFonts w:ascii="Times New Roman" w:eastAsiaTheme="minorEastAsia" w:hAnsi="Times New Roman"/>
                <w:sz w:val="20"/>
                <w:szCs w:val="20"/>
                <w:lang w:val="en-US" w:eastAsia="ja-JP"/>
              </w:rPr>
              <w:t>the Dementia and Neurodegenerative Diseases Research Network</w:t>
            </w:r>
          </w:p>
          <w:p w:rsidR="00EB64A8" w:rsidRPr="00033C32" w:rsidRDefault="00EB64A8" w:rsidP="00EB64A8">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033C32">
              <w:rPr>
                <w:rFonts w:ascii="Times New Roman" w:eastAsiaTheme="minorEastAsia" w:hAnsi="Times New Roman"/>
                <w:sz w:val="20"/>
                <w:szCs w:val="20"/>
                <w:lang w:val="en-US" w:eastAsia="ja-JP"/>
              </w:rPr>
              <w:t>(</w:t>
            </w:r>
            <w:proofErr w:type="spellStart"/>
            <w:r w:rsidRPr="00033C32">
              <w:rPr>
                <w:rFonts w:ascii="Times New Roman" w:eastAsiaTheme="minorEastAsia" w:hAnsi="Times New Roman"/>
                <w:sz w:val="20"/>
                <w:szCs w:val="20"/>
                <w:lang w:val="en-US" w:eastAsia="ja-JP"/>
              </w:rPr>
              <w:t>DeNDRoN</w:t>
            </w:r>
            <w:proofErr w:type="spellEnd"/>
            <w:r w:rsidRPr="00033C32">
              <w:rPr>
                <w:rFonts w:ascii="Times New Roman" w:eastAsiaTheme="minorEastAsia" w:hAnsi="Times New Roman"/>
                <w:sz w:val="20"/>
                <w:szCs w:val="20"/>
                <w:lang w:val="en-US" w:eastAsia="ja-JP"/>
              </w:rPr>
              <w:t>).</w:t>
            </w:r>
          </w:p>
          <w:p w:rsidR="0098344E" w:rsidRPr="00033C32" w:rsidRDefault="00EB64A8" w:rsidP="00EB64A8">
            <w:pPr>
              <w:spacing w:after="120" w:line="276" w:lineRule="auto"/>
              <w:jc w:val="left"/>
              <w:rPr>
                <w:rFonts w:ascii="Times New Roman" w:eastAsia="Times New Roman" w:hAnsi="Times New Roman"/>
                <w:bCs/>
                <w:sz w:val="20"/>
                <w:szCs w:val="20"/>
              </w:rPr>
            </w:pPr>
            <w:r w:rsidRPr="00033C32">
              <w:rPr>
                <w:rFonts w:ascii="Times New Roman" w:eastAsiaTheme="minorEastAsia" w:hAnsi="Times New Roman"/>
                <w:sz w:val="20"/>
                <w:szCs w:val="20"/>
                <w:lang w:val="en-US" w:eastAsia="ja-JP"/>
              </w:rPr>
              <w:t>Both networks are funded by the NIHR.</w:t>
            </w:r>
          </w:p>
        </w:tc>
        <w:tc>
          <w:tcPr>
            <w:tcW w:w="1559" w:type="dxa"/>
            <w:shd w:val="clear" w:color="auto" w:fill="auto"/>
          </w:tcPr>
          <w:p w:rsidR="009275A6" w:rsidRPr="00033C32" w:rsidRDefault="009275A6" w:rsidP="0098344E">
            <w:pPr>
              <w:spacing w:after="120" w:line="276" w:lineRule="auto"/>
              <w:jc w:val="left"/>
              <w:rPr>
                <w:rFonts w:ascii="Times New Roman" w:eastAsia="Times New Roman" w:hAnsi="Times New Roman"/>
                <w:bCs/>
                <w:sz w:val="20"/>
                <w:szCs w:val="20"/>
              </w:rPr>
            </w:pPr>
            <w:r w:rsidRPr="00033C32">
              <w:rPr>
                <w:rFonts w:ascii="Times New Roman" w:eastAsia="Times New Roman" w:hAnsi="Times New Roman"/>
                <w:bCs/>
                <w:sz w:val="20"/>
                <w:szCs w:val="20"/>
              </w:rPr>
              <w:t xml:space="preserve">Qualitative </w:t>
            </w:r>
          </w:p>
          <w:p w:rsidR="009275A6" w:rsidRPr="00033C32" w:rsidRDefault="009275A6" w:rsidP="0055772D">
            <w:pPr>
              <w:spacing w:after="120" w:line="276" w:lineRule="auto"/>
              <w:jc w:val="left"/>
              <w:rPr>
                <w:rFonts w:ascii="Times New Roman" w:eastAsia="Times New Roman" w:hAnsi="Times New Roman"/>
                <w:bCs/>
                <w:sz w:val="20"/>
                <w:szCs w:val="20"/>
              </w:rPr>
            </w:pPr>
          </w:p>
        </w:tc>
        <w:tc>
          <w:tcPr>
            <w:tcW w:w="4076" w:type="dxa"/>
          </w:tcPr>
          <w:p w:rsidR="00033C32" w:rsidRPr="0055772D" w:rsidRDefault="0055772D" w:rsidP="0055772D">
            <w:pPr>
              <w:pStyle w:val="ListParagraph"/>
              <w:numPr>
                <w:ilvl w:val="0"/>
                <w:numId w:val="2"/>
              </w:numPr>
              <w:spacing w:line="276" w:lineRule="auto"/>
              <w:ind w:left="317"/>
              <w:rPr>
                <w:rFonts w:ascii="Times New Roman" w:hAnsi="Times New Roman"/>
                <w:sz w:val="20"/>
                <w:szCs w:val="20"/>
              </w:rPr>
            </w:pPr>
            <w:r w:rsidRPr="0055772D">
              <w:rPr>
                <w:rFonts w:ascii="Times New Roman" w:eastAsia="Times New Roman" w:hAnsi="Times New Roman"/>
                <w:bCs/>
                <w:sz w:val="20"/>
                <w:szCs w:val="20"/>
              </w:rPr>
              <w:t>Semi-structured interviews with PIs, research workers and research network officers</w:t>
            </w:r>
            <w:r w:rsidRPr="0055772D">
              <w:rPr>
                <w:rFonts w:ascii="Times New Roman" w:hAnsi="Times New Roman"/>
                <w:sz w:val="20"/>
                <w:szCs w:val="20"/>
              </w:rPr>
              <w:t xml:space="preserve"> </w:t>
            </w:r>
          </w:p>
          <w:p w:rsidR="0055772D" w:rsidRPr="0055772D" w:rsidRDefault="0055772D" w:rsidP="0055772D">
            <w:pPr>
              <w:pStyle w:val="ListParagraph"/>
              <w:spacing w:line="276" w:lineRule="auto"/>
              <w:rPr>
                <w:rFonts w:ascii="Times New Roman" w:hAnsi="Times New Roman"/>
                <w:sz w:val="20"/>
                <w:szCs w:val="20"/>
              </w:rPr>
            </w:pPr>
          </w:p>
        </w:tc>
        <w:tc>
          <w:tcPr>
            <w:tcW w:w="3883" w:type="dxa"/>
            <w:shd w:val="clear" w:color="auto" w:fill="auto"/>
          </w:tcPr>
          <w:p w:rsidR="0098344E" w:rsidRPr="00033C32" w:rsidRDefault="00BF5E05" w:rsidP="00EB64A8">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E36E50">
              <w:rPr>
                <w:rFonts w:ascii="Times New Roman" w:hAnsi="Times New Roman"/>
                <w:sz w:val="20"/>
                <w:szCs w:val="20"/>
                <w:u w:val="single"/>
              </w:rPr>
              <w:t>Research benefits</w:t>
            </w:r>
            <w:r>
              <w:rPr>
                <w:rFonts w:ascii="Times New Roman" w:hAnsi="Times New Roman"/>
                <w:sz w:val="20"/>
                <w:szCs w:val="20"/>
              </w:rPr>
              <w:t xml:space="preserve">: </w:t>
            </w:r>
            <w:r w:rsidR="00EB64A8" w:rsidRPr="00033C32">
              <w:rPr>
                <w:rFonts w:ascii="Times New Roman" w:hAnsi="Times New Roman"/>
                <w:sz w:val="20"/>
                <w:szCs w:val="20"/>
              </w:rPr>
              <w:t>Th</w:t>
            </w:r>
            <w:r w:rsidR="00EB64A8" w:rsidRPr="00033C32">
              <w:rPr>
                <w:rFonts w:ascii="Times New Roman" w:eastAsiaTheme="minorEastAsia" w:hAnsi="Times New Roman"/>
                <w:sz w:val="20"/>
                <w:szCs w:val="20"/>
                <w:lang w:val="en-US" w:eastAsia="ja-JP"/>
              </w:rPr>
              <w:t>e MHRN helped gaining local ethics committee and NHS trust approvals, which can be a time-consuming process.</w:t>
            </w:r>
          </w:p>
          <w:p w:rsidR="00EB64A8" w:rsidRPr="00033C32" w:rsidRDefault="00EB64A8" w:rsidP="00EB64A8">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p>
          <w:p w:rsidR="00EB64A8" w:rsidRPr="00033C32" w:rsidRDefault="00EB64A8" w:rsidP="00EB64A8">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033C32">
              <w:rPr>
                <w:rFonts w:ascii="Times New Roman" w:eastAsiaTheme="minorEastAsia" w:hAnsi="Times New Roman"/>
                <w:sz w:val="20"/>
                <w:szCs w:val="20"/>
                <w:lang w:val="en-US" w:eastAsia="ja-JP"/>
              </w:rPr>
              <w:t>Clinical study officers boosted a recruitment campaign and contributed to the monitoring and assessment of participants.</w:t>
            </w:r>
          </w:p>
          <w:p w:rsidR="00EB64A8" w:rsidRPr="00033C32" w:rsidRDefault="00EB64A8" w:rsidP="00EB64A8">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p>
          <w:p w:rsidR="00EB64A8" w:rsidRPr="00033C32" w:rsidRDefault="00EB64A8" w:rsidP="00EB64A8">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033C32">
              <w:rPr>
                <w:rFonts w:ascii="Times New Roman" w:eastAsiaTheme="minorEastAsia" w:hAnsi="Times New Roman"/>
                <w:sz w:val="20"/>
                <w:szCs w:val="20"/>
                <w:u w:val="single"/>
                <w:lang w:val="en-US" w:eastAsia="ja-JP"/>
              </w:rPr>
              <w:t>Limitations</w:t>
            </w:r>
            <w:r w:rsidRPr="00033C32">
              <w:rPr>
                <w:rFonts w:ascii="Times New Roman" w:eastAsiaTheme="minorEastAsia" w:hAnsi="Times New Roman"/>
                <w:sz w:val="20"/>
                <w:szCs w:val="20"/>
                <w:lang w:val="en-US" w:eastAsia="ja-JP"/>
              </w:rPr>
              <w:t>: there were potential problems of duplication or unclear roles and responsibilities. There was also a degree of unrealistic expectation from principal investigators. The networks added to the bureaucratic burden.</w:t>
            </w:r>
          </w:p>
        </w:tc>
      </w:tr>
      <w:tr w:rsidR="00C9104C" w:rsidRPr="004A509E">
        <w:trPr>
          <w:jc w:val="center"/>
        </w:trPr>
        <w:tc>
          <w:tcPr>
            <w:tcW w:w="1463" w:type="dxa"/>
            <w:shd w:val="clear" w:color="auto" w:fill="auto"/>
          </w:tcPr>
          <w:p w:rsidR="00C9104C" w:rsidRPr="008E06D3" w:rsidRDefault="00C9104C" w:rsidP="004A509E">
            <w:pPr>
              <w:spacing w:line="240" w:lineRule="auto"/>
              <w:jc w:val="left"/>
              <w:rPr>
                <w:rFonts w:ascii="Times New Roman" w:hAnsi="Times New Roman"/>
                <w:sz w:val="20"/>
                <w:szCs w:val="20"/>
              </w:rPr>
            </w:pPr>
            <w:r w:rsidRPr="008E06D3">
              <w:rPr>
                <w:rFonts w:ascii="Times New Roman" w:hAnsi="Times New Roman"/>
                <w:sz w:val="20"/>
                <w:szCs w:val="20"/>
              </w:rPr>
              <w:t>Peckham et al</w:t>
            </w:r>
            <w:r w:rsidR="00AC5BC7" w:rsidRPr="008E06D3">
              <w:rPr>
                <w:rFonts w:ascii="Times New Roman" w:hAnsi="Times New Roman"/>
                <w:sz w:val="20"/>
                <w:szCs w:val="20"/>
              </w:rPr>
              <w:t>., 2008</w:t>
            </w:r>
          </w:p>
        </w:tc>
        <w:tc>
          <w:tcPr>
            <w:tcW w:w="2035" w:type="dxa"/>
            <w:shd w:val="clear" w:color="auto" w:fill="auto"/>
          </w:tcPr>
          <w:p w:rsidR="00C9104C" w:rsidRPr="008E06D3" w:rsidRDefault="00AC5BC7" w:rsidP="004A509E">
            <w:pPr>
              <w:spacing w:line="240" w:lineRule="auto"/>
              <w:rPr>
                <w:rFonts w:ascii="Times New Roman" w:hAnsi="Times New Roman"/>
                <w:sz w:val="20"/>
                <w:szCs w:val="20"/>
              </w:rPr>
            </w:pPr>
            <w:r w:rsidRPr="008E06D3">
              <w:rPr>
                <w:rFonts w:ascii="Times New Roman" w:hAnsi="Times New Roman"/>
                <w:sz w:val="20"/>
                <w:szCs w:val="20"/>
              </w:rPr>
              <w:t>To assess the i</w:t>
            </w:r>
            <w:r w:rsidRPr="008E06D3">
              <w:rPr>
                <w:rFonts w:ascii="Times New Roman" w:eastAsia="Times New Roman" w:hAnsi="Times New Roman"/>
                <w:sz w:val="20"/>
                <w:szCs w:val="20"/>
              </w:rPr>
              <w:t>mpact of the first five years of the SDO Programme (2001–</w:t>
            </w:r>
            <w:r w:rsidRPr="008E06D3">
              <w:rPr>
                <w:rFonts w:ascii="Times New Roman" w:eastAsia="Times New Roman" w:hAnsi="Times New Roman"/>
                <w:sz w:val="20"/>
                <w:szCs w:val="20"/>
              </w:rPr>
              <w:lastRenderedPageBreak/>
              <w:t xml:space="preserve">2006) </w:t>
            </w:r>
          </w:p>
        </w:tc>
        <w:tc>
          <w:tcPr>
            <w:tcW w:w="1701" w:type="dxa"/>
          </w:tcPr>
          <w:p w:rsidR="00AC5BC7" w:rsidRPr="008E06D3" w:rsidRDefault="00AC5BC7" w:rsidP="004A509E">
            <w:pPr>
              <w:spacing w:before="0" w:after="0" w:line="240" w:lineRule="auto"/>
              <w:jc w:val="left"/>
              <w:rPr>
                <w:rFonts w:ascii="Times New Roman" w:eastAsia="Times New Roman" w:hAnsi="Times New Roman"/>
                <w:sz w:val="20"/>
                <w:szCs w:val="20"/>
              </w:rPr>
            </w:pPr>
            <w:r w:rsidRPr="008E06D3">
              <w:rPr>
                <w:rFonts w:ascii="Times New Roman" w:eastAsia="Times New Roman" w:hAnsi="Times New Roman"/>
                <w:sz w:val="20"/>
                <w:szCs w:val="20"/>
              </w:rPr>
              <w:lastRenderedPageBreak/>
              <w:t>NHS Service Delivery and Organisation</w:t>
            </w:r>
          </w:p>
          <w:p w:rsidR="00AC5BC7" w:rsidRPr="008E06D3" w:rsidRDefault="00AC5BC7" w:rsidP="004A509E">
            <w:pPr>
              <w:spacing w:before="0" w:after="0" w:line="240" w:lineRule="auto"/>
              <w:jc w:val="left"/>
              <w:rPr>
                <w:rFonts w:ascii="Times New Roman" w:eastAsia="Times New Roman" w:hAnsi="Times New Roman"/>
                <w:sz w:val="20"/>
                <w:szCs w:val="20"/>
              </w:rPr>
            </w:pPr>
            <w:r w:rsidRPr="008E06D3">
              <w:rPr>
                <w:rFonts w:ascii="Times New Roman" w:eastAsia="Times New Roman" w:hAnsi="Times New Roman"/>
                <w:sz w:val="20"/>
                <w:szCs w:val="20"/>
              </w:rPr>
              <w:t xml:space="preserve">Research and Development </w:t>
            </w:r>
            <w:r w:rsidRPr="008E06D3">
              <w:rPr>
                <w:rFonts w:ascii="Times New Roman" w:eastAsia="Times New Roman" w:hAnsi="Times New Roman"/>
                <w:sz w:val="20"/>
                <w:szCs w:val="20"/>
              </w:rPr>
              <w:lastRenderedPageBreak/>
              <w:t xml:space="preserve">Programme (SDO) </w:t>
            </w:r>
          </w:p>
          <w:p w:rsidR="00C9104C" w:rsidRPr="008E06D3" w:rsidRDefault="00C9104C" w:rsidP="004A509E">
            <w:pPr>
              <w:spacing w:after="120" w:line="240" w:lineRule="auto"/>
              <w:jc w:val="left"/>
              <w:rPr>
                <w:rFonts w:ascii="Times New Roman" w:eastAsia="Times New Roman" w:hAnsi="Times New Roman"/>
                <w:bCs/>
                <w:sz w:val="20"/>
                <w:szCs w:val="20"/>
              </w:rPr>
            </w:pPr>
          </w:p>
        </w:tc>
        <w:tc>
          <w:tcPr>
            <w:tcW w:w="1559" w:type="dxa"/>
            <w:shd w:val="clear" w:color="auto" w:fill="auto"/>
          </w:tcPr>
          <w:p w:rsidR="00C9104C" w:rsidRPr="008E06D3" w:rsidRDefault="00AC5BC7" w:rsidP="004A509E">
            <w:pPr>
              <w:spacing w:after="120" w:line="240" w:lineRule="auto"/>
              <w:jc w:val="left"/>
              <w:rPr>
                <w:rFonts w:ascii="Times New Roman" w:eastAsia="Times New Roman" w:hAnsi="Times New Roman"/>
                <w:bCs/>
                <w:sz w:val="20"/>
                <w:szCs w:val="20"/>
              </w:rPr>
            </w:pPr>
            <w:r w:rsidRPr="008E06D3">
              <w:rPr>
                <w:rFonts w:ascii="Times New Roman" w:eastAsia="Times New Roman" w:hAnsi="Times New Roman"/>
                <w:bCs/>
                <w:sz w:val="20"/>
                <w:szCs w:val="20"/>
              </w:rPr>
              <w:lastRenderedPageBreak/>
              <w:t>Mixed methods</w:t>
            </w:r>
          </w:p>
          <w:p w:rsidR="00AC5BC7" w:rsidRPr="008E06D3" w:rsidRDefault="00AC5BC7" w:rsidP="00FA1CFE">
            <w:pPr>
              <w:pStyle w:val="ListParagraph"/>
              <w:spacing w:before="0" w:after="0" w:line="240" w:lineRule="auto"/>
              <w:ind w:left="141"/>
              <w:jc w:val="left"/>
              <w:rPr>
                <w:rFonts w:ascii="Times New Roman" w:eastAsia="Times New Roman" w:hAnsi="Times New Roman"/>
                <w:bCs/>
                <w:sz w:val="20"/>
                <w:szCs w:val="20"/>
              </w:rPr>
            </w:pPr>
          </w:p>
        </w:tc>
        <w:tc>
          <w:tcPr>
            <w:tcW w:w="4076" w:type="dxa"/>
          </w:tcPr>
          <w:p w:rsidR="006120E9" w:rsidRPr="008E06D3" w:rsidRDefault="006120E9" w:rsidP="006120E9">
            <w:pPr>
              <w:pStyle w:val="ListParagraph"/>
              <w:numPr>
                <w:ilvl w:val="0"/>
                <w:numId w:val="2"/>
              </w:numPr>
              <w:spacing w:before="0" w:after="0" w:line="240" w:lineRule="auto"/>
              <w:ind w:left="141" w:hanging="141"/>
              <w:jc w:val="left"/>
              <w:rPr>
                <w:rFonts w:ascii="Times New Roman" w:eastAsia="Times New Roman" w:hAnsi="Times New Roman"/>
                <w:sz w:val="20"/>
                <w:szCs w:val="20"/>
              </w:rPr>
            </w:pPr>
            <w:r>
              <w:rPr>
                <w:rFonts w:ascii="Times New Roman" w:eastAsia="Times New Roman" w:hAnsi="Times New Roman"/>
                <w:sz w:val="20"/>
                <w:szCs w:val="20"/>
              </w:rPr>
              <w:t>Documentary and literature review</w:t>
            </w:r>
            <w:r w:rsidRPr="008E06D3">
              <w:rPr>
                <w:rFonts w:ascii="Times New Roman" w:eastAsia="Times New Roman" w:hAnsi="Times New Roman"/>
                <w:sz w:val="20"/>
                <w:szCs w:val="20"/>
              </w:rPr>
              <w:t xml:space="preserve"> </w:t>
            </w:r>
          </w:p>
          <w:p w:rsidR="006120E9" w:rsidRPr="008E06D3" w:rsidRDefault="006120E9" w:rsidP="006120E9">
            <w:pPr>
              <w:pStyle w:val="ListParagraph"/>
              <w:numPr>
                <w:ilvl w:val="0"/>
                <w:numId w:val="2"/>
              </w:numPr>
              <w:spacing w:before="0" w:after="0" w:line="240" w:lineRule="auto"/>
              <w:ind w:left="141" w:hanging="141"/>
              <w:jc w:val="left"/>
              <w:rPr>
                <w:rFonts w:ascii="Times New Roman" w:eastAsia="Times New Roman" w:hAnsi="Times New Roman"/>
                <w:sz w:val="20"/>
                <w:szCs w:val="20"/>
              </w:rPr>
            </w:pPr>
            <w:r>
              <w:rPr>
                <w:rFonts w:ascii="Times New Roman" w:eastAsia="Times New Roman" w:hAnsi="Times New Roman"/>
                <w:sz w:val="20"/>
                <w:szCs w:val="20"/>
              </w:rPr>
              <w:t>Bibliometric analysis</w:t>
            </w:r>
          </w:p>
          <w:p w:rsidR="006120E9" w:rsidRPr="008E06D3" w:rsidRDefault="006120E9" w:rsidP="006120E9">
            <w:pPr>
              <w:pStyle w:val="ListParagraph"/>
              <w:numPr>
                <w:ilvl w:val="0"/>
                <w:numId w:val="2"/>
              </w:numPr>
              <w:spacing w:before="0" w:after="0" w:line="240" w:lineRule="auto"/>
              <w:ind w:left="141" w:hanging="141"/>
              <w:jc w:val="left"/>
              <w:rPr>
                <w:rFonts w:ascii="Times New Roman" w:eastAsia="Times New Roman" w:hAnsi="Times New Roman"/>
                <w:sz w:val="20"/>
                <w:szCs w:val="20"/>
              </w:rPr>
            </w:pPr>
            <w:r>
              <w:rPr>
                <w:rFonts w:ascii="Times New Roman" w:eastAsia="Times New Roman" w:hAnsi="Times New Roman"/>
                <w:sz w:val="20"/>
                <w:szCs w:val="20"/>
              </w:rPr>
              <w:t xml:space="preserve">Qualitative analysis for </w:t>
            </w:r>
            <w:r w:rsidRPr="008E06D3">
              <w:rPr>
                <w:rFonts w:ascii="Times New Roman" w:eastAsia="Times New Roman" w:hAnsi="Times New Roman"/>
                <w:sz w:val="20"/>
                <w:szCs w:val="20"/>
              </w:rPr>
              <w:t>11 of those projects</w:t>
            </w:r>
          </w:p>
          <w:p w:rsidR="007E53DE" w:rsidRPr="008E06D3" w:rsidRDefault="007E53DE" w:rsidP="00FA1CFE">
            <w:pPr>
              <w:pStyle w:val="ListParagraph"/>
              <w:spacing w:after="120" w:line="240" w:lineRule="auto"/>
              <w:ind w:left="353"/>
              <w:jc w:val="left"/>
              <w:rPr>
                <w:rFonts w:ascii="Times New Roman" w:hAnsi="Times New Roman"/>
                <w:sz w:val="20"/>
                <w:szCs w:val="20"/>
              </w:rPr>
            </w:pPr>
          </w:p>
          <w:p w:rsidR="00C9104C" w:rsidRPr="008E06D3" w:rsidRDefault="00C9104C" w:rsidP="004A509E">
            <w:pPr>
              <w:pStyle w:val="ListParagraph"/>
              <w:spacing w:after="120" w:line="240" w:lineRule="auto"/>
              <w:ind w:left="353"/>
              <w:jc w:val="left"/>
              <w:rPr>
                <w:rFonts w:ascii="Times New Roman" w:hAnsi="Times New Roman"/>
                <w:sz w:val="20"/>
                <w:szCs w:val="20"/>
              </w:rPr>
            </w:pPr>
          </w:p>
        </w:tc>
        <w:tc>
          <w:tcPr>
            <w:tcW w:w="3883" w:type="dxa"/>
            <w:shd w:val="clear" w:color="auto" w:fill="auto"/>
          </w:tcPr>
          <w:p w:rsidR="006733D7" w:rsidRPr="008E06D3" w:rsidRDefault="006733D7" w:rsidP="008E06D3">
            <w:pPr>
              <w:spacing w:line="240" w:lineRule="auto"/>
              <w:rPr>
                <w:rFonts w:ascii="Times New Roman" w:eastAsia="Times New Roman" w:hAnsi="Times New Roman"/>
                <w:sz w:val="20"/>
                <w:szCs w:val="20"/>
              </w:rPr>
            </w:pPr>
            <w:r w:rsidRPr="008E06D3">
              <w:rPr>
                <w:rFonts w:ascii="Times New Roman" w:hAnsi="Times New Roman"/>
                <w:sz w:val="20"/>
                <w:szCs w:val="20"/>
                <w:u w:val="single"/>
              </w:rPr>
              <w:lastRenderedPageBreak/>
              <w:t>Knowledge</w:t>
            </w:r>
            <w:r w:rsidRPr="008E06D3">
              <w:rPr>
                <w:rFonts w:ascii="Times New Roman" w:hAnsi="Times New Roman"/>
                <w:sz w:val="20"/>
                <w:szCs w:val="20"/>
              </w:rPr>
              <w:t xml:space="preserve">: </w:t>
            </w:r>
            <w:r w:rsidRPr="008E06D3">
              <w:rPr>
                <w:rFonts w:ascii="Times New Roman" w:eastAsia="Times New Roman" w:hAnsi="Times New Roman"/>
                <w:sz w:val="20"/>
                <w:szCs w:val="20"/>
              </w:rPr>
              <w:t xml:space="preserve">of the 23 research projects, a total of 39 papers had been published in peer-reviewed journals by early 2006, equivalent to 1.7 articles per project. There were 95 </w:t>
            </w:r>
            <w:r w:rsidRPr="008E06D3">
              <w:rPr>
                <w:rFonts w:ascii="Times New Roman" w:eastAsia="Times New Roman" w:hAnsi="Times New Roman"/>
                <w:sz w:val="20"/>
                <w:szCs w:val="20"/>
              </w:rPr>
              <w:lastRenderedPageBreak/>
              <w:t>national and international conference presentations. Each of the 23 research projects produced an average of 6.7 citations</w:t>
            </w:r>
            <w:r w:rsidR="004A509E" w:rsidRPr="008E06D3">
              <w:rPr>
                <w:rFonts w:ascii="Times New Roman" w:eastAsia="Times New Roman" w:hAnsi="Times New Roman"/>
                <w:sz w:val="20"/>
                <w:szCs w:val="20"/>
              </w:rPr>
              <w:t>.</w:t>
            </w:r>
          </w:p>
          <w:p w:rsidR="001B3214" w:rsidRPr="008E06D3" w:rsidRDefault="007C675C" w:rsidP="008E06D3">
            <w:pPr>
              <w:spacing w:line="240" w:lineRule="auto"/>
              <w:rPr>
                <w:rFonts w:ascii="Times New Roman" w:eastAsia="Times New Roman" w:hAnsi="Times New Roman"/>
                <w:sz w:val="20"/>
                <w:szCs w:val="20"/>
              </w:rPr>
            </w:pPr>
            <w:r w:rsidRPr="008E06D3">
              <w:rPr>
                <w:rFonts w:ascii="Times New Roman" w:hAnsi="Times New Roman"/>
                <w:sz w:val="20"/>
                <w:szCs w:val="20"/>
                <w:u w:val="single"/>
              </w:rPr>
              <w:t>Future Research/ Research Use</w:t>
            </w:r>
            <w:r w:rsidRPr="008E06D3">
              <w:rPr>
                <w:rFonts w:ascii="Times New Roman" w:hAnsi="Times New Roman"/>
                <w:sz w:val="20"/>
                <w:szCs w:val="20"/>
              </w:rPr>
              <w:t xml:space="preserve">: </w:t>
            </w:r>
            <w:r w:rsidR="004A509E" w:rsidRPr="008E06D3">
              <w:rPr>
                <w:rFonts w:ascii="Times New Roman" w:eastAsia="Times New Roman" w:hAnsi="Times New Roman"/>
                <w:sz w:val="20"/>
                <w:szCs w:val="20"/>
              </w:rPr>
              <w:t xml:space="preserve">The </w:t>
            </w:r>
            <w:r w:rsidR="001B3214" w:rsidRPr="008E06D3">
              <w:rPr>
                <w:rFonts w:ascii="Times New Roman" w:eastAsia="Times New Roman" w:hAnsi="Times New Roman"/>
                <w:sz w:val="20"/>
                <w:szCs w:val="20"/>
              </w:rPr>
              <w:t>projects demonstrate contributions to building the capacity of the workforce, as there are many examples from the bibliographic analysis and the case studies where the knowledge is used in teaching in universities. There is some evidence that the research is stimulating user involvement in research</w:t>
            </w:r>
            <w:r w:rsidR="004A509E" w:rsidRPr="008E06D3">
              <w:rPr>
                <w:rFonts w:ascii="Times New Roman" w:eastAsia="Times New Roman" w:hAnsi="Times New Roman"/>
                <w:sz w:val="20"/>
                <w:szCs w:val="20"/>
              </w:rPr>
              <w:t>.</w:t>
            </w:r>
          </w:p>
          <w:p w:rsidR="001B3214" w:rsidRPr="008E06D3" w:rsidRDefault="007C675C" w:rsidP="008E06D3">
            <w:pPr>
              <w:spacing w:after="120" w:line="240" w:lineRule="auto"/>
              <w:jc w:val="left"/>
              <w:rPr>
                <w:rFonts w:ascii="Times New Roman" w:hAnsi="Times New Roman"/>
                <w:sz w:val="20"/>
                <w:szCs w:val="20"/>
              </w:rPr>
            </w:pPr>
            <w:r w:rsidRPr="008E06D3">
              <w:rPr>
                <w:rFonts w:ascii="Times New Roman" w:hAnsi="Times New Roman"/>
                <w:sz w:val="20"/>
                <w:szCs w:val="20"/>
                <w:u w:val="single"/>
              </w:rPr>
              <w:t>Policy and product development</w:t>
            </w:r>
            <w:r w:rsidRPr="008E06D3">
              <w:rPr>
                <w:rFonts w:ascii="Times New Roman" w:hAnsi="Times New Roman"/>
                <w:sz w:val="20"/>
                <w:szCs w:val="20"/>
              </w:rPr>
              <w:t xml:space="preserve">: </w:t>
            </w:r>
            <w:r w:rsidR="001B3214" w:rsidRPr="008E06D3">
              <w:rPr>
                <w:rFonts w:ascii="Times New Roman" w:eastAsia="Times New Roman" w:hAnsi="Times New Roman"/>
                <w:sz w:val="20"/>
                <w:szCs w:val="20"/>
              </w:rPr>
              <w:t>The literature review did not identify any citations in the documents related to this policy, but evidence from interviewees indicates other, informal mechanisms in which the knowledge was transmitted, such as meetings with the Department of Health. This demonstrates that knowledge can be effectively transferred in different ways but these may be difficult to trace when building an understanding of knowledge flow and research output</w:t>
            </w:r>
            <w:r w:rsidR="004A509E" w:rsidRPr="008E06D3">
              <w:rPr>
                <w:rFonts w:ascii="Times New Roman" w:eastAsia="Times New Roman" w:hAnsi="Times New Roman"/>
                <w:sz w:val="20"/>
                <w:szCs w:val="20"/>
              </w:rPr>
              <w:t xml:space="preserve">. It </w:t>
            </w:r>
            <w:r w:rsidR="001B3214" w:rsidRPr="008E06D3">
              <w:rPr>
                <w:rFonts w:ascii="Times New Roman" w:eastAsia="Times New Roman" w:hAnsi="Times New Roman"/>
                <w:sz w:val="20"/>
                <w:szCs w:val="20"/>
              </w:rPr>
              <w:t>has been difficult to confirm the use of SDO-funded research by practitioners through case studies. The data on outputs show that there is potential for a wide range of practitioners to access the research</w:t>
            </w:r>
          </w:p>
          <w:p w:rsidR="00C9104C" w:rsidRPr="008E06D3" w:rsidRDefault="007C675C" w:rsidP="008E06D3">
            <w:pPr>
              <w:spacing w:after="120" w:line="240" w:lineRule="auto"/>
              <w:jc w:val="left"/>
              <w:rPr>
                <w:rFonts w:ascii="Times New Roman" w:hAnsi="Times New Roman"/>
                <w:sz w:val="20"/>
                <w:szCs w:val="20"/>
              </w:rPr>
            </w:pPr>
            <w:r w:rsidRPr="008E06D3">
              <w:rPr>
                <w:rFonts w:ascii="Times New Roman" w:eastAsia="Times New Roman" w:hAnsi="Times New Roman"/>
                <w:bCs/>
                <w:sz w:val="20"/>
                <w:szCs w:val="20"/>
                <w:u w:val="single"/>
              </w:rPr>
              <w:t>Health Sector Benefits</w:t>
            </w:r>
            <w:r w:rsidRPr="008E06D3">
              <w:rPr>
                <w:rFonts w:ascii="Times New Roman" w:eastAsia="Times New Roman" w:hAnsi="Times New Roman"/>
                <w:bCs/>
                <w:sz w:val="20"/>
                <w:szCs w:val="20"/>
              </w:rPr>
              <w:t xml:space="preserve">: </w:t>
            </w:r>
            <w:r w:rsidR="004A509E" w:rsidRPr="008E06D3">
              <w:rPr>
                <w:rFonts w:ascii="Times New Roman" w:eastAsia="Times New Roman" w:hAnsi="Times New Roman"/>
                <w:bCs/>
                <w:sz w:val="20"/>
                <w:szCs w:val="20"/>
              </w:rPr>
              <w:t>T</w:t>
            </w:r>
            <w:r w:rsidR="001B3214" w:rsidRPr="008E06D3">
              <w:rPr>
                <w:rFonts w:ascii="Times New Roman" w:eastAsia="Times New Roman" w:hAnsi="Times New Roman"/>
                <w:sz w:val="20"/>
                <w:szCs w:val="20"/>
              </w:rPr>
              <w:t xml:space="preserve">he case studies demonstrate a range of ways in which NHS managers and policy makers have used SDO-funded research to develop service delivery. </w:t>
            </w:r>
          </w:p>
        </w:tc>
      </w:tr>
      <w:tr w:rsidR="00951DBE" w:rsidRPr="002839A5">
        <w:trPr>
          <w:jc w:val="center"/>
        </w:trPr>
        <w:tc>
          <w:tcPr>
            <w:tcW w:w="1463" w:type="dxa"/>
            <w:shd w:val="clear" w:color="auto" w:fill="auto"/>
          </w:tcPr>
          <w:p w:rsidR="00951DBE" w:rsidRPr="002839A5" w:rsidRDefault="00951DBE" w:rsidP="0098344E">
            <w:pPr>
              <w:spacing w:line="276" w:lineRule="auto"/>
              <w:jc w:val="left"/>
              <w:rPr>
                <w:rFonts w:ascii="Times New Roman" w:hAnsi="Times New Roman"/>
                <w:sz w:val="20"/>
                <w:szCs w:val="20"/>
              </w:rPr>
            </w:pPr>
            <w:proofErr w:type="spellStart"/>
            <w:r w:rsidRPr="002839A5">
              <w:rPr>
                <w:rFonts w:ascii="Times New Roman" w:hAnsi="Times New Roman"/>
                <w:sz w:val="20"/>
                <w:szCs w:val="20"/>
              </w:rPr>
              <w:lastRenderedPageBreak/>
              <w:t>Sainty</w:t>
            </w:r>
            <w:proofErr w:type="spellEnd"/>
            <w:r w:rsidRPr="002839A5">
              <w:rPr>
                <w:rFonts w:ascii="Times New Roman" w:hAnsi="Times New Roman"/>
                <w:sz w:val="20"/>
                <w:szCs w:val="20"/>
              </w:rPr>
              <w:t>, 2013</w:t>
            </w:r>
          </w:p>
        </w:tc>
        <w:tc>
          <w:tcPr>
            <w:tcW w:w="2035" w:type="dxa"/>
            <w:shd w:val="clear" w:color="auto" w:fill="auto"/>
          </w:tcPr>
          <w:p w:rsidR="00951DBE" w:rsidRPr="002839A5" w:rsidRDefault="00951DBE" w:rsidP="0098344E">
            <w:pPr>
              <w:autoSpaceDE w:val="0"/>
              <w:autoSpaceDN w:val="0"/>
              <w:adjustRightInd w:val="0"/>
              <w:spacing w:before="0" w:after="0" w:line="276" w:lineRule="auto"/>
              <w:jc w:val="left"/>
              <w:rPr>
                <w:rFonts w:ascii="Times New Roman" w:hAnsi="Times New Roman"/>
                <w:sz w:val="20"/>
                <w:szCs w:val="20"/>
              </w:rPr>
            </w:pPr>
            <w:r w:rsidRPr="002839A5">
              <w:rPr>
                <w:rFonts w:ascii="Times New Roman" w:hAnsi="Times New Roman"/>
                <w:sz w:val="20"/>
                <w:szCs w:val="20"/>
              </w:rPr>
              <w:t>To explore the wider scope of the research impact of UKOTRF – funded studies.</w:t>
            </w:r>
          </w:p>
          <w:p w:rsidR="00951DBE" w:rsidRPr="002839A5" w:rsidRDefault="00951DBE" w:rsidP="0098344E">
            <w:pPr>
              <w:autoSpaceDE w:val="0"/>
              <w:autoSpaceDN w:val="0"/>
              <w:adjustRightInd w:val="0"/>
              <w:spacing w:before="0" w:after="0" w:line="276" w:lineRule="auto"/>
              <w:jc w:val="left"/>
              <w:rPr>
                <w:rFonts w:ascii="Times New Roman" w:hAnsi="Times New Roman"/>
                <w:sz w:val="20"/>
                <w:szCs w:val="20"/>
              </w:rPr>
            </w:pPr>
          </w:p>
          <w:p w:rsidR="00951DBE" w:rsidRPr="002839A5" w:rsidRDefault="00951DBE" w:rsidP="0098344E">
            <w:pPr>
              <w:autoSpaceDE w:val="0"/>
              <w:autoSpaceDN w:val="0"/>
              <w:adjustRightInd w:val="0"/>
              <w:spacing w:before="0" w:after="0" w:line="276" w:lineRule="auto"/>
              <w:jc w:val="left"/>
              <w:rPr>
                <w:rFonts w:ascii="Times New Roman" w:hAnsi="Times New Roman"/>
                <w:sz w:val="20"/>
                <w:szCs w:val="20"/>
              </w:rPr>
            </w:pPr>
          </w:p>
          <w:p w:rsidR="00951DBE" w:rsidRPr="002839A5" w:rsidRDefault="00951DBE" w:rsidP="0098344E">
            <w:pPr>
              <w:autoSpaceDE w:val="0"/>
              <w:autoSpaceDN w:val="0"/>
              <w:adjustRightInd w:val="0"/>
              <w:spacing w:before="0" w:after="0" w:line="276" w:lineRule="auto"/>
              <w:jc w:val="left"/>
              <w:rPr>
                <w:rFonts w:ascii="Times New Roman" w:hAnsi="Times New Roman"/>
                <w:sz w:val="20"/>
                <w:szCs w:val="20"/>
              </w:rPr>
            </w:pPr>
            <w:r w:rsidRPr="002839A5">
              <w:rPr>
                <w:rFonts w:ascii="Times New Roman" w:hAnsi="Times New Roman"/>
                <w:sz w:val="20"/>
                <w:szCs w:val="20"/>
              </w:rPr>
              <w:t xml:space="preserve"> </w:t>
            </w:r>
          </w:p>
        </w:tc>
        <w:tc>
          <w:tcPr>
            <w:tcW w:w="1701" w:type="dxa"/>
          </w:tcPr>
          <w:p w:rsidR="00951DBE" w:rsidRPr="002839A5" w:rsidRDefault="00951DBE" w:rsidP="002839A5">
            <w:pPr>
              <w:spacing w:after="120" w:line="276" w:lineRule="auto"/>
              <w:jc w:val="left"/>
              <w:rPr>
                <w:rFonts w:ascii="Times New Roman" w:eastAsia="Times New Roman" w:hAnsi="Times New Roman"/>
                <w:bCs/>
                <w:sz w:val="20"/>
                <w:szCs w:val="20"/>
              </w:rPr>
            </w:pPr>
            <w:r w:rsidRPr="002839A5">
              <w:rPr>
                <w:rFonts w:ascii="Times New Roman" w:eastAsiaTheme="minorEastAsia" w:hAnsi="Times New Roman"/>
                <w:sz w:val="20"/>
                <w:szCs w:val="20"/>
                <w:lang w:val="en-US" w:eastAsia="ja-JP"/>
              </w:rPr>
              <w:t>United Kingdom Occupational Therapy Research Foundation</w:t>
            </w:r>
          </w:p>
        </w:tc>
        <w:tc>
          <w:tcPr>
            <w:tcW w:w="1559" w:type="dxa"/>
            <w:shd w:val="clear" w:color="auto" w:fill="auto"/>
          </w:tcPr>
          <w:p w:rsidR="00951DBE" w:rsidRDefault="002963C8" w:rsidP="0098344E">
            <w:pPr>
              <w:spacing w:after="120" w:line="276" w:lineRule="auto"/>
              <w:jc w:val="left"/>
              <w:rPr>
                <w:rFonts w:ascii="Times New Roman" w:eastAsia="Times New Roman" w:hAnsi="Times New Roman"/>
                <w:bCs/>
                <w:sz w:val="20"/>
                <w:szCs w:val="20"/>
              </w:rPr>
            </w:pPr>
            <w:r>
              <w:rPr>
                <w:rFonts w:ascii="Times New Roman" w:eastAsia="Times New Roman" w:hAnsi="Times New Roman"/>
                <w:bCs/>
                <w:sz w:val="20"/>
                <w:szCs w:val="20"/>
              </w:rPr>
              <w:t xml:space="preserve">Qualitative </w:t>
            </w:r>
          </w:p>
          <w:p w:rsidR="002963C8" w:rsidRPr="002839A5" w:rsidRDefault="002963C8" w:rsidP="000C70D1">
            <w:pPr>
              <w:spacing w:after="120" w:line="276" w:lineRule="auto"/>
              <w:jc w:val="left"/>
              <w:rPr>
                <w:rFonts w:ascii="Times New Roman" w:eastAsia="Times New Roman" w:hAnsi="Times New Roman"/>
                <w:bCs/>
                <w:sz w:val="20"/>
                <w:szCs w:val="20"/>
              </w:rPr>
            </w:pPr>
          </w:p>
        </w:tc>
        <w:tc>
          <w:tcPr>
            <w:tcW w:w="4076" w:type="dxa"/>
          </w:tcPr>
          <w:p w:rsidR="00951DBE" w:rsidRPr="002839A5" w:rsidRDefault="000C70D1" w:rsidP="000C70D1">
            <w:pPr>
              <w:pStyle w:val="ListParagraph"/>
              <w:numPr>
                <w:ilvl w:val="0"/>
                <w:numId w:val="2"/>
              </w:numPr>
              <w:spacing w:after="120"/>
              <w:ind w:left="353"/>
              <w:jc w:val="left"/>
              <w:rPr>
                <w:rFonts w:ascii="Times New Roman" w:hAnsi="Times New Roman"/>
                <w:sz w:val="20"/>
                <w:szCs w:val="20"/>
              </w:rPr>
            </w:pPr>
            <w:r>
              <w:rPr>
                <w:rFonts w:ascii="Times New Roman" w:eastAsia="Times New Roman" w:hAnsi="Times New Roman"/>
                <w:bCs/>
                <w:sz w:val="20"/>
                <w:szCs w:val="20"/>
              </w:rPr>
              <w:t>Assessment forms sent to eleven UKOTRF grant holders. Eight forms were returned</w:t>
            </w:r>
          </w:p>
        </w:tc>
        <w:tc>
          <w:tcPr>
            <w:tcW w:w="3883" w:type="dxa"/>
            <w:shd w:val="clear" w:color="auto" w:fill="auto"/>
          </w:tcPr>
          <w:p w:rsidR="008A47E9" w:rsidRPr="002839A5" w:rsidRDefault="008A47E9" w:rsidP="008A47E9">
            <w:pPr>
              <w:widowControl w:val="0"/>
              <w:autoSpaceDE w:val="0"/>
              <w:autoSpaceDN w:val="0"/>
              <w:adjustRightInd w:val="0"/>
              <w:spacing w:before="0" w:after="0" w:line="240" w:lineRule="auto"/>
              <w:jc w:val="left"/>
              <w:rPr>
                <w:rFonts w:ascii="Times New Roman" w:hAnsi="Times New Roman"/>
                <w:sz w:val="20"/>
                <w:szCs w:val="20"/>
              </w:rPr>
            </w:pPr>
            <w:r w:rsidRPr="002839A5">
              <w:rPr>
                <w:rFonts w:ascii="Times New Roman" w:hAnsi="Times New Roman"/>
                <w:sz w:val="20"/>
                <w:szCs w:val="20"/>
                <w:u w:val="single"/>
              </w:rPr>
              <w:t>Knowledge</w:t>
            </w:r>
            <w:r w:rsidRPr="002839A5">
              <w:rPr>
                <w:rFonts w:ascii="Times New Roman" w:hAnsi="Times New Roman"/>
                <w:sz w:val="20"/>
                <w:szCs w:val="20"/>
              </w:rPr>
              <w:t xml:space="preserve">: </w:t>
            </w:r>
            <w:r w:rsidRPr="002839A5">
              <w:rPr>
                <w:rFonts w:ascii="Times New Roman" w:eastAsiaTheme="minorEastAsia" w:hAnsi="Times New Roman"/>
                <w:sz w:val="20"/>
                <w:szCs w:val="20"/>
                <w:lang w:val="en-US" w:eastAsia="ja-JP"/>
              </w:rPr>
              <w:t>UKOTRF grant holders are required to s</w:t>
            </w:r>
            <w:r w:rsidR="002839A5" w:rsidRPr="002839A5">
              <w:rPr>
                <w:rFonts w:ascii="Times New Roman" w:eastAsiaTheme="minorEastAsia" w:hAnsi="Times New Roman"/>
                <w:sz w:val="20"/>
                <w:szCs w:val="20"/>
                <w:lang w:val="en-US" w:eastAsia="ja-JP"/>
              </w:rPr>
              <w:t xml:space="preserve">ubmit an article to BJOT and </w:t>
            </w:r>
            <w:r w:rsidRPr="002839A5">
              <w:rPr>
                <w:rFonts w:ascii="Times New Roman" w:eastAsiaTheme="minorEastAsia" w:hAnsi="Times New Roman"/>
                <w:sz w:val="20"/>
                <w:szCs w:val="20"/>
                <w:lang w:val="en-US" w:eastAsia="ja-JP"/>
              </w:rPr>
              <w:t xml:space="preserve">an abstract for a COT Annual Conference. </w:t>
            </w:r>
            <w:r w:rsidR="002839A5" w:rsidRPr="002839A5">
              <w:rPr>
                <w:rFonts w:ascii="Times New Roman" w:eastAsiaTheme="minorEastAsia" w:hAnsi="Times New Roman"/>
                <w:sz w:val="20"/>
                <w:szCs w:val="20"/>
                <w:lang w:val="en-US" w:eastAsia="ja-JP"/>
              </w:rPr>
              <w:t>At the time of the study, o</w:t>
            </w:r>
            <w:r w:rsidRPr="002839A5">
              <w:rPr>
                <w:rFonts w:ascii="Times New Roman" w:eastAsiaTheme="minorEastAsia" w:hAnsi="Times New Roman"/>
                <w:sz w:val="20"/>
                <w:szCs w:val="20"/>
                <w:lang w:val="en-US" w:eastAsia="ja-JP"/>
              </w:rPr>
              <w:t>ne submission had been published, six participants had made submissions, and one submission was outstanding. Three participants had articles published in other peer-reviewed journals and one participant reported on co-authorship of a Cochrane review related to the research topic. Seven participants had made a submission, the eighth having presented in a UKOTRF session at conference.</w:t>
            </w:r>
          </w:p>
          <w:p w:rsidR="008A47E9" w:rsidRPr="002839A5" w:rsidRDefault="008A47E9" w:rsidP="00951DBE">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2839A5">
              <w:rPr>
                <w:rFonts w:ascii="Times New Roman" w:eastAsiaTheme="minorEastAsia" w:hAnsi="Times New Roman"/>
                <w:sz w:val="20"/>
                <w:szCs w:val="20"/>
                <w:u w:val="single"/>
                <w:lang w:val="en-US" w:eastAsia="ja-JP"/>
              </w:rPr>
              <w:t>Clinical applications</w:t>
            </w:r>
            <w:r w:rsidRPr="002839A5">
              <w:rPr>
                <w:rFonts w:ascii="Times New Roman" w:eastAsiaTheme="minorEastAsia" w:hAnsi="Times New Roman"/>
                <w:sz w:val="20"/>
                <w:szCs w:val="20"/>
                <w:lang w:val="en-US" w:eastAsia="ja-JP"/>
              </w:rPr>
              <w:t>: Three participants reported on how their project’s specific screening or assessment measures, mapping, or design tools had been demonstrated as valid or useful in clinical applications.</w:t>
            </w:r>
            <w:r w:rsidR="002839A5" w:rsidRPr="002839A5">
              <w:rPr>
                <w:rFonts w:ascii="Times New Roman" w:eastAsiaTheme="minorEastAsia" w:hAnsi="Times New Roman"/>
                <w:sz w:val="20"/>
                <w:szCs w:val="20"/>
                <w:lang w:val="en-US" w:eastAsia="ja-JP"/>
              </w:rPr>
              <w:t xml:space="preserve"> No details provided.</w:t>
            </w:r>
          </w:p>
          <w:p w:rsidR="002839A5" w:rsidRPr="002839A5" w:rsidRDefault="002839A5" w:rsidP="002839A5">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2839A5">
              <w:rPr>
                <w:rFonts w:ascii="Times New Roman" w:eastAsiaTheme="minorEastAsia" w:hAnsi="Times New Roman"/>
                <w:sz w:val="20"/>
                <w:szCs w:val="20"/>
                <w:u w:val="single"/>
                <w:lang w:val="en-US" w:eastAsia="ja-JP"/>
              </w:rPr>
              <w:t xml:space="preserve">Policy relevance: </w:t>
            </w:r>
            <w:r w:rsidRPr="002839A5">
              <w:rPr>
                <w:rFonts w:ascii="Times New Roman" w:eastAsiaTheme="minorEastAsia" w:hAnsi="Times New Roman"/>
                <w:sz w:val="20"/>
                <w:szCs w:val="20"/>
                <w:lang w:val="en-US" w:eastAsia="ja-JP"/>
              </w:rPr>
              <w:t>Strategic or policy perspective of impact was referred to by four participants. No details provided.</w:t>
            </w:r>
          </w:p>
          <w:p w:rsidR="002839A5" w:rsidRPr="002839A5" w:rsidRDefault="002839A5" w:rsidP="002839A5">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2839A5">
              <w:rPr>
                <w:rFonts w:ascii="Times New Roman" w:eastAsiaTheme="minorEastAsia" w:hAnsi="Times New Roman"/>
                <w:sz w:val="20"/>
                <w:szCs w:val="20"/>
                <w:u w:val="single"/>
                <w:lang w:val="en-US" w:eastAsia="ja-JP"/>
              </w:rPr>
              <w:t>Research use</w:t>
            </w:r>
            <w:r w:rsidRPr="002839A5">
              <w:rPr>
                <w:rFonts w:ascii="Times New Roman" w:eastAsiaTheme="minorEastAsia" w:hAnsi="Times New Roman"/>
                <w:sz w:val="20"/>
                <w:szCs w:val="20"/>
                <w:lang w:val="en-US" w:eastAsia="ja-JP"/>
              </w:rPr>
              <w:t>: Some reference was made to educational activities, promotions and further research use. No details provided.</w:t>
            </w:r>
          </w:p>
          <w:p w:rsidR="00951DBE" w:rsidRPr="002839A5" w:rsidRDefault="002839A5" w:rsidP="00057B16">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2839A5">
              <w:rPr>
                <w:rFonts w:ascii="Times New Roman" w:eastAsiaTheme="minorEastAsia" w:hAnsi="Times New Roman"/>
                <w:sz w:val="20"/>
                <w:szCs w:val="20"/>
                <w:u w:val="single"/>
                <w:lang w:val="en-US" w:eastAsia="ja-JP"/>
              </w:rPr>
              <w:t xml:space="preserve">Economic benefits: </w:t>
            </w:r>
            <w:r w:rsidRPr="002839A5">
              <w:rPr>
                <w:rFonts w:ascii="Times New Roman" w:eastAsiaTheme="minorEastAsia" w:hAnsi="Times New Roman"/>
                <w:sz w:val="20"/>
                <w:szCs w:val="20"/>
                <w:lang w:val="en-US" w:eastAsia="ja-JP"/>
              </w:rPr>
              <w:t>The area of economic benefit impact was referred to by two participants, though the evidence was not very clear.</w:t>
            </w:r>
          </w:p>
        </w:tc>
      </w:tr>
      <w:tr w:rsidR="00EF483A" w:rsidRPr="002367AE">
        <w:trPr>
          <w:jc w:val="center"/>
        </w:trPr>
        <w:tc>
          <w:tcPr>
            <w:tcW w:w="1463" w:type="dxa"/>
            <w:shd w:val="clear" w:color="auto" w:fill="auto"/>
          </w:tcPr>
          <w:p w:rsidR="00EF483A" w:rsidRPr="002367AE" w:rsidRDefault="00EF483A" w:rsidP="009B50AA">
            <w:pPr>
              <w:spacing w:line="276" w:lineRule="auto"/>
              <w:jc w:val="left"/>
              <w:rPr>
                <w:rFonts w:ascii="Times New Roman" w:hAnsi="Times New Roman"/>
                <w:sz w:val="20"/>
                <w:szCs w:val="20"/>
              </w:rPr>
            </w:pPr>
            <w:r w:rsidRPr="002367AE">
              <w:rPr>
                <w:rFonts w:ascii="Times New Roman" w:hAnsi="Times New Roman"/>
                <w:sz w:val="20"/>
                <w:szCs w:val="20"/>
              </w:rPr>
              <w:t>Sullivan et al., 2011</w:t>
            </w:r>
          </w:p>
        </w:tc>
        <w:tc>
          <w:tcPr>
            <w:tcW w:w="2035" w:type="dxa"/>
            <w:shd w:val="clear" w:color="auto" w:fill="auto"/>
          </w:tcPr>
          <w:p w:rsidR="00EF483A" w:rsidRPr="002367AE" w:rsidRDefault="005A313A" w:rsidP="005A313A">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2367AE">
              <w:rPr>
                <w:rFonts w:ascii="Times New Roman" w:eastAsiaTheme="minorEastAsia" w:hAnsi="Times New Roman"/>
                <w:sz w:val="20"/>
                <w:szCs w:val="20"/>
                <w:lang w:val="en-US" w:eastAsia="ja-JP"/>
              </w:rPr>
              <w:t xml:space="preserve">To understand how cancer research actually maps to major </w:t>
            </w:r>
            <w:proofErr w:type="spellStart"/>
            <w:r w:rsidRPr="002367AE">
              <w:rPr>
                <w:rFonts w:ascii="Times New Roman" w:eastAsiaTheme="minorEastAsia" w:hAnsi="Times New Roman"/>
                <w:sz w:val="20"/>
                <w:szCs w:val="20"/>
                <w:lang w:val="en-US" w:eastAsia="ja-JP"/>
              </w:rPr>
              <w:t>centres</w:t>
            </w:r>
            <w:proofErr w:type="spellEnd"/>
            <w:r w:rsidRPr="002367AE">
              <w:rPr>
                <w:rFonts w:ascii="Times New Roman" w:eastAsiaTheme="minorEastAsia" w:hAnsi="Times New Roman"/>
                <w:sz w:val="20"/>
                <w:szCs w:val="20"/>
                <w:lang w:val="en-US" w:eastAsia="ja-JP"/>
              </w:rPr>
              <w:t xml:space="preserve"> and how this relates more broadly to policy-</w:t>
            </w:r>
            <w:r w:rsidRPr="002367AE">
              <w:rPr>
                <w:rFonts w:ascii="Times New Roman" w:eastAsiaTheme="minorEastAsia" w:hAnsi="Times New Roman"/>
                <w:sz w:val="20"/>
                <w:szCs w:val="20"/>
                <w:lang w:val="en-US" w:eastAsia="ja-JP"/>
              </w:rPr>
              <w:lastRenderedPageBreak/>
              <w:t>making both within and outside the domain of cancer. It compares pre- to post- NCRI periods.</w:t>
            </w:r>
          </w:p>
        </w:tc>
        <w:tc>
          <w:tcPr>
            <w:tcW w:w="1701" w:type="dxa"/>
          </w:tcPr>
          <w:p w:rsidR="005A313A" w:rsidRPr="002367AE" w:rsidRDefault="000204CD" w:rsidP="009B50AA">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2367AE">
              <w:rPr>
                <w:rFonts w:ascii="Times New Roman" w:eastAsia="Times New Roman" w:hAnsi="Times New Roman"/>
                <w:bCs/>
                <w:sz w:val="20"/>
                <w:szCs w:val="20"/>
              </w:rPr>
              <w:lastRenderedPageBreak/>
              <w:t xml:space="preserve">The study compares the period before and after the launch of the National Cancer Research </w:t>
            </w:r>
            <w:r w:rsidRPr="002367AE">
              <w:rPr>
                <w:rFonts w:ascii="Times New Roman" w:eastAsia="Times New Roman" w:hAnsi="Times New Roman"/>
                <w:bCs/>
                <w:sz w:val="20"/>
                <w:szCs w:val="20"/>
              </w:rPr>
              <w:lastRenderedPageBreak/>
              <w:t>Institute (NCRI).</w:t>
            </w:r>
          </w:p>
        </w:tc>
        <w:tc>
          <w:tcPr>
            <w:tcW w:w="1559" w:type="dxa"/>
            <w:shd w:val="clear" w:color="auto" w:fill="auto"/>
          </w:tcPr>
          <w:p w:rsidR="000204CD" w:rsidRPr="002367AE" w:rsidRDefault="000204CD" w:rsidP="000204CD">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2367AE">
              <w:rPr>
                <w:rFonts w:ascii="Times New Roman" w:eastAsiaTheme="minorEastAsia" w:hAnsi="Times New Roman"/>
                <w:sz w:val="20"/>
                <w:szCs w:val="20"/>
                <w:lang w:val="en-US" w:eastAsia="ja-JP"/>
              </w:rPr>
              <w:lastRenderedPageBreak/>
              <w:t xml:space="preserve">Quantitative </w:t>
            </w:r>
          </w:p>
          <w:p w:rsidR="00EF483A" w:rsidRPr="002367AE" w:rsidRDefault="00EF483A" w:rsidP="00EF483A">
            <w:pPr>
              <w:spacing w:after="120" w:line="276" w:lineRule="auto"/>
              <w:jc w:val="left"/>
              <w:rPr>
                <w:rFonts w:ascii="Times New Roman" w:eastAsia="Times New Roman" w:hAnsi="Times New Roman"/>
                <w:bCs/>
                <w:sz w:val="20"/>
                <w:szCs w:val="20"/>
              </w:rPr>
            </w:pPr>
          </w:p>
        </w:tc>
        <w:tc>
          <w:tcPr>
            <w:tcW w:w="4076" w:type="dxa"/>
          </w:tcPr>
          <w:p w:rsidR="00EF483A" w:rsidRPr="000204CD" w:rsidRDefault="000204CD" w:rsidP="000204CD">
            <w:pPr>
              <w:pStyle w:val="ListParagraph"/>
              <w:numPr>
                <w:ilvl w:val="0"/>
                <w:numId w:val="2"/>
              </w:numPr>
              <w:spacing w:after="120"/>
              <w:ind w:left="317"/>
              <w:rPr>
                <w:rFonts w:ascii="Times New Roman" w:eastAsiaTheme="minorEastAsia" w:hAnsi="Times New Roman"/>
                <w:sz w:val="20"/>
                <w:szCs w:val="20"/>
                <w:lang w:val="en-US" w:eastAsia="ja-JP"/>
              </w:rPr>
            </w:pPr>
            <w:r w:rsidRPr="000204CD">
              <w:rPr>
                <w:rFonts w:ascii="Times New Roman" w:eastAsiaTheme="minorEastAsia" w:hAnsi="Times New Roman"/>
                <w:sz w:val="20"/>
                <w:szCs w:val="20"/>
                <w:lang w:val="en-US" w:eastAsia="ja-JP"/>
              </w:rPr>
              <w:t>Bibliographic analysis</w:t>
            </w:r>
          </w:p>
          <w:p w:rsidR="000204CD" w:rsidRPr="000204CD" w:rsidRDefault="000204CD" w:rsidP="000204CD">
            <w:pPr>
              <w:spacing w:after="120"/>
              <w:rPr>
                <w:rFonts w:ascii="Times New Roman" w:hAnsi="Times New Roman"/>
                <w:sz w:val="20"/>
                <w:szCs w:val="20"/>
              </w:rPr>
            </w:pPr>
          </w:p>
        </w:tc>
        <w:tc>
          <w:tcPr>
            <w:tcW w:w="3883" w:type="dxa"/>
            <w:shd w:val="clear" w:color="auto" w:fill="auto"/>
          </w:tcPr>
          <w:p w:rsidR="00EF483A" w:rsidRPr="002367AE" w:rsidRDefault="005A313A" w:rsidP="005A313A">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D43069">
              <w:rPr>
                <w:rFonts w:ascii="Times New Roman" w:eastAsiaTheme="minorEastAsia" w:hAnsi="Times New Roman"/>
                <w:sz w:val="20"/>
                <w:szCs w:val="20"/>
                <w:u w:val="single"/>
                <w:lang w:val="en-US" w:eastAsia="ja-JP"/>
              </w:rPr>
              <w:t>Knowledge</w:t>
            </w:r>
            <w:r w:rsidRPr="002367AE">
              <w:rPr>
                <w:rFonts w:ascii="Times New Roman" w:eastAsiaTheme="minorEastAsia" w:hAnsi="Times New Roman"/>
                <w:sz w:val="20"/>
                <w:szCs w:val="20"/>
                <w:lang w:val="en-US" w:eastAsia="ja-JP"/>
              </w:rPr>
              <w:t xml:space="preserve">: UK </w:t>
            </w:r>
            <w:proofErr w:type="spellStart"/>
            <w:r w:rsidRPr="002367AE">
              <w:rPr>
                <w:rFonts w:ascii="Times New Roman" w:eastAsiaTheme="minorEastAsia" w:hAnsi="Times New Roman"/>
                <w:sz w:val="20"/>
                <w:szCs w:val="20"/>
                <w:lang w:val="en-US" w:eastAsia="ja-JP"/>
              </w:rPr>
              <w:t>centres</w:t>
            </w:r>
            <w:proofErr w:type="spellEnd"/>
            <w:r w:rsidRPr="002367AE">
              <w:rPr>
                <w:rFonts w:ascii="Times New Roman" w:eastAsiaTheme="minorEastAsia" w:hAnsi="Times New Roman"/>
                <w:sz w:val="20"/>
                <w:szCs w:val="20"/>
                <w:lang w:val="en-US" w:eastAsia="ja-JP"/>
              </w:rPr>
              <w:t xml:space="preserve"> published just over one eighth of the total UKCC in 1995 but almost a quarter by 2004.</w:t>
            </w:r>
          </w:p>
          <w:p w:rsidR="005A313A" w:rsidRPr="002367AE" w:rsidRDefault="005A313A" w:rsidP="005A313A">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p>
          <w:p w:rsidR="005A313A" w:rsidRPr="002367AE" w:rsidRDefault="005A313A" w:rsidP="00FA3242">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D43069">
              <w:rPr>
                <w:rFonts w:ascii="Times New Roman" w:eastAsiaTheme="minorEastAsia" w:hAnsi="Times New Roman"/>
                <w:sz w:val="20"/>
                <w:szCs w:val="20"/>
                <w:u w:val="single"/>
                <w:lang w:val="en-US" w:eastAsia="ja-JP"/>
              </w:rPr>
              <w:t>Research use</w:t>
            </w:r>
            <w:r w:rsidRPr="002367AE">
              <w:rPr>
                <w:rFonts w:ascii="Times New Roman" w:eastAsiaTheme="minorEastAsia" w:hAnsi="Times New Roman"/>
                <w:sz w:val="20"/>
                <w:szCs w:val="20"/>
                <w:lang w:val="en-US" w:eastAsia="ja-JP"/>
              </w:rPr>
              <w:t xml:space="preserve">: There has been an increase in UKCC collaborations with European </w:t>
            </w:r>
            <w:r w:rsidRPr="002367AE">
              <w:rPr>
                <w:rFonts w:ascii="Times New Roman" w:eastAsiaTheme="minorEastAsia" w:hAnsi="Times New Roman"/>
                <w:sz w:val="20"/>
                <w:szCs w:val="20"/>
                <w:lang w:val="en-US" w:eastAsia="ja-JP"/>
              </w:rPr>
              <w:lastRenderedPageBreak/>
              <w:t xml:space="preserve">investigators (5–28% of all their outputs) and with USA </w:t>
            </w:r>
            <w:r w:rsidR="00FA3242" w:rsidRPr="002367AE">
              <w:rPr>
                <w:rFonts w:ascii="Times New Roman" w:eastAsiaTheme="minorEastAsia" w:hAnsi="Times New Roman"/>
                <w:sz w:val="20"/>
                <w:szCs w:val="20"/>
                <w:lang w:val="en-US" w:eastAsia="ja-JP"/>
              </w:rPr>
              <w:t>(</w:t>
            </w:r>
            <w:r w:rsidRPr="002367AE">
              <w:rPr>
                <w:rFonts w:ascii="Times New Roman" w:eastAsiaTheme="minorEastAsia" w:hAnsi="Times New Roman"/>
                <w:sz w:val="20"/>
                <w:szCs w:val="20"/>
                <w:lang w:val="en-US" w:eastAsia="ja-JP"/>
              </w:rPr>
              <w:t>6% and 21%</w:t>
            </w:r>
            <w:r w:rsidR="00FA3242" w:rsidRPr="002367AE">
              <w:rPr>
                <w:rFonts w:ascii="Times New Roman" w:eastAsiaTheme="minorEastAsia" w:hAnsi="Times New Roman"/>
                <w:sz w:val="20"/>
                <w:szCs w:val="20"/>
                <w:lang w:val="en-US" w:eastAsia="ja-JP"/>
              </w:rPr>
              <w:t>)</w:t>
            </w:r>
            <w:r w:rsidRPr="002367AE">
              <w:rPr>
                <w:rFonts w:ascii="Times New Roman" w:eastAsiaTheme="minorEastAsia" w:hAnsi="Times New Roman"/>
                <w:sz w:val="20"/>
                <w:szCs w:val="20"/>
                <w:lang w:val="en-US" w:eastAsia="ja-JP"/>
              </w:rPr>
              <w:t>.</w:t>
            </w:r>
          </w:p>
          <w:p w:rsidR="00FA3242" w:rsidRPr="002367AE" w:rsidRDefault="00FA3242" w:rsidP="00FA3242">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p>
          <w:p w:rsidR="00FA3242" w:rsidRPr="002367AE" w:rsidRDefault="00FA3242" w:rsidP="00FA3242">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D43069">
              <w:rPr>
                <w:rFonts w:ascii="Times New Roman" w:eastAsiaTheme="minorEastAsia" w:hAnsi="Times New Roman"/>
                <w:sz w:val="20"/>
                <w:szCs w:val="20"/>
                <w:u w:val="single"/>
                <w:lang w:val="en-US" w:eastAsia="ja-JP"/>
              </w:rPr>
              <w:t>Policy development</w:t>
            </w:r>
            <w:r w:rsidRPr="002367AE">
              <w:rPr>
                <w:rFonts w:ascii="Times New Roman" w:eastAsiaTheme="minorEastAsia" w:hAnsi="Times New Roman"/>
                <w:sz w:val="20"/>
                <w:szCs w:val="20"/>
                <w:lang w:val="en-US" w:eastAsia="ja-JP"/>
              </w:rPr>
              <w:t>: There has been an increase in the number of citations on clinical guidelines and the press (BBC).</w:t>
            </w:r>
          </w:p>
          <w:p w:rsidR="00FA3242" w:rsidRPr="002367AE" w:rsidRDefault="00FA3242" w:rsidP="00FA3242">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p>
        </w:tc>
      </w:tr>
      <w:tr w:rsidR="00951DBE" w:rsidRPr="0073699B">
        <w:trPr>
          <w:jc w:val="center"/>
        </w:trPr>
        <w:tc>
          <w:tcPr>
            <w:tcW w:w="1463" w:type="dxa"/>
            <w:shd w:val="clear" w:color="auto" w:fill="auto"/>
          </w:tcPr>
          <w:p w:rsidR="00951DBE" w:rsidRPr="0073699B" w:rsidRDefault="00F078F0" w:rsidP="00376E85">
            <w:pPr>
              <w:spacing w:line="276" w:lineRule="auto"/>
              <w:jc w:val="left"/>
              <w:rPr>
                <w:rFonts w:ascii="Times New Roman" w:hAnsi="Times New Roman"/>
                <w:sz w:val="20"/>
                <w:szCs w:val="20"/>
              </w:rPr>
            </w:pPr>
            <w:r w:rsidRPr="0073699B">
              <w:rPr>
                <w:rFonts w:ascii="Times New Roman" w:hAnsi="Times New Roman"/>
                <w:sz w:val="20"/>
                <w:szCs w:val="20"/>
              </w:rPr>
              <w:lastRenderedPageBreak/>
              <w:t>Sussex et al</w:t>
            </w:r>
            <w:r w:rsidR="007F0C15">
              <w:rPr>
                <w:rFonts w:ascii="Times New Roman" w:hAnsi="Times New Roman"/>
                <w:sz w:val="20"/>
                <w:szCs w:val="20"/>
              </w:rPr>
              <w:t>.</w:t>
            </w:r>
            <w:r w:rsidRPr="0073699B">
              <w:rPr>
                <w:rFonts w:ascii="Times New Roman" w:hAnsi="Times New Roman"/>
                <w:sz w:val="20"/>
                <w:szCs w:val="20"/>
              </w:rPr>
              <w:t>, 2016</w:t>
            </w:r>
          </w:p>
        </w:tc>
        <w:tc>
          <w:tcPr>
            <w:tcW w:w="2035" w:type="dxa"/>
            <w:shd w:val="clear" w:color="auto" w:fill="auto"/>
          </w:tcPr>
          <w:p w:rsidR="00951DBE" w:rsidRPr="0073699B" w:rsidRDefault="005A313A" w:rsidP="0098344E">
            <w:pPr>
              <w:autoSpaceDE w:val="0"/>
              <w:autoSpaceDN w:val="0"/>
              <w:adjustRightInd w:val="0"/>
              <w:spacing w:before="0" w:after="0" w:line="276" w:lineRule="auto"/>
              <w:jc w:val="left"/>
              <w:rPr>
                <w:rFonts w:ascii="Times New Roman" w:hAnsi="Times New Roman"/>
                <w:sz w:val="20"/>
                <w:szCs w:val="20"/>
              </w:rPr>
            </w:pPr>
            <w:r>
              <w:rPr>
                <w:rFonts w:ascii="Times New Roman" w:hAnsi="Times New Roman"/>
                <w:sz w:val="20"/>
                <w:szCs w:val="20"/>
              </w:rPr>
              <w:t>To e</w:t>
            </w:r>
            <w:r w:rsidR="00C26784" w:rsidRPr="0073699B">
              <w:rPr>
                <w:rFonts w:ascii="Times New Roman" w:hAnsi="Times New Roman"/>
                <w:sz w:val="20"/>
                <w:szCs w:val="20"/>
              </w:rPr>
              <w:t xml:space="preserve">stimate the magnitude of the effect of government and charity biomedical and health research expenditure in the UK, separately and in total, on subsequent private pharmaceutical sector R&amp;D expenditure in the UK.  </w:t>
            </w:r>
          </w:p>
          <w:p w:rsidR="00951DBE" w:rsidRPr="0073699B" w:rsidRDefault="00951DBE" w:rsidP="0098344E">
            <w:pPr>
              <w:autoSpaceDE w:val="0"/>
              <w:autoSpaceDN w:val="0"/>
              <w:adjustRightInd w:val="0"/>
              <w:spacing w:before="0" w:after="0" w:line="276" w:lineRule="auto"/>
              <w:jc w:val="left"/>
              <w:rPr>
                <w:rFonts w:ascii="Times New Roman" w:hAnsi="Times New Roman"/>
                <w:sz w:val="20"/>
                <w:szCs w:val="20"/>
              </w:rPr>
            </w:pPr>
            <w:r w:rsidRPr="0073699B">
              <w:rPr>
                <w:rFonts w:ascii="Times New Roman" w:hAnsi="Times New Roman"/>
                <w:sz w:val="20"/>
                <w:szCs w:val="20"/>
              </w:rPr>
              <w:t xml:space="preserve"> </w:t>
            </w:r>
          </w:p>
        </w:tc>
        <w:tc>
          <w:tcPr>
            <w:tcW w:w="1701" w:type="dxa"/>
          </w:tcPr>
          <w:p w:rsidR="00CD0287" w:rsidRPr="000F7B14" w:rsidRDefault="000F7B14" w:rsidP="000F7B14">
            <w:pPr>
              <w:spacing w:after="120" w:line="276" w:lineRule="auto"/>
              <w:jc w:val="left"/>
              <w:rPr>
                <w:rFonts w:ascii="Times New Roman" w:hAnsi="Times New Roman"/>
                <w:sz w:val="20"/>
                <w:szCs w:val="20"/>
              </w:rPr>
            </w:pPr>
            <w:r w:rsidRPr="0073699B">
              <w:rPr>
                <w:rFonts w:ascii="Times New Roman" w:eastAsia="Times New Roman" w:hAnsi="Times New Roman"/>
                <w:bCs/>
                <w:sz w:val="20"/>
                <w:szCs w:val="20"/>
              </w:rPr>
              <w:t xml:space="preserve">R&amp;D expenditure from the MRC, the </w:t>
            </w:r>
            <w:proofErr w:type="spellStart"/>
            <w:r w:rsidRPr="0073699B">
              <w:rPr>
                <w:rFonts w:ascii="Times New Roman" w:eastAsia="Times New Roman" w:hAnsi="Times New Roman"/>
                <w:bCs/>
                <w:sz w:val="20"/>
                <w:szCs w:val="20"/>
              </w:rPr>
              <w:t>DoH</w:t>
            </w:r>
            <w:proofErr w:type="spellEnd"/>
            <w:r w:rsidRPr="0073699B">
              <w:rPr>
                <w:rFonts w:ascii="Times New Roman" w:eastAsia="Times New Roman" w:hAnsi="Times New Roman"/>
                <w:bCs/>
                <w:sz w:val="20"/>
                <w:szCs w:val="20"/>
              </w:rPr>
              <w:t xml:space="preserve"> and UK’s funding councils. </w:t>
            </w:r>
          </w:p>
        </w:tc>
        <w:tc>
          <w:tcPr>
            <w:tcW w:w="1559" w:type="dxa"/>
            <w:shd w:val="clear" w:color="auto" w:fill="auto"/>
          </w:tcPr>
          <w:p w:rsidR="00951DBE" w:rsidRPr="0073699B" w:rsidRDefault="000F7B14" w:rsidP="0098344E">
            <w:pPr>
              <w:spacing w:after="120" w:line="276" w:lineRule="auto"/>
              <w:jc w:val="left"/>
              <w:rPr>
                <w:rFonts w:ascii="Times New Roman" w:eastAsia="Times New Roman" w:hAnsi="Times New Roman"/>
                <w:bCs/>
                <w:sz w:val="20"/>
                <w:szCs w:val="20"/>
              </w:rPr>
            </w:pPr>
            <w:r w:rsidRPr="0073699B">
              <w:rPr>
                <w:rFonts w:ascii="Times New Roman" w:hAnsi="Times New Roman"/>
                <w:sz w:val="20"/>
                <w:szCs w:val="20"/>
              </w:rPr>
              <w:t>Quantitative</w:t>
            </w:r>
          </w:p>
        </w:tc>
        <w:tc>
          <w:tcPr>
            <w:tcW w:w="4076" w:type="dxa"/>
          </w:tcPr>
          <w:p w:rsidR="00951DBE" w:rsidRPr="000F7B14" w:rsidRDefault="000F7B14" w:rsidP="000F7B14">
            <w:pPr>
              <w:pStyle w:val="ListParagraph"/>
              <w:numPr>
                <w:ilvl w:val="0"/>
                <w:numId w:val="2"/>
              </w:numPr>
              <w:spacing w:line="276" w:lineRule="auto"/>
              <w:ind w:left="317"/>
              <w:jc w:val="left"/>
              <w:rPr>
                <w:rFonts w:ascii="Times New Roman" w:eastAsiaTheme="minorEastAsia" w:hAnsi="Times New Roman"/>
                <w:sz w:val="20"/>
                <w:szCs w:val="20"/>
                <w:lang w:val="en-US" w:eastAsia="ja-JP"/>
              </w:rPr>
            </w:pPr>
            <w:r w:rsidRPr="000F7B14">
              <w:rPr>
                <w:rFonts w:ascii="Times New Roman" w:hAnsi="Times New Roman"/>
                <w:sz w:val="20"/>
                <w:szCs w:val="20"/>
              </w:rPr>
              <w:t xml:space="preserve">Econometric analysis using data from </w:t>
            </w:r>
            <w:r w:rsidRPr="000F7B14">
              <w:rPr>
                <w:rFonts w:ascii="Times New Roman" w:eastAsiaTheme="minorEastAsia" w:hAnsi="Times New Roman"/>
                <w:sz w:val="20"/>
                <w:szCs w:val="20"/>
                <w:lang w:val="en-US" w:eastAsia="ja-JP"/>
              </w:rPr>
              <w:t>biomedical and health R&amp;D expenditure in the UK for</w:t>
            </w:r>
            <w:r w:rsidR="000B7928">
              <w:rPr>
                <w:rFonts w:ascii="Times New Roman" w:eastAsiaTheme="minorEastAsia" w:hAnsi="Times New Roman"/>
                <w:sz w:val="20"/>
                <w:szCs w:val="20"/>
                <w:lang w:val="en-US" w:eastAsia="ja-JP"/>
              </w:rPr>
              <w:t xml:space="preserve"> ten disease areas (including ‘</w:t>
            </w:r>
            <w:r w:rsidRPr="000F7B14">
              <w:rPr>
                <w:rFonts w:ascii="Times New Roman" w:eastAsiaTheme="minorEastAsia" w:hAnsi="Times New Roman"/>
                <w:sz w:val="20"/>
                <w:szCs w:val="20"/>
                <w:lang w:val="en-US" w:eastAsia="ja-JP"/>
              </w:rPr>
              <w:t>other</w:t>
            </w:r>
            <w:r w:rsidR="0048099D">
              <w:rPr>
                <w:rFonts w:ascii="Times New Roman" w:eastAsiaTheme="minorEastAsia" w:hAnsi="Times New Roman"/>
                <w:sz w:val="20"/>
                <w:szCs w:val="20"/>
                <w:lang w:val="en-US" w:eastAsia="ja-JP"/>
              </w:rPr>
              <w:t>’</w:t>
            </w:r>
            <w:r w:rsidRPr="000F7B14">
              <w:rPr>
                <w:rFonts w:ascii="Times New Roman" w:eastAsiaTheme="minorEastAsia" w:hAnsi="Times New Roman"/>
                <w:sz w:val="20"/>
                <w:szCs w:val="20"/>
                <w:lang w:val="en-US" w:eastAsia="ja-JP"/>
              </w:rPr>
              <w:t>) for the government, charity and private sectors</w:t>
            </w:r>
          </w:p>
          <w:p w:rsidR="000F7B14" w:rsidRPr="000F7B14" w:rsidRDefault="000F7B14" w:rsidP="000F7B14">
            <w:pPr>
              <w:pStyle w:val="ListParagraph"/>
              <w:spacing w:line="276" w:lineRule="auto"/>
              <w:rPr>
                <w:rFonts w:ascii="Times New Roman" w:hAnsi="Times New Roman"/>
                <w:sz w:val="20"/>
                <w:szCs w:val="20"/>
              </w:rPr>
            </w:pPr>
          </w:p>
        </w:tc>
        <w:tc>
          <w:tcPr>
            <w:tcW w:w="3883" w:type="dxa"/>
            <w:shd w:val="clear" w:color="auto" w:fill="auto"/>
          </w:tcPr>
          <w:p w:rsidR="00951DBE" w:rsidRPr="0073699B" w:rsidRDefault="00BF075A" w:rsidP="00922F86">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BF075A">
              <w:rPr>
                <w:rFonts w:ascii="Times New Roman" w:eastAsiaTheme="minorEastAsia" w:hAnsi="Times New Roman"/>
                <w:sz w:val="20"/>
                <w:szCs w:val="20"/>
                <w:u w:val="single"/>
                <w:lang w:val="en-US" w:eastAsia="ja-JP"/>
              </w:rPr>
              <w:t>Broad economic benefit</w:t>
            </w:r>
            <w:r>
              <w:rPr>
                <w:rFonts w:ascii="Times New Roman" w:eastAsiaTheme="minorEastAsia" w:hAnsi="Times New Roman"/>
                <w:sz w:val="20"/>
                <w:szCs w:val="20"/>
                <w:lang w:val="en-US" w:eastAsia="ja-JP"/>
              </w:rPr>
              <w:t xml:space="preserve">: </w:t>
            </w:r>
            <w:r w:rsidR="00922F86" w:rsidRPr="0073699B">
              <w:rPr>
                <w:rFonts w:ascii="Times New Roman" w:eastAsiaTheme="minorEastAsia" w:hAnsi="Times New Roman"/>
                <w:sz w:val="20"/>
                <w:szCs w:val="20"/>
                <w:lang w:val="en-US" w:eastAsia="ja-JP"/>
              </w:rPr>
              <w:t>A 1 % increase/fall in public &amp; charity biomedical and health research spend in the UK eventually is associated with a 0.81 % increase/fall in pharmaceutical industry R&amp;D in the UK.</w:t>
            </w:r>
          </w:p>
          <w:p w:rsidR="00922F86" w:rsidRPr="0073699B" w:rsidRDefault="00922F86" w:rsidP="00922F86">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p>
          <w:p w:rsidR="00922F86" w:rsidRPr="0073699B" w:rsidRDefault="00922F86" w:rsidP="00922F86">
            <w:pPr>
              <w:widowControl w:val="0"/>
              <w:autoSpaceDE w:val="0"/>
              <w:autoSpaceDN w:val="0"/>
              <w:adjustRightInd w:val="0"/>
              <w:spacing w:before="0" w:after="0" w:line="240" w:lineRule="auto"/>
              <w:jc w:val="left"/>
              <w:rPr>
                <w:rFonts w:ascii="Times New Roman" w:eastAsiaTheme="minorEastAsia" w:hAnsi="Times New Roman"/>
                <w:sz w:val="20"/>
                <w:szCs w:val="20"/>
                <w:lang w:val="en-US" w:eastAsia="ja-JP"/>
              </w:rPr>
            </w:pPr>
            <w:r w:rsidRPr="0073699B">
              <w:rPr>
                <w:rFonts w:ascii="Times New Roman" w:eastAsiaTheme="minorEastAsia" w:hAnsi="Times New Roman"/>
                <w:sz w:val="20"/>
                <w:szCs w:val="20"/>
                <w:lang w:val="en-US" w:eastAsia="ja-JP"/>
              </w:rPr>
              <w:t>Overall, every additional £1 of public research expenditure is associated with an additional £0.83– £1.07 of private sector R&amp;D spend in the UK; 44 % of that additional private sector expenditure occurs within 1 year, with the remainder accumulating over decades. This spillover effect implies a real annual rate of return (in terms of economic impact) to public biomedical and health research in the UK of 15– 18 %. When combined with previous estimates of the health gain that results from public medical research in cancer and cardiovascular disease, the total rate of return would be around 24– 28 %.</w:t>
            </w:r>
          </w:p>
        </w:tc>
      </w:tr>
    </w:tbl>
    <w:p w:rsidR="00EA59D7" w:rsidRDefault="00EA59D7">
      <w:pPr>
        <w:sectPr w:rsidR="00EA59D7">
          <w:pgSz w:w="16840" w:h="11900" w:orient="landscape"/>
          <w:pgMar w:top="1800" w:right="1440" w:bottom="1800" w:left="1440" w:header="708" w:footer="708" w:gutter="0"/>
          <w:cols w:space="708"/>
        </w:sectPr>
      </w:pPr>
    </w:p>
    <w:p w:rsidR="0039616A" w:rsidRDefault="0039616A"/>
    <w:sectPr w:rsidR="0039616A" w:rsidSect="00EA59D7">
      <w:type w:val="continuous"/>
      <w:pgSz w:w="16840" w:h="11900" w:orient="landscape"/>
      <w:pgMar w:top="1800" w:right="1440" w:bottom="180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9360C"/>
    <w:multiLevelType w:val="hybridMultilevel"/>
    <w:tmpl w:val="D7824B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309749A6"/>
    <w:multiLevelType w:val="hybridMultilevel"/>
    <w:tmpl w:val="DB5A938E"/>
    <w:lvl w:ilvl="0" w:tplc="5A606F64">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CA347A"/>
    <w:multiLevelType w:val="hybridMultilevel"/>
    <w:tmpl w:val="86F4AD6A"/>
    <w:lvl w:ilvl="0" w:tplc="390E39CA">
      <w:start w:val="20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EA59D7"/>
    <w:rsid w:val="00002FC2"/>
    <w:rsid w:val="00003051"/>
    <w:rsid w:val="00012CF0"/>
    <w:rsid w:val="000204CD"/>
    <w:rsid w:val="00033C32"/>
    <w:rsid w:val="00043A12"/>
    <w:rsid w:val="00057B16"/>
    <w:rsid w:val="0006489F"/>
    <w:rsid w:val="00083474"/>
    <w:rsid w:val="0009666B"/>
    <w:rsid w:val="000B7928"/>
    <w:rsid w:val="000C69AF"/>
    <w:rsid w:val="000C70D1"/>
    <w:rsid w:val="000D0187"/>
    <w:rsid w:val="000D2775"/>
    <w:rsid w:val="000F7B14"/>
    <w:rsid w:val="0013543E"/>
    <w:rsid w:val="00154B8B"/>
    <w:rsid w:val="001557F3"/>
    <w:rsid w:val="00165ACF"/>
    <w:rsid w:val="0018311F"/>
    <w:rsid w:val="00196072"/>
    <w:rsid w:val="001B1036"/>
    <w:rsid w:val="001B3214"/>
    <w:rsid w:val="001D178F"/>
    <w:rsid w:val="00202853"/>
    <w:rsid w:val="00212ED8"/>
    <w:rsid w:val="00225118"/>
    <w:rsid w:val="002367AE"/>
    <w:rsid w:val="002376B2"/>
    <w:rsid w:val="0026130E"/>
    <w:rsid w:val="00265DBE"/>
    <w:rsid w:val="00266F69"/>
    <w:rsid w:val="00270DEF"/>
    <w:rsid w:val="00280228"/>
    <w:rsid w:val="002839A5"/>
    <w:rsid w:val="002963C8"/>
    <w:rsid w:val="002E0AB0"/>
    <w:rsid w:val="0032029B"/>
    <w:rsid w:val="00355023"/>
    <w:rsid w:val="00364263"/>
    <w:rsid w:val="003703C0"/>
    <w:rsid w:val="00376E85"/>
    <w:rsid w:val="0039616A"/>
    <w:rsid w:val="003C1A31"/>
    <w:rsid w:val="003D5462"/>
    <w:rsid w:val="003F16F8"/>
    <w:rsid w:val="003F6E51"/>
    <w:rsid w:val="00406803"/>
    <w:rsid w:val="00455CF1"/>
    <w:rsid w:val="00461B34"/>
    <w:rsid w:val="00465FA4"/>
    <w:rsid w:val="004752A5"/>
    <w:rsid w:val="0048099D"/>
    <w:rsid w:val="004A509E"/>
    <w:rsid w:val="004A6573"/>
    <w:rsid w:val="004D77AC"/>
    <w:rsid w:val="005317DC"/>
    <w:rsid w:val="0055772D"/>
    <w:rsid w:val="005629EE"/>
    <w:rsid w:val="00573B1E"/>
    <w:rsid w:val="00591BA7"/>
    <w:rsid w:val="005962CE"/>
    <w:rsid w:val="005A1F4B"/>
    <w:rsid w:val="005A313A"/>
    <w:rsid w:val="006120E9"/>
    <w:rsid w:val="00617B66"/>
    <w:rsid w:val="00624FEE"/>
    <w:rsid w:val="00636F4E"/>
    <w:rsid w:val="006408B9"/>
    <w:rsid w:val="006502AA"/>
    <w:rsid w:val="006508FA"/>
    <w:rsid w:val="00650D63"/>
    <w:rsid w:val="0066310F"/>
    <w:rsid w:val="006733D7"/>
    <w:rsid w:val="00684FD2"/>
    <w:rsid w:val="006857BF"/>
    <w:rsid w:val="00690C4D"/>
    <w:rsid w:val="006A01B9"/>
    <w:rsid w:val="006A0D6B"/>
    <w:rsid w:val="006B0835"/>
    <w:rsid w:val="006E58F9"/>
    <w:rsid w:val="00701FDD"/>
    <w:rsid w:val="0070378F"/>
    <w:rsid w:val="00713EA5"/>
    <w:rsid w:val="0073699B"/>
    <w:rsid w:val="00757E55"/>
    <w:rsid w:val="0077797A"/>
    <w:rsid w:val="00777F47"/>
    <w:rsid w:val="00781EB6"/>
    <w:rsid w:val="007848D3"/>
    <w:rsid w:val="007B7391"/>
    <w:rsid w:val="007C6049"/>
    <w:rsid w:val="007C675C"/>
    <w:rsid w:val="007C67C5"/>
    <w:rsid w:val="007E50EE"/>
    <w:rsid w:val="007E53DE"/>
    <w:rsid w:val="007F0C15"/>
    <w:rsid w:val="008311AE"/>
    <w:rsid w:val="00875700"/>
    <w:rsid w:val="008A47E9"/>
    <w:rsid w:val="008D4956"/>
    <w:rsid w:val="008E06D3"/>
    <w:rsid w:val="009025FC"/>
    <w:rsid w:val="00922F86"/>
    <w:rsid w:val="009275A6"/>
    <w:rsid w:val="009405F7"/>
    <w:rsid w:val="00951DBE"/>
    <w:rsid w:val="00975863"/>
    <w:rsid w:val="0098344E"/>
    <w:rsid w:val="009B50AA"/>
    <w:rsid w:val="009E3C98"/>
    <w:rsid w:val="00A11A8F"/>
    <w:rsid w:val="00A12E93"/>
    <w:rsid w:val="00A31ABC"/>
    <w:rsid w:val="00A322C7"/>
    <w:rsid w:val="00A36DEF"/>
    <w:rsid w:val="00A43B3F"/>
    <w:rsid w:val="00A67A04"/>
    <w:rsid w:val="00A93907"/>
    <w:rsid w:val="00AB7E25"/>
    <w:rsid w:val="00AC5BC7"/>
    <w:rsid w:val="00B15248"/>
    <w:rsid w:val="00B45176"/>
    <w:rsid w:val="00B6242F"/>
    <w:rsid w:val="00B67E93"/>
    <w:rsid w:val="00B9476F"/>
    <w:rsid w:val="00B97AD6"/>
    <w:rsid w:val="00BB3D8A"/>
    <w:rsid w:val="00BC5F03"/>
    <w:rsid w:val="00BF075A"/>
    <w:rsid w:val="00BF5E05"/>
    <w:rsid w:val="00C11985"/>
    <w:rsid w:val="00C229F0"/>
    <w:rsid w:val="00C23112"/>
    <w:rsid w:val="00C26784"/>
    <w:rsid w:val="00C453A7"/>
    <w:rsid w:val="00C9104C"/>
    <w:rsid w:val="00CA3184"/>
    <w:rsid w:val="00CA736D"/>
    <w:rsid w:val="00CC25A4"/>
    <w:rsid w:val="00CD0287"/>
    <w:rsid w:val="00D0017B"/>
    <w:rsid w:val="00D10D20"/>
    <w:rsid w:val="00D16F2F"/>
    <w:rsid w:val="00D357FE"/>
    <w:rsid w:val="00D43069"/>
    <w:rsid w:val="00D560A5"/>
    <w:rsid w:val="00D72630"/>
    <w:rsid w:val="00D77C25"/>
    <w:rsid w:val="00D92658"/>
    <w:rsid w:val="00D95260"/>
    <w:rsid w:val="00D964AE"/>
    <w:rsid w:val="00DB2FF3"/>
    <w:rsid w:val="00DC313D"/>
    <w:rsid w:val="00DD455A"/>
    <w:rsid w:val="00DE2059"/>
    <w:rsid w:val="00DE23D6"/>
    <w:rsid w:val="00E210C7"/>
    <w:rsid w:val="00E35AFB"/>
    <w:rsid w:val="00E36E50"/>
    <w:rsid w:val="00E5402A"/>
    <w:rsid w:val="00E75CA2"/>
    <w:rsid w:val="00E7754C"/>
    <w:rsid w:val="00EA59D7"/>
    <w:rsid w:val="00EB64A8"/>
    <w:rsid w:val="00EF483A"/>
    <w:rsid w:val="00EF7DCE"/>
    <w:rsid w:val="00F078F0"/>
    <w:rsid w:val="00F178D5"/>
    <w:rsid w:val="00F8560F"/>
    <w:rsid w:val="00F8571E"/>
    <w:rsid w:val="00F85CB3"/>
    <w:rsid w:val="00F966E0"/>
    <w:rsid w:val="00F96E64"/>
    <w:rsid w:val="00FA1CFE"/>
    <w:rsid w:val="00FA3242"/>
    <w:rsid w:val="00FD04BF"/>
    <w:rsid w:val="00FE35FF"/>
    <w:rsid w:val="00FE679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9D7"/>
    <w:pPr>
      <w:spacing w:before="120" w:after="280" w:line="360" w:lineRule="auto"/>
      <w:jc w:val="both"/>
    </w:pPr>
    <w:rPr>
      <w:rFonts w:ascii="Arial" w:eastAsia="Calibri" w:hAnsi="Arial" w:cs="Times New Roman"/>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9D7"/>
    <w:pPr>
      <w:ind w:left="720"/>
      <w:contextualSpacing/>
    </w:pPr>
  </w:style>
  <w:style w:type="paragraph" w:styleId="BalloonText">
    <w:name w:val="Balloon Text"/>
    <w:basedOn w:val="Normal"/>
    <w:link w:val="BalloonTextChar"/>
    <w:uiPriority w:val="99"/>
    <w:semiHidden/>
    <w:unhideWhenUsed/>
    <w:rsid w:val="006120E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0E9"/>
    <w:rPr>
      <w:rFonts w:ascii="Segoe UI" w:eastAsia="Calibri" w:hAnsi="Segoe UI" w:cs="Segoe UI"/>
      <w:sz w:val="18"/>
      <w:szCs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9D7"/>
    <w:pPr>
      <w:spacing w:before="120" w:after="280" w:line="360" w:lineRule="auto"/>
      <w:jc w:val="both"/>
    </w:pPr>
    <w:rPr>
      <w:rFonts w:ascii="Arial" w:eastAsia="Calibri" w:hAnsi="Arial" w:cs="Times New Roman"/>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9D7"/>
    <w:pPr>
      <w:ind w:left="720"/>
      <w:contextualSpacing/>
    </w:pPr>
  </w:style>
  <w:style w:type="paragraph" w:styleId="BalloonText">
    <w:name w:val="Balloon Text"/>
    <w:basedOn w:val="Normal"/>
    <w:link w:val="BalloonTextChar"/>
    <w:uiPriority w:val="99"/>
    <w:semiHidden/>
    <w:unhideWhenUsed/>
    <w:rsid w:val="006120E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0E9"/>
    <w:rPr>
      <w:rFonts w:ascii="Segoe UI" w:eastAsia="Calibr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506018">
      <w:bodyDiv w:val="1"/>
      <w:marLeft w:val="0"/>
      <w:marRight w:val="0"/>
      <w:marTop w:val="0"/>
      <w:marBottom w:val="0"/>
      <w:divBdr>
        <w:top w:val="none" w:sz="0" w:space="0" w:color="auto"/>
        <w:left w:val="none" w:sz="0" w:space="0" w:color="auto"/>
        <w:bottom w:val="none" w:sz="0" w:space="0" w:color="auto"/>
        <w:right w:val="none" w:sz="0" w:space="0" w:color="auto"/>
      </w:divBdr>
      <w:divsChild>
        <w:div w:id="75826900">
          <w:marLeft w:val="0"/>
          <w:marRight w:val="0"/>
          <w:marTop w:val="0"/>
          <w:marBottom w:val="0"/>
          <w:divBdr>
            <w:top w:val="none" w:sz="0" w:space="0" w:color="auto"/>
            <w:left w:val="none" w:sz="0" w:space="0" w:color="auto"/>
            <w:bottom w:val="none" w:sz="0" w:space="0" w:color="auto"/>
            <w:right w:val="none" w:sz="0" w:space="0" w:color="auto"/>
          </w:divBdr>
        </w:div>
        <w:div w:id="75595287">
          <w:marLeft w:val="0"/>
          <w:marRight w:val="0"/>
          <w:marTop w:val="0"/>
          <w:marBottom w:val="0"/>
          <w:divBdr>
            <w:top w:val="none" w:sz="0" w:space="0" w:color="auto"/>
            <w:left w:val="none" w:sz="0" w:space="0" w:color="auto"/>
            <w:bottom w:val="none" w:sz="0" w:space="0" w:color="auto"/>
            <w:right w:val="none" w:sz="0" w:space="0" w:color="auto"/>
          </w:divBdr>
        </w:div>
        <w:div w:id="1590232257">
          <w:marLeft w:val="0"/>
          <w:marRight w:val="0"/>
          <w:marTop w:val="0"/>
          <w:marBottom w:val="0"/>
          <w:divBdr>
            <w:top w:val="none" w:sz="0" w:space="0" w:color="auto"/>
            <w:left w:val="none" w:sz="0" w:space="0" w:color="auto"/>
            <w:bottom w:val="none" w:sz="0" w:space="0" w:color="auto"/>
            <w:right w:val="none" w:sz="0" w:space="0" w:color="auto"/>
          </w:divBdr>
        </w:div>
        <w:div w:id="1752966014">
          <w:marLeft w:val="0"/>
          <w:marRight w:val="0"/>
          <w:marTop w:val="0"/>
          <w:marBottom w:val="0"/>
          <w:divBdr>
            <w:top w:val="none" w:sz="0" w:space="0" w:color="auto"/>
            <w:left w:val="none" w:sz="0" w:space="0" w:color="auto"/>
            <w:bottom w:val="none" w:sz="0" w:space="0" w:color="auto"/>
            <w:right w:val="none" w:sz="0" w:space="0" w:color="auto"/>
          </w:divBdr>
        </w:div>
        <w:div w:id="544562323">
          <w:marLeft w:val="0"/>
          <w:marRight w:val="0"/>
          <w:marTop w:val="0"/>
          <w:marBottom w:val="0"/>
          <w:divBdr>
            <w:top w:val="none" w:sz="0" w:space="0" w:color="auto"/>
            <w:left w:val="none" w:sz="0" w:space="0" w:color="auto"/>
            <w:bottom w:val="none" w:sz="0" w:space="0" w:color="auto"/>
            <w:right w:val="none" w:sz="0" w:space="0" w:color="auto"/>
          </w:divBdr>
        </w:div>
        <w:div w:id="144013521">
          <w:marLeft w:val="0"/>
          <w:marRight w:val="0"/>
          <w:marTop w:val="0"/>
          <w:marBottom w:val="0"/>
          <w:divBdr>
            <w:top w:val="none" w:sz="0" w:space="0" w:color="auto"/>
            <w:left w:val="none" w:sz="0" w:space="0" w:color="auto"/>
            <w:bottom w:val="none" w:sz="0" w:space="0" w:color="auto"/>
            <w:right w:val="none" w:sz="0" w:space="0" w:color="auto"/>
          </w:divBdr>
        </w:div>
        <w:div w:id="659701922">
          <w:marLeft w:val="0"/>
          <w:marRight w:val="0"/>
          <w:marTop w:val="0"/>
          <w:marBottom w:val="0"/>
          <w:divBdr>
            <w:top w:val="none" w:sz="0" w:space="0" w:color="auto"/>
            <w:left w:val="none" w:sz="0" w:space="0" w:color="auto"/>
            <w:bottom w:val="none" w:sz="0" w:space="0" w:color="auto"/>
            <w:right w:val="none" w:sz="0" w:space="0" w:color="auto"/>
          </w:divBdr>
        </w:div>
        <w:div w:id="466975478">
          <w:marLeft w:val="0"/>
          <w:marRight w:val="0"/>
          <w:marTop w:val="0"/>
          <w:marBottom w:val="0"/>
          <w:divBdr>
            <w:top w:val="none" w:sz="0" w:space="0" w:color="auto"/>
            <w:left w:val="none" w:sz="0" w:space="0" w:color="auto"/>
            <w:bottom w:val="none" w:sz="0" w:space="0" w:color="auto"/>
            <w:right w:val="none" w:sz="0" w:space="0" w:color="auto"/>
          </w:divBdr>
        </w:div>
        <w:div w:id="1406801536">
          <w:marLeft w:val="0"/>
          <w:marRight w:val="0"/>
          <w:marTop w:val="0"/>
          <w:marBottom w:val="0"/>
          <w:divBdr>
            <w:top w:val="none" w:sz="0" w:space="0" w:color="auto"/>
            <w:left w:val="none" w:sz="0" w:space="0" w:color="auto"/>
            <w:bottom w:val="none" w:sz="0" w:space="0" w:color="auto"/>
            <w:right w:val="none" w:sz="0" w:space="0" w:color="auto"/>
          </w:divBdr>
        </w:div>
        <w:div w:id="784152220">
          <w:marLeft w:val="0"/>
          <w:marRight w:val="0"/>
          <w:marTop w:val="0"/>
          <w:marBottom w:val="0"/>
          <w:divBdr>
            <w:top w:val="none" w:sz="0" w:space="0" w:color="auto"/>
            <w:left w:val="none" w:sz="0" w:space="0" w:color="auto"/>
            <w:bottom w:val="none" w:sz="0" w:space="0" w:color="auto"/>
            <w:right w:val="none" w:sz="0" w:space="0" w:color="auto"/>
          </w:divBdr>
        </w:div>
        <w:div w:id="373510048">
          <w:marLeft w:val="0"/>
          <w:marRight w:val="0"/>
          <w:marTop w:val="0"/>
          <w:marBottom w:val="0"/>
          <w:divBdr>
            <w:top w:val="none" w:sz="0" w:space="0" w:color="auto"/>
            <w:left w:val="none" w:sz="0" w:space="0" w:color="auto"/>
            <w:bottom w:val="none" w:sz="0" w:space="0" w:color="auto"/>
            <w:right w:val="none" w:sz="0" w:space="0" w:color="auto"/>
          </w:divBdr>
        </w:div>
        <w:div w:id="1358585131">
          <w:marLeft w:val="0"/>
          <w:marRight w:val="0"/>
          <w:marTop w:val="0"/>
          <w:marBottom w:val="0"/>
          <w:divBdr>
            <w:top w:val="none" w:sz="0" w:space="0" w:color="auto"/>
            <w:left w:val="none" w:sz="0" w:space="0" w:color="auto"/>
            <w:bottom w:val="none" w:sz="0" w:space="0" w:color="auto"/>
            <w:right w:val="none" w:sz="0" w:space="0" w:color="auto"/>
          </w:divBdr>
        </w:div>
        <w:div w:id="1696348682">
          <w:marLeft w:val="0"/>
          <w:marRight w:val="0"/>
          <w:marTop w:val="0"/>
          <w:marBottom w:val="0"/>
          <w:divBdr>
            <w:top w:val="none" w:sz="0" w:space="0" w:color="auto"/>
            <w:left w:val="none" w:sz="0" w:space="0" w:color="auto"/>
            <w:bottom w:val="none" w:sz="0" w:space="0" w:color="auto"/>
            <w:right w:val="none" w:sz="0" w:space="0" w:color="auto"/>
          </w:divBdr>
        </w:div>
        <w:div w:id="532889170">
          <w:marLeft w:val="0"/>
          <w:marRight w:val="0"/>
          <w:marTop w:val="0"/>
          <w:marBottom w:val="0"/>
          <w:divBdr>
            <w:top w:val="none" w:sz="0" w:space="0" w:color="auto"/>
            <w:left w:val="none" w:sz="0" w:space="0" w:color="auto"/>
            <w:bottom w:val="none" w:sz="0" w:space="0" w:color="auto"/>
            <w:right w:val="none" w:sz="0" w:space="0" w:color="auto"/>
          </w:divBdr>
        </w:div>
        <w:div w:id="1828740365">
          <w:marLeft w:val="0"/>
          <w:marRight w:val="0"/>
          <w:marTop w:val="0"/>
          <w:marBottom w:val="0"/>
          <w:divBdr>
            <w:top w:val="none" w:sz="0" w:space="0" w:color="auto"/>
            <w:left w:val="none" w:sz="0" w:space="0" w:color="auto"/>
            <w:bottom w:val="none" w:sz="0" w:space="0" w:color="auto"/>
            <w:right w:val="none" w:sz="0" w:space="0" w:color="auto"/>
          </w:divBdr>
        </w:div>
        <w:div w:id="1885553683">
          <w:marLeft w:val="0"/>
          <w:marRight w:val="0"/>
          <w:marTop w:val="0"/>
          <w:marBottom w:val="0"/>
          <w:divBdr>
            <w:top w:val="none" w:sz="0" w:space="0" w:color="auto"/>
            <w:left w:val="none" w:sz="0" w:space="0" w:color="auto"/>
            <w:bottom w:val="none" w:sz="0" w:space="0" w:color="auto"/>
            <w:right w:val="none" w:sz="0" w:space="0" w:color="auto"/>
          </w:divBdr>
        </w:div>
        <w:div w:id="467093395">
          <w:marLeft w:val="0"/>
          <w:marRight w:val="0"/>
          <w:marTop w:val="0"/>
          <w:marBottom w:val="0"/>
          <w:divBdr>
            <w:top w:val="none" w:sz="0" w:space="0" w:color="auto"/>
            <w:left w:val="none" w:sz="0" w:space="0" w:color="auto"/>
            <w:bottom w:val="none" w:sz="0" w:space="0" w:color="auto"/>
            <w:right w:val="none" w:sz="0" w:space="0" w:color="auto"/>
          </w:divBdr>
        </w:div>
        <w:div w:id="1669551422">
          <w:marLeft w:val="0"/>
          <w:marRight w:val="0"/>
          <w:marTop w:val="0"/>
          <w:marBottom w:val="0"/>
          <w:divBdr>
            <w:top w:val="none" w:sz="0" w:space="0" w:color="auto"/>
            <w:left w:val="none" w:sz="0" w:space="0" w:color="auto"/>
            <w:bottom w:val="none" w:sz="0" w:space="0" w:color="auto"/>
            <w:right w:val="none" w:sz="0" w:space="0" w:color="auto"/>
          </w:divBdr>
        </w:div>
        <w:div w:id="1189879503">
          <w:marLeft w:val="0"/>
          <w:marRight w:val="0"/>
          <w:marTop w:val="0"/>
          <w:marBottom w:val="0"/>
          <w:divBdr>
            <w:top w:val="none" w:sz="0" w:space="0" w:color="auto"/>
            <w:left w:val="none" w:sz="0" w:space="0" w:color="auto"/>
            <w:bottom w:val="none" w:sz="0" w:space="0" w:color="auto"/>
            <w:right w:val="none" w:sz="0" w:space="0" w:color="auto"/>
          </w:divBdr>
        </w:div>
        <w:div w:id="1916888492">
          <w:marLeft w:val="0"/>
          <w:marRight w:val="0"/>
          <w:marTop w:val="0"/>
          <w:marBottom w:val="0"/>
          <w:divBdr>
            <w:top w:val="none" w:sz="0" w:space="0" w:color="auto"/>
            <w:left w:val="none" w:sz="0" w:space="0" w:color="auto"/>
            <w:bottom w:val="none" w:sz="0" w:space="0" w:color="auto"/>
            <w:right w:val="none" w:sz="0" w:space="0" w:color="auto"/>
          </w:divBdr>
        </w:div>
        <w:div w:id="412549417">
          <w:marLeft w:val="0"/>
          <w:marRight w:val="0"/>
          <w:marTop w:val="0"/>
          <w:marBottom w:val="0"/>
          <w:divBdr>
            <w:top w:val="none" w:sz="0" w:space="0" w:color="auto"/>
            <w:left w:val="none" w:sz="0" w:space="0" w:color="auto"/>
            <w:bottom w:val="none" w:sz="0" w:space="0" w:color="auto"/>
            <w:right w:val="none" w:sz="0" w:space="0" w:color="auto"/>
          </w:divBdr>
        </w:div>
        <w:div w:id="2133554118">
          <w:marLeft w:val="0"/>
          <w:marRight w:val="0"/>
          <w:marTop w:val="0"/>
          <w:marBottom w:val="0"/>
          <w:divBdr>
            <w:top w:val="none" w:sz="0" w:space="0" w:color="auto"/>
            <w:left w:val="none" w:sz="0" w:space="0" w:color="auto"/>
            <w:bottom w:val="none" w:sz="0" w:space="0" w:color="auto"/>
            <w:right w:val="none" w:sz="0" w:space="0" w:color="auto"/>
          </w:divBdr>
        </w:div>
        <w:div w:id="273945055">
          <w:marLeft w:val="0"/>
          <w:marRight w:val="0"/>
          <w:marTop w:val="0"/>
          <w:marBottom w:val="0"/>
          <w:divBdr>
            <w:top w:val="none" w:sz="0" w:space="0" w:color="auto"/>
            <w:left w:val="none" w:sz="0" w:space="0" w:color="auto"/>
            <w:bottom w:val="none" w:sz="0" w:space="0" w:color="auto"/>
            <w:right w:val="none" w:sz="0" w:space="0" w:color="auto"/>
          </w:divBdr>
        </w:div>
        <w:div w:id="410351751">
          <w:marLeft w:val="0"/>
          <w:marRight w:val="0"/>
          <w:marTop w:val="0"/>
          <w:marBottom w:val="0"/>
          <w:divBdr>
            <w:top w:val="none" w:sz="0" w:space="0" w:color="auto"/>
            <w:left w:val="none" w:sz="0" w:space="0" w:color="auto"/>
            <w:bottom w:val="none" w:sz="0" w:space="0" w:color="auto"/>
            <w:right w:val="none" w:sz="0" w:space="0" w:color="auto"/>
          </w:divBdr>
        </w:div>
      </w:divsChild>
    </w:div>
    <w:div w:id="399444472">
      <w:bodyDiv w:val="1"/>
      <w:marLeft w:val="0"/>
      <w:marRight w:val="0"/>
      <w:marTop w:val="0"/>
      <w:marBottom w:val="0"/>
      <w:divBdr>
        <w:top w:val="none" w:sz="0" w:space="0" w:color="auto"/>
        <w:left w:val="none" w:sz="0" w:space="0" w:color="auto"/>
        <w:bottom w:val="none" w:sz="0" w:space="0" w:color="auto"/>
        <w:right w:val="none" w:sz="0" w:space="0" w:color="auto"/>
      </w:divBdr>
      <w:divsChild>
        <w:div w:id="1598833553">
          <w:marLeft w:val="0"/>
          <w:marRight w:val="0"/>
          <w:marTop w:val="0"/>
          <w:marBottom w:val="0"/>
          <w:divBdr>
            <w:top w:val="none" w:sz="0" w:space="0" w:color="auto"/>
            <w:left w:val="none" w:sz="0" w:space="0" w:color="auto"/>
            <w:bottom w:val="none" w:sz="0" w:space="0" w:color="auto"/>
            <w:right w:val="none" w:sz="0" w:space="0" w:color="auto"/>
          </w:divBdr>
        </w:div>
        <w:div w:id="460539966">
          <w:marLeft w:val="0"/>
          <w:marRight w:val="0"/>
          <w:marTop w:val="0"/>
          <w:marBottom w:val="0"/>
          <w:divBdr>
            <w:top w:val="none" w:sz="0" w:space="0" w:color="auto"/>
            <w:left w:val="none" w:sz="0" w:space="0" w:color="auto"/>
            <w:bottom w:val="none" w:sz="0" w:space="0" w:color="auto"/>
            <w:right w:val="none" w:sz="0" w:space="0" w:color="auto"/>
          </w:divBdr>
        </w:div>
      </w:divsChild>
    </w:div>
    <w:div w:id="499387926">
      <w:bodyDiv w:val="1"/>
      <w:marLeft w:val="0"/>
      <w:marRight w:val="0"/>
      <w:marTop w:val="0"/>
      <w:marBottom w:val="0"/>
      <w:divBdr>
        <w:top w:val="none" w:sz="0" w:space="0" w:color="auto"/>
        <w:left w:val="none" w:sz="0" w:space="0" w:color="auto"/>
        <w:bottom w:val="none" w:sz="0" w:space="0" w:color="auto"/>
        <w:right w:val="none" w:sz="0" w:space="0" w:color="auto"/>
      </w:divBdr>
      <w:divsChild>
        <w:div w:id="1169324365">
          <w:marLeft w:val="0"/>
          <w:marRight w:val="0"/>
          <w:marTop w:val="0"/>
          <w:marBottom w:val="0"/>
          <w:divBdr>
            <w:top w:val="none" w:sz="0" w:space="0" w:color="auto"/>
            <w:left w:val="none" w:sz="0" w:space="0" w:color="auto"/>
            <w:bottom w:val="none" w:sz="0" w:space="0" w:color="auto"/>
            <w:right w:val="none" w:sz="0" w:space="0" w:color="auto"/>
          </w:divBdr>
        </w:div>
        <w:div w:id="755370592">
          <w:marLeft w:val="0"/>
          <w:marRight w:val="0"/>
          <w:marTop w:val="0"/>
          <w:marBottom w:val="0"/>
          <w:divBdr>
            <w:top w:val="none" w:sz="0" w:space="0" w:color="auto"/>
            <w:left w:val="none" w:sz="0" w:space="0" w:color="auto"/>
            <w:bottom w:val="none" w:sz="0" w:space="0" w:color="auto"/>
            <w:right w:val="none" w:sz="0" w:space="0" w:color="auto"/>
          </w:divBdr>
        </w:div>
        <w:div w:id="265700357">
          <w:marLeft w:val="0"/>
          <w:marRight w:val="0"/>
          <w:marTop w:val="0"/>
          <w:marBottom w:val="0"/>
          <w:divBdr>
            <w:top w:val="none" w:sz="0" w:space="0" w:color="auto"/>
            <w:left w:val="none" w:sz="0" w:space="0" w:color="auto"/>
            <w:bottom w:val="none" w:sz="0" w:space="0" w:color="auto"/>
            <w:right w:val="none" w:sz="0" w:space="0" w:color="auto"/>
          </w:divBdr>
        </w:div>
        <w:div w:id="560024929">
          <w:marLeft w:val="0"/>
          <w:marRight w:val="0"/>
          <w:marTop w:val="0"/>
          <w:marBottom w:val="0"/>
          <w:divBdr>
            <w:top w:val="none" w:sz="0" w:space="0" w:color="auto"/>
            <w:left w:val="none" w:sz="0" w:space="0" w:color="auto"/>
            <w:bottom w:val="none" w:sz="0" w:space="0" w:color="auto"/>
            <w:right w:val="none" w:sz="0" w:space="0" w:color="auto"/>
          </w:divBdr>
        </w:div>
      </w:divsChild>
    </w:div>
    <w:div w:id="666057971">
      <w:bodyDiv w:val="1"/>
      <w:marLeft w:val="0"/>
      <w:marRight w:val="0"/>
      <w:marTop w:val="0"/>
      <w:marBottom w:val="0"/>
      <w:divBdr>
        <w:top w:val="none" w:sz="0" w:space="0" w:color="auto"/>
        <w:left w:val="none" w:sz="0" w:space="0" w:color="auto"/>
        <w:bottom w:val="none" w:sz="0" w:space="0" w:color="auto"/>
        <w:right w:val="none" w:sz="0" w:space="0" w:color="auto"/>
      </w:divBdr>
      <w:divsChild>
        <w:div w:id="1873031638">
          <w:marLeft w:val="0"/>
          <w:marRight w:val="0"/>
          <w:marTop w:val="0"/>
          <w:marBottom w:val="0"/>
          <w:divBdr>
            <w:top w:val="none" w:sz="0" w:space="0" w:color="auto"/>
            <w:left w:val="none" w:sz="0" w:space="0" w:color="auto"/>
            <w:bottom w:val="none" w:sz="0" w:space="0" w:color="auto"/>
            <w:right w:val="none" w:sz="0" w:space="0" w:color="auto"/>
          </w:divBdr>
        </w:div>
        <w:div w:id="57633105">
          <w:marLeft w:val="0"/>
          <w:marRight w:val="0"/>
          <w:marTop w:val="0"/>
          <w:marBottom w:val="0"/>
          <w:divBdr>
            <w:top w:val="none" w:sz="0" w:space="0" w:color="auto"/>
            <w:left w:val="none" w:sz="0" w:space="0" w:color="auto"/>
            <w:bottom w:val="none" w:sz="0" w:space="0" w:color="auto"/>
            <w:right w:val="none" w:sz="0" w:space="0" w:color="auto"/>
          </w:divBdr>
        </w:div>
        <w:div w:id="1613707508">
          <w:marLeft w:val="0"/>
          <w:marRight w:val="0"/>
          <w:marTop w:val="0"/>
          <w:marBottom w:val="0"/>
          <w:divBdr>
            <w:top w:val="none" w:sz="0" w:space="0" w:color="auto"/>
            <w:left w:val="none" w:sz="0" w:space="0" w:color="auto"/>
            <w:bottom w:val="none" w:sz="0" w:space="0" w:color="auto"/>
            <w:right w:val="none" w:sz="0" w:space="0" w:color="auto"/>
          </w:divBdr>
        </w:div>
        <w:div w:id="119955151">
          <w:marLeft w:val="0"/>
          <w:marRight w:val="0"/>
          <w:marTop w:val="0"/>
          <w:marBottom w:val="0"/>
          <w:divBdr>
            <w:top w:val="none" w:sz="0" w:space="0" w:color="auto"/>
            <w:left w:val="none" w:sz="0" w:space="0" w:color="auto"/>
            <w:bottom w:val="none" w:sz="0" w:space="0" w:color="auto"/>
            <w:right w:val="none" w:sz="0" w:space="0" w:color="auto"/>
          </w:divBdr>
        </w:div>
        <w:div w:id="1367871035">
          <w:marLeft w:val="0"/>
          <w:marRight w:val="0"/>
          <w:marTop w:val="0"/>
          <w:marBottom w:val="0"/>
          <w:divBdr>
            <w:top w:val="none" w:sz="0" w:space="0" w:color="auto"/>
            <w:left w:val="none" w:sz="0" w:space="0" w:color="auto"/>
            <w:bottom w:val="none" w:sz="0" w:space="0" w:color="auto"/>
            <w:right w:val="none" w:sz="0" w:space="0" w:color="auto"/>
          </w:divBdr>
        </w:div>
        <w:div w:id="1989824764">
          <w:marLeft w:val="0"/>
          <w:marRight w:val="0"/>
          <w:marTop w:val="0"/>
          <w:marBottom w:val="0"/>
          <w:divBdr>
            <w:top w:val="none" w:sz="0" w:space="0" w:color="auto"/>
            <w:left w:val="none" w:sz="0" w:space="0" w:color="auto"/>
            <w:bottom w:val="none" w:sz="0" w:space="0" w:color="auto"/>
            <w:right w:val="none" w:sz="0" w:space="0" w:color="auto"/>
          </w:divBdr>
        </w:div>
        <w:div w:id="1958826501">
          <w:marLeft w:val="0"/>
          <w:marRight w:val="0"/>
          <w:marTop w:val="0"/>
          <w:marBottom w:val="0"/>
          <w:divBdr>
            <w:top w:val="none" w:sz="0" w:space="0" w:color="auto"/>
            <w:left w:val="none" w:sz="0" w:space="0" w:color="auto"/>
            <w:bottom w:val="none" w:sz="0" w:space="0" w:color="auto"/>
            <w:right w:val="none" w:sz="0" w:space="0" w:color="auto"/>
          </w:divBdr>
        </w:div>
        <w:div w:id="744689789">
          <w:marLeft w:val="0"/>
          <w:marRight w:val="0"/>
          <w:marTop w:val="0"/>
          <w:marBottom w:val="0"/>
          <w:divBdr>
            <w:top w:val="none" w:sz="0" w:space="0" w:color="auto"/>
            <w:left w:val="none" w:sz="0" w:space="0" w:color="auto"/>
            <w:bottom w:val="none" w:sz="0" w:space="0" w:color="auto"/>
            <w:right w:val="none" w:sz="0" w:space="0" w:color="auto"/>
          </w:divBdr>
        </w:div>
        <w:div w:id="308051200">
          <w:marLeft w:val="0"/>
          <w:marRight w:val="0"/>
          <w:marTop w:val="0"/>
          <w:marBottom w:val="0"/>
          <w:divBdr>
            <w:top w:val="none" w:sz="0" w:space="0" w:color="auto"/>
            <w:left w:val="none" w:sz="0" w:space="0" w:color="auto"/>
            <w:bottom w:val="none" w:sz="0" w:space="0" w:color="auto"/>
            <w:right w:val="none" w:sz="0" w:space="0" w:color="auto"/>
          </w:divBdr>
        </w:div>
        <w:div w:id="506290038">
          <w:marLeft w:val="0"/>
          <w:marRight w:val="0"/>
          <w:marTop w:val="0"/>
          <w:marBottom w:val="0"/>
          <w:divBdr>
            <w:top w:val="none" w:sz="0" w:space="0" w:color="auto"/>
            <w:left w:val="none" w:sz="0" w:space="0" w:color="auto"/>
            <w:bottom w:val="none" w:sz="0" w:space="0" w:color="auto"/>
            <w:right w:val="none" w:sz="0" w:space="0" w:color="auto"/>
          </w:divBdr>
        </w:div>
        <w:div w:id="1428116016">
          <w:marLeft w:val="0"/>
          <w:marRight w:val="0"/>
          <w:marTop w:val="0"/>
          <w:marBottom w:val="0"/>
          <w:divBdr>
            <w:top w:val="none" w:sz="0" w:space="0" w:color="auto"/>
            <w:left w:val="none" w:sz="0" w:space="0" w:color="auto"/>
            <w:bottom w:val="none" w:sz="0" w:space="0" w:color="auto"/>
            <w:right w:val="none" w:sz="0" w:space="0" w:color="auto"/>
          </w:divBdr>
        </w:div>
      </w:divsChild>
    </w:div>
    <w:div w:id="676151893">
      <w:bodyDiv w:val="1"/>
      <w:marLeft w:val="0"/>
      <w:marRight w:val="0"/>
      <w:marTop w:val="0"/>
      <w:marBottom w:val="0"/>
      <w:divBdr>
        <w:top w:val="none" w:sz="0" w:space="0" w:color="auto"/>
        <w:left w:val="none" w:sz="0" w:space="0" w:color="auto"/>
        <w:bottom w:val="none" w:sz="0" w:space="0" w:color="auto"/>
        <w:right w:val="none" w:sz="0" w:space="0" w:color="auto"/>
      </w:divBdr>
      <w:divsChild>
        <w:div w:id="1526094278">
          <w:marLeft w:val="0"/>
          <w:marRight w:val="0"/>
          <w:marTop w:val="0"/>
          <w:marBottom w:val="0"/>
          <w:divBdr>
            <w:top w:val="none" w:sz="0" w:space="0" w:color="auto"/>
            <w:left w:val="none" w:sz="0" w:space="0" w:color="auto"/>
            <w:bottom w:val="none" w:sz="0" w:space="0" w:color="auto"/>
            <w:right w:val="none" w:sz="0" w:space="0" w:color="auto"/>
          </w:divBdr>
        </w:div>
        <w:div w:id="850223336">
          <w:marLeft w:val="0"/>
          <w:marRight w:val="0"/>
          <w:marTop w:val="0"/>
          <w:marBottom w:val="0"/>
          <w:divBdr>
            <w:top w:val="none" w:sz="0" w:space="0" w:color="auto"/>
            <w:left w:val="none" w:sz="0" w:space="0" w:color="auto"/>
            <w:bottom w:val="none" w:sz="0" w:space="0" w:color="auto"/>
            <w:right w:val="none" w:sz="0" w:space="0" w:color="auto"/>
          </w:divBdr>
        </w:div>
        <w:div w:id="1361854211">
          <w:marLeft w:val="0"/>
          <w:marRight w:val="0"/>
          <w:marTop w:val="0"/>
          <w:marBottom w:val="0"/>
          <w:divBdr>
            <w:top w:val="none" w:sz="0" w:space="0" w:color="auto"/>
            <w:left w:val="none" w:sz="0" w:space="0" w:color="auto"/>
            <w:bottom w:val="none" w:sz="0" w:space="0" w:color="auto"/>
            <w:right w:val="none" w:sz="0" w:space="0" w:color="auto"/>
          </w:divBdr>
        </w:div>
        <w:div w:id="2122451963">
          <w:marLeft w:val="0"/>
          <w:marRight w:val="0"/>
          <w:marTop w:val="0"/>
          <w:marBottom w:val="0"/>
          <w:divBdr>
            <w:top w:val="none" w:sz="0" w:space="0" w:color="auto"/>
            <w:left w:val="none" w:sz="0" w:space="0" w:color="auto"/>
            <w:bottom w:val="none" w:sz="0" w:space="0" w:color="auto"/>
            <w:right w:val="none" w:sz="0" w:space="0" w:color="auto"/>
          </w:divBdr>
        </w:div>
      </w:divsChild>
    </w:div>
    <w:div w:id="792552341">
      <w:bodyDiv w:val="1"/>
      <w:marLeft w:val="0"/>
      <w:marRight w:val="0"/>
      <w:marTop w:val="0"/>
      <w:marBottom w:val="0"/>
      <w:divBdr>
        <w:top w:val="none" w:sz="0" w:space="0" w:color="auto"/>
        <w:left w:val="none" w:sz="0" w:space="0" w:color="auto"/>
        <w:bottom w:val="none" w:sz="0" w:space="0" w:color="auto"/>
        <w:right w:val="none" w:sz="0" w:space="0" w:color="auto"/>
      </w:divBdr>
      <w:divsChild>
        <w:div w:id="478813856">
          <w:marLeft w:val="0"/>
          <w:marRight w:val="0"/>
          <w:marTop w:val="0"/>
          <w:marBottom w:val="0"/>
          <w:divBdr>
            <w:top w:val="none" w:sz="0" w:space="0" w:color="auto"/>
            <w:left w:val="none" w:sz="0" w:space="0" w:color="auto"/>
            <w:bottom w:val="none" w:sz="0" w:space="0" w:color="auto"/>
            <w:right w:val="none" w:sz="0" w:space="0" w:color="auto"/>
          </w:divBdr>
        </w:div>
        <w:div w:id="1791164851">
          <w:marLeft w:val="0"/>
          <w:marRight w:val="0"/>
          <w:marTop w:val="0"/>
          <w:marBottom w:val="0"/>
          <w:divBdr>
            <w:top w:val="none" w:sz="0" w:space="0" w:color="auto"/>
            <w:left w:val="none" w:sz="0" w:space="0" w:color="auto"/>
            <w:bottom w:val="none" w:sz="0" w:space="0" w:color="auto"/>
            <w:right w:val="none" w:sz="0" w:space="0" w:color="auto"/>
          </w:divBdr>
        </w:div>
      </w:divsChild>
    </w:div>
    <w:div w:id="984626979">
      <w:bodyDiv w:val="1"/>
      <w:marLeft w:val="0"/>
      <w:marRight w:val="0"/>
      <w:marTop w:val="0"/>
      <w:marBottom w:val="0"/>
      <w:divBdr>
        <w:top w:val="none" w:sz="0" w:space="0" w:color="auto"/>
        <w:left w:val="none" w:sz="0" w:space="0" w:color="auto"/>
        <w:bottom w:val="none" w:sz="0" w:space="0" w:color="auto"/>
        <w:right w:val="none" w:sz="0" w:space="0" w:color="auto"/>
      </w:divBdr>
      <w:divsChild>
        <w:div w:id="487938280">
          <w:marLeft w:val="0"/>
          <w:marRight w:val="0"/>
          <w:marTop w:val="0"/>
          <w:marBottom w:val="0"/>
          <w:divBdr>
            <w:top w:val="none" w:sz="0" w:space="0" w:color="auto"/>
            <w:left w:val="none" w:sz="0" w:space="0" w:color="auto"/>
            <w:bottom w:val="none" w:sz="0" w:space="0" w:color="auto"/>
            <w:right w:val="none" w:sz="0" w:space="0" w:color="auto"/>
          </w:divBdr>
        </w:div>
        <w:div w:id="1326779837">
          <w:marLeft w:val="0"/>
          <w:marRight w:val="0"/>
          <w:marTop w:val="0"/>
          <w:marBottom w:val="0"/>
          <w:divBdr>
            <w:top w:val="none" w:sz="0" w:space="0" w:color="auto"/>
            <w:left w:val="none" w:sz="0" w:space="0" w:color="auto"/>
            <w:bottom w:val="none" w:sz="0" w:space="0" w:color="auto"/>
            <w:right w:val="none" w:sz="0" w:space="0" w:color="auto"/>
          </w:divBdr>
        </w:div>
        <w:div w:id="322899882">
          <w:marLeft w:val="0"/>
          <w:marRight w:val="0"/>
          <w:marTop w:val="0"/>
          <w:marBottom w:val="0"/>
          <w:divBdr>
            <w:top w:val="none" w:sz="0" w:space="0" w:color="auto"/>
            <w:left w:val="none" w:sz="0" w:space="0" w:color="auto"/>
            <w:bottom w:val="none" w:sz="0" w:space="0" w:color="auto"/>
            <w:right w:val="none" w:sz="0" w:space="0" w:color="auto"/>
          </w:divBdr>
        </w:div>
        <w:div w:id="1927767172">
          <w:marLeft w:val="0"/>
          <w:marRight w:val="0"/>
          <w:marTop w:val="0"/>
          <w:marBottom w:val="0"/>
          <w:divBdr>
            <w:top w:val="none" w:sz="0" w:space="0" w:color="auto"/>
            <w:left w:val="none" w:sz="0" w:space="0" w:color="auto"/>
            <w:bottom w:val="none" w:sz="0" w:space="0" w:color="auto"/>
            <w:right w:val="none" w:sz="0" w:space="0" w:color="auto"/>
          </w:divBdr>
        </w:div>
        <w:div w:id="1206412509">
          <w:marLeft w:val="0"/>
          <w:marRight w:val="0"/>
          <w:marTop w:val="0"/>
          <w:marBottom w:val="0"/>
          <w:divBdr>
            <w:top w:val="none" w:sz="0" w:space="0" w:color="auto"/>
            <w:left w:val="none" w:sz="0" w:space="0" w:color="auto"/>
            <w:bottom w:val="none" w:sz="0" w:space="0" w:color="auto"/>
            <w:right w:val="none" w:sz="0" w:space="0" w:color="auto"/>
          </w:divBdr>
        </w:div>
        <w:div w:id="608394145">
          <w:marLeft w:val="0"/>
          <w:marRight w:val="0"/>
          <w:marTop w:val="0"/>
          <w:marBottom w:val="0"/>
          <w:divBdr>
            <w:top w:val="none" w:sz="0" w:space="0" w:color="auto"/>
            <w:left w:val="none" w:sz="0" w:space="0" w:color="auto"/>
            <w:bottom w:val="none" w:sz="0" w:space="0" w:color="auto"/>
            <w:right w:val="none" w:sz="0" w:space="0" w:color="auto"/>
          </w:divBdr>
        </w:div>
        <w:div w:id="1222206287">
          <w:marLeft w:val="0"/>
          <w:marRight w:val="0"/>
          <w:marTop w:val="0"/>
          <w:marBottom w:val="0"/>
          <w:divBdr>
            <w:top w:val="none" w:sz="0" w:space="0" w:color="auto"/>
            <w:left w:val="none" w:sz="0" w:space="0" w:color="auto"/>
            <w:bottom w:val="none" w:sz="0" w:space="0" w:color="auto"/>
            <w:right w:val="none" w:sz="0" w:space="0" w:color="auto"/>
          </w:divBdr>
        </w:div>
        <w:div w:id="1908565367">
          <w:marLeft w:val="0"/>
          <w:marRight w:val="0"/>
          <w:marTop w:val="0"/>
          <w:marBottom w:val="0"/>
          <w:divBdr>
            <w:top w:val="none" w:sz="0" w:space="0" w:color="auto"/>
            <w:left w:val="none" w:sz="0" w:space="0" w:color="auto"/>
            <w:bottom w:val="none" w:sz="0" w:space="0" w:color="auto"/>
            <w:right w:val="none" w:sz="0" w:space="0" w:color="auto"/>
          </w:divBdr>
        </w:div>
        <w:div w:id="1064063823">
          <w:marLeft w:val="0"/>
          <w:marRight w:val="0"/>
          <w:marTop w:val="0"/>
          <w:marBottom w:val="0"/>
          <w:divBdr>
            <w:top w:val="none" w:sz="0" w:space="0" w:color="auto"/>
            <w:left w:val="none" w:sz="0" w:space="0" w:color="auto"/>
            <w:bottom w:val="none" w:sz="0" w:space="0" w:color="auto"/>
            <w:right w:val="none" w:sz="0" w:space="0" w:color="auto"/>
          </w:divBdr>
        </w:div>
        <w:div w:id="493886036">
          <w:marLeft w:val="0"/>
          <w:marRight w:val="0"/>
          <w:marTop w:val="0"/>
          <w:marBottom w:val="0"/>
          <w:divBdr>
            <w:top w:val="none" w:sz="0" w:space="0" w:color="auto"/>
            <w:left w:val="none" w:sz="0" w:space="0" w:color="auto"/>
            <w:bottom w:val="none" w:sz="0" w:space="0" w:color="auto"/>
            <w:right w:val="none" w:sz="0" w:space="0" w:color="auto"/>
          </w:divBdr>
        </w:div>
        <w:div w:id="672221657">
          <w:marLeft w:val="0"/>
          <w:marRight w:val="0"/>
          <w:marTop w:val="0"/>
          <w:marBottom w:val="0"/>
          <w:divBdr>
            <w:top w:val="none" w:sz="0" w:space="0" w:color="auto"/>
            <w:left w:val="none" w:sz="0" w:space="0" w:color="auto"/>
            <w:bottom w:val="none" w:sz="0" w:space="0" w:color="auto"/>
            <w:right w:val="none" w:sz="0" w:space="0" w:color="auto"/>
          </w:divBdr>
        </w:div>
      </w:divsChild>
    </w:div>
    <w:div w:id="1073047226">
      <w:bodyDiv w:val="1"/>
      <w:marLeft w:val="0"/>
      <w:marRight w:val="0"/>
      <w:marTop w:val="0"/>
      <w:marBottom w:val="0"/>
      <w:divBdr>
        <w:top w:val="none" w:sz="0" w:space="0" w:color="auto"/>
        <w:left w:val="none" w:sz="0" w:space="0" w:color="auto"/>
        <w:bottom w:val="none" w:sz="0" w:space="0" w:color="auto"/>
        <w:right w:val="none" w:sz="0" w:space="0" w:color="auto"/>
      </w:divBdr>
      <w:divsChild>
        <w:div w:id="1736514994">
          <w:marLeft w:val="0"/>
          <w:marRight w:val="0"/>
          <w:marTop w:val="0"/>
          <w:marBottom w:val="0"/>
          <w:divBdr>
            <w:top w:val="none" w:sz="0" w:space="0" w:color="auto"/>
            <w:left w:val="none" w:sz="0" w:space="0" w:color="auto"/>
            <w:bottom w:val="none" w:sz="0" w:space="0" w:color="auto"/>
            <w:right w:val="none" w:sz="0" w:space="0" w:color="auto"/>
          </w:divBdr>
        </w:div>
        <w:div w:id="1486776175">
          <w:marLeft w:val="0"/>
          <w:marRight w:val="0"/>
          <w:marTop w:val="0"/>
          <w:marBottom w:val="0"/>
          <w:divBdr>
            <w:top w:val="none" w:sz="0" w:space="0" w:color="auto"/>
            <w:left w:val="none" w:sz="0" w:space="0" w:color="auto"/>
            <w:bottom w:val="none" w:sz="0" w:space="0" w:color="auto"/>
            <w:right w:val="none" w:sz="0" w:space="0" w:color="auto"/>
          </w:divBdr>
        </w:div>
        <w:div w:id="1108741395">
          <w:marLeft w:val="0"/>
          <w:marRight w:val="0"/>
          <w:marTop w:val="0"/>
          <w:marBottom w:val="0"/>
          <w:divBdr>
            <w:top w:val="none" w:sz="0" w:space="0" w:color="auto"/>
            <w:left w:val="none" w:sz="0" w:space="0" w:color="auto"/>
            <w:bottom w:val="none" w:sz="0" w:space="0" w:color="auto"/>
            <w:right w:val="none" w:sz="0" w:space="0" w:color="auto"/>
          </w:divBdr>
        </w:div>
        <w:div w:id="355624409">
          <w:marLeft w:val="0"/>
          <w:marRight w:val="0"/>
          <w:marTop w:val="0"/>
          <w:marBottom w:val="0"/>
          <w:divBdr>
            <w:top w:val="none" w:sz="0" w:space="0" w:color="auto"/>
            <w:left w:val="none" w:sz="0" w:space="0" w:color="auto"/>
            <w:bottom w:val="none" w:sz="0" w:space="0" w:color="auto"/>
            <w:right w:val="none" w:sz="0" w:space="0" w:color="auto"/>
          </w:divBdr>
        </w:div>
        <w:div w:id="1455565088">
          <w:marLeft w:val="0"/>
          <w:marRight w:val="0"/>
          <w:marTop w:val="0"/>
          <w:marBottom w:val="0"/>
          <w:divBdr>
            <w:top w:val="none" w:sz="0" w:space="0" w:color="auto"/>
            <w:left w:val="none" w:sz="0" w:space="0" w:color="auto"/>
            <w:bottom w:val="none" w:sz="0" w:space="0" w:color="auto"/>
            <w:right w:val="none" w:sz="0" w:space="0" w:color="auto"/>
          </w:divBdr>
        </w:div>
      </w:divsChild>
    </w:div>
    <w:div w:id="1196390174">
      <w:bodyDiv w:val="1"/>
      <w:marLeft w:val="0"/>
      <w:marRight w:val="0"/>
      <w:marTop w:val="0"/>
      <w:marBottom w:val="0"/>
      <w:divBdr>
        <w:top w:val="none" w:sz="0" w:space="0" w:color="auto"/>
        <w:left w:val="none" w:sz="0" w:space="0" w:color="auto"/>
        <w:bottom w:val="none" w:sz="0" w:space="0" w:color="auto"/>
        <w:right w:val="none" w:sz="0" w:space="0" w:color="auto"/>
      </w:divBdr>
      <w:divsChild>
        <w:div w:id="583228559">
          <w:marLeft w:val="0"/>
          <w:marRight w:val="0"/>
          <w:marTop w:val="0"/>
          <w:marBottom w:val="0"/>
          <w:divBdr>
            <w:top w:val="none" w:sz="0" w:space="0" w:color="auto"/>
            <w:left w:val="none" w:sz="0" w:space="0" w:color="auto"/>
            <w:bottom w:val="none" w:sz="0" w:space="0" w:color="auto"/>
            <w:right w:val="none" w:sz="0" w:space="0" w:color="auto"/>
          </w:divBdr>
        </w:div>
        <w:div w:id="209001226">
          <w:marLeft w:val="0"/>
          <w:marRight w:val="0"/>
          <w:marTop w:val="0"/>
          <w:marBottom w:val="0"/>
          <w:divBdr>
            <w:top w:val="none" w:sz="0" w:space="0" w:color="auto"/>
            <w:left w:val="none" w:sz="0" w:space="0" w:color="auto"/>
            <w:bottom w:val="none" w:sz="0" w:space="0" w:color="auto"/>
            <w:right w:val="none" w:sz="0" w:space="0" w:color="auto"/>
          </w:divBdr>
        </w:div>
        <w:div w:id="1467039786">
          <w:marLeft w:val="0"/>
          <w:marRight w:val="0"/>
          <w:marTop w:val="0"/>
          <w:marBottom w:val="0"/>
          <w:divBdr>
            <w:top w:val="none" w:sz="0" w:space="0" w:color="auto"/>
            <w:left w:val="none" w:sz="0" w:space="0" w:color="auto"/>
            <w:bottom w:val="none" w:sz="0" w:space="0" w:color="auto"/>
            <w:right w:val="none" w:sz="0" w:space="0" w:color="auto"/>
          </w:divBdr>
        </w:div>
        <w:div w:id="831525101">
          <w:marLeft w:val="0"/>
          <w:marRight w:val="0"/>
          <w:marTop w:val="0"/>
          <w:marBottom w:val="0"/>
          <w:divBdr>
            <w:top w:val="none" w:sz="0" w:space="0" w:color="auto"/>
            <w:left w:val="none" w:sz="0" w:space="0" w:color="auto"/>
            <w:bottom w:val="none" w:sz="0" w:space="0" w:color="auto"/>
            <w:right w:val="none" w:sz="0" w:space="0" w:color="auto"/>
          </w:divBdr>
        </w:div>
        <w:div w:id="1443377534">
          <w:marLeft w:val="0"/>
          <w:marRight w:val="0"/>
          <w:marTop w:val="0"/>
          <w:marBottom w:val="0"/>
          <w:divBdr>
            <w:top w:val="none" w:sz="0" w:space="0" w:color="auto"/>
            <w:left w:val="none" w:sz="0" w:space="0" w:color="auto"/>
            <w:bottom w:val="none" w:sz="0" w:space="0" w:color="auto"/>
            <w:right w:val="none" w:sz="0" w:space="0" w:color="auto"/>
          </w:divBdr>
        </w:div>
        <w:div w:id="1286156703">
          <w:marLeft w:val="0"/>
          <w:marRight w:val="0"/>
          <w:marTop w:val="0"/>
          <w:marBottom w:val="0"/>
          <w:divBdr>
            <w:top w:val="none" w:sz="0" w:space="0" w:color="auto"/>
            <w:left w:val="none" w:sz="0" w:space="0" w:color="auto"/>
            <w:bottom w:val="none" w:sz="0" w:space="0" w:color="auto"/>
            <w:right w:val="none" w:sz="0" w:space="0" w:color="auto"/>
          </w:divBdr>
        </w:div>
        <w:div w:id="699550527">
          <w:marLeft w:val="0"/>
          <w:marRight w:val="0"/>
          <w:marTop w:val="0"/>
          <w:marBottom w:val="0"/>
          <w:divBdr>
            <w:top w:val="none" w:sz="0" w:space="0" w:color="auto"/>
            <w:left w:val="none" w:sz="0" w:space="0" w:color="auto"/>
            <w:bottom w:val="none" w:sz="0" w:space="0" w:color="auto"/>
            <w:right w:val="none" w:sz="0" w:space="0" w:color="auto"/>
          </w:divBdr>
        </w:div>
      </w:divsChild>
    </w:div>
    <w:div w:id="1225684170">
      <w:bodyDiv w:val="1"/>
      <w:marLeft w:val="0"/>
      <w:marRight w:val="0"/>
      <w:marTop w:val="0"/>
      <w:marBottom w:val="0"/>
      <w:divBdr>
        <w:top w:val="none" w:sz="0" w:space="0" w:color="auto"/>
        <w:left w:val="none" w:sz="0" w:space="0" w:color="auto"/>
        <w:bottom w:val="none" w:sz="0" w:space="0" w:color="auto"/>
        <w:right w:val="none" w:sz="0" w:space="0" w:color="auto"/>
      </w:divBdr>
      <w:divsChild>
        <w:div w:id="81340228">
          <w:marLeft w:val="0"/>
          <w:marRight w:val="0"/>
          <w:marTop w:val="0"/>
          <w:marBottom w:val="0"/>
          <w:divBdr>
            <w:top w:val="none" w:sz="0" w:space="0" w:color="auto"/>
            <w:left w:val="none" w:sz="0" w:space="0" w:color="auto"/>
            <w:bottom w:val="none" w:sz="0" w:space="0" w:color="auto"/>
            <w:right w:val="none" w:sz="0" w:space="0" w:color="auto"/>
          </w:divBdr>
        </w:div>
        <w:div w:id="2056657273">
          <w:marLeft w:val="0"/>
          <w:marRight w:val="0"/>
          <w:marTop w:val="0"/>
          <w:marBottom w:val="0"/>
          <w:divBdr>
            <w:top w:val="none" w:sz="0" w:space="0" w:color="auto"/>
            <w:left w:val="none" w:sz="0" w:space="0" w:color="auto"/>
            <w:bottom w:val="none" w:sz="0" w:space="0" w:color="auto"/>
            <w:right w:val="none" w:sz="0" w:space="0" w:color="auto"/>
          </w:divBdr>
        </w:div>
        <w:div w:id="1401632766">
          <w:marLeft w:val="0"/>
          <w:marRight w:val="0"/>
          <w:marTop w:val="0"/>
          <w:marBottom w:val="0"/>
          <w:divBdr>
            <w:top w:val="none" w:sz="0" w:space="0" w:color="auto"/>
            <w:left w:val="none" w:sz="0" w:space="0" w:color="auto"/>
            <w:bottom w:val="none" w:sz="0" w:space="0" w:color="auto"/>
            <w:right w:val="none" w:sz="0" w:space="0" w:color="auto"/>
          </w:divBdr>
        </w:div>
        <w:div w:id="830801609">
          <w:marLeft w:val="0"/>
          <w:marRight w:val="0"/>
          <w:marTop w:val="0"/>
          <w:marBottom w:val="0"/>
          <w:divBdr>
            <w:top w:val="none" w:sz="0" w:space="0" w:color="auto"/>
            <w:left w:val="none" w:sz="0" w:space="0" w:color="auto"/>
            <w:bottom w:val="none" w:sz="0" w:space="0" w:color="auto"/>
            <w:right w:val="none" w:sz="0" w:space="0" w:color="auto"/>
          </w:divBdr>
        </w:div>
        <w:div w:id="1734281188">
          <w:marLeft w:val="0"/>
          <w:marRight w:val="0"/>
          <w:marTop w:val="0"/>
          <w:marBottom w:val="0"/>
          <w:divBdr>
            <w:top w:val="none" w:sz="0" w:space="0" w:color="auto"/>
            <w:left w:val="none" w:sz="0" w:space="0" w:color="auto"/>
            <w:bottom w:val="none" w:sz="0" w:space="0" w:color="auto"/>
            <w:right w:val="none" w:sz="0" w:space="0" w:color="auto"/>
          </w:divBdr>
        </w:div>
        <w:div w:id="1000934537">
          <w:marLeft w:val="0"/>
          <w:marRight w:val="0"/>
          <w:marTop w:val="0"/>
          <w:marBottom w:val="0"/>
          <w:divBdr>
            <w:top w:val="none" w:sz="0" w:space="0" w:color="auto"/>
            <w:left w:val="none" w:sz="0" w:space="0" w:color="auto"/>
            <w:bottom w:val="none" w:sz="0" w:space="0" w:color="auto"/>
            <w:right w:val="none" w:sz="0" w:space="0" w:color="auto"/>
          </w:divBdr>
        </w:div>
        <w:div w:id="2031639909">
          <w:marLeft w:val="0"/>
          <w:marRight w:val="0"/>
          <w:marTop w:val="0"/>
          <w:marBottom w:val="0"/>
          <w:divBdr>
            <w:top w:val="none" w:sz="0" w:space="0" w:color="auto"/>
            <w:left w:val="none" w:sz="0" w:space="0" w:color="auto"/>
            <w:bottom w:val="none" w:sz="0" w:space="0" w:color="auto"/>
            <w:right w:val="none" w:sz="0" w:space="0" w:color="auto"/>
          </w:divBdr>
        </w:div>
        <w:div w:id="148064624">
          <w:marLeft w:val="0"/>
          <w:marRight w:val="0"/>
          <w:marTop w:val="0"/>
          <w:marBottom w:val="0"/>
          <w:divBdr>
            <w:top w:val="none" w:sz="0" w:space="0" w:color="auto"/>
            <w:left w:val="none" w:sz="0" w:space="0" w:color="auto"/>
            <w:bottom w:val="none" w:sz="0" w:space="0" w:color="auto"/>
            <w:right w:val="none" w:sz="0" w:space="0" w:color="auto"/>
          </w:divBdr>
        </w:div>
        <w:div w:id="1673297203">
          <w:marLeft w:val="0"/>
          <w:marRight w:val="0"/>
          <w:marTop w:val="0"/>
          <w:marBottom w:val="0"/>
          <w:divBdr>
            <w:top w:val="none" w:sz="0" w:space="0" w:color="auto"/>
            <w:left w:val="none" w:sz="0" w:space="0" w:color="auto"/>
            <w:bottom w:val="none" w:sz="0" w:space="0" w:color="auto"/>
            <w:right w:val="none" w:sz="0" w:space="0" w:color="auto"/>
          </w:divBdr>
        </w:div>
        <w:div w:id="1025132589">
          <w:marLeft w:val="0"/>
          <w:marRight w:val="0"/>
          <w:marTop w:val="0"/>
          <w:marBottom w:val="0"/>
          <w:divBdr>
            <w:top w:val="none" w:sz="0" w:space="0" w:color="auto"/>
            <w:left w:val="none" w:sz="0" w:space="0" w:color="auto"/>
            <w:bottom w:val="none" w:sz="0" w:space="0" w:color="auto"/>
            <w:right w:val="none" w:sz="0" w:space="0" w:color="auto"/>
          </w:divBdr>
        </w:div>
        <w:div w:id="250898796">
          <w:marLeft w:val="0"/>
          <w:marRight w:val="0"/>
          <w:marTop w:val="0"/>
          <w:marBottom w:val="0"/>
          <w:divBdr>
            <w:top w:val="none" w:sz="0" w:space="0" w:color="auto"/>
            <w:left w:val="none" w:sz="0" w:space="0" w:color="auto"/>
            <w:bottom w:val="none" w:sz="0" w:space="0" w:color="auto"/>
            <w:right w:val="none" w:sz="0" w:space="0" w:color="auto"/>
          </w:divBdr>
        </w:div>
        <w:div w:id="2025671746">
          <w:marLeft w:val="0"/>
          <w:marRight w:val="0"/>
          <w:marTop w:val="0"/>
          <w:marBottom w:val="0"/>
          <w:divBdr>
            <w:top w:val="none" w:sz="0" w:space="0" w:color="auto"/>
            <w:left w:val="none" w:sz="0" w:space="0" w:color="auto"/>
            <w:bottom w:val="none" w:sz="0" w:space="0" w:color="auto"/>
            <w:right w:val="none" w:sz="0" w:space="0" w:color="auto"/>
          </w:divBdr>
        </w:div>
        <w:div w:id="392433950">
          <w:marLeft w:val="0"/>
          <w:marRight w:val="0"/>
          <w:marTop w:val="0"/>
          <w:marBottom w:val="0"/>
          <w:divBdr>
            <w:top w:val="none" w:sz="0" w:space="0" w:color="auto"/>
            <w:left w:val="none" w:sz="0" w:space="0" w:color="auto"/>
            <w:bottom w:val="none" w:sz="0" w:space="0" w:color="auto"/>
            <w:right w:val="none" w:sz="0" w:space="0" w:color="auto"/>
          </w:divBdr>
        </w:div>
        <w:div w:id="1274943125">
          <w:marLeft w:val="0"/>
          <w:marRight w:val="0"/>
          <w:marTop w:val="0"/>
          <w:marBottom w:val="0"/>
          <w:divBdr>
            <w:top w:val="none" w:sz="0" w:space="0" w:color="auto"/>
            <w:left w:val="none" w:sz="0" w:space="0" w:color="auto"/>
            <w:bottom w:val="none" w:sz="0" w:space="0" w:color="auto"/>
            <w:right w:val="none" w:sz="0" w:space="0" w:color="auto"/>
          </w:divBdr>
        </w:div>
        <w:div w:id="1903560594">
          <w:marLeft w:val="0"/>
          <w:marRight w:val="0"/>
          <w:marTop w:val="0"/>
          <w:marBottom w:val="0"/>
          <w:divBdr>
            <w:top w:val="none" w:sz="0" w:space="0" w:color="auto"/>
            <w:left w:val="none" w:sz="0" w:space="0" w:color="auto"/>
            <w:bottom w:val="none" w:sz="0" w:space="0" w:color="auto"/>
            <w:right w:val="none" w:sz="0" w:space="0" w:color="auto"/>
          </w:divBdr>
        </w:div>
        <w:div w:id="1772823770">
          <w:marLeft w:val="0"/>
          <w:marRight w:val="0"/>
          <w:marTop w:val="0"/>
          <w:marBottom w:val="0"/>
          <w:divBdr>
            <w:top w:val="none" w:sz="0" w:space="0" w:color="auto"/>
            <w:left w:val="none" w:sz="0" w:space="0" w:color="auto"/>
            <w:bottom w:val="none" w:sz="0" w:space="0" w:color="auto"/>
            <w:right w:val="none" w:sz="0" w:space="0" w:color="auto"/>
          </w:divBdr>
        </w:div>
        <w:div w:id="1333606979">
          <w:marLeft w:val="0"/>
          <w:marRight w:val="0"/>
          <w:marTop w:val="0"/>
          <w:marBottom w:val="0"/>
          <w:divBdr>
            <w:top w:val="none" w:sz="0" w:space="0" w:color="auto"/>
            <w:left w:val="none" w:sz="0" w:space="0" w:color="auto"/>
            <w:bottom w:val="none" w:sz="0" w:space="0" w:color="auto"/>
            <w:right w:val="none" w:sz="0" w:space="0" w:color="auto"/>
          </w:divBdr>
        </w:div>
        <w:div w:id="645089021">
          <w:marLeft w:val="0"/>
          <w:marRight w:val="0"/>
          <w:marTop w:val="0"/>
          <w:marBottom w:val="0"/>
          <w:divBdr>
            <w:top w:val="none" w:sz="0" w:space="0" w:color="auto"/>
            <w:left w:val="none" w:sz="0" w:space="0" w:color="auto"/>
            <w:bottom w:val="none" w:sz="0" w:space="0" w:color="auto"/>
            <w:right w:val="none" w:sz="0" w:space="0" w:color="auto"/>
          </w:divBdr>
        </w:div>
        <w:div w:id="2068722997">
          <w:marLeft w:val="0"/>
          <w:marRight w:val="0"/>
          <w:marTop w:val="0"/>
          <w:marBottom w:val="0"/>
          <w:divBdr>
            <w:top w:val="none" w:sz="0" w:space="0" w:color="auto"/>
            <w:left w:val="none" w:sz="0" w:space="0" w:color="auto"/>
            <w:bottom w:val="none" w:sz="0" w:space="0" w:color="auto"/>
            <w:right w:val="none" w:sz="0" w:space="0" w:color="auto"/>
          </w:divBdr>
        </w:div>
        <w:div w:id="969020810">
          <w:marLeft w:val="0"/>
          <w:marRight w:val="0"/>
          <w:marTop w:val="0"/>
          <w:marBottom w:val="0"/>
          <w:divBdr>
            <w:top w:val="none" w:sz="0" w:space="0" w:color="auto"/>
            <w:left w:val="none" w:sz="0" w:space="0" w:color="auto"/>
            <w:bottom w:val="none" w:sz="0" w:space="0" w:color="auto"/>
            <w:right w:val="none" w:sz="0" w:space="0" w:color="auto"/>
          </w:divBdr>
        </w:div>
        <w:div w:id="1265573100">
          <w:marLeft w:val="0"/>
          <w:marRight w:val="0"/>
          <w:marTop w:val="0"/>
          <w:marBottom w:val="0"/>
          <w:divBdr>
            <w:top w:val="none" w:sz="0" w:space="0" w:color="auto"/>
            <w:left w:val="none" w:sz="0" w:space="0" w:color="auto"/>
            <w:bottom w:val="none" w:sz="0" w:space="0" w:color="auto"/>
            <w:right w:val="none" w:sz="0" w:space="0" w:color="auto"/>
          </w:divBdr>
        </w:div>
        <w:div w:id="574440389">
          <w:marLeft w:val="0"/>
          <w:marRight w:val="0"/>
          <w:marTop w:val="0"/>
          <w:marBottom w:val="0"/>
          <w:divBdr>
            <w:top w:val="none" w:sz="0" w:space="0" w:color="auto"/>
            <w:left w:val="none" w:sz="0" w:space="0" w:color="auto"/>
            <w:bottom w:val="none" w:sz="0" w:space="0" w:color="auto"/>
            <w:right w:val="none" w:sz="0" w:space="0" w:color="auto"/>
          </w:divBdr>
        </w:div>
        <w:div w:id="1715343945">
          <w:marLeft w:val="0"/>
          <w:marRight w:val="0"/>
          <w:marTop w:val="0"/>
          <w:marBottom w:val="0"/>
          <w:divBdr>
            <w:top w:val="none" w:sz="0" w:space="0" w:color="auto"/>
            <w:left w:val="none" w:sz="0" w:space="0" w:color="auto"/>
            <w:bottom w:val="none" w:sz="0" w:space="0" w:color="auto"/>
            <w:right w:val="none" w:sz="0" w:space="0" w:color="auto"/>
          </w:divBdr>
        </w:div>
        <w:div w:id="174224624">
          <w:marLeft w:val="0"/>
          <w:marRight w:val="0"/>
          <w:marTop w:val="0"/>
          <w:marBottom w:val="0"/>
          <w:divBdr>
            <w:top w:val="none" w:sz="0" w:space="0" w:color="auto"/>
            <w:left w:val="none" w:sz="0" w:space="0" w:color="auto"/>
            <w:bottom w:val="none" w:sz="0" w:space="0" w:color="auto"/>
            <w:right w:val="none" w:sz="0" w:space="0" w:color="auto"/>
          </w:divBdr>
        </w:div>
      </w:divsChild>
    </w:div>
    <w:div w:id="1277982153">
      <w:bodyDiv w:val="1"/>
      <w:marLeft w:val="0"/>
      <w:marRight w:val="0"/>
      <w:marTop w:val="0"/>
      <w:marBottom w:val="0"/>
      <w:divBdr>
        <w:top w:val="none" w:sz="0" w:space="0" w:color="auto"/>
        <w:left w:val="none" w:sz="0" w:space="0" w:color="auto"/>
        <w:bottom w:val="none" w:sz="0" w:space="0" w:color="auto"/>
        <w:right w:val="none" w:sz="0" w:space="0" w:color="auto"/>
      </w:divBdr>
      <w:divsChild>
        <w:div w:id="221715921">
          <w:marLeft w:val="0"/>
          <w:marRight w:val="0"/>
          <w:marTop w:val="0"/>
          <w:marBottom w:val="0"/>
          <w:divBdr>
            <w:top w:val="none" w:sz="0" w:space="0" w:color="auto"/>
            <w:left w:val="none" w:sz="0" w:space="0" w:color="auto"/>
            <w:bottom w:val="none" w:sz="0" w:space="0" w:color="auto"/>
            <w:right w:val="none" w:sz="0" w:space="0" w:color="auto"/>
          </w:divBdr>
        </w:div>
        <w:div w:id="1737626745">
          <w:marLeft w:val="0"/>
          <w:marRight w:val="0"/>
          <w:marTop w:val="0"/>
          <w:marBottom w:val="0"/>
          <w:divBdr>
            <w:top w:val="none" w:sz="0" w:space="0" w:color="auto"/>
            <w:left w:val="none" w:sz="0" w:space="0" w:color="auto"/>
            <w:bottom w:val="none" w:sz="0" w:space="0" w:color="auto"/>
            <w:right w:val="none" w:sz="0" w:space="0" w:color="auto"/>
          </w:divBdr>
        </w:div>
        <w:div w:id="2110806901">
          <w:marLeft w:val="0"/>
          <w:marRight w:val="0"/>
          <w:marTop w:val="0"/>
          <w:marBottom w:val="0"/>
          <w:divBdr>
            <w:top w:val="none" w:sz="0" w:space="0" w:color="auto"/>
            <w:left w:val="none" w:sz="0" w:space="0" w:color="auto"/>
            <w:bottom w:val="none" w:sz="0" w:space="0" w:color="auto"/>
            <w:right w:val="none" w:sz="0" w:space="0" w:color="auto"/>
          </w:divBdr>
        </w:div>
        <w:div w:id="931469867">
          <w:marLeft w:val="0"/>
          <w:marRight w:val="0"/>
          <w:marTop w:val="0"/>
          <w:marBottom w:val="0"/>
          <w:divBdr>
            <w:top w:val="none" w:sz="0" w:space="0" w:color="auto"/>
            <w:left w:val="none" w:sz="0" w:space="0" w:color="auto"/>
            <w:bottom w:val="none" w:sz="0" w:space="0" w:color="auto"/>
            <w:right w:val="none" w:sz="0" w:space="0" w:color="auto"/>
          </w:divBdr>
        </w:div>
        <w:div w:id="69083062">
          <w:marLeft w:val="0"/>
          <w:marRight w:val="0"/>
          <w:marTop w:val="0"/>
          <w:marBottom w:val="0"/>
          <w:divBdr>
            <w:top w:val="none" w:sz="0" w:space="0" w:color="auto"/>
            <w:left w:val="none" w:sz="0" w:space="0" w:color="auto"/>
            <w:bottom w:val="none" w:sz="0" w:space="0" w:color="auto"/>
            <w:right w:val="none" w:sz="0" w:space="0" w:color="auto"/>
          </w:divBdr>
        </w:div>
        <w:div w:id="462846109">
          <w:marLeft w:val="0"/>
          <w:marRight w:val="0"/>
          <w:marTop w:val="0"/>
          <w:marBottom w:val="0"/>
          <w:divBdr>
            <w:top w:val="none" w:sz="0" w:space="0" w:color="auto"/>
            <w:left w:val="none" w:sz="0" w:space="0" w:color="auto"/>
            <w:bottom w:val="none" w:sz="0" w:space="0" w:color="auto"/>
            <w:right w:val="none" w:sz="0" w:space="0" w:color="auto"/>
          </w:divBdr>
        </w:div>
      </w:divsChild>
    </w:div>
    <w:div w:id="1412197963">
      <w:bodyDiv w:val="1"/>
      <w:marLeft w:val="0"/>
      <w:marRight w:val="0"/>
      <w:marTop w:val="0"/>
      <w:marBottom w:val="0"/>
      <w:divBdr>
        <w:top w:val="none" w:sz="0" w:space="0" w:color="auto"/>
        <w:left w:val="none" w:sz="0" w:space="0" w:color="auto"/>
        <w:bottom w:val="none" w:sz="0" w:space="0" w:color="auto"/>
        <w:right w:val="none" w:sz="0" w:space="0" w:color="auto"/>
      </w:divBdr>
      <w:divsChild>
        <w:div w:id="1471631430">
          <w:marLeft w:val="0"/>
          <w:marRight w:val="0"/>
          <w:marTop w:val="0"/>
          <w:marBottom w:val="0"/>
          <w:divBdr>
            <w:top w:val="none" w:sz="0" w:space="0" w:color="auto"/>
            <w:left w:val="none" w:sz="0" w:space="0" w:color="auto"/>
            <w:bottom w:val="none" w:sz="0" w:space="0" w:color="auto"/>
            <w:right w:val="none" w:sz="0" w:space="0" w:color="auto"/>
          </w:divBdr>
        </w:div>
        <w:div w:id="843861922">
          <w:marLeft w:val="0"/>
          <w:marRight w:val="0"/>
          <w:marTop w:val="0"/>
          <w:marBottom w:val="0"/>
          <w:divBdr>
            <w:top w:val="none" w:sz="0" w:space="0" w:color="auto"/>
            <w:left w:val="none" w:sz="0" w:space="0" w:color="auto"/>
            <w:bottom w:val="none" w:sz="0" w:space="0" w:color="auto"/>
            <w:right w:val="none" w:sz="0" w:space="0" w:color="auto"/>
          </w:divBdr>
        </w:div>
        <w:div w:id="549000175">
          <w:marLeft w:val="0"/>
          <w:marRight w:val="0"/>
          <w:marTop w:val="0"/>
          <w:marBottom w:val="0"/>
          <w:divBdr>
            <w:top w:val="none" w:sz="0" w:space="0" w:color="auto"/>
            <w:left w:val="none" w:sz="0" w:space="0" w:color="auto"/>
            <w:bottom w:val="none" w:sz="0" w:space="0" w:color="auto"/>
            <w:right w:val="none" w:sz="0" w:space="0" w:color="auto"/>
          </w:divBdr>
        </w:div>
        <w:div w:id="1358776527">
          <w:marLeft w:val="0"/>
          <w:marRight w:val="0"/>
          <w:marTop w:val="0"/>
          <w:marBottom w:val="0"/>
          <w:divBdr>
            <w:top w:val="none" w:sz="0" w:space="0" w:color="auto"/>
            <w:left w:val="none" w:sz="0" w:space="0" w:color="auto"/>
            <w:bottom w:val="none" w:sz="0" w:space="0" w:color="auto"/>
            <w:right w:val="none" w:sz="0" w:space="0" w:color="auto"/>
          </w:divBdr>
        </w:div>
      </w:divsChild>
    </w:div>
    <w:div w:id="1623029779">
      <w:bodyDiv w:val="1"/>
      <w:marLeft w:val="0"/>
      <w:marRight w:val="0"/>
      <w:marTop w:val="0"/>
      <w:marBottom w:val="0"/>
      <w:divBdr>
        <w:top w:val="none" w:sz="0" w:space="0" w:color="auto"/>
        <w:left w:val="none" w:sz="0" w:space="0" w:color="auto"/>
        <w:bottom w:val="none" w:sz="0" w:space="0" w:color="auto"/>
        <w:right w:val="none" w:sz="0" w:space="0" w:color="auto"/>
      </w:divBdr>
      <w:divsChild>
        <w:div w:id="1063677132">
          <w:marLeft w:val="0"/>
          <w:marRight w:val="0"/>
          <w:marTop w:val="0"/>
          <w:marBottom w:val="0"/>
          <w:divBdr>
            <w:top w:val="none" w:sz="0" w:space="0" w:color="auto"/>
            <w:left w:val="none" w:sz="0" w:space="0" w:color="auto"/>
            <w:bottom w:val="none" w:sz="0" w:space="0" w:color="auto"/>
            <w:right w:val="none" w:sz="0" w:space="0" w:color="auto"/>
          </w:divBdr>
        </w:div>
        <w:div w:id="112406633">
          <w:marLeft w:val="0"/>
          <w:marRight w:val="0"/>
          <w:marTop w:val="0"/>
          <w:marBottom w:val="0"/>
          <w:divBdr>
            <w:top w:val="none" w:sz="0" w:space="0" w:color="auto"/>
            <w:left w:val="none" w:sz="0" w:space="0" w:color="auto"/>
            <w:bottom w:val="none" w:sz="0" w:space="0" w:color="auto"/>
            <w:right w:val="none" w:sz="0" w:space="0" w:color="auto"/>
          </w:divBdr>
        </w:div>
        <w:div w:id="1337153465">
          <w:marLeft w:val="0"/>
          <w:marRight w:val="0"/>
          <w:marTop w:val="0"/>
          <w:marBottom w:val="0"/>
          <w:divBdr>
            <w:top w:val="none" w:sz="0" w:space="0" w:color="auto"/>
            <w:left w:val="none" w:sz="0" w:space="0" w:color="auto"/>
            <w:bottom w:val="none" w:sz="0" w:space="0" w:color="auto"/>
            <w:right w:val="none" w:sz="0" w:space="0" w:color="auto"/>
          </w:divBdr>
        </w:div>
        <w:div w:id="2051539147">
          <w:marLeft w:val="0"/>
          <w:marRight w:val="0"/>
          <w:marTop w:val="0"/>
          <w:marBottom w:val="0"/>
          <w:divBdr>
            <w:top w:val="none" w:sz="0" w:space="0" w:color="auto"/>
            <w:left w:val="none" w:sz="0" w:space="0" w:color="auto"/>
            <w:bottom w:val="none" w:sz="0" w:space="0" w:color="auto"/>
            <w:right w:val="none" w:sz="0" w:space="0" w:color="auto"/>
          </w:divBdr>
        </w:div>
        <w:div w:id="61493354">
          <w:marLeft w:val="0"/>
          <w:marRight w:val="0"/>
          <w:marTop w:val="0"/>
          <w:marBottom w:val="0"/>
          <w:divBdr>
            <w:top w:val="none" w:sz="0" w:space="0" w:color="auto"/>
            <w:left w:val="none" w:sz="0" w:space="0" w:color="auto"/>
            <w:bottom w:val="none" w:sz="0" w:space="0" w:color="auto"/>
            <w:right w:val="none" w:sz="0" w:space="0" w:color="auto"/>
          </w:divBdr>
        </w:div>
        <w:div w:id="365330283">
          <w:marLeft w:val="0"/>
          <w:marRight w:val="0"/>
          <w:marTop w:val="0"/>
          <w:marBottom w:val="0"/>
          <w:divBdr>
            <w:top w:val="none" w:sz="0" w:space="0" w:color="auto"/>
            <w:left w:val="none" w:sz="0" w:space="0" w:color="auto"/>
            <w:bottom w:val="none" w:sz="0" w:space="0" w:color="auto"/>
            <w:right w:val="none" w:sz="0" w:space="0" w:color="auto"/>
          </w:divBdr>
        </w:div>
      </w:divsChild>
    </w:div>
    <w:div w:id="1650670104">
      <w:bodyDiv w:val="1"/>
      <w:marLeft w:val="0"/>
      <w:marRight w:val="0"/>
      <w:marTop w:val="0"/>
      <w:marBottom w:val="0"/>
      <w:divBdr>
        <w:top w:val="none" w:sz="0" w:space="0" w:color="auto"/>
        <w:left w:val="none" w:sz="0" w:space="0" w:color="auto"/>
        <w:bottom w:val="none" w:sz="0" w:space="0" w:color="auto"/>
        <w:right w:val="none" w:sz="0" w:space="0" w:color="auto"/>
      </w:divBdr>
      <w:divsChild>
        <w:div w:id="322702790">
          <w:marLeft w:val="0"/>
          <w:marRight w:val="0"/>
          <w:marTop w:val="0"/>
          <w:marBottom w:val="0"/>
          <w:divBdr>
            <w:top w:val="none" w:sz="0" w:space="0" w:color="auto"/>
            <w:left w:val="none" w:sz="0" w:space="0" w:color="auto"/>
            <w:bottom w:val="none" w:sz="0" w:space="0" w:color="auto"/>
            <w:right w:val="none" w:sz="0" w:space="0" w:color="auto"/>
          </w:divBdr>
        </w:div>
        <w:div w:id="1767574690">
          <w:marLeft w:val="0"/>
          <w:marRight w:val="0"/>
          <w:marTop w:val="0"/>
          <w:marBottom w:val="0"/>
          <w:divBdr>
            <w:top w:val="none" w:sz="0" w:space="0" w:color="auto"/>
            <w:left w:val="none" w:sz="0" w:space="0" w:color="auto"/>
            <w:bottom w:val="none" w:sz="0" w:space="0" w:color="auto"/>
            <w:right w:val="none" w:sz="0" w:space="0" w:color="auto"/>
          </w:divBdr>
        </w:div>
        <w:div w:id="690761390">
          <w:marLeft w:val="0"/>
          <w:marRight w:val="0"/>
          <w:marTop w:val="0"/>
          <w:marBottom w:val="0"/>
          <w:divBdr>
            <w:top w:val="none" w:sz="0" w:space="0" w:color="auto"/>
            <w:left w:val="none" w:sz="0" w:space="0" w:color="auto"/>
            <w:bottom w:val="none" w:sz="0" w:space="0" w:color="auto"/>
            <w:right w:val="none" w:sz="0" w:space="0" w:color="auto"/>
          </w:divBdr>
        </w:div>
      </w:divsChild>
    </w:div>
    <w:div w:id="1713572937">
      <w:bodyDiv w:val="1"/>
      <w:marLeft w:val="0"/>
      <w:marRight w:val="0"/>
      <w:marTop w:val="0"/>
      <w:marBottom w:val="0"/>
      <w:divBdr>
        <w:top w:val="none" w:sz="0" w:space="0" w:color="auto"/>
        <w:left w:val="none" w:sz="0" w:space="0" w:color="auto"/>
        <w:bottom w:val="none" w:sz="0" w:space="0" w:color="auto"/>
        <w:right w:val="none" w:sz="0" w:space="0" w:color="auto"/>
      </w:divBdr>
      <w:divsChild>
        <w:div w:id="1527334008">
          <w:marLeft w:val="0"/>
          <w:marRight w:val="0"/>
          <w:marTop w:val="0"/>
          <w:marBottom w:val="0"/>
          <w:divBdr>
            <w:top w:val="none" w:sz="0" w:space="0" w:color="auto"/>
            <w:left w:val="none" w:sz="0" w:space="0" w:color="auto"/>
            <w:bottom w:val="none" w:sz="0" w:space="0" w:color="auto"/>
            <w:right w:val="none" w:sz="0" w:space="0" w:color="auto"/>
          </w:divBdr>
        </w:div>
        <w:div w:id="1159806493">
          <w:marLeft w:val="0"/>
          <w:marRight w:val="0"/>
          <w:marTop w:val="0"/>
          <w:marBottom w:val="0"/>
          <w:divBdr>
            <w:top w:val="none" w:sz="0" w:space="0" w:color="auto"/>
            <w:left w:val="none" w:sz="0" w:space="0" w:color="auto"/>
            <w:bottom w:val="none" w:sz="0" w:space="0" w:color="auto"/>
            <w:right w:val="none" w:sz="0" w:space="0" w:color="auto"/>
          </w:divBdr>
        </w:div>
        <w:div w:id="1734307597">
          <w:marLeft w:val="0"/>
          <w:marRight w:val="0"/>
          <w:marTop w:val="0"/>
          <w:marBottom w:val="0"/>
          <w:divBdr>
            <w:top w:val="none" w:sz="0" w:space="0" w:color="auto"/>
            <w:left w:val="none" w:sz="0" w:space="0" w:color="auto"/>
            <w:bottom w:val="none" w:sz="0" w:space="0" w:color="auto"/>
            <w:right w:val="none" w:sz="0" w:space="0" w:color="auto"/>
          </w:divBdr>
        </w:div>
        <w:div w:id="1576891498">
          <w:marLeft w:val="0"/>
          <w:marRight w:val="0"/>
          <w:marTop w:val="0"/>
          <w:marBottom w:val="0"/>
          <w:divBdr>
            <w:top w:val="none" w:sz="0" w:space="0" w:color="auto"/>
            <w:left w:val="none" w:sz="0" w:space="0" w:color="auto"/>
            <w:bottom w:val="none" w:sz="0" w:space="0" w:color="auto"/>
            <w:right w:val="none" w:sz="0" w:space="0" w:color="auto"/>
          </w:divBdr>
        </w:div>
        <w:div w:id="735320584">
          <w:marLeft w:val="0"/>
          <w:marRight w:val="0"/>
          <w:marTop w:val="0"/>
          <w:marBottom w:val="0"/>
          <w:divBdr>
            <w:top w:val="none" w:sz="0" w:space="0" w:color="auto"/>
            <w:left w:val="none" w:sz="0" w:space="0" w:color="auto"/>
            <w:bottom w:val="none" w:sz="0" w:space="0" w:color="auto"/>
            <w:right w:val="none" w:sz="0" w:space="0" w:color="auto"/>
          </w:divBdr>
        </w:div>
        <w:div w:id="836844202">
          <w:marLeft w:val="0"/>
          <w:marRight w:val="0"/>
          <w:marTop w:val="0"/>
          <w:marBottom w:val="0"/>
          <w:divBdr>
            <w:top w:val="none" w:sz="0" w:space="0" w:color="auto"/>
            <w:left w:val="none" w:sz="0" w:space="0" w:color="auto"/>
            <w:bottom w:val="none" w:sz="0" w:space="0" w:color="auto"/>
            <w:right w:val="none" w:sz="0" w:space="0" w:color="auto"/>
          </w:divBdr>
        </w:div>
        <w:div w:id="339546281">
          <w:marLeft w:val="0"/>
          <w:marRight w:val="0"/>
          <w:marTop w:val="0"/>
          <w:marBottom w:val="0"/>
          <w:divBdr>
            <w:top w:val="none" w:sz="0" w:space="0" w:color="auto"/>
            <w:left w:val="none" w:sz="0" w:space="0" w:color="auto"/>
            <w:bottom w:val="none" w:sz="0" w:space="0" w:color="auto"/>
            <w:right w:val="none" w:sz="0" w:space="0" w:color="auto"/>
          </w:divBdr>
        </w:div>
        <w:div w:id="896088931">
          <w:marLeft w:val="0"/>
          <w:marRight w:val="0"/>
          <w:marTop w:val="0"/>
          <w:marBottom w:val="0"/>
          <w:divBdr>
            <w:top w:val="none" w:sz="0" w:space="0" w:color="auto"/>
            <w:left w:val="none" w:sz="0" w:space="0" w:color="auto"/>
            <w:bottom w:val="none" w:sz="0" w:space="0" w:color="auto"/>
            <w:right w:val="none" w:sz="0" w:space="0" w:color="auto"/>
          </w:divBdr>
        </w:div>
        <w:div w:id="1856461160">
          <w:marLeft w:val="0"/>
          <w:marRight w:val="0"/>
          <w:marTop w:val="0"/>
          <w:marBottom w:val="0"/>
          <w:divBdr>
            <w:top w:val="none" w:sz="0" w:space="0" w:color="auto"/>
            <w:left w:val="none" w:sz="0" w:space="0" w:color="auto"/>
            <w:bottom w:val="none" w:sz="0" w:space="0" w:color="auto"/>
            <w:right w:val="none" w:sz="0" w:space="0" w:color="auto"/>
          </w:divBdr>
        </w:div>
        <w:div w:id="244580523">
          <w:marLeft w:val="0"/>
          <w:marRight w:val="0"/>
          <w:marTop w:val="0"/>
          <w:marBottom w:val="0"/>
          <w:divBdr>
            <w:top w:val="none" w:sz="0" w:space="0" w:color="auto"/>
            <w:left w:val="none" w:sz="0" w:space="0" w:color="auto"/>
            <w:bottom w:val="none" w:sz="0" w:space="0" w:color="auto"/>
            <w:right w:val="none" w:sz="0" w:space="0" w:color="auto"/>
          </w:divBdr>
        </w:div>
        <w:div w:id="404766430">
          <w:marLeft w:val="0"/>
          <w:marRight w:val="0"/>
          <w:marTop w:val="0"/>
          <w:marBottom w:val="0"/>
          <w:divBdr>
            <w:top w:val="none" w:sz="0" w:space="0" w:color="auto"/>
            <w:left w:val="none" w:sz="0" w:space="0" w:color="auto"/>
            <w:bottom w:val="none" w:sz="0" w:space="0" w:color="auto"/>
            <w:right w:val="none" w:sz="0" w:space="0" w:color="auto"/>
          </w:divBdr>
        </w:div>
        <w:div w:id="1734815772">
          <w:marLeft w:val="0"/>
          <w:marRight w:val="0"/>
          <w:marTop w:val="0"/>
          <w:marBottom w:val="0"/>
          <w:divBdr>
            <w:top w:val="none" w:sz="0" w:space="0" w:color="auto"/>
            <w:left w:val="none" w:sz="0" w:space="0" w:color="auto"/>
            <w:bottom w:val="none" w:sz="0" w:space="0" w:color="auto"/>
            <w:right w:val="none" w:sz="0" w:space="0" w:color="auto"/>
          </w:divBdr>
        </w:div>
        <w:div w:id="868370573">
          <w:marLeft w:val="0"/>
          <w:marRight w:val="0"/>
          <w:marTop w:val="0"/>
          <w:marBottom w:val="0"/>
          <w:divBdr>
            <w:top w:val="none" w:sz="0" w:space="0" w:color="auto"/>
            <w:left w:val="none" w:sz="0" w:space="0" w:color="auto"/>
            <w:bottom w:val="none" w:sz="0" w:space="0" w:color="auto"/>
            <w:right w:val="none" w:sz="0" w:space="0" w:color="auto"/>
          </w:divBdr>
        </w:div>
      </w:divsChild>
    </w:div>
    <w:div w:id="1853565975">
      <w:bodyDiv w:val="1"/>
      <w:marLeft w:val="0"/>
      <w:marRight w:val="0"/>
      <w:marTop w:val="0"/>
      <w:marBottom w:val="0"/>
      <w:divBdr>
        <w:top w:val="none" w:sz="0" w:space="0" w:color="auto"/>
        <w:left w:val="none" w:sz="0" w:space="0" w:color="auto"/>
        <w:bottom w:val="none" w:sz="0" w:space="0" w:color="auto"/>
        <w:right w:val="none" w:sz="0" w:space="0" w:color="auto"/>
      </w:divBdr>
      <w:divsChild>
        <w:div w:id="1702705125">
          <w:marLeft w:val="0"/>
          <w:marRight w:val="0"/>
          <w:marTop w:val="0"/>
          <w:marBottom w:val="0"/>
          <w:divBdr>
            <w:top w:val="none" w:sz="0" w:space="0" w:color="auto"/>
            <w:left w:val="none" w:sz="0" w:space="0" w:color="auto"/>
            <w:bottom w:val="none" w:sz="0" w:space="0" w:color="auto"/>
            <w:right w:val="none" w:sz="0" w:space="0" w:color="auto"/>
          </w:divBdr>
        </w:div>
        <w:div w:id="1883321851">
          <w:marLeft w:val="0"/>
          <w:marRight w:val="0"/>
          <w:marTop w:val="0"/>
          <w:marBottom w:val="0"/>
          <w:divBdr>
            <w:top w:val="none" w:sz="0" w:space="0" w:color="auto"/>
            <w:left w:val="none" w:sz="0" w:space="0" w:color="auto"/>
            <w:bottom w:val="none" w:sz="0" w:space="0" w:color="auto"/>
            <w:right w:val="none" w:sz="0" w:space="0" w:color="auto"/>
          </w:divBdr>
        </w:div>
        <w:div w:id="1681815877">
          <w:marLeft w:val="0"/>
          <w:marRight w:val="0"/>
          <w:marTop w:val="0"/>
          <w:marBottom w:val="0"/>
          <w:divBdr>
            <w:top w:val="none" w:sz="0" w:space="0" w:color="auto"/>
            <w:left w:val="none" w:sz="0" w:space="0" w:color="auto"/>
            <w:bottom w:val="none" w:sz="0" w:space="0" w:color="auto"/>
            <w:right w:val="none" w:sz="0" w:space="0" w:color="auto"/>
          </w:divBdr>
        </w:div>
        <w:div w:id="62604854">
          <w:marLeft w:val="0"/>
          <w:marRight w:val="0"/>
          <w:marTop w:val="0"/>
          <w:marBottom w:val="0"/>
          <w:divBdr>
            <w:top w:val="none" w:sz="0" w:space="0" w:color="auto"/>
            <w:left w:val="none" w:sz="0" w:space="0" w:color="auto"/>
            <w:bottom w:val="none" w:sz="0" w:space="0" w:color="auto"/>
            <w:right w:val="none" w:sz="0" w:space="0" w:color="auto"/>
          </w:divBdr>
        </w:div>
        <w:div w:id="745880733">
          <w:marLeft w:val="0"/>
          <w:marRight w:val="0"/>
          <w:marTop w:val="0"/>
          <w:marBottom w:val="0"/>
          <w:divBdr>
            <w:top w:val="none" w:sz="0" w:space="0" w:color="auto"/>
            <w:left w:val="none" w:sz="0" w:space="0" w:color="auto"/>
            <w:bottom w:val="none" w:sz="0" w:space="0" w:color="auto"/>
            <w:right w:val="none" w:sz="0" w:space="0" w:color="auto"/>
          </w:divBdr>
        </w:div>
        <w:div w:id="1606615104">
          <w:marLeft w:val="0"/>
          <w:marRight w:val="0"/>
          <w:marTop w:val="0"/>
          <w:marBottom w:val="0"/>
          <w:divBdr>
            <w:top w:val="none" w:sz="0" w:space="0" w:color="auto"/>
            <w:left w:val="none" w:sz="0" w:space="0" w:color="auto"/>
            <w:bottom w:val="none" w:sz="0" w:space="0" w:color="auto"/>
            <w:right w:val="none" w:sz="0" w:space="0" w:color="auto"/>
          </w:divBdr>
        </w:div>
        <w:div w:id="265965383">
          <w:marLeft w:val="0"/>
          <w:marRight w:val="0"/>
          <w:marTop w:val="0"/>
          <w:marBottom w:val="0"/>
          <w:divBdr>
            <w:top w:val="none" w:sz="0" w:space="0" w:color="auto"/>
            <w:left w:val="none" w:sz="0" w:space="0" w:color="auto"/>
            <w:bottom w:val="none" w:sz="0" w:space="0" w:color="auto"/>
            <w:right w:val="none" w:sz="0" w:space="0" w:color="auto"/>
          </w:divBdr>
        </w:div>
        <w:div w:id="194171381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6237C-80BD-47EC-8718-208C319F1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2282</Words>
  <Characters>12462</Characters>
  <Application>Microsoft Office Word</Application>
  <DocSecurity>0</DocSecurity>
  <Lines>566</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Charitini</dc:creator>
  <cp:keywords/>
  <dc:description/>
  <cp:lastModifiedBy>MLAPINIG</cp:lastModifiedBy>
  <cp:revision>5</cp:revision>
  <dcterms:created xsi:type="dcterms:W3CDTF">2019-02-07T16:10:00Z</dcterms:created>
  <dcterms:modified xsi:type="dcterms:W3CDTF">2019-02-14T21:47:00Z</dcterms:modified>
</cp:coreProperties>
</file>