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266B7C" w14:textId="77777777" w:rsidR="00AC0573" w:rsidRPr="00AC0573" w:rsidRDefault="00AC0573" w:rsidP="00AC0573">
      <w:pPr>
        <w:jc w:val="center"/>
        <w:rPr>
          <w:rFonts w:cstheme="minorHAnsi"/>
          <w:b/>
          <w:sz w:val="24"/>
          <w:szCs w:val="24"/>
        </w:rPr>
      </w:pPr>
      <w:r w:rsidRPr="00AC0573">
        <w:rPr>
          <w:rFonts w:cstheme="minorHAnsi"/>
          <w:b/>
          <w:sz w:val="24"/>
          <w:szCs w:val="24"/>
        </w:rPr>
        <w:t>Supporting Information for:</w:t>
      </w:r>
    </w:p>
    <w:p w14:paraId="46F65A8C" w14:textId="77777777" w:rsidR="00AC0573" w:rsidRPr="00AC0573" w:rsidRDefault="00AC0573" w:rsidP="00AC0573">
      <w:pPr>
        <w:jc w:val="center"/>
        <w:rPr>
          <w:rFonts w:cstheme="minorHAnsi"/>
          <w:b/>
          <w:sz w:val="22"/>
          <w:szCs w:val="22"/>
        </w:rPr>
      </w:pPr>
    </w:p>
    <w:p w14:paraId="162049ED" w14:textId="17BA9BC3" w:rsidR="00AC0573" w:rsidRPr="00AC0573" w:rsidRDefault="00AC0573" w:rsidP="00AC0573">
      <w:pPr>
        <w:spacing w:after="0"/>
        <w:jc w:val="center"/>
        <w:rPr>
          <w:rFonts w:cstheme="minorHAnsi"/>
          <w:b/>
          <w:sz w:val="22"/>
          <w:szCs w:val="22"/>
          <w:lang w:val="en-GB"/>
        </w:rPr>
      </w:pPr>
      <w:r w:rsidRPr="00AC0573">
        <w:rPr>
          <w:rFonts w:cstheme="minorHAnsi"/>
          <w:b/>
          <w:sz w:val="22"/>
          <w:szCs w:val="22"/>
          <w:lang w:val="en-GB"/>
        </w:rPr>
        <w:t>Exploring why global health needs are unmet by research efforts: the potential influences of geography, industry, and publication incentives</w:t>
      </w:r>
    </w:p>
    <w:p w14:paraId="3C9132A0" w14:textId="76767863" w:rsidR="00AC0573" w:rsidRPr="00AC0573" w:rsidRDefault="00AC0573" w:rsidP="00AC0573">
      <w:pPr>
        <w:jc w:val="center"/>
        <w:rPr>
          <w:rFonts w:cstheme="minorHAnsi"/>
          <w:b/>
          <w:sz w:val="22"/>
          <w:szCs w:val="22"/>
          <w:lang w:val="en-GB"/>
        </w:rPr>
      </w:pPr>
    </w:p>
    <w:p w14:paraId="40F0F633" w14:textId="5F53AB5C" w:rsidR="00A95073" w:rsidRPr="00AC0573" w:rsidRDefault="00A95073" w:rsidP="00AC0573">
      <w:pPr>
        <w:spacing w:after="0"/>
        <w:jc w:val="center"/>
        <w:rPr>
          <w:rFonts w:cstheme="minorHAnsi"/>
          <w:sz w:val="22"/>
          <w:szCs w:val="22"/>
          <w:lang w:val="en-GB"/>
        </w:rPr>
      </w:pPr>
      <w:r w:rsidRPr="00AC0573">
        <w:rPr>
          <w:rFonts w:cstheme="minorHAnsi"/>
          <w:sz w:val="22"/>
          <w:szCs w:val="22"/>
        </w:rPr>
        <w:t>Yegros-Yegros</w:t>
      </w:r>
      <w:r w:rsidR="00AC0573" w:rsidRPr="00AC0573">
        <w:rPr>
          <w:rFonts w:cstheme="minorHAnsi"/>
          <w:sz w:val="22"/>
          <w:szCs w:val="22"/>
        </w:rPr>
        <w:t>, A.; van de Klippe, W.; Abad Garcia, M.F. and Rafols, I.</w:t>
      </w:r>
    </w:p>
    <w:p w14:paraId="6FA13AC9" w14:textId="2E964F46" w:rsidR="00A95073" w:rsidRDefault="00A95073" w:rsidP="00A95073">
      <w:pPr>
        <w:rPr>
          <w:rFonts w:cstheme="minorHAnsi"/>
          <w:b/>
          <w:sz w:val="22"/>
          <w:szCs w:val="22"/>
          <w:vertAlign w:val="superscript"/>
          <w:lang w:val="en-GB"/>
        </w:rPr>
      </w:pPr>
    </w:p>
    <w:p w14:paraId="2A9B652C" w14:textId="6963B01E" w:rsidR="00A9293B" w:rsidRPr="006F3B5D" w:rsidRDefault="00A9293B" w:rsidP="002D35DD">
      <w:pPr>
        <w:jc w:val="both"/>
        <w:rPr>
          <w:rFonts w:cstheme="minorHAnsi"/>
          <w:b/>
          <w:sz w:val="22"/>
          <w:szCs w:val="22"/>
          <w:lang w:val="en-GB"/>
        </w:rPr>
      </w:pPr>
      <w:r w:rsidRPr="006F3B5D">
        <w:rPr>
          <w:rFonts w:cstheme="minorHAnsi"/>
          <w:b/>
          <w:sz w:val="22"/>
          <w:szCs w:val="22"/>
          <w:lang w:val="en-GB"/>
        </w:rPr>
        <w:t xml:space="preserve">S1. </w:t>
      </w:r>
      <w:r w:rsidR="00A5442E">
        <w:rPr>
          <w:rFonts w:cstheme="minorHAnsi"/>
          <w:b/>
          <w:sz w:val="22"/>
          <w:szCs w:val="22"/>
          <w:lang w:val="en-GB"/>
        </w:rPr>
        <w:t>Data and m</w:t>
      </w:r>
      <w:r w:rsidRPr="006F3B5D">
        <w:rPr>
          <w:rFonts w:cstheme="minorHAnsi"/>
          <w:b/>
          <w:sz w:val="22"/>
          <w:szCs w:val="22"/>
          <w:lang w:val="en-GB"/>
        </w:rPr>
        <w:t>ethod</w:t>
      </w:r>
      <w:r w:rsidR="00A5442E">
        <w:rPr>
          <w:rFonts w:cstheme="minorHAnsi"/>
          <w:b/>
          <w:sz w:val="22"/>
          <w:szCs w:val="22"/>
          <w:lang w:val="en-GB"/>
        </w:rPr>
        <w:t>s</w:t>
      </w:r>
    </w:p>
    <w:p w14:paraId="67C69DD5" w14:textId="3482AA83" w:rsidR="002D35DD" w:rsidRPr="006F3B5D" w:rsidRDefault="00F9495A" w:rsidP="002D35DD">
      <w:pPr>
        <w:jc w:val="both"/>
        <w:rPr>
          <w:rFonts w:cstheme="minorHAnsi"/>
          <w:b/>
          <w:sz w:val="22"/>
          <w:szCs w:val="22"/>
          <w:lang w:val="en-GB"/>
        </w:rPr>
      </w:pPr>
      <w:r>
        <w:rPr>
          <w:rFonts w:cstheme="minorHAnsi"/>
          <w:b/>
          <w:sz w:val="22"/>
          <w:szCs w:val="22"/>
          <w:lang w:val="en-GB"/>
        </w:rPr>
        <w:t>S1.1</w:t>
      </w:r>
      <w:r w:rsidR="00A9293B" w:rsidRPr="006F3B5D">
        <w:rPr>
          <w:rFonts w:cstheme="minorHAnsi"/>
          <w:b/>
          <w:sz w:val="22"/>
          <w:szCs w:val="22"/>
          <w:lang w:val="en-GB"/>
        </w:rPr>
        <w:t xml:space="preserve"> </w:t>
      </w:r>
      <w:r w:rsidR="00302243">
        <w:rPr>
          <w:rFonts w:cstheme="minorHAnsi"/>
          <w:b/>
          <w:sz w:val="22"/>
          <w:szCs w:val="22"/>
          <w:lang w:val="en-GB"/>
        </w:rPr>
        <w:t>E</w:t>
      </w:r>
      <w:r w:rsidR="00302243" w:rsidRPr="006F3B5D">
        <w:rPr>
          <w:rFonts w:cstheme="minorHAnsi"/>
          <w:b/>
          <w:sz w:val="22"/>
          <w:szCs w:val="22"/>
          <w:lang w:val="en-GB"/>
        </w:rPr>
        <w:t xml:space="preserve">stimates </w:t>
      </w:r>
      <w:r w:rsidR="00302243">
        <w:rPr>
          <w:rFonts w:cstheme="minorHAnsi"/>
          <w:b/>
          <w:sz w:val="22"/>
          <w:szCs w:val="22"/>
          <w:lang w:val="en-GB"/>
        </w:rPr>
        <w:t>of disease b</w:t>
      </w:r>
      <w:r w:rsidR="002D35DD" w:rsidRPr="006F3B5D">
        <w:rPr>
          <w:rFonts w:cstheme="minorHAnsi"/>
          <w:b/>
          <w:sz w:val="22"/>
          <w:szCs w:val="22"/>
          <w:lang w:val="en-GB"/>
        </w:rPr>
        <w:t xml:space="preserve">urden </w:t>
      </w:r>
    </w:p>
    <w:p w14:paraId="49A1E1ED" w14:textId="7F26FC08"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We obtained burden of disease estimates from the World Health Organisation (WHO). The WHO provides regularly Global Health Estimates regarding mortality and loss of health, due to diseases and injuries. We downloaded the statistics on disease burden released in 2017, which provided estimates for the years 2000, 2005, 2010 and 2015 </w:t>
      </w:r>
      <w:r w:rsidR="00E76DA3">
        <w:rPr>
          <w:rFonts w:cstheme="minorHAnsi"/>
          <w:sz w:val="22"/>
          <w:szCs w:val="22"/>
          <w:lang w:val="en-GB"/>
        </w:rPr>
        <w:fldChar w:fldCharType="begin"/>
      </w:r>
      <w:r w:rsidR="00F9495A">
        <w:rPr>
          <w:rFonts w:cstheme="minorHAnsi"/>
          <w:sz w:val="22"/>
          <w:szCs w:val="22"/>
          <w:lang w:val="en-GB"/>
        </w:rPr>
        <w:instrText xml:space="preserve"> ADDIN ZOTERO_ITEM CSL_CITATION {"citationID":"Bkn8QMTI","properties":{"formattedCitation":"[1]","plainCitation":"[1]","noteIndex":0},"citationItems":[{"id":1986,"uris":["http://zotero.org/groups/2397039/items/Y223EFE9"],"uri":["http://zotero.org/groups/2397039/items/Y223EFE9"],"itemData":{"id":1986,"type":"report","title":"Disease, injury and causes of death country, regional and global estimates, 2000–2015","URL":"https://www.who.int/healthinfo/global_burden_disease/estimates_country_2000_2015/en/","author":[{"family":"WHO","given":""}],"issued":{"date-parts":[["2017"]]},"accessed":{"date-parts":[["2019",10,28]]}}}],"schema":"https://github.com/citation-style-language/schema/raw/master/csl-citation.json"} </w:instrText>
      </w:r>
      <w:r w:rsidR="00E76DA3">
        <w:rPr>
          <w:rFonts w:cstheme="minorHAnsi"/>
          <w:sz w:val="22"/>
          <w:szCs w:val="22"/>
          <w:lang w:val="en-GB"/>
        </w:rPr>
        <w:fldChar w:fldCharType="separate"/>
      </w:r>
      <w:r w:rsidR="00F9495A" w:rsidRPr="00F9495A">
        <w:rPr>
          <w:rFonts w:ascii="Calibri" w:hAnsi="Calibri" w:cs="Calibri"/>
          <w:sz w:val="22"/>
        </w:rPr>
        <w:t>[1]</w:t>
      </w:r>
      <w:r w:rsidR="00E76DA3">
        <w:rPr>
          <w:rFonts w:cstheme="minorHAnsi"/>
          <w:sz w:val="22"/>
          <w:szCs w:val="22"/>
          <w:lang w:val="en-GB"/>
        </w:rPr>
        <w:fldChar w:fldCharType="end"/>
      </w:r>
      <w:r w:rsidRPr="006F3B5D">
        <w:rPr>
          <w:rFonts w:cstheme="minorHAnsi"/>
          <w:sz w:val="22"/>
          <w:szCs w:val="22"/>
          <w:lang w:val="en-GB"/>
        </w:rPr>
        <w:t>. For this study we only used the estimates corresponding to the year 2010.</w:t>
      </w:r>
    </w:p>
    <w:p w14:paraId="62651577" w14:textId="69F84E8C"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The various diseases are defined by the WHO following the International Classification of Diseases (ICD-10), according to a hierarchical structure. Each of the three most generic groups of diseases in this classification (i.e. </w:t>
      </w:r>
      <w:r w:rsidRPr="006F3B5D">
        <w:rPr>
          <w:rFonts w:cstheme="minorHAnsi"/>
          <w:i/>
          <w:sz w:val="22"/>
          <w:szCs w:val="22"/>
          <w:lang w:val="en-GB"/>
        </w:rPr>
        <w:t xml:space="preserve">I. communicable, maternal, perinatal and nutritional conditions; II. </w:t>
      </w:r>
      <w:proofErr w:type="spellStart"/>
      <w:r w:rsidRPr="006F3B5D">
        <w:rPr>
          <w:rFonts w:cstheme="minorHAnsi"/>
          <w:i/>
          <w:sz w:val="22"/>
          <w:szCs w:val="22"/>
          <w:lang w:val="en-GB"/>
        </w:rPr>
        <w:t>Noncommunicable</w:t>
      </w:r>
      <w:proofErr w:type="spellEnd"/>
      <w:r w:rsidRPr="006F3B5D">
        <w:rPr>
          <w:rFonts w:cstheme="minorHAnsi"/>
          <w:i/>
          <w:sz w:val="22"/>
          <w:szCs w:val="22"/>
          <w:lang w:val="en-GB"/>
        </w:rPr>
        <w:t xml:space="preserve"> diseases and III. Injuries</w:t>
      </w:r>
      <w:r w:rsidRPr="006F3B5D">
        <w:rPr>
          <w:rFonts w:cstheme="minorHAnsi"/>
          <w:sz w:val="22"/>
          <w:szCs w:val="22"/>
          <w:lang w:val="en-GB"/>
        </w:rPr>
        <w:t>), contain various sub-groups of diseases as well as specific diseases, which may be positioned at different levels in the hierarchy. For example, ‘</w:t>
      </w:r>
      <w:r w:rsidRPr="006F3B5D">
        <w:rPr>
          <w:rFonts w:cstheme="minorHAnsi"/>
          <w:i/>
          <w:sz w:val="22"/>
          <w:szCs w:val="22"/>
          <w:lang w:val="en-GB"/>
        </w:rPr>
        <w:t>Drug use disorders</w:t>
      </w:r>
      <w:r w:rsidRPr="006F3B5D">
        <w:rPr>
          <w:rFonts w:cstheme="minorHAnsi"/>
          <w:sz w:val="22"/>
          <w:szCs w:val="22"/>
          <w:lang w:val="en-GB"/>
        </w:rPr>
        <w:t>’ is a sub-group of diseases which include specific diseases such as ’</w:t>
      </w:r>
      <w:r w:rsidRPr="006F3B5D">
        <w:rPr>
          <w:rFonts w:cstheme="minorHAnsi"/>
          <w:i/>
          <w:sz w:val="22"/>
          <w:szCs w:val="22"/>
          <w:lang w:val="en-GB"/>
        </w:rPr>
        <w:t>Opioid use disorders</w:t>
      </w:r>
      <w:r w:rsidRPr="006F3B5D">
        <w:rPr>
          <w:rFonts w:cstheme="minorHAnsi"/>
          <w:sz w:val="22"/>
          <w:szCs w:val="22"/>
          <w:lang w:val="en-GB"/>
        </w:rPr>
        <w:t>’ or ‘</w:t>
      </w:r>
      <w:r w:rsidRPr="006F3B5D">
        <w:rPr>
          <w:rFonts w:cstheme="minorHAnsi"/>
          <w:i/>
          <w:sz w:val="22"/>
          <w:szCs w:val="22"/>
          <w:lang w:val="en-GB"/>
        </w:rPr>
        <w:t>Cocaine drug disorders</w:t>
      </w:r>
      <w:r w:rsidRPr="006F3B5D">
        <w:rPr>
          <w:rFonts w:cstheme="minorHAnsi"/>
          <w:sz w:val="22"/>
          <w:szCs w:val="22"/>
          <w:lang w:val="en-GB"/>
        </w:rPr>
        <w:t>’, among others. In turn, the sub-group ‘Drug use disorders’ is part of a more generic sub-group of diseases ‘Mental and substance use disorders’, within the ‘</w:t>
      </w:r>
      <w:proofErr w:type="spellStart"/>
      <w:r w:rsidRPr="006F3B5D">
        <w:rPr>
          <w:rFonts w:cstheme="minorHAnsi"/>
          <w:sz w:val="22"/>
          <w:szCs w:val="22"/>
          <w:lang w:val="en-GB"/>
        </w:rPr>
        <w:t>Noncommunicable</w:t>
      </w:r>
      <w:proofErr w:type="spellEnd"/>
      <w:r w:rsidRPr="006F3B5D">
        <w:rPr>
          <w:rFonts w:cstheme="minorHAnsi"/>
          <w:sz w:val="22"/>
          <w:szCs w:val="22"/>
          <w:lang w:val="en-GB"/>
        </w:rPr>
        <w:t xml:space="preserve"> diseases’. Within the same level of the hierarchy, all the categories are mutually exclusive, therefore there is no overlap in the </w:t>
      </w:r>
      <w:r w:rsidR="00EB16DB">
        <w:rPr>
          <w:rFonts w:cstheme="minorHAnsi"/>
          <w:sz w:val="22"/>
          <w:szCs w:val="22"/>
          <w:lang w:val="en-GB"/>
        </w:rPr>
        <w:t xml:space="preserve">burden </w:t>
      </w:r>
      <w:r w:rsidRPr="006F3B5D">
        <w:rPr>
          <w:rFonts w:cstheme="minorHAnsi"/>
          <w:sz w:val="22"/>
          <w:szCs w:val="22"/>
          <w:lang w:val="en-GB"/>
        </w:rPr>
        <w:t>estimates corresponding to different diseases in the same level of the hierarchy.</w:t>
      </w:r>
    </w:p>
    <w:p w14:paraId="5AF5644C"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In this study we have considered the 134 most specific diseases in the hierarchy included in the groups </w:t>
      </w:r>
      <w:r w:rsidRPr="006F3B5D">
        <w:rPr>
          <w:rFonts w:cstheme="minorHAnsi"/>
          <w:i/>
          <w:sz w:val="22"/>
          <w:szCs w:val="22"/>
          <w:lang w:val="en-GB"/>
        </w:rPr>
        <w:t>I. communicable, maternal, perinatal and nutritional conditions</w:t>
      </w:r>
      <w:r w:rsidRPr="006F3B5D">
        <w:rPr>
          <w:rFonts w:cstheme="minorHAnsi"/>
          <w:sz w:val="22"/>
          <w:szCs w:val="22"/>
          <w:lang w:val="en-GB"/>
        </w:rPr>
        <w:t xml:space="preserve"> and </w:t>
      </w:r>
      <w:r w:rsidRPr="006F3B5D">
        <w:rPr>
          <w:rFonts w:cstheme="minorHAnsi"/>
          <w:i/>
          <w:sz w:val="22"/>
          <w:szCs w:val="22"/>
          <w:lang w:val="en-GB"/>
        </w:rPr>
        <w:t xml:space="preserve">II. </w:t>
      </w:r>
      <w:proofErr w:type="spellStart"/>
      <w:r w:rsidRPr="006F3B5D">
        <w:rPr>
          <w:rFonts w:cstheme="minorHAnsi"/>
          <w:i/>
          <w:sz w:val="22"/>
          <w:szCs w:val="22"/>
          <w:lang w:val="en-GB"/>
        </w:rPr>
        <w:t>Noncommunicable</w:t>
      </w:r>
      <w:proofErr w:type="spellEnd"/>
      <w:r w:rsidRPr="006F3B5D">
        <w:rPr>
          <w:rFonts w:cstheme="minorHAnsi"/>
          <w:i/>
          <w:sz w:val="22"/>
          <w:szCs w:val="22"/>
          <w:lang w:val="en-GB"/>
        </w:rPr>
        <w:t xml:space="preserve"> diseases</w:t>
      </w:r>
      <w:r w:rsidRPr="006F3B5D">
        <w:rPr>
          <w:rFonts w:cstheme="minorHAnsi"/>
          <w:sz w:val="22"/>
          <w:szCs w:val="22"/>
          <w:lang w:val="en-GB"/>
        </w:rPr>
        <w:t>. In other words, we have excluded from the study both, any sub-group of diseases included in these two generic groups as well as the whole group of diseases ‘</w:t>
      </w:r>
      <w:r w:rsidRPr="006F3B5D">
        <w:rPr>
          <w:rFonts w:cstheme="minorHAnsi"/>
          <w:i/>
          <w:sz w:val="22"/>
          <w:szCs w:val="22"/>
          <w:lang w:val="en-GB"/>
        </w:rPr>
        <w:t>III. Injuries’.</w:t>
      </w:r>
    </w:p>
    <w:p w14:paraId="1315B14C"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The WHO estimates burden of disease according to different indicators, including Years Lived with Disability (YLD), Years of Life Lost and Disability Adjusted Life Year (DALYs). We have used DALYs as a measure of disease burden, as it combines both the number of years lost due to premature death and the number of years lived with ill-health or disability. DALYs results from summing up YLL and YLD.</w:t>
      </w:r>
    </w:p>
    <w:p w14:paraId="14D872B4" w14:textId="6DBF295E"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DALYs are not free of limitations, previous studies have described in detail problems and limitations of this particular measure of disease burden </w:t>
      </w:r>
      <w:r w:rsidR="008D4AC5">
        <w:rPr>
          <w:rFonts w:cstheme="minorHAnsi"/>
          <w:sz w:val="22"/>
          <w:szCs w:val="22"/>
          <w:lang w:val="en-GB"/>
        </w:rPr>
        <w:fldChar w:fldCharType="begin"/>
      </w:r>
      <w:r w:rsidR="00F9495A">
        <w:rPr>
          <w:rFonts w:cstheme="minorHAnsi"/>
          <w:sz w:val="22"/>
          <w:szCs w:val="22"/>
          <w:lang w:val="en-GB"/>
        </w:rPr>
        <w:instrText xml:space="preserve"> ADDIN ZOTERO_ITEM CSL_CITATION {"citationID":"dS6fiCmP","properties":{"formattedCitation":"[2\\uc0\\u8211{}5]","plainCitation":"[2–5]","noteIndex":0},"citationItems":[{"id":2016,"uris":["http://zotero.org/groups/2397039/items/NLIIFWKN"],"uri":["http://zotero.org/groups/2397039/items/NLIIFWKN"],"itemData":{"id":2016,"type":"article-journal","title":"Global estimates of country health indicators: useful, unnecessary, inevitable?","container-title":"Global Health Action","page":"1290370","volume":"10","issue":"sup1","source":"PubMed","abstract":"BACKGROUND: The MDG era relied on global health estimates to fill data gaps and ensure temporal and cross-country comparability in reporting progress. Monitoring the Sustainable Development Goals will present new challenges, requiring enhanced capacities to generate, analyse, interpret and use country produced data.\nOBJECTIVE: To summarize the development of global health estimates and discuss their utility and limitations from global and country perspectives.\nDESIGN: Descriptive paper based on findings of intercountry workshops, reviews of literatureon and synthesis of experiences.\nRESULTS: Producers of global health estimates focus on the technical soundness of estimation methods and comparability of the results across countries and over time. By contrast, country users are more concerned about the extent of their involvement in the estimation process and hesitate to buy into estimates derived using methods their technical staff cannot explain and that differ from national data sources. Quantitative summaries of uncertainty may be of limited practical use in policy discussions where decisions need to be made about what to do next.\nCONCLUSIONS: Greater transparency and involvement of country partners in the development of global estimates will help improve ownership, strengthen country capacities for data production and use, and reduce reliance on externally produced estimates.","DOI":"10.1080/16549716.2017.1290370","ISSN":"1654-9880","note":"PMID: 28532307\nPMCID: PMC5645718","shortTitle":"Global estimates of country health indicators","journalAbbreviation":"Glob Health Action","language":"eng","author":[{"family":"AbouZahr","given":"Carla"},{"family":"Boerma","given":"Ties"},{"family":"Hogan","given":"Daniel"}],"issued":{"date-parts":[["2017",12]]}},"label":"page"},{"id":2024,"uris":["http://zotero.org/groups/2397039/items/ELKVTN72"],"uri":["http://zotero.org/groups/2397039/items/ELKVTN72"],"itemData":{"id":2024,"type":"article-journal","title":"Disability-adjusted life years: a critical review","container-title":"Journal of Health Economics","page":"685-702","volume":"16","issue":"6","source":"PubMed","abstract":"The disability-adjusted life year (DALY) has emerged in the international health policy lexicon as a new measure of the 'burden of disease'. We argue that the conceptual and technical basis for DALYs is flawed, and its assumptions and value judgements are open to serious question. In particular, the implications of age-weighting and discounting are found to be unacceptable. Moreover, the proponents of DALYs do not distinguish between the exercises of measuring the burden of disease and of allocating resources. But the appropriate information sets for the two exercises are quite different. Allocating resources by aggregate DALY-minimization is shown to be inequitable.","ISSN":"0167-6296","note":"PMID: 10176779","shortTitle":"Disability-adjusted life years","journalAbbreviation":"J Health Econ","language":"eng","author":[{"family":"Anand","given":"S."},{"family":"Hanson","given":"K."}],"issued":{"date-parts":[["1997",12]]}},"label":"page"},{"id":1994,"uris":["http://zotero.org/groups/2397039/items/FTIQ743G"],"uri":["http://zotero.org/groups/2397039/items/FTIQ743G"],"itemData":{"id":1994,"type":"article-journal","title":"The value of DALY life: problems with ethics and validity of disability adjusted life years","container-title":"BMJ (Clinical research ed.)","page":"1423-1425","volume":"319","issue":"7222","source":"PubMed","DOI":"10.1136/bmj.319.7222.1423","ISSN":"0959-8138","note":"PMID: 10574867\nPMCID: PMC1117148","shortTitle":"The value of DALY life","journalAbbreviation":"BMJ","language":"eng","author":[{"family":"Arnesen","given":"T."},{"family":"Nord","given":"E."}],"issued":{"date-parts":[["1999",11,27]]}},"label":"page"},{"id":1988,"uris":["http://zotero.org/groups/2397039/items/EYR4CNP4"],"uri":["http://zotero.org/groups/2397039/items/EYR4CNP4"],"itemData":{"id":1988,"type":"article-journal","title":"The Rise, Critique and Persistence of the DALY in Global Health","container-title":"The Journal of Global Health","source":"www.ghjournal.org","URL":"//www.ghjournal.org/the-rise-critique-and-persistence-of-the-daly-in-global-health/","language":"en-US","author":[{"family":"Parks","given":"Rachel"}],"issued":{"date-parts":[["2014"]]},"accessed":{"date-parts":[["2019",10,28]]}},"label":"page"}],"schema":"https://github.com/citation-style-language/schema/raw/master/csl-citation.json"} </w:instrText>
      </w:r>
      <w:r w:rsidR="008D4AC5">
        <w:rPr>
          <w:rFonts w:cstheme="minorHAnsi"/>
          <w:sz w:val="22"/>
          <w:szCs w:val="22"/>
          <w:lang w:val="en-GB"/>
        </w:rPr>
        <w:fldChar w:fldCharType="separate"/>
      </w:r>
      <w:r w:rsidR="00F9495A" w:rsidRPr="00F9495A">
        <w:rPr>
          <w:rFonts w:ascii="Calibri" w:hAnsi="Calibri" w:cs="Calibri"/>
          <w:sz w:val="22"/>
          <w:szCs w:val="24"/>
        </w:rPr>
        <w:t>[2–5]</w:t>
      </w:r>
      <w:r w:rsidR="008D4AC5">
        <w:rPr>
          <w:rFonts w:cstheme="minorHAnsi"/>
          <w:sz w:val="22"/>
          <w:szCs w:val="22"/>
          <w:lang w:val="en-GB"/>
        </w:rPr>
        <w:fldChar w:fldCharType="end"/>
      </w:r>
      <w:r w:rsidR="008D4AC5">
        <w:rPr>
          <w:rFonts w:cstheme="minorHAnsi"/>
          <w:sz w:val="22"/>
          <w:szCs w:val="22"/>
          <w:lang w:val="en-GB"/>
        </w:rPr>
        <w:t xml:space="preserve">. </w:t>
      </w:r>
      <w:r w:rsidRPr="006F3B5D">
        <w:rPr>
          <w:rFonts w:cstheme="minorHAnsi"/>
          <w:sz w:val="22"/>
          <w:szCs w:val="22"/>
          <w:lang w:val="en-GB"/>
        </w:rPr>
        <w:t>The WHO itself also reflects on some challenges and limitations regarding the compilation of information to compute these estimates. For instance, it is acknowledged that ‘</w:t>
      </w:r>
      <w:r w:rsidRPr="006F3B5D">
        <w:rPr>
          <w:rFonts w:cstheme="minorHAnsi"/>
          <w:i/>
          <w:sz w:val="22"/>
          <w:szCs w:val="22"/>
          <w:lang w:val="en-GB"/>
        </w:rPr>
        <w:t>large uncertainty ranges for some causes and some regions</w:t>
      </w:r>
      <w:r w:rsidRPr="006F3B5D">
        <w:rPr>
          <w:rFonts w:cstheme="minorHAnsi"/>
          <w:sz w:val="22"/>
          <w:szCs w:val="22"/>
          <w:lang w:val="en-GB"/>
        </w:rPr>
        <w:t xml:space="preserve"> [but still] </w:t>
      </w:r>
      <w:r w:rsidRPr="006F3B5D">
        <w:rPr>
          <w:rFonts w:cstheme="minorHAnsi"/>
          <w:i/>
          <w:sz w:val="22"/>
          <w:szCs w:val="22"/>
          <w:lang w:val="en-GB"/>
        </w:rPr>
        <w:t>they provide useful on the relative importance of different causes of death and disability, and on regional patterns and inequalities</w:t>
      </w:r>
      <w:r w:rsidRPr="006F3B5D">
        <w:rPr>
          <w:rFonts w:cstheme="minorHAnsi"/>
          <w:sz w:val="22"/>
          <w:szCs w:val="22"/>
          <w:lang w:val="en-GB"/>
        </w:rPr>
        <w:t xml:space="preserve">’ </w:t>
      </w:r>
      <w:r w:rsidR="000A43D9">
        <w:rPr>
          <w:rFonts w:cstheme="minorHAnsi"/>
          <w:sz w:val="22"/>
          <w:szCs w:val="22"/>
          <w:lang w:val="en-GB"/>
        </w:rPr>
        <w:fldChar w:fldCharType="begin"/>
      </w:r>
      <w:r w:rsidR="00F9495A">
        <w:rPr>
          <w:rFonts w:cstheme="minorHAnsi"/>
          <w:sz w:val="22"/>
          <w:szCs w:val="22"/>
          <w:lang w:val="en-GB"/>
        </w:rPr>
        <w:instrText xml:space="preserve"> ADDIN ZOTERO_ITEM CSL_CITATION {"citationID":"uVmp7yfj","properties":{"formattedCitation":"[1]","plainCitation":"[1]","noteIndex":0},"citationItems":[{"id":1986,"uris":["http://zotero.org/groups/2397039/items/Y223EFE9"],"uri":["http://zotero.org/groups/2397039/items/Y223EFE9"],"itemData":{"id":1986,"type":"report","title":"Disease, injury and causes of death country, regional and global estimates, 2000–2015","URL":"https://www.who.int/healthinfo/global_burden_disease/estimates_country_2000_2015/en/","author":[{"family":"WHO","given":""}],"issued":{"date-parts":[["2017"]]},"accessed":{"date-parts":[["2019",10,28]]}}}],"schema":"https://github.com/citation-style-language/schema/raw/master/csl-citation.json"} </w:instrText>
      </w:r>
      <w:r w:rsidR="000A43D9">
        <w:rPr>
          <w:rFonts w:cstheme="minorHAnsi"/>
          <w:sz w:val="22"/>
          <w:szCs w:val="22"/>
          <w:lang w:val="en-GB"/>
        </w:rPr>
        <w:fldChar w:fldCharType="separate"/>
      </w:r>
      <w:r w:rsidR="00F9495A" w:rsidRPr="00F9495A">
        <w:rPr>
          <w:rFonts w:ascii="Calibri" w:hAnsi="Calibri" w:cs="Calibri"/>
          <w:sz w:val="22"/>
        </w:rPr>
        <w:t>[1]</w:t>
      </w:r>
      <w:r w:rsidR="000A43D9">
        <w:rPr>
          <w:rFonts w:cstheme="minorHAnsi"/>
          <w:sz w:val="22"/>
          <w:szCs w:val="22"/>
          <w:lang w:val="en-GB"/>
        </w:rPr>
        <w:fldChar w:fldCharType="end"/>
      </w:r>
      <w:r w:rsidRPr="006F3B5D">
        <w:rPr>
          <w:rFonts w:cstheme="minorHAnsi"/>
          <w:sz w:val="22"/>
          <w:szCs w:val="22"/>
          <w:lang w:val="en-GB"/>
        </w:rPr>
        <w:t>. The WHO also warns that ‘</w:t>
      </w:r>
      <w:r w:rsidRPr="006F3B5D">
        <w:rPr>
          <w:rFonts w:cstheme="minorHAnsi"/>
          <w:i/>
          <w:sz w:val="22"/>
          <w:szCs w:val="22"/>
          <w:lang w:val="en-GB"/>
        </w:rPr>
        <w:t>the data gaps and limitations in high-mortality regions reinforces the need for caution when interpreting global comparative burden of disease assessments</w:t>
      </w:r>
      <w:r w:rsidRPr="006F3B5D">
        <w:rPr>
          <w:rFonts w:cstheme="minorHAnsi"/>
          <w:sz w:val="22"/>
          <w:szCs w:val="22"/>
          <w:lang w:val="en-GB"/>
        </w:rPr>
        <w:t xml:space="preserve">’ </w:t>
      </w:r>
      <w:r w:rsidR="000A43D9">
        <w:rPr>
          <w:rFonts w:cstheme="minorHAnsi"/>
          <w:sz w:val="22"/>
          <w:szCs w:val="22"/>
          <w:lang w:val="en-GB"/>
        </w:rPr>
        <w:fldChar w:fldCharType="begin"/>
      </w:r>
      <w:r w:rsidR="00F9495A">
        <w:rPr>
          <w:rFonts w:cstheme="minorHAnsi"/>
          <w:sz w:val="22"/>
          <w:szCs w:val="22"/>
          <w:lang w:val="en-GB"/>
        </w:rPr>
        <w:instrText xml:space="preserve"> ADDIN ZOTERO_ITEM CSL_CITATION {"citationID":"8DLCVPRD","properties":{"formattedCitation":"[1]","plainCitation":"[1]","noteIndex":0},"citationItems":[{"id":1986,"uris":["http://zotero.org/groups/2397039/items/Y223EFE9"],"uri":["http://zotero.org/groups/2397039/items/Y223EFE9"],"itemData":{"id":1986,"type":"report","title":"Disease, injury and causes of death country, regional and global estimates, 2000–2015","URL":"https://www.who.int/healthinfo/global_burden_disease/estimates_country_2000_2015/en/","author":[{"family":"WHO","given":""}],"issued":{"date-parts":[["2017"]]},"accessed":{"date-parts":[["2019",10,28]]}}}],"schema":"https://github.com/citation-style-language/schema/raw/master/csl-citation.json"} </w:instrText>
      </w:r>
      <w:r w:rsidR="000A43D9">
        <w:rPr>
          <w:rFonts w:cstheme="minorHAnsi"/>
          <w:sz w:val="22"/>
          <w:szCs w:val="22"/>
          <w:lang w:val="en-GB"/>
        </w:rPr>
        <w:fldChar w:fldCharType="separate"/>
      </w:r>
      <w:r w:rsidR="00F9495A" w:rsidRPr="00F9495A">
        <w:rPr>
          <w:rFonts w:ascii="Calibri" w:hAnsi="Calibri" w:cs="Calibri"/>
          <w:sz w:val="22"/>
        </w:rPr>
        <w:t>[1]</w:t>
      </w:r>
      <w:r w:rsidR="000A43D9">
        <w:rPr>
          <w:rFonts w:cstheme="minorHAnsi"/>
          <w:sz w:val="22"/>
          <w:szCs w:val="22"/>
          <w:lang w:val="en-GB"/>
        </w:rPr>
        <w:fldChar w:fldCharType="end"/>
      </w:r>
      <w:r w:rsidR="00A9293B" w:rsidRPr="006F3B5D">
        <w:rPr>
          <w:rFonts w:cstheme="minorHAnsi"/>
          <w:sz w:val="22"/>
          <w:szCs w:val="22"/>
          <w:lang w:val="en-GB"/>
        </w:rPr>
        <w:t xml:space="preserve">. </w:t>
      </w:r>
      <w:r w:rsidRPr="006F3B5D">
        <w:rPr>
          <w:rFonts w:cstheme="minorHAnsi"/>
          <w:sz w:val="22"/>
          <w:szCs w:val="22"/>
          <w:lang w:val="en-GB"/>
        </w:rPr>
        <w:t>Even considering all these limitations, DALYs are probably the most established proxy of disease burden.</w:t>
      </w:r>
    </w:p>
    <w:p w14:paraId="4EB51105"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lastRenderedPageBreak/>
        <w:t>DALYs were estimated for 183 WHO Member States, those with populations greater than 90,000 in 2015. This threshold excluded 11 WHO Member States: Andorra, Cook Islands, Dominica, Marshall Islands, Monaco, Nauru, Niue, Palau, Saint Kitts and Nevis, San Marino, and Tuvalu. Although DALYs are also provided disaggregated by sex and various age groups, we have used DALYS for the whole population, without distinguishing by sex or age.</w:t>
      </w:r>
    </w:p>
    <w:p w14:paraId="201323B6" w14:textId="3A52B671"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Further details on the methodology followed by the WHO in the compilation of burden of disease for the years 2000, 2005, 2010 and 2015, can be found in the ‘WHO methods and data sources for global burden of disease estimates 2000-2015’ </w:t>
      </w:r>
      <w:r w:rsidR="001F40B0">
        <w:rPr>
          <w:rFonts w:cstheme="minorHAnsi"/>
          <w:sz w:val="22"/>
          <w:szCs w:val="22"/>
          <w:lang w:val="en-GB"/>
        </w:rPr>
        <w:fldChar w:fldCharType="begin"/>
      </w:r>
      <w:r w:rsidR="00F9495A">
        <w:rPr>
          <w:rFonts w:cstheme="minorHAnsi"/>
          <w:sz w:val="22"/>
          <w:szCs w:val="22"/>
          <w:lang w:val="en-GB"/>
        </w:rPr>
        <w:instrText xml:space="preserve"> ADDIN ZOTERO_ITEM CSL_CITATION {"citationID":"wCU1Fagk","properties":{"formattedCitation":"[1]","plainCitation":"[1]","noteIndex":0},"citationItems":[{"id":1986,"uris":["http://zotero.org/groups/2397039/items/Y223EFE9"],"uri":["http://zotero.org/groups/2397039/items/Y223EFE9"],"itemData":{"id":1986,"type":"report","title":"Disease, injury and causes of death country, regional and global estimates, 2000–2015","URL":"https://www.who.int/healthinfo/global_burden_disease/estimates_country_2000_2015/en/","author":[{"family":"WHO","given":""}],"issued":{"date-parts":[["2017"]]},"accessed":{"date-parts":[["2019",10,28]]}}}],"schema":"https://github.com/citation-style-language/schema/raw/master/csl-citation.json"} </w:instrText>
      </w:r>
      <w:r w:rsidR="001F40B0">
        <w:rPr>
          <w:rFonts w:cstheme="minorHAnsi"/>
          <w:sz w:val="22"/>
          <w:szCs w:val="22"/>
          <w:lang w:val="en-GB"/>
        </w:rPr>
        <w:fldChar w:fldCharType="separate"/>
      </w:r>
      <w:r w:rsidR="00F9495A" w:rsidRPr="00F9495A">
        <w:rPr>
          <w:rFonts w:ascii="Calibri" w:hAnsi="Calibri" w:cs="Calibri"/>
          <w:sz w:val="22"/>
        </w:rPr>
        <w:t>[1]</w:t>
      </w:r>
      <w:r w:rsidR="001F40B0">
        <w:rPr>
          <w:rFonts w:cstheme="minorHAnsi"/>
          <w:sz w:val="22"/>
          <w:szCs w:val="22"/>
          <w:lang w:val="en-GB"/>
        </w:rPr>
        <w:fldChar w:fldCharType="end"/>
      </w:r>
      <w:r w:rsidRPr="006F3B5D">
        <w:rPr>
          <w:rFonts w:cstheme="minorHAnsi"/>
          <w:sz w:val="22"/>
          <w:szCs w:val="22"/>
          <w:lang w:val="en-GB"/>
        </w:rPr>
        <w:t>.</w:t>
      </w:r>
    </w:p>
    <w:p w14:paraId="194DAE1F" w14:textId="074A288E" w:rsidR="002D35DD" w:rsidRPr="006F3B5D" w:rsidRDefault="00F9495A" w:rsidP="002D35DD">
      <w:pPr>
        <w:jc w:val="both"/>
        <w:rPr>
          <w:rFonts w:cstheme="minorHAnsi"/>
          <w:b/>
          <w:sz w:val="22"/>
          <w:szCs w:val="22"/>
          <w:lang w:val="en-GB"/>
        </w:rPr>
      </w:pPr>
      <w:r>
        <w:rPr>
          <w:rFonts w:cstheme="minorHAnsi"/>
          <w:b/>
          <w:sz w:val="22"/>
          <w:szCs w:val="22"/>
          <w:lang w:val="en-GB"/>
        </w:rPr>
        <w:t>S1.2</w:t>
      </w:r>
      <w:r w:rsidR="00A9293B" w:rsidRPr="006F3B5D">
        <w:rPr>
          <w:rFonts w:cstheme="minorHAnsi"/>
          <w:b/>
          <w:sz w:val="22"/>
          <w:szCs w:val="22"/>
          <w:lang w:val="en-GB"/>
        </w:rPr>
        <w:t xml:space="preserve"> </w:t>
      </w:r>
      <w:r w:rsidR="002D35DD" w:rsidRPr="006F3B5D">
        <w:rPr>
          <w:rFonts w:cstheme="minorHAnsi"/>
          <w:b/>
          <w:sz w:val="22"/>
          <w:szCs w:val="22"/>
          <w:lang w:val="en-GB"/>
        </w:rPr>
        <w:t>Publication data</w:t>
      </w:r>
    </w:p>
    <w:p w14:paraId="541DAD28" w14:textId="59999579"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We have considered the number of publications as a proxy of the research effort made around the various diseases, which may result of any type of funding, either institutional (i.e. block grants) and external funding (i.e. project funding). Other measures are also often used in this context, such as the investment made in each disease according to project budgets. However, the latter seems more accurate as a proxy of financial efforts rather than research efforts, as it fails to capture research carried out by academic researchers or medical doctors without specific funding. In any case, exploratory studies suggest that both proxies are highly correlated </w:t>
      </w:r>
      <w:r w:rsidR="00B8746B">
        <w:rPr>
          <w:rFonts w:cstheme="minorHAnsi"/>
          <w:sz w:val="22"/>
          <w:szCs w:val="22"/>
          <w:lang w:val="en-GB" w:eastAsia="sv-SE"/>
        </w:rPr>
        <w:fldChar w:fldCharType="begin"/>
      </w:r>
      <w:r w:rsidR="003A1206">
        <w:rPr>
          <w:rFonts w:cstheme="minorHAnsi"/>
          <w:sz w:val="22"/>
          <w:szCs w:val="22"/>
          <w:lang w:val="en-GB" w:eastAsia="sv-SE"/>
        </w:rPr>
        <w:instrText xml:space="preserve"> ADDIN ZOTERO_ITEM CSL_CITATION {"citationID":"LLOeNfnm","properties":{"formattedCitation":"(Ciarli &amp; R\\uc0\\u224{}fols, 2019)","plainCitation":"(Ciarli &amp; Ràfols, 2019)","dontUpdate":true,"noteIndex":0},"citationItems":[{"id":1996,"uris":["http://zotero.org/groups/2397039/items/ASN5MC2U"],"uri":["http://zotero.org/groups/2397039/items/ASN5MC2U"],"itemData":{"id":1996,"type":"article-journal","title":"The relation between research priorities and societal demands: The case of rice","container-title":"Research Policy","collection-title":"New Frontiers in Science, Technology and Innovation Research from SPRU’s 50th Anniversary Conference","page":"949-967","volume":"48","issue":"4","source":"ScienceDirect","abstract":"To what extent is scientific research related to societal needs? To answer this crucial question systematically we need to contrast indicators of research priorities with indicators of societal needs. We focus on rice research and technology between 1983 and 2012. We combine quantitative methods that allow investigation of the relation between ‘revealed’ research priorities and ‘revealed’ societal demands, measured respectively by research output (publications) and national accounts of rice use and farmers’ and consumers’ rice-related needs. We employ new bibliometric data, methods and indicators to identify countries’ main rice research topics (priorities) from publications. For a panel of countries, we estimate the relation between revealed research priorities and revealed demands. We find that, across countries and time, societal demands explain a country's research trajectory to a limited extent. Some research priorities are nicely aligned to societal demands, confirming that science is partly related to societal needs. However, we find a relevant number of misalignments between the focus of rice research and revealed demands, crucially related to human consumption and nutrition. We discuss some implications for research policy.","DOI":"10.1016/j.respol.2018.10.027","ISSN":"0048-7333","shortTitle":"The relation between research priorities and societal demands","journalAbbreviation":"Research Policy","language":"en","author":[{"family":"Ciarli","given":"Tommaso"},{"family":"Ràfols","given":"Ismael"}],"issued":{"date-parts":[["2019",5,1]]}}}],"schema":"https://github.com/citation-style-language/schema/raw/master/csl-citation.json"} </w:instrText>
      </w:r>
      <w:r w:rsidR="00B8746B">
        <w:rPr>
          <w:rFonts w:cstheme="minorHAnsi"/>
          <w:sz w:val="22"/>
          <w:szCs w:val="22"/>
          <w:lang w:val="en-GB" w:eastAsia="sv-SE"/>
        </w:rPr>
        <w:fldChar w:fldCharType="separate"/>
      </w:r>
      <w:r w:rsidR="00B8746B" w:rsidRPr="00D93DC7">
        <w:rPr>
          <w:rFonts w:ascii="Calibri" w:hAnsi="Calibri" w:cs="Calibri"/>
          <w:sz w:val="22"/>
          <w:szCs w:val="24"/>
        </w:rPr>
        <w:t>(Ciarli &amp; Ràfols, 2019</w:t>
      </w:r>
      <w:r w:rsidR="00B8746B">
        <w:rPr>
          <w:rFonts w:ascii="Calibri" w:hAnsi="Calibri" w:cs="Calibri"/>
          <w:sz w:val="22"/>
          <w:szCs w:val="24"/>
        </w:rPr>
        <w:t>, p. 955</w:t>
      </w:r>
      <w:r w:rsidR="00B8746B" w:rsidRPr="00D93DC7">
        <w:rPr>
          <w:rFonts w:ascii="Calibri" w:hAnsi="Calibri" w:cs="Calibri"/>
          <w:sz w:val="22"/>
          <w:szCs w:val="24"/>
        </w:rPr>
        <w:t>)</w:t>
      </w:r>
      <w:r w:rsidR="00B8746B">
        <w:rPr>
          <w:rFonts w:cstheme="minorHAnsi"/>
          <w:sz w:val="22"/>
          <w:szCs w:val="22"/>
          <w:lang w:val="en-GB" w:eastAsia="sv-SE"/>
        </w:rPr>
        <w:fldChar w:fldCharType="end"/>
      </w:r>
      <w:r w:rsidRPr="006F3B5D">
        <w:rPr>
          <w:rFonts w:cstheme="minorHAnsi"/>
          <w:sz w:val="22"/>
          <w:szCs w:val="22"/>
          <w:lang w:val="en-GB" w:eastAsia="sv-SE"/>
        </w:rPr>
        <w:t xml:space="preserve">. We acknowledge that the number of total research articles is not a perfect indicator, but it can be considered a reasonable indicator of health research </w:t>
      </w:r>
      <w:r w:rsidR="00B8746B">
        <w:rPr>
          <w:rFonts w:cstheme="minorHAnsi"/>
          <w:sz w:val="22"/>
          <w:szCs w:val="22"/>
          <w:lang w:val="en-GB" w:eastAsia="sv-SE"/>
        </w:rPr>
        <w:fldChar w:fldCharType="begin"/>
      </w:r>
      <w:r w:rsidR="00F9495A">
        <w:rPr>
          <w:rFonts w:cstheme="minorHAnsi"/>
          <w:sz w:val="22"/>
          <w:szCs w:val="22"/>
          <w:lang w:val="en-GB" w:eastAsia="sv-SE"/>
        </w:rPr>
        <w:instrText xml:space="preserve"> ADDIN ZOTERO_ITEM CSL_CITATION {"citationID":"QLh8xbUA","properties":{"formattedCitation":"[7]","plainCitation":"[7]","noteIndex":0},"citationItems":[{"id":2033,"uris":["http://zotero.org/groups/2397039/items/QJMCFIEZ"],"uri":["http://zotero.org/groups/2397039/items/QJMCFIEZ"],"itemData":{"id":2033,"type":"article-journal","title":"Attention to local health burden and the global disparity of health research","container-title":"PloS One","page":"e90147","volume":"9","issue":"4","source":"PubMed","abstract":"Most studies on global health inequality consider unequal health care and socio-economic conditions but neglect inequality in the production of health knowledge relevant to addressing disease burden. We demonstrate this inequality and identify likely causes. Using disability-adjusted life years (DALYs) for 111 prominent medical conditions, assessed globally and nationally by the World Health Organization, we linked DALYs with MEDLINE articles for each condition to assess the influence of DALY-based global disease burden, compared to the global market for treatment, on the production of relevant MEDLINE articles, systematic reviews, clinical trials and research using animal models vs. humans. We then explored how DALYs, wealth, and the production of research within countries correlate with this global pattern. We show that global DALYs for each condition had a small, significant negative relationship with the production of each type of MEDLINE articles for that condition. Local processes of health research appear to be behind this. Clinical trials and animal studies but not systematic reviews produced within countries were strongly guided by local DALYs. More and less developed countries had very different disease profiles and rich countries publish much more than poor countries. Accordingly, conditions common to developed countries garnered more clinical research than those common to less developed countries. Many of the health needs in less developed countries do not attract attention among developed country researchers who produce the vast majority of global health knowledge--including clinical trials--in response to their own local needs. This raises concern about the amount of knowledge relevant to poor populations deficient in their own research infrastructure. We recommend measures to address this critical dimension of global health inequality.","DOI":"10.1371/journal.pone.0090147","ISSN":"1932-6203","note":"PMID: 24691431\nPMCID: PMC3972174","journalAbbreviation":"PLoS ONE","language":"eng","author":[{"family":"Evans","given":"James A."},{"family":"Shim","given":"Jae-Mahn"},{"family":"Ioannidis","given":"John P. A."}],"issued":{"date-parts":[["2014"]]}}}],"schema":"https://github.com/citation-style-language/schema/raw/master/csl-citation.json"} </w:instrText>
      </w:r>
      <w:r w:rsidR="00B8746B">
        <w:rPr>
          <w:rFonts w:cstheme="minorHAnsi"/>
          <w:sz w:val="22"/>
          <w:szCs w:val="22"/>
          <w:lang w:val="en-GB" w:eastAsia="sv-SE"/>
        </w:rPr>
        <w:fldChar w:fldCharType="separate"/>
      </w:r>
      <w:r w:rsidR="00F9495A" w:rsidRPr="00F9495A">
        <w:rPr>
          <w:rFonts w:ascii="Calibri" w:hAnsi="Calibri" w:cs="Calibri"/>
          <w:sz w:val="22"/>
        </w:rPr>
        <w:t>[7]</w:t>
      </w:r>
      <w:r w:rsidR="00B8746B">
        <w:rPr>
          <w:rFonts w:cstheme="minorHAnsi"/>
          <w:sz w:val="22"/>
          <w:szCs w:val="22"/>
          <w:lang w:val="en-GB" w:eastAsia="sv-SE"/>
        </w:rPr>
        <w:fldChar w:fldCharType="end"/>
      </w:r>
    </w:p>
    <w:p w14:paraId="1188C5D4" w14:textId="77777777"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We collected scientific publications through PubMed, which provides access to more than 30 million scientific publications included in the MEDLINE database. MEDLINE is the bibliographic database on biomedical literature produced by the U.S. National Library of Medicine in the U.S (NLM). The NLM uses a controlled vocabulary (Medical Subject Headings -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to describe the content of the scientific articles included in the database, index them and support the search of information. </w:t>
      </w:r>
    </w:p>
    <w:p w14:paraId="471A17E1" w14:textId="11EF1694"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In order to enable the comparison between the burden of disease estimates and the number of publications corresponding to a specific disease, we identified the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that best describe each of the 134 diseases included in our study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version 2018). To create this correspondence between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(linked to publications in MEDLINE) and ICD-10 (burden of disease, from WHO) we relied on several resources, such as the Unified Medical Language System (UMLS), a tool produced by the NLM which provides information on the relationship between concepts </w:t>
      </w:r>
      <w:r w:rsidR="005C7173">
        <w:rPr>
          <w:rFonts w:cstheme="minorHAnsi"/>
          <w:sz w:val="22"/>
          <w:szCs w:val="22"/>
          <w:lang w:val="en-GB" w:eastAsia="sv-SE"/>
        </w:rPr>
        <w:t>from</w:t>
      </w:r>
      <w:r w:rsidRPr="006F3B5D">
        <w:rPr>
          <w:rFonts w:cstheme="minorHAnsi"/>
          <w:sz w:val="22"/>
          <w:szCs w:val="22"/>
          <w:lang w:val="en-GB" w:eastAsia="sv-SE"/>
        </w:rPr>
        <w:t xml:space="preserve"> different classifications, so that with this tool we were able to identify the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corresponding to a number of ICD-10 codes.</w:t>
      </w:r>
    </w:p>
    <w:p w14:paraId="4F12DF9D" w14:textId="77777777"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Given that the UMLS did not provide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for each of the ICD-10 codes corresponding to the 134 diseases, we also used complementary strategies. We also used Wikipedia to collect ICD-10 –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candidate pairs to be included in our correspondence table. Wikipedia often includes in the article of the disease information on the codes from various classifications corresponding to the disease, including ICD-10 and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among others.</w:t>
      </w:r>
    </w:p>
    <w:p w14:paraId="221971D0" w14:textId="77777777"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For remaining ICD-10 codes corresponding to our 134 for which we were not able to identify relevant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through the previous strategies, we directly assigned the most adequate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 by searching directly the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database.</w:t>
      </w:r>
    </w:p>
    <w:p w14:paraId="453001FE" w14:textId="77777777"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The assignment of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to ICD-10 codes was reviewed by one of the authors (Professor Abad-</w:t>
      </w:r>
      <w:proofErr w:type="spellStart"/>
      <w:r w:rsidRPr="006F3B5D">
        <w:rPr>
          <w:rFonts w:cstheme="minorHAnsi"/>
          <w:sz w:val="22"/>
          <w:szCs w:val="22"/>
          <w:lang w:val="en-GB" w:eastAsia="sv-SE"/>
        </w:rPr>
        <w:t>García</w:t>
      </w:r>
      <w:proofErr w:type="spellEnd"/>
      <w:r w:rsidRPr="006F3B5D">
        <w:rPr>
          <w:rFonts w:cstheme="minorHAnsi"/>
          <w:sz w:val="22"/>
          <w:szCs w:val="22"/>
          <w:lang w:val="en-GB" w:eastAsia="sv-SE"/>
        </w:rPr>
        <w:t>) who is a medical doctor, with an extensive experience working with biomedical and disease classifications.</w:t>
      </w:r>
    </w:p>
    <w:p w14:paraId="5DC94769" w14:textId="7942464A"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lastRenderedPageBreak/>
        <w:t xml:space="preserve">To retrieve publications related to the various diseases, we included in the search not only the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we previously assigned to the various ICD-10 codes, but also any specific terms beneath them, according to the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structure. This procedure is the so called ‘automatic explosion’, and it is automatically performed in PubMed. This approach allowed us to assign, for instance, to the disease “malaria” in the classification of the WHO, publications with the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 “Blackwater Fever” even if the </w:t>
      </w:r>
      <w:proofErr w:type="spellStart"/>
      <w:r w:rsidR="007340A3">
        <w:rPr>
          <w:rFonts w:cstheme="minorHAnsi"/>
          <w:sz w:val="22"/>
          <w:szCs w:val="22"/>
          <w:lang w:val="en-GB" w:eastAsia="sv-SE"/>
        </w:rPr>
        <w:t>MeSH</w:t>
      </w:r>
      <w:proofErr w:type="spellEnd"/>
      <w:r w:rsidR="007340A3" w:rsidRPr="006F3B5D">
        <w:rPr>
          <w:rFonts w:cstheme="minorHAnsi"/>
          <w:sz w:val="22"/>
          <w:szCs w:val="22"/>
          <w:lang w:val="en-GB" w:eastAsia="sv-SE"/>
        </w:rPr>
        <w:t xml:space="preserve"> </w:t>
      </w:r>
      <w:r w:rsidRPr="006F3B5D">
        <w:rPr>
          <w:rFonts w:cstheme="minorHAnsi"/>
          <w:sz w:val="22"/>
          <w:szCs w:val="22"/>
          <w:lang w:val="en-GB" w:eastAsia="sv-SE"/>
        </w:rPr>
        <w:t>term “malaria” was not assigned them.</w:t>
      </w:r>
    </w:p>
    <w:p w14:paraId="0DC574B1" w14:textId="77777777"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All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are included in one or more of its 16 main categories (from </w:t>
      </w:r>
      <w:r w:rsidRPr="006F3B5D">
        <w:rPr>
          <w:rFonts w:cstheme="minorHAnsi"/>
          <w:i/>
          <w:sz w:val="22"/>
          <w:szCs w:val="22"/>
          <w:lang w:val="en-GB" w:eastAsia="sv-SE"/>
        </w:rPr>
        <w:t>A- Anatomy</w:t>
      </w:r>
      <w:r w:rsidRPr="006F3B5D">
        <w:rPr>
          <w:rFonts w:cstheme="minorHAnsi"/>
          <w:sz w:val="22"/>
          <w:szCs w:val="22"/>
          <w:lang w:val="en-GB" w:eastAsia="sv-SE"/>
        </w:rPr>
        <w:t xml:space="preserve"> to </w:t>
      </w:r>
      <w:r w:rsidRPr="006F3B5D">
        <w:rPr>
          <w:rFonts w:cstheme="minorHAnsi"/>
          <w:i/>
          <w:sz w:val="22"/>
          <w:szCs w:val="22"/>
          <w:lang w:val="en-GB" w:eastAsia="sv-SE"/>
        </w:rPr>
        <w:t xml:space="preserve">Z- </w:t>
      </w:r>
      <w:proofErr w:type="spellStart"/>
      <w:r w:rsidRPr="006F3B5D">
        <w:rPr>
          <w:rFonts w:cstheme="minorHAnsi"/>
          <w:i/>
          <w:sz w:val="22"/>
          <w:szCs w:val="22"/>
          <w:lang w:val="en-GB" w:eastAsia="sv-SE"/>
        </w:rPr>
        <w:t>Geographicals</w:t>
      </w:r>
      <w:proofErr w:type="spellEnd"/>
      <w:r w:rsidRPr="006F3B5D">
        <w:rPr>
          <w:rFonts w:cstheme="minorHAnsi"/>
          <w:sz w:val="22"/>
          <w:szCs w:val="22"/>
          <w:lang w:val="en-GB" w:eastAsia="sv-SE"/>
        </w:rPr>
        <w:t xml:space="preserve">), according to a hierarchical structure. A given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 might be classified as specific term of two or more generic terms, within the same main branch or in different branches. Therefore, unlike the non-overlapping criteria followed by the WHO to assign the burden of disease across categories, the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tree structure might lead to duplicate assignments of publications to diseases. </w:t>
      </w:r>
    </w:p>
    <w:p w14:paraId="6B1A7334" w14:textId="0A93EC91"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In order to be consistent with the methodology followed by the WHO, we checked those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that, due to the ‘automatic explosion’ procedure and the nature of the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w:t>
      </w:r>
      <w:r w:rsidR="00A60991">
        <w:rPr>
          <w:rFonts w:cstheme="minorHAnsi"/>
          <w:sz w:val="22"/>
          <w:szCs w:val="22"/>
          <w:lang w:val="en-GB" w:eastAsia="sv-SE"/>
        </w:rPr>
        <w:t xml:space="preserve">tree </w:t>
      </w:r>
      <w:r w:rsidRPr="006F3B5D">
        <w:rPr>
          <w:rFonts w:cstheme="minorHAnsi"/>
          <w:sz w:val="22"/>
          <w:szCs w:val="22"/>
          <w:lang w:val="en-GB" w:eastAsia="sv-SE"/>
        </w:rPr>
        <w:t xml:space="preserve">structure, ended up assigned to more than one of the 134 diseases as considered by the WHO. While checking these possible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duplicates, we kept a given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 assigned only to one of the WHO disease and removing all the unintended assig</w:t>
      </w:r>
      <w:r w:rsidR="004C3091">
        <w:rPr>
          <w:rFonts w:cstheme="minorHAnsi"/>
          <w:sz w:val="22"/>
          <w:szCs w:val="22"/>
          <w:lang w:val="en-GB" w:eastAsia="sv-SE"/>
        </w:rPr>
        <w:t>nment</w:t>
      </w:r>
      <w:r w:rsidR="00A9293B" w:rsidRPr="006F3B5D">
        <w:rPr>
          <w:rFonts w:cstheme="minorHAnsi"/>
          <w:sz w:val="22"/>
          <w:szCs w:val="22"/>
          <w:lang w:val="en-GB" w:eastAsia="sv-SE"/>
        </w:rPr>
        <w:t>s</w:t>
      </w:r>
      <w:r w:rsidRPr="006F3B5D">
        <w:rPr>
          <w:rFonts w:cstheme="minorHAnsi"/>
          <w:sz w:val="22"/>
          <w:szCs w:val="22"/>
          <w:lang w:val="en-GB" w:eastAsia="sv-SE"/>
        </w:rPr>
        <w:t xml:space="preserve">, following the same criteria as the WHO. </w:t>
      </w:r>
    </w:p>
    <w:p w14:paraId="553B228D" w14:textId="4A68FA9F"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This can be illustrated with the WHO disease “Ovary cancer” (ICD-10 = C56), for which we assigned as primary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 “Ovarian Neoplasms”. However, the ‘automatic explosion’ automatically assigned the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“Ovarian Neoplasms” also to the WHO disease “</w:t>
      </w:r>
      <w:proofErr w:type="spellStart"/>
      <w:r w:rsidRPr="006F3B5D">
        <w:rPr>
          <w:rFonts w:cstheme="minorHAnsi"/>
          <w:sz w:val="22"/>
          <w:szCs w:val="22"/>
          <w:lang w:val="en-GB"/>
        </w:rPr>
        <w:t>Gynecological</w:t>
      </w:r>
      <w:proofErr w:type="spellEnd"/>
      <w:r w:rsidRPr="006F3B5D">
        <w:rPr>
          <w:rFonts w:cstheme="minorHAnsi"/>
          <w:sz w:val="22"/>
          <w:szCs w:val="22"/>
          <w:lang w:val="en-GB"/>
        </w:rPr>
        <w:t xml:space="preserve"> diseases”. This happens because according to the </w:t>
      </w:r>
      <w:proofErr w:type="spellStart"/>
      <w:r w:rsidRPr="006F3B5D">
        <w:rPr>
          <w:rFonts w:cstheme="minorHAnsi"/>
          <w:sz w:val="22"/>
          <w:szCs w:val="22"/>
          <w:lang w:val="en-GB"/>
        </w:rPr>
        <w:t>MeSH</w:t>
      </w:r>
      <w:proofErr w:type="spellEnd"/>
      <w:r w:rsidR="00A60991">
        <w:rPr>
          <w:rFonts w:cstheme="minorHAnsi"/>
          <w:sz w:val="22"/>
          <w:szCs w:val="22"/>
          <w:lang w:val="en-GB"/>
        </w:rPr>
        <w:t xml:space="preserve"> tree</w:t>
      </w:r>
      <w:r w:rsidRPr="006F3B5D">
        <w:rPr>
          <w:rFonts w:cstheme="minorHAnsi"/>
          <w:sz w:val="22"/>
          <w:szCs w:val="22"/>
          <w:lang w:val="en-GB"/>
        </w:rPr>
        <w:t xml:space="preserve"> structure, “Ovarian Neoplasms” is a specific term of “Genital Diseases, Female”. In this case, we removed the </w:t>
      </w:r>
      <w:proofErr w:type="spellStart"/>
      <w:r w:rsidRPr="006F3B5D">
        <w:rPr>
          <w:rFonts w:cstheme="minorHAnsi"/>
          <w:sz w:val="22"/>
          <w:szCs w:val="22"/>
          <w:lang w:val="en-GB"/>
        </w:rPr>
        <w:t>MeSH</w:t>
      </w:r>
      <w:proofErr w:type="spellEnd"/>
      <w:r w:rsidRPr="006F3B5D">
        <w:rPr>
          <w:rFonts w:cstheme="minorHAnsi"/>
          <w:sz w:val="22"/>
          <w:szCs w:val="22"/>
          <w:lang w:val="en-GB"/>
        </w:rPr>
        <w:t xml:space="preserve"> “Ovarian neoplasms” from the WHO disease “Genital Diseases, Female” and we only used this </w:t>
      </w:r>
      <w:proofErr w:type="spellStart"/>
      <w:r w:rsidRPr="006F3B5D">
        <w:rPr>
          <w:rFonts w:cstheme="minorHAnsi"/>
          <w:sz w:val="22"/>
          <w:szCs w:val="22"/>
          <w:lang w:val="en-GB"/>
        </w:rPr>
        <w:t>MeSH</w:t>
      </w:r>
      <w:proofErr w:type="spellEnd"/>
      <w:r w:rsidRPr="006F3B5D">
        <w:rPr>
          <w:rFonts w:cstheme="minorHAnsi"/>
          <w:sz w:val="22"/>
          <w:szCs w:val="22"/>
          <w:lang w:val="en-GB"/>
        </w:rPr>
        <w:t xml:space="preserve"> term to assign publications to the WHO disease “Ovarian Neoplasms”.</w:t>
      </w:r>
    </w:p>
    <w:p w14:paraId="58A96AA4" w14:textId="6D5E0F40" w:rsidR="002D35DD" w:rsidRPr="006F3B5D" w:rsidRDefault="002D35DD" w:rsidP="002D35DD">
      <w:pPr>
        <w:jc w:val="both"/>
        <w:rPr>
          <w:rFonts w:cstheme="minorHAnsi"/>
          <w:b/>
          <w:sz w:val="22"/>
          <w:szCs w:val="22"/>
          <w:lang w:val="en-GB" w:eastAsia="sv-SE"/>
        </w:rPr>
      </w:pPr>
      <w:r w:rsidRPr="006F3B5D">
        <w:rPr>
          <w:rFonts w:cstheme="minorHAnsi"/>
          <w:b/>
          <w:sz w:val="22"/>
          <w:szCs w:val="22"/>
          <w:lang w:val="en-GB" w:eastAsia="sv-SE"/>
        </w:rPr>
        <w:t xml:space="preserve">Table </w:t>
      </w:r>
      <w:r w:rsidR="00A9293B" w:rsidRPr="006F3B5D">
        <w:rPr>
          <w:rFonts w:cstheme="minorHAnsi"/>
          <w:b/>
          <w:sz w:val="22"/>
          <w:szCs w:val="22"/>
          <w:lang w:val="en-GB" w:eastAsia="sv-SE"/>
        </w:rPr>
        <w:t xml:space="preserve">S1. Example of multiple assignation in the </w:t>
      </w:r>
    </w:p>
    <w:tbl>
      <w:tblPr>
        <w:tblStyle w:val="TableGrid"/>
        <w:tblW w:w="9245" w:type="dxa"/>
        <w:tblLook w:val="04A0" w:firstRow="1" w:lastRow="0" w:firstColumn="1" w:lastColumn="0" w:noHBand="0" w:noVBand="1"/>
      </w:tblPr>
      <w:tblGrid>
        <w:gridCol w:w="2547"/>
        <w:gridCol w:w="2835"/>
        <w:gridCol w:w="3863"/>
      </w:tblGrid>
      <w:tr w:rsidR="002D35DD" w:rsidRPr="006F3B5D" w14:paraId="42C15AE7" w14:textId="77777777" w:rsidTr="00A9293B">
        <w:tc>
          <w:tcPr>
            <w:tcW w:w="2547" w:type="dxa"/>
            <w:vAlign w:val="center"/>
          </w:tcPr>
          <w:p w14:paraId="766CF33C" w14:textId="77777777" w:rsidR="002D35DD" w:rsidRPr="006F3B5D" w:rsidRDefault="002D35DD" w:rsidP="007E2DA0">
            <w:pPr>
              <w:jc w:val="both"/>
              <w:rPr>
                <w:rFonts w:cstheme="minorHAnsi"/>
                <w:sz w:val="22"/>
                <w:szCs w:val="22"/>
                <w:lang w:val="en-GB" w:eastAsia="sv-SE"/>
              </w:rPr>
            </w:pPr>
            <w:r w:rsidRPr="006F3B5D">
              <w:rPr>
                <w:rFonts w:cstheme="minorHAnsi"/>
                <w:b/>
                <w:bCs/>
                <w:sz w:val="22"/>
                <w:szCs w:val="22"/>
                <w:lang w:val="en-GB"/>
              </w:rPr>
              <w:t>WHO disease</w:t>
            </w:r>
          </w:p>
        </w:tc>
        <w:tc>
          <w:tcPr>
            <w:tcW w:w="2835" w:type="dxa"/>
            <w:vAlign w:val="center"/>
          </w:tcPr>
          <w:p w14:paraId="4CBC46F2" w14:textId="2FAA1BF0" w:rsidR="002D35DD" w:rsidRPr="006F3B5D" w:rsidRDefault="002D35DD" w:rsidP="007E2DA0">
            <w:pPr>
              <w:jc w:val="both"/>
              <w:rPr>
                <w:rFonts w:cstheme="minorHAnsi"/>
                <w:sz w:val="22"/>
                <w:szCs w:val="22"/>
                <w:lang w:val="en-GB" w:eastAsia="sv-SE"/>
              </w:rPr>
            </w:pPr>
            <w:proofErr w:type="spellStart"/>
            <w:r w:rsidRPr="006F3B5D">
              <w:rPr>
                <w:rFonts w:cstheme="minorHAnsi"/>
                <w:b/>
                <w:bCs/>
                <w:sz w:val="22"/>
                <w:szCs w:val="22"/>
                <w:lang w:val="en-GB"/>
              </w:rPr>
              <w:t>MeSH</w:t>
            </w:r>
            <w:proofErr w:type="spellEnd"/>
            <w:r w:rsidR="00A60991">
              <w:rPr>
                <w:rFonts w:cstheme="minorHAnsi"/>
                <w:b/>
                <w:bCs/>
                <w:sz w:val="22"/>
                <w:szCs w:val="22"/>
                <w:lang w:val="en-GB"/>
              </w:rPr>
              <w:t xml:space="preserve"> assigned</w:t>
            </w:r>
          </w:p>
        </w:tc>
        <w:tc>
          <w:tcPr>
            <w:tcW w:w="3863" w:type="dxa"/>
            <w:vAlign w:val="center"/>
          </w:tcPr>
          <w:p w14:paraId="6DFA9F62" w14:textId="77777777" w:rsidR="002D35DD" w:rsidRPr="006F3B5D" w:rsidRDefault="002D35DD" w:rsidP="007E2DA0">
            <w:pPr>
              <w:jc w:val="both"/>
              <w:rPr>
                <w:rFonts w:cstheme="minorHAnsi"/>
                <w:sz w:val="22"/>
                <w:szCs w:val="22"/>
                <w:lang w:val="en-GB" w:eastAsia="sv-SE"/>
              </w:rPr>
            </w:pPr>
            <w:r w:rsidRPr="006F3B5D">
              <w:rPr>
                <w:rFonts w:cstheme="minorHAnsi"/>
                <w:b/>
                <w:bCs/>
                <w:sz w:val="22"/>
                <w:szCs w:val="22"/>
                <w:lang w:val="en-GB"/>
              </w:rPr>
              <w:t xml:space="preserve">Specific </w:t>
            </w:r>
            <w:proofErr w:type="spellStart"/>
            <w:r w:rsidRPr="006F3B5D">
              <w:rPr>
                <w:rFonts w:cstheme="minorHAnsi"/>
                <w:b/>
                <w:bCs/>
                <w:sz w:val="22"/>
                <w:szCs w:val="22"/>
                <w:lang w:val="en-GB"/>
              </w:rPr>
              <w:t>MeSH</w:t>
            </w:r>
            <w:proofErr w:type="spellEnd"/>
          </w:p>
        </w:tc>
      </w:tr>
      <w:tr w:rsidR="002D35DD" w:rsidRPr="006F3B5D" w14:paraId="43C78C2B" w14:textId="77777777" w:rsidTr="00A9293B">
        <w:tc>
          <w:tcPr>
            <w:tcW w:w="2547" w:type="dxa"/>
            <w:vAlign w:val="center"/>
          </w:tcPr>
          <w:p w14:paraId="0EC923C4" w14:textId="77777777" w:rsidR="002D35DD" w:rsidRPr="006F3B5D" w:rsidRDefault="002D35DD" w:rsidP="007E2DA0">
            <w:pPr>
              <w:jc w:val="both"/>
              <w:rPr>
                <w:rFonts w:cstheme="minorHAnsi"/>
                <w:sz w:val="22"/>
                <w:szCs w:val="22"/>
                <w:lang w:val="en-GB" w:eastAsia="sv-SE"/>
              </w:rPr>
            </w:pPr>
            <w:proofErr w:type="spellStart"/>
            <w:r w:rsidRPr="006F3B5D">
              <w:rPr>
                <w:rFonts w:cstheme="minorHAnsi"/>
                <w:sz w:val="22"/>
                <w:szCs w:val="22"/>
                <w:lang w:val="en-GB"/>
              </w:rPr>
              <w:t>Gynecological</w:t>
            </w:r>
            <w:proofErr w:type="spellEnd"/>
            <w:r w:rsidRPr="006F3B5D">
              <w:rPr>
                <w:rFonts w:cstheme="minorHAnsi"/>
                <w:sz w:val="22"/>
                <w:szCs w:val="22"/>
                <w:lang w:val="en-GB"/>
              </w:rPr>
              <w:t xml:space="preserve"> diseases</w:t>
            </w:r>
          </w:p>
        </w:tc>
        <w:tc>
          <w:tcPr>
            <w:tcW w:w="2835" w:type="dxa"/>
            <w:vAlign w:val="center"/>
          </w:tcPr>
          <w:p w14:paraId="556DD37E" w14:textId="77777777" w:rsidR="002D35DD" w:rsidRPr="006F3B5D" w:rsidRDefault="002D35DD" w:rsidP="007E2DA0">
            <w:pPr>
              <w:jc w:val="both"/>
              <w:rPr>
                <w:rFonts w:cstheme="minorHAnsi"/>
                <w:sz w:val="22"/>
                <w:szCs w:val="22"/>
                <w:lang w:val="en-GB" w:eastAsia="sv-SE"/>
              </w:rPr>
            </w:pPr>
            <w:r w:rsidRPr="006F3B5D">
              <w:rPr>
                <w:rFonts w:cstheme="minorHAnsi"/>
                <w:sz w:val="22"/>
                <w:szCs w:val="22"/>
                <w:lang w:val="en-GB"/>
              </w:rPr>
              <w:t>Genital Diseases, Female</w:t>
            </w:r>
          </w:p>
        </w:tc>
        <w:tc>
          <w:tcPr>
            <w:tcW w:w="3863" w:type="dxa"/>
            <w:vAlign w:val="center"/>
          </w:tcPr>
          <w:p w14:paraId="715778F0" w14:textId="320C55BB" w:rsidR="002D35DD" w:rsidRPr="006F3B5D" w:rsidRDefault="002D35DD" w:rsidP="007E2DA0">
            <w:pPr>
              <w:jc w:val="both"/>
              <w:rPr>
                <w:rFonts w:cstheme="minorHAnsi"/>
                <w:sz w:val="22"/>
                <w:szCs w:val="22"/>
                <w:lang w:val="en-GB" w:eastAsia="sv-SE"/>
              </w:rPr>
            </w:pPr>
            <w:r w:rsidRPr="006F3B5D">
              <w:rPr>
                <w:rFonts w:cstheme="minorHAnsi"/>
                <w:sz w:val="22"/>
                <w:szCs w:val="22"/>
                <w:lang w:val="en-GB"/>
              </w:rPr>
              <w:t>Ovarian Neoplasms</w:t>
            </w:r>
            <w:r w:rsidR="00A9293B" w:rsidRPr="006F3B5D">
              <w:rPr>
                <w:rFonts w:cstheme="minorHAnsi"/>
                <w:sz w:val="22"/>
                <w:szCs w:val="22"/>
                <w:lang w:val="en-GB"/>
              </w:rPr>
              <w:t xml:space="preserve"> (removed)</w:t>
            </w:r>
          </w:p>
        </w:tc>
      </w:tr>
      <w:tr w:rsidR="002D35DD" w:rsidRPr="006F3B5D" w14:paraId="226D6E79" w14:textId="77777777" w:rsidTr="00A9293B">
        <w:tc>
          <w:tcPr>
            <w:tcW w:w="2547" w:type="dxa"/>
            <w:vAlign w:val="center"/>
          </w:tcPr>
          <w:p w14:paraId="5959268F" w14:textId="77777777" w:rsidR="002D35DD" w:rsidRPr="006F3B5D" w:rsidRDefault="002D35DD" w:rsidP="007E2DA0">
            <w:pPr>
              <w:jc w:val="both"/>
              <w:rPr>
                <w:rFonts w:cstheme="minorHAnsi"/>
                <w:sz w:val="22"/>
                <w:szCs w:val="22"/>
                <w:lang w:val="en-GB" w:eastAsia="sv-SE"/>
              </w:rPr>
            </w:pPr>
            <w:r w:rsidRPr="006F3B5D">
              <w:rPr>
                <w:rFonts w:cstheme="minorHAnsi"/>
                <w:sz w:val="22"/>
                <w:szCs w:val="22"/>
                <w:lang w:val="en-GB"/>
              </w:rPr>
              <w:t>Ovary cancer</w:t>
            </w:r>
          </w:p>
        </w:tc>
        <w:tc>
          <w:tcPr>
            <w:tcW w:w="2835" w:type="dxa"/>
            <w:vAlign w:val="center"/>
          </w:tcPr>
          <w:p w14:paraId="4C292D17" w14:textId="77777777" w:rsidR="002D35DD" w:rsidRPr="006F3B5D" w:rsidRDefault="002D35DD" w:rsidP="007E2DA0">
            <w:pPr>
              <w:jc w:val="both"/>
              <w:rPr>
                <w:rFonts w:cstheme="minorHAnsi"/>
                <w:sz w:val="22"/>
                <w:szCs w:val="22"/>
                <w:lang w:val="en-GB" w:eastAsia="sv-SE"/>
              </w:rPr>
            </w:pPr>
            <w:r w:rsidRPr="006F3B5D">
              <w:rPr>
                <w:rFonts w:cstheme="minorHAnsi"/>
                <w:sz w:val="22"/>
                <w:szCs w:val="22"/>
                <w:lang w:val="en-GB"/>
              </w:rPr>
              <w:t>Ovarian Neoplasms</w:t>
            </w:r>
          </w:p>
        </w:tc>
        <w:tc>
          <w:tcPr>
            <w:tcW w:w="3863" w:type="dxa"/>
            <w:vAlign w:val="center"/>
          </w:tcPr>
          <w:p w14:paraId="62B3AFD5" w14:textId="77777777" w:rsidR="002D35DD" w:rsidRPr="006F3B5D" w:rsidRDefault="002D35DD" w:rsidP="007E2DA0">
            <w:pPr>
              <w:jc w:val="both"/>
              <w:rPr>
                <w:rFonts w:cstheme="minorHAnsi"/>
                <w:sz w:val="22"/>
                <w:szCs w:val="22"/>
                <w:lang w:val="en-GB" w:eastAsia="sv-SE"/>
              </w:rPr>
            </w:pPr>
            <w:r w:rsidRPr="006F3B5D">
              <w:rPr>
                <w:rFonts w:cstheme="minorHAnsi"/>
                <w:sz w:val="22"/>
                <w:szCs w:val="22"/>
                <w:lang w:val="en-GB"/>
              </w:rPr>
              <w:t>-</w:t>
            </w:r>
          </w:p>
        </w:tc>
      </w:tr>
    </w:tbl>
    <w:p w14:paraId="5B33E79B" w14:textId="77777777" w:rsidR="002D35DD" w:rsidRPr="006F3B5D" w:rsidRDefault="002D35DD" w:rsidP="002D35DD">
      <w:pPr>
        <w:jc w:val="both"/>
        <w:rPr>
          <w:rFonts w:cstheme="minorHAnsi"/>
          <w:sz w:val="22"/>
          <w:szCs w:val="22"/>
          <w:lang w:val="en-GB" w:eastAsia="sv-SE"/>
        </w:rPr>
      </w:pPr>
    </w:p>
    <w:p w14:paraId="7149025E" w14:textId="77777777"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However, publications might still be assigned to two different diseases, but only when they have been indexed with two or more non-overlapping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linked each of them to different WHO diseases.</w:t>
      </w:r>
    </w:p>
    <w:p w14:paraId="18ECC0EB" w14:textId="77777777"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When necessary, we used qualifiers in combination with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For instance, we used the qualifier ‘congenital’ together with some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assigned to some congenital conditions.</w:t>
      </w:r>
    </w:p>
    <w:p w14:paraId="4DB1B915" w14:textId="77777777"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The number of publications produced for each disease was computed using fractional counting. This means that if a given publication is classified in two different WHO diseases, we counted half publications for each disease. For instance, a publication classified on ‘Acute hepatitis B’ and also ‘liver cancer’ is counted as 0.5 for each disease.</w:t>
      </w:r>
    </w:p>
    <w:p w14:paraId="36163FEF" w14:textId="77777777"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Both, the collection of publications related to each disease and also in the mapping of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and WHO classifications are not free of limitations.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is a comprehensive vocabulary, but “</w:t>
      </w:r>
      <w:r w:rsidRPr="006F3B5D">
        <w:rPr>
          <w:rFonts w:cstheme="minorHAnsi"/>
          <w:i/>
          <w:sz w:val="22"/>
          <w:szCs w:val="22"/>
          <w:lang w:val="en-GB" w:eastAsia="sv-SE"/>
        </w:rPr>
        <w:t xml:space="preserve">it should not be regarded as representing an “authoritative subject classification system but rather as arrangements of descriptors for the guidance and convenience of persons who are assigning subject headings to documents or are searching for literature. The trees are not an exhaustive classification of the subject </w:t>
      </w:r>
      <w:r w:rsidRPr="006F3B5D">
        <w:rPr>
          <w:rFonts w:cstheme="minorHAnsi"/>
          <w:i/>
          <w:sz w:val="22"/>
          <w:szCs w:val="22"/>
          <w:lang w:val="en-GB" w:eastAsia="sv-SE"/>
        </w:rPr>
        <w:lastRenderedPageBreak/>
        <w:t>matter but contain only those terms that have been selected for inclusion in this thesaurus</w:t>
      </w:r>
      <w:r w:rsidRPr="006F3B5D">
        <w:rPr>
          <w:rFonts w:cstheme="minorHAnsi"/>
          <w:sz w:val="22"/>
          <w:szCs w:val="22"/>
          <w:lang w:val="en-GB" w:eastAsia="sv-SE"/>
        </w:rPr>
        <w:t>”</w:t>
      </w:r>
      <w:r w:rsidRPr="006F3B5D">
        <w:rPr>
          <w:rStyle w:val="FootnoteReference"/>
          <w:rFonts w:cstheme="minorHAnsi"/>
          <w:sz w:val="22"/>
          <w:szCs w:val="22"/>
          <w:lang w:val="en-GB" w:eastAsia="sv-SE"/>
        </w:rPr>
        <w:footnoteReference w:id="1"/>
      </w:r>
      <w:r w:rsidRPr="006F3B5D">
        <w:rPr>
          <w:rFonts w:cstheme="minorHAnsi"/>
          <w:sz w:val="22"/>
          <w:szCs w:val="22"/>
          <w:lang w:val="en-GB" w:eastAsia="sv-SE"/>
        </w:rPr>
        <w:t xml:space="preserve">.  Thus, the possibilities of finding appropriate terms for each disease partially depend on the availability of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in the database.</w:t>
      </w:r>
    </w:p>
    <w:p w14:paraId="0E9F7D7B" w14:textId="230637F0"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We also rely on the assignment of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to publications done by human indexers, and therefore not exempt of problems (e.g.  </w:t>
      </w:r>
      <w:proofErr w:type="spellStart"/>
      <w:r w:rsidRPr="006F3B5D">
        <w:rPr>
          <w:rFonts w:cstheme="minorHAnsi"/>
          <w:sz w:val="22"/>
          <w:szCs w:val="22"/>
          <w:lang w:val="en-GB" w:eastAsia="sv-SE"/>
        </w:rPr>
        <w:t>Minguet</w:t>
      </w:r>
      <w:proofErr w:type="spellEnd"/>
      <w:r w:rsidRPr="006F3B5D">
        <w:rPr>
          <w:rFonts w:cstheme="minorHAnsi"/>
          <w:sz w:val="22"/>
          <w:szCs w:val="22"/>
          <w:lang w:val="en-GB" w:eastAsia="sv-SE"/>
        </w:rPr>
        <w:t xml:space="preserve"> et al, 2015). Also, some records in the database do not have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assigned, and therefore we could not retrieve these records when using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to search the database. There are for instance publications that might be relevant for a particular disease, as for instance malaria (e.g. </w:t>
      </w:r>
      <w:proofErr w:type="spellStart"/>
      <w:r w:rsidRPr="006F3B5D">
        <w:rPr>
          <w:rFonts w:cstheme="minorHAnsi"/>
          <w:sz w:val="22"/>
          <w:szCs w:val="22"/>
          <w:lang w:val="en-GB" w:eastAsia="sv-SE"/>
        </w:rPr>
        <w:t>pmid</w:t>
      </w:r>
      <w:proofErr w:type="spellEnd"/>
      <w:r w:rsidRPr="006F3B5D">
        <w:rPr>
          <w:rFonts w:cstheme="minorHAnsi"/>
          <w:sz w:val="22"/>
          <w:szCs w:val="22"/>
          <w:lang w:val="en-GB" w:eastAsia="sv-SE"/>
        </w:rPr>
        <w:t xml:space="preserve"> 21151372 or </w:t>
      </w:r>
      <w:proofErr w:type="spellStart"/>
      <w:r w:rsidRPr="006F3B5D">
        <w:rPr>
          <w:rFonts w:cstheme="minorHAnsi"/>
          <w:sz w:val="22"/>
          <w:szCs w:val="22"/>
          <w:lang w:val="en-GB" w:eastAsia="sv-SE"/>
        </w:rPr>
        <w:t>pmid</w:t>
      </w:r>
      <w:proofErr w:type="spellEnd"/>
      <w:r w:rsidRPr="006F3B5D">
        <w:rPr>
          <w:rFonts w:cstheme="minorHAnsi"/>
          <w:sz w:val="22"/>
          <w:szCs w:val="22"/>
          <w:lang w:val="en-GB" w:eastAsia="sv-SE"/>
        </w:rPr>
        <w:t xml:space="preserve"> 21476815), but there are not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assigned to these records. We did not explore in detail how many records potentially relevant for the various diseases covered by our study do not carry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but these examples illustrate that this aspect might affect the collection of publications. Sometimes the absence of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might be related to the delay in indexing records by the NLM </w:t>
      </w:r>
      <w:r w:rsidR="00B8746B">
        <w:rPr>
          <w:rFonts w:cstheme="minorHAnsi"/>
          <w:sz w:val="22"/>
          <w:szCs w:val="22"/>
          <w:lang w:val="en-GB" w:eastAsia="sv-SE"/>
        </w:rPr>
        <w:fldChar w:fldCharType="begin"/>
      </w:r>
      <w:r w:rsidR="00F9495A">
        <w:rPr>
          <w:rFonts w:cstheme="minorHAnsi"/>
          <w:sz w:val="22"/>
          <w:szCs w:val="22"/>
          <w:lang w:val="en-GB" w:eastAsia="sv-SE"/>
        </w:rPr>
        <w:instrText xml:space="preserve"> ADDIN ZOTERO_ITEM CSL_CITATION {"citationID":"DmvssGtR","properties":{"formattedCitation":"[8,9]","plainCitation":"[8,9]","noteIndex":0},"citationItems":[{"id":2028,"uris":["http://zotero.org/groups/2397039/items/LDZ8YPT6"],"uri":["http://zotero.org/groups/2397039/items/LDZ8YPT6"],"itemData":{"id":2028,"type":"article-journal","title":"Comparison of the time-to-indexing in PubMed between biomedical journals according to impact factor, discipline, and focus","container-title":"Research in social &amp; administrative pharmacy: RSAP","page":"389-393","volume":"13","issue":"2","source":"PubMed","abstract":"BACKGROUND: Practicing evidence-based medicine requires health care professionals to efficiently retrieve relevant and current literature.\nOBJECTIVE: The purpose of this study was to compare the time interval between PubMed entry and indexing with Medical Subject Headings (MeSH) between biomedical journals with varying impact factors, focus areas, and health care discipline representation.\nMETHODS: This was a cross-sectional study of articles entered into PubMed database between January 1 and December 31, 2012. The primary endpoint was the number of days between PubMed entry and indexing with MeSH terms.\nRESULTS: A total of 7906 articles were reviewed across 18 journals. In the first comparison, the time-to-indexing was 177 ± 100 days, 111 ± 69 days, and 23 ± 40 days for articles published in journals with impact factors of 2.0-2.5, 4.5-6.5, and &gt;25, respectively (P ≤ 0.001). In the second comparison, the time-to-indexing was 111 ± 69 days for general medicine versus 170 ± 74 days for specialty journals (P ≤ 0.001). In the third comparison, the overall time-to-indexing was 177 ± 100 days, 234 ± 107 days, and 163 ± 58 days for medicine, nursing, and pharmacy journals, respectively (P ≤ 0.001).\nCONCLUSIONS: Study results identified a significant delay between entry of articles into the PubMed database and time-to-indexing with MeSH terms across journals of varying impact factor, discipline, and focus. Results suggest that there may be factors that influence the priority by which articles are indexed with MeSH terms. Future research should focus on determining those journal characteristics and any impact of this delay on clinical practice.","DOI":"10.1016/j.sapharm.2016.04.006","ISSN":"1934-8150","note":"PMID: 27215603","journalAbbreviation":"Res Social Adm Pharm","language":"eng","author":[{"family":"Irwin","given":"Adriane N."},{"family":"Rackham","given":"Daniel"}],"issued":{"date-parts":[["2017",4]]}},"label":"page"},{"id":2026,"uris":["http://zotero.org/groups/2397039/items/GWHUGE7Q"],"uri":["http://zotero.org/groups/2397039/items/GWHUGE7Q"],"itemData":{"id":2026,"type":"article-journal","title":"Delay in indexing articles published in major pharmacy practice journals","container-title":"American journal of health-system pharmacy: AJHP: official journal of the American Society of Health-System Pharmacists","page":"321-324","volume":"71","issue":"4","source":"PubMed","abstract":"PURPOSE: The delay in time from entry in the PubMed database to indexing with medical subject heading (MeSH) terms for articles published in three major pharmacy practice journals was evaluated.\nMETHODS: In April 2013, MEDLINE data were retrieved for articles published in the American Journal of Health-System Pharmacy (AJHP), the Annals of Pharmacotherapy, and Pharmacotherapy between January 1, 2010, and December 31, 2011. Data collected for each article included the PubMed entry date, MeSH indexing date, and publication type. The PubMed entry date was defined as the Entrez date, the date the citation was added to the PubMed database. Medians and interquartile ranges (IQRs) were calculated for the time to indexing of articles and for the age of unindexed articles. The proportion of unindexed articles was also calculated.\nRESULTS: A total of 1626 publications were reviewed. Overall, the median time to indexing with MeSH terms was 114 days (IQR, 98-141 days): 107 days (IQR, 94-129 days) for AJHP, 131 days (IQR, 104-157 days) for Annals of Pharmacotherapy, and 114 days (IQR, 99-128 days) for Pharmacotherapy. The median age of unindexed articles was 807 days (IQR, 671-807 days).\nCONCLUSION: An analysis of three major pharmacy practice journals showed that the median time to indexing articles published in 2010 and 2011 was 114 days. While all articles from AJHP and Pharmacotherapy were indexed, 40 articles from Annals of Pharmacotherapy remained unindexed.","DOI":"10.2146/ajhp130421","ISSN":"1535-2900","note":"PMID: 24481157","journalAbbreviation":"Am J Health Syst Pharm","language":"eng","author":[{"family":"Rodriguez","given":"Ryan W."}],"issued":{"date-parts":[["2014",2,15]]}},"label":"page"}],"schema":"https://github.com/citation-style-language/schema/raw/master/csl-citation.json"} </w:instrText>
      </w:r>
      <w:r w:rsidR="00B8746B">
        <w:rPr>
          <w:rFonts w:cstheme="minorHAnsi"/>
          <w:sz w:val="22"/>
          <w:szCs w:val="22"/>
          <w:lang w:val="en-GB" w:eastAsia="sv-SE"/>
        </w:rPr>
        <w:fldChar w:fldCharType="separate"/>
      </w:r>
      <w:r w:rsidR="00F9495A" w:rsidRPr="00F9495A">
        <w:rPr>
          <w:rFonts w:ascii="Calibri" w:hAnsi="Calibri" w:cs="Calibri"/>
          <w:sz w:val="22"/>
        </w:rPr>
        <w:t>[8,9]</w:t>
      </w:r>
      <w:r w:rsidR="00B8746B">
        <w:rPr>
          <w:rFonts w:cstheme="minorHAnsi"/>
          <w:sz w:val="22"/>
          <w:szCs w:val="22"/>
          <w:lang w:val="en-GB" w:eastAsia="sv-SE"/>
        </w:rPr>
        <w:fldChar w:fldCharType="end"/>
      </w:r>
      <w:r w:rsidR="00B8746B">
        <w:rPr>
          <w:rFonts w:cstheme="minorHAnsi"/>
          <w:sz w:val="22"/>
          <w:szCs w:val="22"/>
          <w:lang w:val="en-GB" w:eastAsia="sv-SE"/>
        </w:rPr>
        <w:t xml:space="preserve">. </w:t>
      </w:r>
      <w:r w:rsidRPr="006F3B5D">
        <w:rPr>
          <w:rFonts w:cstheme="minorHAnsi"/>
          <w:sz w:val="22"/>
          <w:szCs w:val="22"/>
          <w:lang w:val="en-GB" w:eastAsia="sv-SE"/>
        </w:rPr>
        <w:t xml:space="preserve">However given the time period covered in our study (2010-2014) it is not clear whether the absence of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terms in this period is only related to the delay on indexing or if some other factors are in play.</w:t>
      </w:r>
    </w:p>
    <w:p w14:paraId="179DA05E" w14:textId="19D7874E"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Regarding the mapping exercise, in some cases the hierarchical structures in ICD-10 and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seem to follow different criteria, for instance, the “Plummer-Vinson syndrome” is classified under D50.1 in the ICD-10, therefore under “Iron deficiency </w:t>
      </w:r>
      <w:proofErr w:type="spellStart"/>
      <w:r w:rsidRPr="006F3B5D">
        <w:rPr>
          <w:rFonts w:cstheme="minorHAnsi"/>
          <w:sz w:val="22"/>
          <w:szCs w:val="22"/>
          <w:lang w:val="en-GB" w:eastAsia="sv-SE"/>
        </w:rPr>
        <w:t>anemia</w:t>
      </w:r>
      <w:proofErr w:type="spellEnd"/>
      <w:r w:rsidRPr="006F3B5D">
        <w:rPr>
          <w:rFonts w:cstheme="minorHAnsi"/>
          <w:sz w:val="22"/>
          <w:szCs w:val="22"/>
          <w:lang w:val="en-GB" w:eastAsia="sv-SE"/>
        </w:rPr>
        <w:t xml:space="preserve">” (D50). However, the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term “</w:t>
      </w:r>
      <w:proofErr w:type="spellStart"/>
      <w:r w:rsidRPr="006F3B5D">
        <w:rPr>
          <w:rFonts w:cstheme="minorHAnsi"/>
          <w:sz w:val="22"/>
          <w:szCs w:val="22"/>
          <w:lang w:val="en-GB" w:eastAsia="sv-SE"/>
        </w:rPr>
        <w:t>Anemia</w:t>
      </w:r>
      <w:proofErr w:type="spellEnd"/>
      <w:r w:rsidRPr="006F3B5D">
        <w:rPr>
          <w:rFonts w:cstheme="minorHAnsi"/>
          <w:sz w:val="22"/>
          <w:szCs w:val="22"/>
          <w:lang w:val="en-GB" w:eastAsia="sv-SE"/>
        </w:rPr>
        <w:t xml:space="preserve">, Iron-Deficiency” has not “Plummer-Vinson syndrome” as specific term. The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classifies the term “Plummer-Vinson syndrome” under “</w:t>
      </w:r>
      <w:proofErr w:type="spellStart"/>
      <w:r w:rsidRPr="006F3B5D">
        <w:rPr>
          <w:rFonts w:cstheme="minorHAnsi"/>
          <w:sz w:val="22"/>
          <w:szCs w:val="22"/>
          <w:lang w:val="en-GB" w:eastAsia="sv-SE"/>
        </w:rPr>
        <w:t>Esophageal</w:t>
      </w:r>
      <w:proofErr w:type="spellEnd"/>
      <w:r w:rsidRPr="006F3B5D">
        <w:rPr>
          <w:rFonts w:cstheme="minorHAnsi"/>
          <w:sz w:val="22"/>
          <w:szCs w:val="22"/>
          <w:lang w:val="en-GB" w:eastAsia="sv-SE"/>
        </w:rPr>
        <w:t xml:space="preserve"> Motility Disorders”, and thus considers this syndrome as a digestive system disease. These differences in the classification implies that seemingly equivalent terms (the ICD-10 “Iron deficiency </w:t>
      </w:r>
      <w:proofErr w:type="spellStart"/>
      <w:r w:rsidRPr="006F3B5D">
        <w:rPr>
          <w:rFonts w:cstheme="minorHAnsi"/>
          <w:sz w:val="22"/>
          <w:szCs w:val="22"/>
          <w:lang w:val="en-GB" w:eastAsia="sv-SE"/>
        </w:rPr>
        <w:t>anemia</w:t>
      </w:r>
      <w:proofErr w:type="spellEnd"/>
      <w:r w:rsidRPr="006F3B5D">
        <w:rPr>
          <w:rFonts w:cstheme="minorHAnsi"/>
          <w:sz w:val="22"/>
          <w:szCs w:val="22"/>
          <w:lang w:val="en-GB" w:eastAsia="sv-SE"/>
        </w:rPr>
        <w:t xml:space="preserve">” and the </w:t>
      </w:r>
      <w:proofErr w:type="spellStart"/>
      <w:r w:rsidRPr="006F3B5D">
        <w:rPr>
          <w:rFonts w:cstheme="minorHAnsi"/>
          <w:sz w:val="22"/>
          <w:szCs w:val="22"/>
          <w:lang w:val="en-GB" w:eastAsia="sv-SE"/>
        </w:rPr>
        <w:t>MeSH</w:t>
      </w:r>
      <w:proofErr w:type="spellEnd"/>
      <w:r w:rsidRPr="006F3B5D">
        <w:rPr>
          <w:rFonts w:cstheme="minorHAnsi"/>
          <w:sz w:val="22"/>
          <w:szCs w:val="22"/>
          <w:lang w:val="en-GB" w:eastAsia="sv-SE"/>
        </w:rPr>
        <w:t xml:space="preserve"> “</w:t>
      </w:r>
      <w:proofErr w:type="spellStart"/>
      <w:r w:rsidRPr="006F3B5D">
        <w:rPr>
          <w:rFonts w:cstheme="minorHAnsi"/>
          <w:sz w:val="22"/>
          <w:szCs w:val="22"/>
          <w:lang w:val="en-GB" w:eastAsia="sv-SE"/>
        </w:rPr>
        <w:t>Anemia</w:t>
      </w:r>
      <w:proofErr w:type="spellEnd"/>
      <w:r w:rsidRPr="006F3B5D">
        <w:rPr>
          <w:rFonts w:cstheme="minorHAnsi"/>
          <w:sz w:val="22"/>
          <w:szCs w:val="22"/>
          <w:lang w:val="en-GB" w:eastAsia="sv-SE"/>
        </w:rPr>
        <w:t>, Iron-Deficiency”) differ in terms of their scope. We tried to align both classifications as much as possible, but given the complexity of the task we cannot ensure that our concordance table fully accomplished this alignment</w:t>
      </w:r>
      <w:r w:rsidR="006821C3">
        <w:rPr>
          <w:rFonts w:cstheme="minorHAnsi"/>
          <w:sz w:val="22"/>
          <w:szCs w:val="22"/>
          <w:lang w:val="en-GB" w:eastAsia="sv-SE"/>
        </w:rPr>
        <w:t>,</w:t>
      </w:r>
      <w:r w:rsidRPr="006F3B5D">
        <w:rPr>
          <w:rFonts w:cstheme="minorHAnsi"/>
          <w:sz w:val="22"/>
          <w:szCs w:val="22"/>
          <w:lang w:val="en-GB" w:eastAsia="sv-SE"/>
        </w:rPr>
        <w:t xml:space="preserve"> and thus is open for further improvements.</w:t>
      </w:r>
    </w:p>
    <w:p w14:paraId="151DF0F8" w14:textId="5BD34256"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We acknowledge that all these problems may impact the comprehensiveness and accuracy in the identification and assignment of publications to diseases. We do not claim that our data collection is complete, accurate and free of limitations, but we do consider that this approach provides an acceptable estimate of the volume of scientific publications produced around the selected diseases. Also important, our methodology can be fully replicated and others may improve it in the future.</w:t>
      </w:r>
    </w:p>
    <w:p w14:paraId="38B22420" w14:textId="77777777"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 xml:space="preserve">After collecting all publications from PubMed, we linked all these records to the </w:t>
      </w:r>
      <w:proofErr w:type="spellStart"/>
      <w:r w:rsidRPr="006F3B5D">
        <w:rPr>
          <w:rFonts w:cstheme="minorHAnsi"/>
          <w:sz w:val="22"/>
          <w:szCs w:val="22"/>
          <w:lang w:val="en-GB" w:eastAsia="sv-SE"/>
        </w:rPr>
        <w:t>Clarivate</w:t>
      </w:r>
      <w:proofErr w:type="spellEnd"/>
      <w:r w:rsidRPr="006F3B5D">
        <w:rPr>
          <w:rFonts w:cstheme="minorHAnsi"/>
          <w:sz w:val="22"/>
          <w:szCs w:val="22"/>
          <w:lang w:val="en-GB" w:eastAsia="sv-SE"/>
        </w:rPr>
        <w:t xml:space="preserve"> Analytics’ CWTS in-house version of the Web of Science (</w:t>
      </w:r>
      <w:proofErr w:type="spellStart"/>
      <w:r w:rsidRPr="006F3B5D">
        <w:rPr>
          <w:rFonts w:cstheme="minorHAnsi"/>
          <w:sz w:val="22"/>
          <w:szCs w:val="22"/>
          <w:lang w:val="en-GB" w:eastAsia="sv-SE"/>
        </w:rPr>
        <w:t>WoS</w:t>
      </w:r>
      <w:proofErr w:type="spellEnd"/>
      <w:r w:rsidRPr="006F3B5D">
        <w:rPr>
          <w:rFonts w:cstheme="minorHAnsi"/>
          <w:sz w:val="22"/>
          <w:szCs w:val="22"/>
          <w:lang w:val="en-GB" w:eastAsia="sv-SE"/>
        </w:rPr>
        <w:t xml:space="preserve">). We relied on </w:t>
      </w:r>
      <w:proofErr w:type="spellStart"/>
      <w:r w:rsidRPr="006F3B5D">
        <w:rPr>
          <w:rFonts w:cstheme="minorHAnsi"/>
          <w:sz w:val="22"/>
          <w:szCs w:val="22"/>
          <w:lang w:val="en-GB" w:eastAsia="sv-SE"/>
        </w:rPr>
        <w:t>WoS</w:t>
      </w:r>
      <w:proofErr w:type="spellEnd"/>
      <w:r w:rsidRPr="006F3B5D">
        <w:rPr>
          <w:rFonts w:cstheme="minorHAnsi"/>
          <w:sz w:val="22"/>
          <w:szCs w:val="22"/>
          <w:lang w:val="en-GB" w:eastAsia="sv-SE"/>
        </w:rPr>
        <w:t xml:space="preserve"> to collect complete information on the affiliation of the authors and to collect the number of citations received by publications. We only considered in our study articles and reviews, as we consider these types of documents reflect best the research efforts compared to other type of documents included in the database, such as editorial material, book reviews and others. We considered publications produced in the period 2010-2014, to ensure that there was sufficient time for these publications to accumulate citations. </w:t>
      </w:r>
    </w:p>
    <w:p w14:paraId="2520A4C9" w14:textId="7BF42191" w:rsidR="002D35DD" w:rsidRPr="006F3B5D" w:rsidRDefault="002D35DD" w:rsidP="002D35DD">
      <w:pPr>
        <w:jc w:val="both"/>
        <w:rPr>
          <w:rFonts w:cstheme="minorHAnsi"/>
          <w:sz w:val="22"/>
          <w:szCs w:val="22"/>
          <w:lang w:val="en-GB" w:eastAsia="sv-SE"/>
        </w:rPr>
      </w:pPr>
      <w:r w:rsidRPr="006F3B5D">
        <w:rPr>
          <w:rFonts w:cstheme="minorHAnsi"/>
          <w:sz w:val="22"/>
          <w:szCs w:val="22"/>
          <w:lang w:val="en-GB" w:eastAsia="sv-SE"/>
        </w:rPr>
        <w:t>As shown in Figure S1, we estimate that the 134 diseases covered in our study amount to 60% of all publications on diseases</w:t>
      </w:r>
      <w:r w:rsidRPr="006F3B5D">
        <w:rPr>
          <w:rStyle w:val="FootnoteReference"/>
          <w:rFonts w:cstheme="minorHAnsi"/>
          <w:sz w:val="22"/>
          <w:szCs w:val="22"/>
          <w:lang w:val="en-GB" w:eastAsia="sv-SE"/>
        </w:rPr>
        <w:footnoteReference w:id="2"/>
      </w:r>
      <w:r w:rsidRPr="006F3B5D">
        <w:rPr>
          <w:rFonts w:cstheme="minorHAnsi"/>
          <w:sz w:val="22"/>
          <w:szCs w:val="22"/>
          <w:lang w:val="en-GB" w:eastAsia="sv-SE"/>
        </w:rPr>
        <w:t xml:space="preserve"> (around 13% of total </w:t>
      </w:r>
      <w:proofErr w:type="spellStart"/>
      <w:r w:rsidRPr="006F3B5D">
        <w:rPr>
          <w:rFonts w:cstheme="minorHAnsi"/>
          <w:sz w:val="22"/>
          <w:szCs w:val="22"/>
          <w:lang w:val="en-GB" w:eastAsia="sv-SE"/>
        </w:rPr>
        <w:t>WoS</w:t>
      </w:r>
      <w:proofErr w:type="spellEnd"/>
      <w:r w:rsidRPr="006F3B5D">
        <w:rPr>
          <w:rFonts w:cstheme="minorHAnsi"/>
          <w:sz w:val="22"/>
          <w:szCs w:val="22"/>
          <w:lang w:val="en-GB" w:eastAsia="sv-SE"/>
        </w:rPr>
        <w:t xml:space="preserve">, about </w:t>
      </w:r>
      <w:r w:rsidRPr="006F3B5D">
        <w:rPr>
          <w:rFonts w:cstheme="minorHAnsi"/>
          <w:sz w:val="22"/>
          <w:szCs w:val="22"/>
          <w:lang w:val="en-GB"/>
        </w:rPr>
        <w:t xml:space="preserve">900k papers over 5 years). It is about one </w:t>
      </w:r>
      <w:r w:rsidRPr="006F3B5D">
        <w:rPr>
          <w:rFonts w:cstheme="minorHAnsi"/>
          <w:sz w:val="22"/>
          <w:szCs w:val="22"/>
          <w:lang w:val="en-GB"/>
        </w:rPr>
        <w:lastRenderedPageBreak/>
        <w:t xml:space="preserve">third of all health-related research in </w:t>
      </w:r>
      <w:proofErr w:type="spellStart"/>
      <w:r w:rsidRPr="006F3B5D">
        <w:rPr>
          <w:rFonts w:cstheme="minorHAnsi"/>
          <w:sz w:val="22"/>
          <w:szCs w:val="22"/>
          <w:lang w:val="en-GB"/>
        </w:rPr>
        <w:t>WoS</w:t>
      </w:r>
      <w:proofErr w:type="spellEnd"/>
      <w:r w:rsidRPr="006F3B5D">
        <w:rPr>
          <w:rStyle w:val="FootnoteReference"/>
          <w:rFonts w:cstheme="minorHAnsi"/>
          <w:sz w:val="22"/>
          <w:szCs w:val="22"/>
          <w:lang w:val="en-GB"/>
        </w:rPr>
        <w:footnoteReference w:id="3"/>
      </w:r>
      <w:r w:rsidRPr="006F3B5D">
        <w:rPr>
          <w:rFonts w:cstheme="minorHAnsi"/>
          <w:sz w:val="22"/>
          <w:szCs w:val="22"/>
          <w:lang w:val="en-GB"/>
        </w:rPr>
        <w:t>, which makes about</w:t>
      </w:r>
      <w:r w:rsidRPr="006F3B5D">
        <w:rPr>
          <w:rFonts w:cstheme="minorHAnsi"/>
          <w:sz w:val="22"/>
          <w:szCs w:val="22"/>
          <w:lang w:val="en-GB" w:eastAsia="sv-SE"/>
        </w:rPr>
        <w:t xml:space="preserve"> 42% of </w:t>
      </w:r>
      <w:proofErr w:type="spellStart"/>
      <w:r w:rsidRPr="006F3B5D">
        <w:rPr>
          <w:rFonts w:cstheme="minorHAnsi"/>
          <w:sz w:val="22"/>
          <w:szCs w:val="22"/>
          <w:lang w:val="en-GB" w:eastAsia="sv-SE"/>
        </w:rPr>
        <w:t>WoS</w:t>
      </w:r>
      <w:proofErr w:type="spellEnd"/>
      <w:r w:rsidRPr="006F3B5D">
        <w:rPr>
          <w:rFonts w:cstheme="minorHAnsi"/>
          <w:sz w:val="22"/>
          <w:szCs w:val="22"/>
          <w:lang w:val="en-GB" w:eastAsia="sv-SE"/>
        </w:rPr>
        <w:t xml:space="preserve"> as a whole. Health research funders often fund research which is not listed </w:t>
      </w:r>
      <w:r w:rsidR="00B8746B">
        <w:rPr>
          <w:rFonts w:cstheme="minorHAnsi"/>
          <w:sz w:val="22"/>
          <w:szCs w:val="22"/>
          <w:lang w:val="en-GB" w:eastAsia="sv-SE"/>
        </w:rPr>
        <w:fldChar w:fldCharType="begin"/>
      </w:r>
      <w:r w:rsidR="00F9495A">
        <w:rPr>
          <w:rFonts w:cstheme="minorHAnsi"/>
          <w:sz w:val="22"/>
          <w:szCs w:val="22"/>
          <w:lang w:val="en-GB" w:eastAsia="sv-SE"/>
        </w:rPr>
        <w:instrText xml:space="preserve"> ADDIN ZOTERO_ITEM CSL_CITATION {"citationID":"Av5gAEeq","properties":{"formattedCitation":"[10]","plainCitation":"[10]","noteIndex":0},"citationItems":[{"id":2020,"uris":["http://zotero.org/groups/2397039/items/YSEYV8EZ"],"uri":["http://zotero.org/groups/2397039/items/YSEYV8EZ"],"itemData":{"id":2020,"type":"article-journal","title":"Funding Data from Publication Acknowledgments: Coverage, Uses, and Limitations","container-title":"Journal of the Association for Information Science and Technology","page":"999-1017","volume":"68","issue":"4","source":"Wiley Online Library","abstract":"This article contributes to the development of methods for analysing research funding systems by exploring the robustness and comparability of emerging approaches to generate funding landscapes useful for policy making. We use a novel data set of manually extracted and coded data on the funding acknowledgements of 7,510 publications representing UK cancer research in the year 2011 and compare these “reference data” with funding data provided by Web of Science (WoS) and MEDLINE/PubMed. Findings show high recall (around 93%) of WoS funding data. By contrast, MEDLINE/PubMed data retrieved less than half of the UK cancer publications acknowledging at least one funder. Conversely, both databases have high precision (+90%): That is, few cases of publications with no acknowledgment to funders are identified as having funding data. Nonetheless, funders acknowledged in UK cancer publications were not correctly listed by MEDLINE/PubMed and WoS in around 75% and 32% of the cases, respectively. Reference data on the UK cancer research funding system are used as a case study to demonstrate the utility of funding data for strategic intelligence applications (e.g., mapping of funding landscape and co-funding activity, comparison of funders' research portfolios).","DOI":"10.1002/asi.23737","ISSN":"2330-1643","shortTitle":"Funding Data from Publication Acknowledgments","language":"en","author":[{"family":"Grassano","given":"Nicola"},{"family":"Rotolo","given":"Daniele"},{"family":"Hutton","given":"Joshua"},{"family":"Lang","given":"Frédérique"},{"family":"Hopkins","given":"Michael M."}],"issued":{"date-parts":[["2017"]]}}}],"schema":"https://github.com/citation-style-language/schema/raw/master/csl-citation.json"} </w:instrText>
      </w:r>
      <w:r w:rsidR="00B8746B">
        <w:rPr>
          <w:rFonts w:cstheme="minorHAnsi"/>
          <w:sz w:val="22"/>
          <w:szCs w:val="22"/>
          <w:lang w:val="en-GB" w:eastAsia="sv-SE"/>
        </w:rPr>
        <w:fldChar w:fldCharType="separate"/>
      </w:r>
      <w:r w:rsidR="00F9495A" w:rsidRPr="00F9495A">
        <w:rPr>
          <w:rFonts w:ascii="Calibri" w:hAnsi="Calibri" w:cs="Calibri"/>
          <w:sz w:val="22"/>
        </w:rPr>
        <w:t>[10]</w:t>
      </w:r>
      <w:r w:rsidR="00B8746B">
        <w:rPr>
          <w:rFonts w:cstheme="minorHAnsi"/>
          <w:sz w:val="22"/>
          <w:szCs w:val="22"/>
          <w:lang w:val="en-GB" w:eastAsia="sv-SE"/>
        </w:rPr>
        <w:fldChar w:fldCharType="end"/>
      </w:r>
      <w:r w:rsidRPr="006F3B5D">
        <w:rPr>
          <w:rFonts w:cstheme="minorHAnsi"/>
          <w:sz w:val="22"/>
          <w:szCs w:val="22"/>
          <w:lang w:val="en-GB" w:eastAsia="sv-SE"/>
        </w:rPr>
        <w:t>.</w:t>
      </w:r>
    </w:p>
    <w:p w14:paraId="705E7F98" w14:textId="30B7E163" w:rsidR="002D35DD" w:rsidRPr="006F3B5D" w:rsidRDefault="002D35DD" w:rsidP="002D35DD">
      <w:pPr>
        <w:rPr>
          <w:rFonts w:cstheme="minorHAnsi"/>
          <w:b/>
          <w:sz w:val="22"/>
          <w:szCs w:val="22"/>
          <w:lang w:val="en-GB"/>
        </w:rPr>
      </w:pPr>
      <w:r w:rsidRPr="006F3B5D">
        <w:rPr>
          <w:rFonts w:cstheme="minorHAnsi"/>
          <w:b/>
          <w:sz w:val="22"/>
          <w:szCs w:val="22"/>
          <w:lang w:val="en-GB"/>
        </w:rPr>
        <w:t xml:space="preserve">Figure S1 </w:t>
      </w:r>
      <w:r w:rsidR="00D4565C">
        <w:rPr>
          <w:rFonts w:cstheme="minorHAnsi"/>
          <w:b/>
          <w:sz w:val="22"/>
          <w:szCs w:val="22"/>
          <w:lang w:val="en-GB"/>
        </w:rPr>
        <w:t>Percentage</w:t>
      </w:r>
      <w:r w:rsidRPr="006F3B5D">
        <w:rPr>
          <w:rFonts w:cstheme="minorHAnsi"/>
          <w:b/>
          <w:sz w:val="22"/>
          <w:szCs w:val="22"/>
          <w:lang w:val="en-GB"/>
        </w:rPr>
        <w:t xml:space="preserve"> of articles and reviews (2010-2014)</w:t>
      </w:r>
      <w:r w:rsidR="00D4565C">
        <w:rPr>
          <w:rFonts w:cstheme="minorHAnsi"/>
          <w:b/>
          <w:sz w:val="22"/>
          <w:szCs w:val="22"/>
          <w:lang w:val="en-GB"/>
        </w:rPr>
        <w:t xml:space="preserve"> </w:t>
      </w:r>
      <w:r w:rsidR="00175F27">
        <w:rPr>
          <w:rFonts w:cstheme="minorHAnsi"/>
          <w:b/>
          <w:sz w:val="22"/>
          <w:szCs w:val="22"/>
          <w:lang w:val="en-GB"/>
        </w:rPr>
        <w:t xml:space="preserve">relative to </w:t>
      </w:r>
      <w:r w:rsidR="00175F27" w:rsidRPr="006F3B5D">
        <w:rPr>
          <w:rFonts w:cstheme="minorHAnsi"/>
          <w:b/>
          <w:sz w:val="22"/>
          <w:szCs w:val="22"/>
          <w:lang w:val="en-GB"/>
        </w:rPr>
        <w:t xml:space="preserve">all </w:t>
      </w:r>
      <w:proofErr w:type="spellStart"/>
      <w:r w:rsidR="00175F27" w:rsidRPr="006F3B5D">
        <w:rPr>
          <w:rFonts w:cstheme="minorHAnsi"/>
          <w:b/>
          <w:sz w:val="22"/>
          <w:szCs w:val="22"/>
          <w:lang w:val="en-GB"/>
        </w:rPr>
        <w:t>WoS</w:t>
      </w:r>
      <w:proofErr w:type="spellEnd"/>
      <w:r w:rsidR="00175F27">
        <w:rPr>
          <w:rFonts w:cstheme="minorHAnsi"/>
          <w:b/>
          <w:sz w:val="22"/>
          <w:szCs w:val="22"/>
          <w:lang w:val="en-GB"/>
        </w:rPr>
        <w:t xml:space="preserve">  </w:t>
      </w:r>
      <w:r w:rsidR="00D4565C">
        <w:rPr>
          <w:rFonts w:cstheme="minorHAnsi"/>
          <w:b/>
          <w:sz w:val="22"/>
          <w:szCs w:val="22"/>
          <w:lang w:val="en-GB"/>
        </w:rPr>
        <w:t xml:space="preserve">devoted to health related research, </w:t>
      </w:r>
      <w:r w:rsidRPr="006F3B5D">
        <w:rPr>
          <w:rFonts w:cstheme="minorHAnsi"/>
          <w:b/>
          <w:sz w:val="22"/>
          <w:szCs w:val="22"/>
          <w:lang w:val="en-GB"/>
        </w:rPr>
        <w:t>diseases</w:t>
      </w:r>
      <w:r w:rsidR="00D4565C">
        <w:rPr>
          <w:rFonts w:cstheme="minorHAnsi"/>
          <w:b/>
          <w:sz w:val="22"/>
          <w:szCs w:val="22"/>
          <w:lang w:val="en-GB"/>
        </w:rPr>
        <w:t xml:space="preserve"> and the 134 diseases covered in the study</w:t>
      </w:r>
    </w:p>
    <w:p w14:paraId="7451DC7B" w14:textId="0FCAF182" w:rsidR="002D35DD" w:rsidRPr="006F3B5D" w:rsidRDefault="002D35DD" w:rsidP="002D35DD">
      <w:pPr>
        <w:pStyle w:val="Heading2"/>
        <w:jc w:val="center"/>
        <w:rPr>
          <w:rFonts w:asciiTheme="minorHAnsi" w:hAnsiTheme="minorHAnsi" w:cstheme="minorHAnsi"/>
          <w:sz w:val="22"/>
          <w:szCs w:val="22"/>
          <w:lang w:val="en-GB"/>
        </w:rPr>
      </w:pPr>
    </w:p>
    <w:p w14:paraId="07A547F5" w14:textId="75D6C8C6" w:rsidR="002D35DD" w:rsidRPr="006F3B5D" w:rsidRDefault="003F15C5" w:rsidP="003F15C5">
      <w:pPr>
        <w:jc w:val="center"/>
        <w:rPr>
          <w:rFonts w:cstheme="minorHAnsi"/>
          <w:sz w:val="22"/>
          <w:szCs w:val="22"/>
          <w:lang w:val="en-GB" w:eastAsia="sv-SE"/>
        </w:rPr>
      </w:pPr>
      <w:r>
        <w:rPr>
          <w:noProof/>
          <w:lang w:val="nl-NL" w:eastAsia="nl-NL"/>
        </w:rPr>
        <w:drawing>
          <wp:inline distT="0" distB="0" distL="0" distR="0" wp14:anchorId="4BE153E8" wp14:editId="277164C0">
            <wp:extent cx="4333164" cy="2647381"/>
            <wp:effectExtent l="0" t="0" r="10795" b="6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AC633C1" w14:textId="1A54E36B" w:rsidR="002D35DD" w:rsidRPr="006F3B5D" w:rsidRDefault="006F3B5D" w:rsidP="002D35DD">
      <w:pPr>
        <w:jc w:val="both"/>
        <w:rPr>
          <w:rFonts w:cstheme="minorHAnsi"/>
          <w:b/>
          <w:sz w:val="22"/>
          <w:szCs w:val="22"/>
          <w:lang w:val="en-GB"/>
        </w:rPr>
      </w:pPr>
      <w:r w:rsidRPr="006F3B5D">
        <w:rPr>
          <w:rFonts w:cstheme="minorHAnsi"/>
          <w:b/>
          <w:sz w:val="22"/>
          <w:szCs w:val="22"/>
          <w:lang w:val="en-GB"/>
        </w:rPr>
        <w:t>S1.</w:t>
      </w:r>
      <w:r w:rsidR="00F9495A">
        <w:rPr>
          <w:rFonts w:cstheme="minorHAnsi"/>
          <w:b/>
          <w:sz w:val="22"/>
          <w:szCs w:val="22"/>
          <w:lang w:val="en-GB"/>
        </w:rPr>
        <w:t>3</w:t>
      </w:r>
      <w:r w:rsidRPr="006F3B5D">
        <w:rPr>
          <w:rFonts w:cstheme="minorHAnsi"/>
          <w:b/>
          <w:sz w:val="22"/>
          <w:szCs w:val="22"/>
          <w:lang w:val="en-GB"/>
        </w:rPr>
        <w:t xml:space="preserve"> </w:t>
      </w:r>
      <w:r w:rsidR="002D35DD" w:rsidRPr="006F3B5D">
        <w:rPr>
          <w:rFonts w:cstheme="minorHAnsi"/>
          <w:b/>
          <w:sz w:val="22"/>
          <w:szCs w:val="22"/>
          <w:lang w:val="en-GB"/>
        </w:rPr>
        <w:t xml:space="preserve">Publications produced and funded by big pharma </w:t>
      </w:r>
    </w:p>
    <w:p w14:paraId="50BC6454"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In order to analyse the priorities of big pharma across disease types, we have considered 23 large pharmaceutical companies. Thus, instead of considering an exhaustive list of companies active in the pharma sector, we focus on a small group of companies, representing the largest companies in this sector.</w:t>
      </w:r>
    </w:p>
    <w:p w14:paraId="6661D609"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Most of these companies are among the top 100 companies worldwide in terms of R&amp;D investment. According to EU Industrial R&amp;D Investment Scoreboard, produced by the EC’s Joint Research Centre in Seville (Spain). These 23 companies together invested more than 97 billion euros in R&amp;D in 2016 and achieved sales for more than 600 billion in the same year. </w:t>
      </w:r>
    </w:p>
    <w:p w14:paraId="525D0A35"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In terms of the geographic distribution of headquarters, 11 of the selected companies are located in the US, 9 in Europe, 2 in Japan and one company in Israel.</w:t>
      </w:r>
    </w:p>
    <w:p w14:paraId="565D8585" w14:textId="49275EB6"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For the collection of their scientific publications, we considered all subsidiaries as well as acquisitions. To define and delineate these companies we relied on Moody’s </w:t>
      </w:r>
      <w:proofErr w:type="spellStart"/>
      <w:r w:rsidRPr="006F3B5D">
        <w:rPr>
          <w:rFonts w:cstheme="minorHAnsi"/>
          <w:sz w:val="22"/>
          <w:szCs w:val="22"/>
          <w:lang w:val="en-GB"/>
        </w:rPr>
        <w:t>Orbis</w:t>
      </w:r>
      <w:proofErr w:type="spellEnd"/>
      <w:r w:rsidRPr="006F3B5D">
        <w:rPr>
          <w:rFonts w:cstheme="minorHAnsi"/>
          <w:sz w:val="22"/>
          <w:szCs w:val="22"/>
          <w:lang w:val="en-GB"/>
        </w:rPr>
        <w:t xml:space="preserve">, which is probably the largest commercial database providing corporate information, supplemented with other written sources (mainly Wikipedia and </w:t>
      </w:r>
      <w:r w:rsidR="00995A97">
        <w:rPr>
          <w:rFonts w:cstheme="minorHAnsi"/>
          <w:sz w:val="22"/>
          <w:szCs w:val="22"/>
          <w:lang w:val="en-GB"/>
        </w:rPr>
        <w:fldChar w:fldCharType="begin"/>
      </w:r>
      <w:r w:rsidR="00F9495A">
        <w:rPr>
          <w:rFonts w:cstheme="minorHAnsi"/>
          <w:sz w:val="22"/>
          <w:szCs w:val="22"/>
          <w:lang w:val="en-GB"/>
        </w:rPr>
        <w:instrText xml:space="preserve"> ADDIN ZOTERO_ITEM CSL_CITATION {"citationID":"nTgwU0ch","properties":{"formattedCitation":"[11]","plainCitation":"[11]","noteIndex":0},"citationItems":[{"id":2032,"uris":["http://zotero.org/groups/2397039/items/WE4QGW3Q"],"uri":["http://zotero.org/groups/2397039/items/WE4QGW3Q"],"itemData":{"id":2032,"type":"article-journal","title":"Big Pharma, little science?: A bibliometric perspective on Big Pharma's R&amp;D decline","container-title":"Technological Forecasting and Social Change","page":"22-38","volume":"81","source":"ScienceDirect","abstract":"There is a widespread perception that pharmaceutical R&amp;D is facing a productivity crisis characterised by stagnation in the numbers of new drug approvals in the face of increasing R&amp;D costs. This study explores pharmaceutical R&amp;D dynamics by examining the publication activities of all R&amp;D laboratories of the major European and US pharmaceutical firms (Big Pharma) during the period 1995–2009. The empirical findings present an industry in transformation. In the first place, we observe a decline of the total number of publications by large firms. Second, we show a relative increase of their external collaborations suggesting a tendency to outsource, and a diversification of the disciplinary base, in particular towards computation, health services and more clinical approaches. Also evident is a more pronounced decline in publications by both R&amp;D laboratories located in Europe and by firms with European headquarters. Finally, while publications by Big Pharma in emerging economies sharply increase, they remain extremely low compared with those in developed countries. In summary, the trend in this transformation is one of a gradual decrease in internal research efforts and increasing reliance on external research. These empirical insights support the view that Big Pharma are increasingly becoming ‘network integrators’ rather than the prime locus of drug discovery.","DOI":"10.1016/j.techfore.2012.06.007","ISSN":"0040-1625","shortTitle":"Big Pharma, little science?","journalAbbreviation":"Technological Forecasting and Social Change","language":"en","author":[{"family":"Rafols","given":"Ismael"},{"family":"Hopkins","given":"Michael M."},{"family":"Hoekman","given":"Jarno"},{"family":"Siepel","given":"Josh"},{"family":"O'Hare","given":"Alice"},{"family":"Perianes-Rodríguez","given":"Antonio"},{"family":"Nightingale","given":"Paul"}],"issued":{"date-parts":[["2014",1,1]]}}}],"schema":"https://github.com/citation-style-language/schema/raw/master/csl-citation.json"} </w:instrText>
      </w:r>
      <w:r w:rsidR="00995A97">
        <w:rPr>
          <w:rFonts w:cstheme="minorHAnsi"/>
          <w:sz w:val="22"/>
          <w:szCs w:val="22"/>
          <w:lang w:val="en-GB"/>
        </w:rPr>
        <w:fldChar w:fldCharType="separate"/>
      </w:r>
      <w:r w:rsidR="00F9495A" w:rsidRPr="00F9495A">
        <w:rPr>
          <w:rFonts w:ascii="Calibri" w:hAnsi="Calibri" w:cs="Calibri"/>
          <w:sz w:val="22"/>
        </w:rPr>
        <w:t>[11]</w:t>
      </w:r>
      <w:r w:rsidR="00995A97">
        <w:rPr>
          <w:rFonts w:cstheme="minorHAnsi"/>
          <w:sz w:val="22"/>
          <w:szCs w:val="22"/>
          <w:lang w:val="en-GB"/>
        </w:rPr>
        <w:fldChar w:fldCharType="end"/>
      </w:r>
      <w:r w:rsidRPr="006F3B5D">
        <w:rPr>
          <w:rFonts w:cstheme="minorHAnsi"/>
          <w:sz w:val="22"/>
          <w:szCs w:val="22"/>
          <w:lang w:val="en-GB"/>
        </w:rPr>
        <w:t xml:space="preserve">). </w:t>
      </w:r>
    </w:p>
    <w:p w14:paraId="5CD8193B"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Past publications produced by any acquisition or subsidiary have been considered. We made two exceptions, the acquisition of Monsanto by Bayer AG as well as Eli Lilly’s Elanco have not been considered in the analyses as their main focus is other than pharmaceuticals.</w:t>
      </w:r>
    </w:p>
    <w:p w14:paraId="694CC512"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lastRenderedPageBreak/>
        <w:t>The identification of research publications by pharma companies was conducted in August 2017, following the existing corporate structure at that moment in time.</w:t>
      </w:r>
    </w:p>
    <w:p w14:paraId="41313F2C"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We retrieved two sets of publications related to these large pharmaceutical companies. On one hand, we retrieved publications in which the pharma company is listed as affiliation of at least one of the authors of the publications. On the other hand, we identified publications in which authors acknowledge funding from there pharma companies.  These two sets of publications are not necessarily mutually exclusive, as some publications (co-)authored by employees of the pharmaceutical company may also acknowledge having received funding from the company where they work.</w:t>
      </w:r>
    </w:p>
    <w:p w14:paraId="5E80C7B9" w14:textId="286FE7C5" w:rsidR="002D35DD" w:rsidRPr="006F3B5D" w:rsidRDefault="002D35DD" w:rsidP="002D35DD">
      <w:pPr>
        <w:jc w:val="both"/>
        <w:rPr>
          <w:rFonts w:cstheme="minorHAnsi"/>
          <w:sz w:val="22"/>
          <w:szCs w:val="22"/>
          <w:lang w:val="en-GB" w:eastAsia="sv-SE"/>
        </w:rPr>
      </w:pPr>
      <w:r w:rsidRPr="006F3B5D">
        <w:rPr>
          <w:rFonts w:cstheme="minorHAnsi"/>
          <w:sz w:val="22"/>
          <w:szCs w:val="22"/>
          <w:lang w:val="en-GB"/>
        </w:rPr>
        <w:t xml:space="preserve">The acknowledgements, as collected by </w:t>
      </w:r>
      <w:proofErr w:type="spellStart"/>
      <w:r w:rsidRPr="006F3B5D">
        <w:rPr>
          <w:rFonts w:cstheme="minorHAnsi"/>
          <w:sz w:val="22"/>
          <w:szCs w:val="22"/>
          <w:lang w:val="en-GB"/>
        </w:rPr>
        <w:t>WoS</w:t>
      </w:r>
      <w:proofErr w:type="spellEnd"/>
      <w:r w:rsidRPr="006F3B5D">
        <w:rPr>
          <w:rFonts w:cstheme="minorHAnsi"/>
          <w:sz w:val="22"/>
          <w:szCs w:val="22"/>
          <w:lang w:val="en-GB"/>
        </w:rPr>
        <w:t xml:space="preserve">, often include statements reflecting potential conflicts of interest, and this information is frequently mixed in the database with statements referring to actual funding acknowledgements </w:t>
      </w:r>
      <w:r w:rsidR="00D21676">
        <w:rPr>
          <w:rFonts w:cstheme="minorHAnsi"/>
          <w:sz w:val="22"/>
          <w:szCs w:val="22"/>
          <w:lang w:val="en-GB"/>
        </w:rPr>
        <w:fldChar w:fldCharType="begin"/>
      </w:r>
      <w:r w:rsidR="00F9495A">
        <w:rPr>
          <w:rFonts w:cstheme="minorHAnsi"/>
          <w:sz w:val="22"/>
          <w:szCs w:val="22"/>
          <w:lang w:val="en-GB"/>
        </w:rPr>
        <w:instrText xml:space="preserve"> ADDIN ZOTERO_ITEM CSL_CITATION {"citationID":"00rcEeqQ","properties":{"formattedCitation":"[12]","plainCitation":"[12]","noteIndex":0},"citationItems":[{"id":1985,"uris":["http://zotero.org/groups/2397039/items/VA664GT4"],"uri":["http://zotero.org/groups/2397039/items/VA664GT4"],"itemData":{"id":1985,"type":"article-journal","title":"Conflicts of interest statements on biomedical papers","container-title":"Scientometrics","page":"2151-2159","volume":"102","issue":"3","source":"Springer Link","abstract":"This paper examines the varying prevalence of conflict of interest (COI), and “no conflict”, statements on biomedical research papers, which are increasingly being required by journal editors. They are important as they may detract from the perceived objectivity of the results if the authors are in the pay of commercial companies. However, the frequency of these statements in the web of science (WoS) is only a few percent of the total number of biomedical papers. A survey of journal editors revealed that many COI statements are excluded from the WoS because they are printed separately from the acknowledgement section of the paper. One consequence of the appearance of COI statements on papers is that the WoS mistakenly includes companies who have given money to some of the researchers for unrelated work among the sponsors listed among the funding organizations, and this will distort the analysis of the funding of the research being reported in some of the papers and appears nearly to double companies’ apparent tally of papers.","DOI":"10.1007/s11192-014-1507-0","ISSN":"1588-2861","journalAbbreviation":"Scientometrics","language":"en","author":[{"family":"Lewison","given":"Grant"},{"family":"Sullivan","given":"Richard"}],"issued":{"date-parts":[["2015",3,1]]}}}],"schema":"https://github.com/citation-style-language/schema/raw/master/csl-citation.json"} </w:instrText>
      </w:r>
      <w:r w:rsidR="00D21676">
        <w:rPr>
          <w:rFonts w:cstheme="minorHAnsi"/>
          <w:sz w:val="22"/>
          <w:szCs w:val="22"/>
          <w:lang w:val="en-GB"/>
        </w:rPr>
        <w:fldChar w:fldCharType="separate"/>
      </w:r>
      <w:r w:rsidR="00F9495A" w:rsidRPr="00F9495A">
        <w:rPr>
          <w:rFonts w:ascii="Calibri" w:hAnsi="Calibri" w:cs="Calibri"/>
          <w:sz w:val="22"/>
        </w:rPr>
        <w:t>[12]</w:t>
      </w:r>
      <w:r w:rsidR="00D21676">
        <w:rPr>
          <w:rFonts w:cstheme="minorHAnsi"/>
          <w:sz w:val="22"/>
          <w:szCs w:val="22"/>
          <w:lang w:val="en-GB"/>
        </w:rPr>
        <w:fldChar w:fldCharType="end"/>
      </w:r>
      <w:r w:rsidRPr="006F3B5D">
        <w:rPr>
          <w:rFonts w:cstheme="minorHAnsi"/>
          <w:sz w:val="22"/>
          <w:szCs w:val="22"/>
          <w:lang w:val="en-GB"/>
        </w:rPr>
        <w:t>.</w:t>
      </w:r>
      <w:r w:rsidR="00593610">
        <w:rPr>
          <w:rFonts w:cstheme="minorHAnsi"/>
          <w:sz w:val="22"/>
          <w:szCs w:val="22"/>
          <w:lang w:val="en-GB"/>
        </w:rPr>
        <w:t xml:space="preserve"> </w:t>
      </w:r>
      <w:r w:rsidRPr="006F3B5D">
        <w:rPr>
          <w:rFonts w:cstheme="minorHAnsi"/>
          <w:sz w:val="22"/>
          <w:szCs w:val="22"/>
          <w:lang w:val="en-GB"/>
        </w:rPr>
        <w:t>To make sure that we include in the analysis only publications (partially) funded by pharma companies, we excluded from the analysis any publication where the pharma company is only mentioned next to an expression typically used in the context of conflicts of interest.</w:t>
      </w:r>
    </w:p>
    <w:p w14:paraId="0D7AE1F2" w14:textId="713497F3" w:rsidR="002D35DD" w:rsidRPr="006F3B5D" w:rsidRDefault="00F9495A" w:rsidP="002D35DD">
      <w:pPr>
        <w:jc w:val="both"/>
        <w:rPr>
          <w:rFonts w:cstheme="minorHAnsi"/>
          <w:b/>
          <w:sz w:val="22"/>
          <w:szCs w:val="22"/>
          <w:lang w:val="en-GB"/>
        </w:rPr>
      </w:pPr>
      <w:r>
        <w:rPr>
          <w:rFonts w:cstheme="minorHAnsi"/>
          <w:b/>
          <w:sz w:val="22"/>
          <w:szCs w:val="22"/>
          <w:lang w:val="en-GB"/>
        </w:rPr>
        <w:t>S1.4</w:t>
      </w:r>
      <w:r w:rsidR="006F3B5D" w:rsidRPr="006F3B5D">
        <w:rPr>
          <w:rFonts w:cstheme="minorHAnsi"/>
          <w:b/>
          <w:sz w:val="22"/>
          <w:szCs w:val="22"/>
          <w:lang w:val="en-GB"/>
        </w:rPr>
        <w:t xml:space="preserve"> </w:t>
      </w:r>
      <w:r w:rsidR="002D35DD" w:rsidRPr="006F3B5D">
        <w:rPr>
          <w:rFonts w:cstheme="minorHAnsi"/>
          <w:b/>
          <w:sz w:val="22"/>
          <w:szCs w:val="22"/>
          <w:lang w:val="en-GB"/>
        </w:rPr>
        <w:t xml:space="preserve">Country </w:t>
      </w:r>
      <w:r w:rsidR="006F3B5D" w:rsidRPr="006F3B5D">
        <w:rPr>
          <w:rFonts w:cstheme="minorHAnsi"/>
          <w:b/>
          <w:sz w:val="22"/>
          <w:szCs w:val="22"/>
          <w:lang w:val="en-GB"/>
        </w:rPr>
        <w:t>classification</w:t>
      </w:r>
    </w:p>
    <w:p w14:paraId="3E3ABD4F"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We have considered in the study the 183 countries for which the WHO provided disease burden estimates. Publications are assigned to countries of affiliations of the authors, applying fractional counting. If a publication produced by authors from four different countries, we assigned 0.25 publications to each country.</w:t>
      </w:r>
    </w:p>
    <w:p w14:paraId="6E7D429C"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Countries have also been grouped into 4 categories according to their income level in the year 2010, following the World Bank’s historical classification of countries by income</w:t>
      </w:r>
      <w:r w:rsidRPr="006F3B5D">
        <w:rPr>
          <w:rStyle w:val="FootnoteReference"/>
          <w:rFonts w:cstheme="minorHAnsi"/>
          <w:sz w:val="22"/>
          <w:szCs w:val="22"/>
          <w:lang w:val="en-GB"/>
        </w:rPr>
        <w:footnoteReference w:id="4"/>
      </w:r>
      <w:r w:rsidRPr="006F3B5D">
        <w:rPr>
          <w:rFonts w:cstheme="minorHAnsi"/>
          <w:sz w:val="22"/>
          <w:szCs w:val="22"/>
          <w:lang w:val="en-GB"/>
        </w:rPr>
        <w:t>: High Income (HICs), Upper-middle income (UMICs), Lower-middle income (</w:t>
      </w:r>
      <w:proofErr w:type="spellStart"/>
      <w:r w:rsidRPr="006F3B5D">
        <w:rPr>
          <w:rFonts w:cstheme="minorHAnsi"/>
          <w:sz w:val="22"/>
          <w:szCs w:val="22"/>
          <w:lang w:val="en-GB"/>
        </w:rPr>
        <w:t>LoMICs</w:t>
      </w:r>
      <w:proofErr w:type="spellEnd"/>
      <w:r w:rsidRPr="006F3B5D">
        <w:rPr>
          <w:rFonts w:cstheme="minorHAnsi"/>
          <w:sz w:val="22"/>
          <w:szCs w:val="22"/>
          <w:lang w:val="en-GB"/>
        </w:rPr>
        <w:t>) and Low income (LICs).</w:t>
      </w:r>
    </w:p>
    <w:p w14:paraId="56713C61" w14:textId="0B3790D7" w:rsidR="002D35DD" w:rsidRDefault="002D35DD" w:rsidP="002D35DD">
      <w:pPr>
        <w:jc w:val="both"/>
        <w:rPr>
          <w:rFonts w:cstheme="minorHAnsi"/>
          <w:sz w:val="22"/>
          <w:szCs w:val="22"/>
          <w:lang w:val="en-GB"/>
        </w:rPr>
      </w:pPr>
      <w:r w:rsidRPr="006F3B5D">
        <w:rPr>
          <w:rFonts w:cstheme="minorHAnsi"/>
          <w:sz w:val="22"/>
          <w:szCs w:val="22"/>
          <w:lang w:val="en-GB"/>
        </w:rPr>
        <w:t xml:space="preserve">The distribution of publications by country in these categories is highly skewed, most of the scientific production is concentrated in a low number of countries. The US generated 35% of publications of HICs), China produced half of the publications in the UMICs (50%), while India produced 60% of all pubs by </w:t>
      </w:r>
      <w:proofErr w:type="spellStart"/>
      <w:r w:rsidRPr="006F3B5D">
        <w:rPr>
          <w:rFonts w:cstheme="minorHAnsi"/>
          <w:sz w:val="22"/>
          <w:szCs w:val="22"/>
          <w:lang w:val="en-GB"/>
        </w:rPr>
        <w:t>LoMICs</w:t>
      </w:r>
      <w:proofErr w:type="spellEnd"/>
      <w:r w:rsidRPr="006F3B5D">
        <w:rPr>
          <w:rFonts w:cstheme="minorHAnsi"/>
          <w:sz w:val="22"/>
          <w:szCs w:val="22"/>
          <w:lang w:val="en-GB"/>
        </w:rPr>
        <w:t>. These countries strongly shape the results of their category. The distribution is similar in the LICs, but here the countries with higher number of publications account for a lower percentage</w:t>
      </w:r>
      <w:r w:rsidR="006F3B5D" w:rsidRPr="006F3B5D">
        <w:rPr>
          <w:rFonts w:cstheme="minorHAnsi"/>
          <w:sz w:val="22"/>
          <w:szCs w:val="22"/>
          <w:lang w:val="en-GB"/>
        </w:rPr>
        <w:t xml:space="preserve"> </w:t>
      </w:r>
      <w:r w:rsidRPr="006F3B5D">
        <w:rPr>
          <w:rFonts w:cstheme="minorHAnsi"/>
          <w:sz w:val="22"/>
          <w:szCs w:val="22"/>
          <w:lang w:val="en-GB"/>
        </w:rPr>
        <w:t>of publications in the category (e.g. each of the top producers like Kenya or Uganda represent around 15% of publications).</w:t>
      </w:r>
    </w:p>
    <w:p w14:paraId="4F45F998" w14:textId="6D7CA0B4" w:rsidR="006F3B5D" w:rsidRPr="006F3B5D" w:rsidRDefault="006F3B5D" w:rsidP="002D35DD">
      <w:pPr>
        <w:jc w:val="both"/>
        <w:rPr>
          <w:rFonts w:cstheme="minorHAnsi"/>
          <w:b/>
          <w:sz w:val="22"/>
          <w:szCs w:val="22"/>
          <w:lang w:val="en-GB"/>
        </w:rPr>
      </w:pPr>
      <w:r w:rsidRPr="006F3B5D">
        <w:rPr>
          <w:rFonts w:cstheme="minorHAnsi"/>
          <w:b/>
          <w:sz w:val="22"/>
          <w:szCs w:val="22"/>
          <w:lang w:val="en-GB"/>
        </w:rPr>
        <w:t>S1.</w:t>
      </w:r>
      <w:r w:rsidR="00F9495A">
        <w:rPr>
          <w:rFonts w:cstheme="minorHAnsi"/>
          <w:b/>
          <w:sz w:val="22"/>
          <w:szCs w:val="22"/>
          <w:lang w:val="en-GB"/>
        </w:rPr>
        <w:t>5</w:t>
      </w:r>
      <w:r w:rsidRPr="006F3B5D">
        <w:rPr>
          <w:rFonts w:cstheme="minorHAnsi"/>
          <w:b/>
          <w:sz w:val="22"/>
          <w:szCs w:val="22"/>
          <w:lang w:val="en-GB"/>
        </w:rPr>
        <w:t xml:space="preserve"> Disease classification</w:t>
      </w:r>
    </w:p>
    <w:p w14:paraId="512629AF" w14:textId="3F1C108F"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The 134 diseases considered in our study are also analysed at an aggregate level. inspired by the framework developed by the WHO </w:t>
      </w:r>
      <w:r w:rsidR="007B31DD">
        <w:rPr>
          <w:rFonts w:cstheme="minorHAnsi"/>
          <w:sz w:val="22"/>
          <w:szCs w:val="22"/>
          <w:lang w:val="en-GB"/>
        </w:rPr>
        <w:fldChar w:fldCharType="begin"/>
      </w:r>
      <w:r w:rsidR="00F9495A">
        <w:rPr>
          <w:rFonts w:cstheme="minorHAnsi"/>
          <w:sz w:val="22"/>
          <w:szCs w:val="22"/>
          <w:lang w:val="en-GB"/>
        </w:rPr>
        <w:instrText xml:space="preserve"> ADDIN ZOTERO_ITEM CSL_CITATION {"citationID":"vJip9OWg","properties":{"formattedCitation":"[13]","plainCitation":"[13]","noteIndex":0},"citationItems":[{"id":1984,"uris":["http://zotero.org/groups/2397039/items/46DUEJVB"],"uri":["http://zotero.org/groups/2397039/items/46DUEJVB"],"itemData":{"id":1984,"type":"report","title":"Defining disease types I, II and III","URL":"https://www.who.int/phi/3-background_cewg_agenda_item5_disease_types_final.pdf","author":[{"family":"WHO","given":""}],"issued":{"date-parts":[["2012"]]}}}],"schema":"https://github.com/citation-style-language/schema/raw/master/csl-citation.json"} </w:instrText>
      </w:r>
      <w:r w:rsidR="007B31DD">
        <w:rPr>
          <w:rFonts w:cstheme="minorHAnsi"/>
          <w:sz w:val="22"/>
          <w:szCs w:val="22"/>
          <w:lang w:val="en-GB"/>
        </w:rPr>
        <w:fldChar w:fldCharType="separate"/>
      </w:r>
      <w:r w:rsidR="00F9495A" w:rsidRPr="00F9495A">
        <w:rPr>
          <w:rFonts w:ascii="Calibri" w:hAnsi="Calibri" w:cs="Calibri"/>
          <w:sz w:val="22"/>
        </w:rPr>
        <w:t>[13]</w:t>
      </w:r>
      <w:r w:rsidR="007B31DD">
        <w:rPr>
          <w:rFonts w:cstheme="minorHAnsi"/>
          <w:sz w:val="22"/>
          <w:szCs w:val="22"/>
          <w:lang w:val="en-GB"/>
        </w:rPr>
        <w:fldChar w:fldCharType="end"/>
      </w:r>
      <w:r w:rsidRPr="006F3B5D">
        <w:rPr>
          <w:rFonts w:cstheme="minorHAnsi"/>
          <w:sz w:val="22"/>
          <w:szCs w:val="22"/>
          <w:lang w:val="en-GB"/>
        </w:rPr>
        <w:t xml:space="preserve">, that groups specific diseases into </w:t>
      </w:r>
      <w:r w:rsidR="009C02D7">
        <w:rPr>
          <w:rFonts w:cstheme="minorHAnsi"/>
          <w:sz w:val="22"/>
          <w:szCs w:val="22"/>
          <w:lang w:val="en-GB"/>
        </w:rPr>
        <w:t>type</w:t>
      </w:r>
      <w:r w:rsidRPr="006F3B5D">
        <w:rPr>
          <w:rFonts w:cstheme="minorHAnsi"/>
          <w:sz w:val="22"/>
          <w:szCs w:val="22"/>
          <w:lang w:val="en-GB"/>
        </w:rPr>
        <w:t xml:space="preserve">s of diseases to provide a method to inform debates on the scope of any R&amp;D monitoring activities </w:t>
      </w:r>
      <w:r w:rsidR="007B31DD">
        <w:rPr>
          <w:rFonts w:cstheme="minorHAnsi"/>
          <w:sz w:val="22"/>
          <w:szCs w:val="22"/>
          <w:lang w:val="en-GB"/>
        </w:rPr>
        <w:fldChar w:fldCharType="begin"/>
      </w:r>
      <w:r w:rsidR="00F9495A">
        <w:rPr>
          <w:rFonts w:cstheme="minorHAnsi"/>
          <w:sz w:val="22"/>
          <w:szCs w:val="22"/>
          <w:lang w:val="en-GB"/>
        </w:rPr>
        <w:instrText xml:space="preserve"> ADDIN ZOTERO_ITEM CSL_CITATION {"citationID":"2mnPD4f6","properties":{"formattedCitation":"[14]","plainCitation":"[14]","noteIndex":0},"citationItems":[{"id":2010,"uris":["http://zotero.org/groups/2397039/items/2U5ZYDWT"],"uri":["http://zotero.org/groups/2397039/items/2U5ZYDWT"],"itemData":{"id":2010,"type":"article-journal","title":"Mapping of available health research and development data: what's there, what's missing, and what role is there for a global observatory?","container-title":"Lancet (London, England)","page":"1286-1307","volume":"382","issue":"9900","source":"PubMed","abstract":"The need to align investments in health research and development (R&amp;D) with public health demands is one of the most pressing global public health challenges. We aim to provide a comprehensive description of available data sources, propose a set of indicators for monitoring the global landscape of health R&amp;D, and present a sample of country indicators on research inputs (investments), processes (clinical trials), and outputs (publications), based on data from international databases. Total global investments in health R&amp;D (both public and private sector) in 2009 reached US$240 billion. Of the US$214 billion invested in high-income countries, 60% of health R&amp;D investments came from the business sector, 30% from the public sector, and about 10% from other sources (including private non-profit organisations). Only about 1% of all health R&amp;D investments were allocated to neglected diseases in 2010. Diseases of relevance to high-income countries were investigated in clinical trials seven-to-eight-times more often than were diseases whose burden lies mainly in low-income and middle-income countries. This report confirms that substantial gaps in the global landscape of health R&amp;D remain, especially for and in low-income and middle-income countries. Too few investments are targeted towards the health needs of these countries. Better data are needed to improve priority setting and coordination for health R&amp;D, ultimately to ensure that resources are allocated to diseases and regions where they are needed the most. The establishment of a global observatory on health R&amp;D, which is being discussed at WHO, could address the absence of a comprehensive and sustainable mechanism for regular global monitoring of health R&amp;D.","DOI":"10.1016/S0140-6736(13)61046-6","ISSN":"1474-547X","note":"PMID: 23697824","shortTitle":"Mapping of available health research and development data","journalAbbreviation":"Lancet","language":"eng","author":[{"family":"Røttingen","given":"John-Arne"},{"family":"Regmi","given":"Sadie"},{"family":"Eide","given":"Mari"},{"family":"Young","given":"Alison J."},{"family":"Viergever","given":"Roderik F."},{"family":"Ardal","given":"Christine"},{"family":"Guzman","given":"Javier"},{"family":"Edwards","given":"Danny"},{"family":"Matlin","given":"Stephen A."},{"family":"Terry","given":"Robert F."}],"issued":{"date-parts":[["2013",10,12]]}}}],"schema":"https://github.com/citation-style-language/schema/raw/master/csl-citation.json"} </w:instrText>
      </w:r>
      <w:r w:rsidR="007B31DD">
        <w:rPr>
          <w:rFonts w:cstheme="minorHAnsi"/>
          <w:sz w:val="22"/>
          <w:szCs w:val="22"/>
          <w:lang w:val="en-GB"/>
        </w:rPr>
        <w:fldChar w:fldCharType="separate"/>
      </w:r>
      <w:r w:rsidR="00F9495A" w:rsidRPr="00F9495A">
        <w:rPr>
          <w:rFonts w:ascii="Calibri" w:hAnsi="Calibri" w:cs="Calibri"/>
          <w:sz w:val="22"/>
        </w:rPr>
        <w:t>[14]</w:t>
      </w:r>
      <w:r w:rsidR="007B31DD">
        <w:rPr>
          <w:rFonts w:cstheme="minorHAnsi"/>
          <w:sz w:val="22"/>
          <w:szCs w:val="22"/>
          <w:lang w:val="en-GB"/>
        </w:rPr>
        <w:fldChar w:fldCharType="end"/>
      </w:r>
      <w:r w:rsidRPr="006F3B5D">
        <w:rPr>
          <w:rFonts w:cstheme="minorHAnsi"/>
          <w:sz w:val="22"/>
          <w:szCs w:val="22"/>
          <w:lang w:val="en-GB"/>
        </w:rPr>
        <w:t>.</w:t>
      </w:r>
    </w:p>
    <w:p w14:paraId="4019ED40"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Prior to the categorisation of diseases, we applied the same calculations as described by the WHO. We computed, for each specific disease, a ratio between the aggregated DALYs per 100,000 population in LICs/</w:t>
      </w:r>
      <w:proofErr w:type="spellStart"/>
      <w:r w:rsidRPr="006F3B5D">
        <w:rPr>
          <w:rFonts w:cstheme="minorHAnsi"/>
          <w:sz w:val="22"/>
          <w:szCs w:val="22"/>
          <w:lang w:val="en-GB"/>
        </w:rPr>
        <w:t>LoMICs</w:t>
      </w:r>
      <w:proofErr w:type="spellEnd"/>
      <w:r w:rsidRPr="006F3B5D">
        <w:rPr>
          <w:rFonts w:cstheme="minorHAnsi"/>
          <w:sz w:val="22"/>
          <w:szCs w:val="22"/>
          <w:lang w:val="en-GB"/>
        </w:rPr>
        <w:t xml:space="preserve">/UMICs and the aggregated DALYS per 100,000 population in HICs. A ratio of 1 would indicate the disease is found in equal measure in all countries. A ratio lower than 1 would </w:t>
      </w:r>
      <w:r w:rsidRPr="006F3B5D">
        <w:rPr>
          <w:rFonts w:cstheme="minorHAnsi"/>
          <w:sz w:val="22"/>
          <w:szCs w:val="22"/>
          <w:lang w:val="en-GB"/>
        </w:rPr>
        <w:lastRenderedPageBreak/>
        <w:t>indicate that the disease affects relatively more to HICs, while if the ration is higher than 1 the disease would be affecting relatively more to Low/middle income countries.</w:t>
      </w:r>
    </w:p>
    <w:p w14:paraId="3DAF7F73" w14:textId="30BCE789"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Originally the WHO suggested three groups of diseases (disease </w:t>
      </w:r>
      <w:r w:rsidR="009C02D7">
        <w:rPr>
          <w:rFonts w:cstheme="minorHAnsi"/>
          <w:sz w:val="22"/>
          <w:szCs w:val="22"/>
          <w:lang w:val="en-GB"/>
        </w:rPr>
        <w:t>types</w:t>
      </w:r>
      <w:r w:rsidRPr="006F3B5D">
        <w:rPr>
          <w:rFonts w:cstheme="minorHAnsi"/>
          <w:sz w:val="22"/>
          <w:szCs w:val="22"/>
          <w:lang w:val="en-GB"/>
        </w:rPr>
        <w:t xml:space="preserve"> 1, 2 and 3), however we created five categories with to the following ratio ranges (see also Table 1 in main text):</w:t>
      </w:r>
    </w:p>
    <w:p w14:paraId="10B93865" w14:textId="77777777" w:rsidR="002D35DD" w:rsidRPr="006F3B5D" w:rsidRDefault="002D35DD" w:rsidP="002D35DD">
      <w:pPr>
        <w:pStyle w:val="ListParagraph"/>
        <w:numPr>
          <w:ilvl w:val="0"/>
          <w:numId w:val="7"/>
        </w:numPr>
        <w:jc w:val="both"/>
        <w:rPr>
          <w:rFonts w:cstheme="minorHAnsi"/>
          <w:sz w:val="22"/>
          <w:szCs w:val="22"/>
          <w:lang w:val="en-GB"/>
        </w:rPr>
      </w:pPr>
      <w:r w:rsidRPr="006F3B5D">
        <w:rPr>
          <w:rFonts w:cstheme="minorHAnsi"/>
          <w:sz w:val="22"/>
          <w:szCs w:val="22"/>
          <w:lang w:val="en-GB"/>
        </w:rPr>
        <w:t>Type 1a   &lt; 0.75</w:t>
      </w:r>
    </w:p>
    <w:p w14:paraId="2CB53776" w14:textId="77777777" w:rsidR="002D35DD" w:rsidRPr="006F3B5D" w:rsidRDefault="002D35DD" w:rsidP="002D35DD">
      <w:pPr>
        <w:pStyle w:val="ListParagraph"/>
        <w:numPr>
          <w:ilvl w:val="0"/>
          <w:numId w:val="7"/>
        </w:numPr>
        <w:jc w:val="both"/>
        <w:rPr>
          <w:rFonts w:cstheme="minorHAnsi"/>
          <w:sz w:val="22"/>
          <w:szCs w:val="22"/>
          <w:lang w:val="en-GB"/>
        </w:rPr>
      </w:pPr>
      <w:r w:rsidRPr="006F3B5D">
        <w:rPr>
          <w:rFonts w:cstheme="minorHAnsi"/>
          <w:sz w:val="22"/>
          <w:szCs w:val="22"/>
          <w:lang w:val="en-GB"/>
        </w:rPr>
        <w:t>Type 1b</w:t>
      </w:r>
      <w:r w:rsidRPr="006F3B5D">
        <w:rPr>
          <w:rFonts w:cstheme="minorHAnsi"/>
          <w:sz w:val="22"/>
          <w:szCs w:val="22"/>
          <w:lang w:val="en-GB"/>
        </w:rPr>
        <w:tab/>
        <w:t xml:space="preserve"> 0.75 ≤ x &lt; 1.25</w:t>
      </w:r>
    </w:p>
    <w:p w14:paraId="3F1D6942" w14:textId="77777777" w:rsidR="002D35DD" w:rsidRPr="006F3B5D" w:rsidRDefault="002D35DD" w:rsidP="002D35DD">
      <w:pPr>
        <w:pStyle w:val="ListParagraph"/>
        <w:numPr>
          <w:ilvl w:val="0"/>
          <w:numId w:val="7"/>
        </w:numPr>
        <w:jc w:val="both"/>
        <w:rPr>
          <w:rFonts w:cstheme="minorHAnsi"/>
          <w:sz w:val="22"/>
          <w:szCs w:val="22"/>
          <w:lang w:val="en-GB"/>
        </w:rPr>
      </w:pPr>
      <w:r w:rsidRPr="006F3B5D">
        <w:rPr>
          <w:rFonts w:cstheme="minorHAnsi"/>
          <w:sz w:val="22"/>
          <w:szCs w:val="22"/>
          <w:lang w:val="en-GB"/>
        </w:rPr>
        <w:t>Type 1c   1.25 ≤ x &lt; 3.00</w:t>
      </w:r>
    </w:p>
    <w:p w14:paraId="665BD613" w14:textId="77777777" w:rsidR="002D35DD" w:rsidRPr="006F3B5D" w:rsidRDefault="002D35DD" w:rsidP="002D35DD">
      <w:pPr>
        <w:pStyle w:val="ListParagraph"/>
        <w:numPr>
          <w:ilvl w:val="0"/>
          <w:numId w:val="7"/>
        </w:numPr>
        <w:jc w:val="both"/>
        <w:rPr>
          <w:rFonts w:cstheme="minorHAnsi"/>
          <w:sz w:val="22"/>
          <w:szCs w:val="22"/>
          <w:lang w:val="en-GB"/>
        </w:rPr>
      </w:pPr>
      <w:r w:rsidRPr="006F3B5D">
        <w:rPr>
          <w:rFonts w:cstheme="minorHAnsi"/>
          <w:sz w:val="22"/>
          <w:szCs w:val="22"/>
          <w:lang w:val="en-GB"/>
        </w:rPr>
        <w:t>Type 2    3.00 ≤ x &lt; 35.0</w:t>
      </w:r>
    </w:p>
    <w:p w14:paraId="6C309395" w14:textId="77777777" w:rsidR="002D35DD" w:rsidRPr="006F3B5D" w:rsidRDefault="002D35DD" w:rsidP="002D35DD">
      <w:pPr>
        <w:pStyle w:val="ListParagraph"/>
        <w:numPr>
          <w:ilvl w:val="0"/>
          <w:numId w:val="7"/>
        </w:numPr>
        <w:jc w:val="both"/>
        <w:rPr>
          <w:rFonts w:cstheme="minorHAnsi"/>
          <w:sz w:val="22"/>
          <w:szCs w:val="22"/>
          <w:lang w:val="en-GB"/>
        </w:rPr>
      </w:pPr>
      <w:r w:rsidRPr="006F3B5D">
        <w:rPr>
          <w:rFonts w:cstheme="minorHAnsi"/>
          <w:sz w:val="22"/>
          <w:szCs w:val="22"/>
          <w:lang w:val="en-GB"/>
        </w:rPr>
        <w:t>Type 3</w:t>
      </w:r>
      <w:r w:rsidRPr="006F3B5D">
        <w:rPr>
          <w:rFonts w:cstheme="minorHAnsi"/>
          <w:sz w:val="22"/>
          <w:szCs w:val="22"/>
          <w:lang w:val="en-GB"/>
        </w:rPr>
        <w:tab/>
        <w:t xml:space="preserve"> ≥ 35.0</w:t>
      </w:r>
    </w:p>
    <w:p w14:paraId="1E9A9E90" w14:textId="4D7E0989" w:rsidR="002D35DD" w:rsidRPr="00D93DC7" w:rsidRDefault="002D35DD" w:rsidP="002D35DD">
      <w:pPr>
        <w:jc w:val="both"/>
        <w:rPr>
          <w:rFonts w:cstheme="minorHAnsi"/>
          <w:sz w:val="22"/>
          <w:szCs w:val="22"/>
        </w:rPr>
      </w:pPr>
      <w:r w:rsidRPr="006F3B5D">
        <w:rPr>
          <w:rFonts w:cstheme="minorHAnsi"/>
          <w:sz w:val="22"/>
          <w:szCs w:val="22"/>
          <w:lang w:val="en-GB"/>
        </w:rPr>
        <w:t xml:space="preserve">The difference between our categories and the original proposed by WHO is that we have further split the original </w:t>
      </w:r>
      <w:r w:rsidR="009C02D7">
        <w:rPr>
          <w:rFonts w:cstheme="minorHAnsi"/>
          <w:sz w:val="22"/>
          <w:szCs w:val="22"/>
          <w:lang w:val="en-GB"/>
        </w:rPr>
        <w:t>type</w:t>
      </w:r>
      <w:r w:rsidRPr="006F3B5D">
        <w:rPr>
          <w:rFonts w:cstheme="minorHAnsi"/>
          <w:sz w:val="22"/>
          <w:szCs w:val="22"/>
          <w:lang w:val="en-GB"/>
        </w:rPr>
        <w:t xml:space="preserve"> 1 group of diseases into three subgroups (a, b and c). Similarly, others have also used five categories of diseases, but creating the categorisation according to slightly different ratio ranges </w:t>
      </w:r>
      <w:r w:rsidR="007B31DD">
        <w:rPr>
          <w:rFonts w:cstheme="minorHAnsi"/>
          <w:sz w:val="22"/>
          <w:szCs w:val="22"/>
          <w:lang w:val="en-GB"/>
        </w:rPr>
        <w:fldChar w:fldCharType="begin"/>
      </w:r>
      <w:r w:rsidR="00F9495A">
        <w:rPr>
          <w:rFonts w:cstheme="minorHAnsi"/>
          <w:sz w:val="22"/>
          <w:szCs w:val="22"/>
          <w:lang w:val="en-GB"/>
        </w:rPr>
        <w:instrText xml:space="preserve"> ADDIN ZOTERO_ITEM CSL_CITATION {"citationID":"O4cHvH4L","properties":{"formattedCitation":"[15]","plainCitation":"[15]","noteIndex":0},"citationItems":[{"id":2009,"uris":["http://zotero.org/groups/2397039/items/2CYRJ4WZ"],"uri":["http://zotero.org/groups/2397039/items/2CYRJ4WZ"],"itemData":{"id":2009,"type":"article-journal","title":"Poverty-related and neglected diseases - an economic and epidemiological analysis of poverty relatedness and neglect in research and development","container-title":"Global Health Action","page":"25818","volume":"8","source":"PubMed","abstract":"BACKGROUND: Economic growth in low- and middle-income countries (LMIC) has raised interest in how disease burden patterns are related to economic development. Meanwhile, poverty-related diseases are considered to be neglected in terms of research and development (R&amp;D).\nOBJECTIVES: Developing intuitive and meaningful metrics to measure how different diseases are related to poverty and neglected in the current R&amp;D system.\nDESIGN: We measured how diseases are related to economic development with the income relation factor (IRF), defined by the ratio of disability-adjusted life-years (DALYs) per 100,000 inhabitants in LMIC versus that in high-income countries. We calculated the IRF for 291 diseases and injuries and 67 risk factors included in the Global Burden of Disease Study 2010. We measured neglect in R&amp;D with the neglect factor (NF), defined by the ratio of disease burden in DALYs (as percentage of the total global disease burden) and R&amp;D expenditure (as percentage of total global health-related R&amp;D expenditure) for 26 diseases.\nRESULTS: The disease burden varies considerably with the level of economic development, shown by the IRF (median: 1.38; interquartile range (IQR): 0.79-6.3). Comparison of IRFs from 1990 to 2010 highlights general patterns of the global epidemiological transition. The 26 poverty-related diseases included in our analysis of neglect in R&amp;D are responsible for 13.8% of the global disease burden, but receive only 1.34% of global health-related R&amp;D expenditure. Within this group, the NF varies considerably (median: 19; IQR: 6-52).\nCONCLUSIONS: The IRF is an intuitive and meaningful metric to highlight shifts in global disease burden patterns. A large shortfall exists in global R&amp;D spending for poverty-related and neglected diseases, with strong variations between diseases.","DOI":"10.3402/gha.v8.25818","ISSN":"1654-9880","note":"PMID: 25623607\nPMCID: PMC4306754","journalAbbreviation":"Glob Health Action","language":"eng","author":[{"family":"Philipsborn","given":"Peter","non-dropping-particle":"von"},{"family":"Steinbeis","given":"Fridolin"},{"family":"Bender","given":"Max E."},{"family":"Regmi","given":"Sadie"},{"family":"Tinnemann","given":"Peter"}],"issued":{"date-parts":[["2015"]]}}}],"schema":"https://github.com/citation-style-language/schema/raw/master/csl-citation.json"} </w:instrText>
      </w:r>
      <w:r w:rsidR="007B31DD">
        <w:rPr>
          <w:rFonts w:cstheme="minorHAnsi"/>
          <w:sz w:val="22"/>
          <w:szCs w:val="22"/>
          <w:lang w:val="en-GB"/>
        </w:rPr>
        <w:fldChar w:fldCharType="separate"/>
      </w:r>
      <w:r w:rsidR="00F9495A" w:rsidRPr="00F9495A">
        <w:rPr>
          <w:rFonts w:ascii="Calibri" w:hAnsi="Calibri" w:cs="Calibri"/>
          <w:sz w:val="22"/>
        </w:rPr>
        <w:t>[15]</w:t>
      </w:r>
      <w:r w:rsidR="007B31DD">
        <w:rPr>
          <w:rFonts w:cstheme="minorHAnsi"/>
          <w:sz w:val="22"/>
          <w:szCs w:val="22"/>
          <w:lang w:val="en-GB"/>
        </w:rPr>
        <w:fldChar w:fldCharType="end"/>
      </w:r>
      <w:r w:rsidRPr="00D93DC7">
        <w:rPr>
          <w:rFonts w:cstheme="minorHAnsi"/>
          <w:sz w:val="22"/>
          <w:szCs w:val="22"/>
        </w:rPr>
        <w:t>.</w:t>
      </w:r>
    </w:p>
    <w:p w14:paraId="2CC1AF4A" w14:textId="0B86C0DB"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Similarly to the distribution of publications by country within the various income level groups, some diseases in each disease type concentrate a higher number of publications. In </w:t>
      </w:r>
      <w:r w:rsidR="009C02D7">
        <w:rPr>
          <w:rFonts w:cstheme="minorHAnsi"/>
          <w:sz w:val="22"/>
          <w:szCs w:val="22"/>
          <w:lang w:val="en-GB"/>
        </w:rPr>
        <w:t>type</w:t>
      </w:r>
      <w:r w:rsidRPr="006F3B5D">
        <w:rPr>
          <w:rFonts w:cstheme="minorHAnsi"/>
          <w:sz w:val="22"/>
          <w:szCs w:val="22"/>
          <w:lang w:val="en-GB"/>
        </w:rPr>
        <w:t xml:space="preserve"> 1a diseases, breast cancer accounts for 13.4% of publications, in </w:t>
      </w:r>
      <w:r w:rsidR="009C02D7">
        <w:rPr>
          <w:rFonts w:cstheme="minorHAnsi"/>
          <w:sz w:val="22"/>
          <w:szCs w:val="22"/>
          <w:lang w:val="en-GB"/>
        </w:rPr>
        <w:t>type</w:t>
      </w:r>
      <w:r w:rsidRPr="006F3B5D">
        <w:rPr>
          <w:rFonts w:cstheme="minorHAnsi"/>
          <w:sz w:val="22"/>
          <w:szCs w:val="22"/>
          <w:lang w:val="en-GB"/>
        </w:rPr>
        <w:t xml:space="preserve"> 1b diabetes mellitus represents roughly 20% of publications, in </w:t>
      </w:r>
      <w:r w:rsidR="009C02D7">
        <w:rPr>
          <w:rFonts w:cstheme="minorHAnsi"/>
          <w:sz w:val="22"/>
          <w:szCs w:val="22"/>
          <w:lang w:val="en-GB"/>
        </w:rPr>
        <w:t>type</w:t>
      </w:r>
      <w:r w:rsidRPr="006F3B5D">
        <w:rPr>
          <w:rFonts w:cstheme="minorHAnsi"/>
          <w:sz w:val="22"/>
          <w:szCs w:val="22"/>
          <w:lang w:val="en-GB"/>
        </w:rPr>
        <w:t xml:space="preserve"> 1c 22.4% of publications  related to skin diseases, in </w:t>
      </w:r>
      <w:r w:rsidR="009C02D7">
        <w:rPr>
          <w:rFonts w:cstheme="minorHAnsi"/>
          <w:sz w:val="22"/>
          <w:szCs w:val="22"/>
          <w:lang w:val="en-GB"/>
        </w:rPr>
        <w:t>type</w:t>
      </w:r>
      <w:r w:rsidRPr="006F3B5D">
        <w:rPr>
          <w:rFonts w:cstheme="minorHAnsi"/>
          <w:sz w:val="22"/>
          <w:szCs w:val="22"/>
          <w:lang w:val="en-GB"/>
        </w:rPr>
        <w:t xml:space="preserve"> 2 maternal conditions concentrates 33% of all publications, while in </w:t>
      </w:r>
      <w:r w:rsidR="009C02D7">
        <w:rPr>
          <w:rFonts w:cstheme="minorHAnsi"/>
          <w:sz w:val="22"/>
          <w:szCs w:val="22"/>
          <w:lang w:val="en-GB"/>
        </w:rPr>
        <w:t>type</w:t>
      </w:r>
      <w:r w:rsidRPr="006F3B5D">
        <w:rPr>
          <w:rFonts w:cstheme="minorHAnsi"/>
          <w:sz w:val="22"/>
          <w:szCs w:val="22"/>
          <w:lang w:val="en-GB"/>
        </w:rPr>
        <w:t xml:space="preserve"> 3 Tuberculosis represents slightly over 26% of all publications.</w:t>
      </w:r>
    </w:p>
    <w:p w14:paraId="1D6E6D78" w14:textId="4DD0436D" w:rsidR="002D35DD" w:rsidRPr="006F3B5D" w:rsidRDefault="00F9495A" w:rsidP="002D35DD">
      <w:pPr>
        <w:jc w:val="both"/>
        <w:rPr>
          <w:rFonts w:cstheme="minorHAnsi"/>
          <w:b/>
          <w:sz w:val="22"/>
          <w:szCs w:val="22"/>
          <w:lang w:val="en-GB"/>
        </w:rPr>
      </w:pPr>
      <w:r>
        <w:rPr>
          <w:rFonts w:cstheme="minorHAnsi"/>
          <w:b/>
          <w:sz w:val="22"/>
          <w:szCs w:val="22"/>
          <w:lang w:val="en-GB"/>
        </w:rPr>
        <w:t>S1.6</w:t>
      </w:r>
      <w:bookmarkStart w:id="0" w:name="_GoBack"/>
      <w:bookmarkEnd w:id="0"/>
      <w:r w:rsidR="006F3B5D">
        <w:rPr>
          <w:rFonts w:cstheme="minorHAnsi"/>
          <w:b/>
          <w:sz w:val="22"/>
          <w:szCs w:val="22"/>
          <w:lang w:val="en-GB"/>
        </w:rPr>
        <w:t xml:space="preserve"> </w:t>
      </w:r>
      <w:r w:rsidR="002D35DD" w:rsidRPr="006F3B5D">
        <w:rPr>
          <w:rFonts w:cstheme="minorHAnsi"/>
          <w:b/>
          <w:sz w:val="22"/>
          <w:szCs w:val="22"/>
          <w:lang w:val="en-GB"/>
        </w:rPr>
        <w:t>Citation impact</w:t>
      </w:r>
    </w:p>
    <w:p w14:paraId="306A684A"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We have sued two different indicators based on citation counts as proxies of the scientific impact of publications. One of the indicators is the Mean Normalised Citation Impact (MNCS), that measures the average citation impact of a set of publications. The second measure indicates the proportion of publications among the top 10% most cited worldwide PP(Top 10%).   </w:t>
      </w:r>
    </w:p>
    <w:p w14:paraId="7D2FB499" w14:textId="2F37755E" w:rsidR="002D35DD" w:rsidRPr="00D93DC7" w:rsidRDefault="002D35DD" w:rsidP="002D35DD">
      <w:pPr>
        <w:jc w:val="both"/>
        <w:rPr>
          <w:rFonts w:cstheme="minorHAnsi"/>
          <w:sz w:val="22"/>
          <w:szCs w:val="22"/>
        </w:rPr>
      </w:pPr>
      <w:r w:rsidRPr="006F3B5D">
        <w:rPr>
          <w:rFonts w:cstheme="minorHAnsi"/>
          <w:sz w:val="22"/>
          <w:szCs w:val="22"/>
          <w:lang w:val="en-GB"/>
        </w:rPr>
        <w:t xml:space="preserve">Both indicators are normalised by scientific field and publication year. This means that the publications we analyse in our study are compared to publications worldwide published the same year and in the same scientific field. To normalise by field, we relied on the </w:t>
      </w:r>
      <w:proofErr w:type="spellStart"/>
      <w:r w:rsidRPr="006F3B5D">
        <w:rPr>
          <w:rFonts w:cstheme="minorHAnsi"/>
          <w:sz w:val="22"/>
          <w:szCs w:val="22"/>
          <w:lang w:val="en-GB"/>
        </w:rPr>
        <w:t>WoS</w:t>
      </w:r>
      <w:proofErr w:type="spellEnd"/>
      <w:r w:rsidRPr="006F3B5D">
        <w:rPr>
          <w:rFonts w:cstheme="minorHAnsi"/>
          <w:sz w:val="22"/>
          <w:szCs w:val="22"/>
          <w:lang w:val="en-GB"/>
        </w:rPr>
        <w:t xml:space="preserve"> Subject categories. It is very important to perform this type of normalisations in to control for possible differences in the citations received due to the time of publication of the different propensity in which scientific publications are cited in different scientific fields</w:t>
      </w:r>
      <w:r w:rsidR="007B31DD">
        <w:rPr>
          <w:rFonts w:cstheme="minorHAnsi"/>
          <w:sz w:val="22"/>
          <w:szCs w:val="22"/>
          <w:lang w:val="en-GB"/>
        </w:rPr>
        <w:t xml:space="preserve"> </w:t>
      </w:r>
      <w:r w:rsidR="007B31DD">
        <w:rPr>
          <w:rFonts w:cstheme="minorHAnsi"/>
          <w:sz w:val="22"/>
          <w:szCs w:val="22"/>
          <w:lang w:val="en-GB"/>
        </w:rPr>
        <w:fldChar w:fldCharType="begin"/>
      </w:r>
      <w:r w:rsidR="00F9495A">
        <w:rPr>
          <w:rFonts w:cstheme="minorHAnsi"/>
          <w:sz w:val="22"/>
          <w:szCs w:val="22"/>
          <w:lang w:val="en-GB"/>
        </w:rPr>
        <w:instrText xml:space="preserve"> ADDIN ZOTERO_ITEM CSL_CITATION {"citationID":"5EczMh7a","properties":{"formattedCitation":"[16,17]","plainCitation":"[16,17]","noteIndex":0},"citationItems":[{"id":2021,"uris":["http://zotero.org/groups/2397039/items/UET4JDDA"],"uri":["http://zotero.org/groups/2397039/items/UET4JDDA"],"itemData":{"id":2021,"type":"article-journal","title":"Field-normalized citation impact indicators and the choice of an appropriate counting method","container-title":"Journal of Informetrics","page":"872-894","volume":"9","issue":"4","source":"ScienceDirect","abstract":"Bibliometric studies often rely on field-normalized citation impact indicators in order to make comparisons between scientific fields. We discuss the connection between field normalization and the choice of a counting method for handling publications with multiple co-authors. Our focus is on the choice between full counting and fractional counting. Based on an extensive theoretical and empirical analysis, we argue that properly field-normalized results cannot be obtained when full counting is used. Fractional counting does provide results that are properly field normalized. We therefore recommend the use of fractional counting in bibliometric studies that require field normalization, especially in studies at the level of countries and research organizations. We also compare different variants of fractional counting. In general, it seems best to use either the author-level or the address-level variant of fractional counting.","DOI":"10.1016/j.joi.2015.08.001","ISSN":"1751-1577","journalAbbreviation":"Journal of Informetrics","language":"en","author":[{"family":"Waltman","given":"Ludo"},{"family":"Eck","given":"Nees Jan","non-dropping-particle":"van"}],"issued":{"date-parts":[["2015",10,1]]}},"label":"page"},{"id":1993,"uris":["http://zotero.org/groups/2397039/items/8IBHL92U"],"uri":["http://zotero.org/groups/2397039/items/8IBHL92U"],"itemData":{"id":1993,"type":"article-journal","title":"Towards a new crown indicator: Some theoretical considerations","container-title":"Journal of Informetrics","page":"37-47","volume":"5","issue":"1","source":"ScienceDirect","abstract":"The crown indicator is a well-known bibliometric indicator of research performance developed by our institute. The indicator aims to normalize citation counts for differences among fields. We critically examine the theoretical basis of the normalization mechanism applied in the crown indicator. We also make a comparison with an alternative normalization mechanism. The alternative mechanism turns out to have more satisfactory properties than the mechanism applied in the crown indicator. In particular, the alternative mechanism has a so-called consistency property. The mechanism applied in the crown indicator lacks this important property. As a consequence of our findings, we are currently moving towards a new crown indicator, which relies on the alternative normalization mechanism.","DOI":"10.1016/j.joi.2010.08.001","ISSN":"1751-1577","shortTitle":"Towards a new crown indicator","journalAbbreviation":"Journal of Informetrics","language":"en","author":[{"family":"Waltman","given":"Ludo"},{"family":"Eck","given":"Nees Jan","non-dropping-particle":"van"},{"family":"Leeuwen","given":"Thed N.","non-dropping-particle":"van"},{"family":"Visser","given":"Martijn S."},{"family":"Raan","given":"Anthony F. J.","non-dropping-particle":"van"}],"issued":{"date-parts":[["2011",1,1]]}},"label":"page"}],"schema":"https://github.com/citation-style-language/schema/raw/master/csl-citation.json"} </w:instrText>
      </w:r>
      <w:r w:rsidR="007B31DD">
        <w:rPr>
          <w:rFonts w:cstheme="minorHAnsi"/>
          <w:sz w:val="22"/>
          <w:szCs w:val="22"/>
          <w:lang w:val="en-GB"/>
        </w:rPr>
        <w:fldChar w:fldCharType="separate"/>
      </w:r>
      <w:r w:rsidR="00F9495A" w:rsidRPr="00F9495A">
        <w:rPr>
          <w:rFonts w:ascii="Calibri" w:hAnsi="Calibri" w:cs="Calibri"/>
          <w:sz w:val="22"/>
        </w:rPr>
        <w:t>[16,17]</w:t>
      </w:r>
      <w:r w:rsidR="007B31DD">
        <w:rPr>
          <w:rFonts w:cstheme="minorHAnsi"/>
          <w:sz w:val="22"/>
          <w:szCs w:val="22"/>
          <w:lang w:val="en-GB"/>
        </w:rPr>
        <w:fldChar w:fldCharType="end"/>
      </w:r>
      <w:r w:rsidRPr="00D93DC7">
        <w:rPr>
          <w:rFonts w:cstheme="minorHAnsi"/>
          <w:sz w:val="22"/>
          <w:szCs w:val="22"/>
        </w:rPr>
        <w:t>.</w:t>
      </w:r>
    </w:p>
    <w:p w14:paraId="2A3049FE"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The first indicator, MNCS takes the actual number of citations received by each publication and then it is divided by the average number of citations received by all the publications published the same year in the same scientific field worldwide. Once these values have been computed for all individual publications, then they are aggregated to obtain the corresponding MNCS </w:t>
      </w:r>
    </w:p>
    <w:p w14:paraId="19936B38"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The PP(Top 10%) indicates the proportion of publications produced by a given aggregate that, compared with other publications in the same scientific field and published in the same year, belong to the top 10% most frequently cited. In order to obtain this indicator, we first give a citation score of 1 to individual publications that belong to the top 10% most cited publications worldwide, while the score is 0 otherwise. The average citation score of a given aggregate yields to final score of the PP(Top 10%).</w:t>
      </w:r>
    </w:p>
    <w:p w14:paraId="478503EF"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 xml:space="preserve">We also collected the Impact Factor (IF) of the journals where the articles included in our analysis where published. This information was extracted from the </w:t>
      </w:r>
      <w:proofErr w:type="spellStart"/>
      <w:r w:rsidRPr="006F3B5D">
        <w:rPr>
          <w:rFonts w:cstheme="minorHAnsi"/>
          <w:sz w:val="22"/>
          <w:szCs w:val="22"/>
          <w:lang w:val="en-GB"/>
        </w:rPr>
        <w:t>Clarivate</w:t>
      </w:r>
      <w:proofErr w:type="spellEnd"/>
      <w:r w:rsidRPr="006F3B5D">
        <w:rPr>
          <w:rFonts w:cstheme="minorHAnsi"/>
          <w:sz w:val="22"/>
          <w:szCs w:val="22"/>
          <w:lang w:val="en-GB"/>
        </w:rPr>
        <w:t xml:space="preserve"> </w:t>
      </w:r>
      <w:proofErr w:type="spellStart"/>
      <w:r w:rsidRPr="006F3B5D">
        <w:rPr>
          <w:rFonts w:cstheme="minorHAnsi"/>
          <w:sz w:val="22"/>
          <w:szCs w:val="22"/>
          <w:lang w:val="en-GB"/>
        </w:rPr>
        <w:t>Analytics’s</w:t>
      </w:r>
      <w:proofErr w:type="spellEnd"/>
      <w:r w:rsidRPr="006F3B5D">
        <w:rPr>
          <w:rFonts w:cstheme="minorHAnsi"/>
          <w:sz w:val="22"/>
          <w:szCs w:val="22"/>
          <w:lang w:val="en-GB"/>
        </w:rPr>
        <w:t xml:space="preserve"> Journal Citation Reports (JCR). It reflects the average frequency with which articles published in a given journal are </w:t>
      </w:r>
      <w:r w:rsidRPr="006F3B5D">
        <w:rPr>
          <w:rFonts w:cstheme="minorHAnsi"/>
          <w:sz w:val="22"/>
          <w:szCs w:val="22"/>
          <w:lang w:val="en-GB"/>
        </w:rPr>
        <w:lastRenderedPageBreak/>
        <w:t>cited in a given period of time. The IF of a journal in a given year is computed as a ratio, considering as numerator the total number of citations in that particular year to articles published in that journal during the two precedent years and, as denominator, the number of articles published in these two precedent years</w:t>
      </w:r>
      <w:r w:rsidRPr="006F3B5D">
        <w:rPr>
          <w:rStyle w:val="FootnoteReference"/>
          <w:rFonts w:cstheme="minorHAnsi"/>
          <w:sz w:val="22"/>
          <w:szCs w:val="22"/>
          <w:lang w:val="en-GB"/>
        </w:rPr>
        <w:footnoteReference w:id="5"/>
      </w:r>
      <w:r w:rsidRPr="006F3B5D">
        <w:rPr>
          <w:rFonts w:cstheme="minorHAnsi"/>
          <w:sz w:val="22"/>
          <w:szCs w:val="22"/>
          <w:lang w:val="en-GB"/>
        </w:rPr>
        <w:t>,</w:t>
      </w:r>
      <w:r w:rsidRPr="006F3B5D">
        <w:rPr>
          <w:rStyle w:val="FootnoteReference"/>
          <w:rFonts w:cstheme="minorHAnsi"/>
          <w:sz w:val="22"/>
          <w:szCs w:val="22"/>
          <w:lang w:val="en-GB"/>
        </w:rPr>
        <w:footnoteReference w:id="6"/>
      </w:r>
      <w:r w:rsidRPr="006F3B5D">
        <w:rPr>
          <w:rFonts w:cstheme="minorHAnsi"/>
          <w:sz w:val="22"/>
          <w:szCs w:val="22"/>
          <w:lang w:val="en-GB"/>
        </w:rPr>
        <w:t>.</w:t>
      </w:r>
    </w:p>
    <w:p w14:paraId="54F4B154" w14:textId="77777777" w:rsidR="002D35DD" w:rsidRPr="006F3B5D" w:rsidRDefault="002D35DD" w:rsidP="002D35DD">
      <w:pPr>
        <w:jc w:val="both"/>
        <w:rPr>
          <w:rFonts w:cstheme="minorHAnsi"/>
          <w:sz w:val="22"/>
          <w:szCs w:val="22"/>
          <w:lang w:val="en-GB"/>
        </w:rPr>
      </w:pPr>
      <w:r w:rsidRPr="006F3B5D">
        <w:rPr>
          <w:rFonts w:cstheme="minorHAnsi"/>
          <w:sz w:val="22"/>
          <w:szCs w:val="22"/>
          <w:lang w:val="en-GB"/>
        </w:rPr>
        <w:t>Based on all values of the IF, we were able to determine the quartile to which the journal belongs. We followed the same procedure as in the JCR</w:t>
      </w:r>
      <w:r w:rsidRPr="006F3B5D">
        <w:rPr>
          <w:rStyle w:val="FootnoteReference"/>
          <w:rFonts w:cstheme="minorHAnsi"/>
          <w:sz w:val="22"/>
          <w:szCs w:val="22"/>
          <w:lang w:val="en-GB"/>
        </w:rPr>
        <w:footnoteReference w:id="7"/>
      </w:r>
      <w:r w:rsidRPr="006F3B5D">
        <w:rPr>
          <w:rFonts w:cstheme="minorHAnsi"/>
          <w:sz w:val="22"/>
          <w:szCs w:val="22"/>
          <w:lang w:val="en-GB"/>
        </w:rPr>
        <w:t xml:space="preserve"> to obtain these quartiles, by dividing the journal rank (journals are ordered by IF from higher to lower) (X), by the number of journals in the number of journals classified in the same subject category (Y). This division results in a value (Z = X / Y) that we use to distribute journals in quartiles (Q):</w:t>
      </w:r>
    </w:p>
    <w:p w14:paraId="4A43C49F" w14:textId="77777777" w:rsidR="002D35DD" w:rsidRPr="006F3B5D" w:rsidRDefault="002D35DD" w:rsidP="002D35DD">
      <w:pPr>
        <w:pStyle w:val="ListParagraph"/>
        <w:numPr>
          <w:ilvl w:val="0"/>
          <w:numId w:val="7"/>
        </w:numPr>
        <w:jc w:val="both"/>
        <w:rPr>
          <w:rFonts w:cstheme="minorHAnsi"/>
          <w:sz w:val="22"/>
          <w:szCs w:val="22"/>
          <w:lang w:val="en-GB"/>
        </w:rPr>
      </w:pPr>
      <w:r w:rsidRPr="006F3B5D">
        <w:rPr>
          <w:rFonts w:cstheme="minorHAnsi"/>
          <w:sz w:val="22"/>
          <w:szCs w:val="22"/>
          <w:lang w:val="en-GB"/>
        </w:rPr>
        <w:t>Q1: 0.0 &lt; Z ≤ 0.25</w:t>
      </w:r>
    </w:p>
    <w:p w14:paraId="24DAF130" w14:textId="77777777" w:rsidR="002D35DD" w:rsidRPr="006F3B5D" w:rsidRDefault="002D35DD" w:rsidP="002D35DD">
      <w:pPr>
        <w:pStyle w:val="ListParagraph"/>
        <w:numPr>
          <w:ilvl w:val="0"/>
          <w:numId w:val="7"/>
        </w:numPr>
        <w:jc w:val="both"/>
        <w:rPr>
          <w:rFonts w:cstheme="minorHAnsi"/>
          <w:sz w:val="22"/>
          <w:szCs w:val="22"/>
          <w:lang w:val="en-GB"/>
        </w:rPr>
      </w:pPr>
      <w:r w:rsidRPr="006F3B5D">
        <w:rPr>
          <w:rFonts w:cstheme="minorHAnsi"/>
          <w:sz w:val="22"/>
          <w:szCs w:val="22"/>
          <w:lang w:val="en-GB"/>
        </w:rPr>
        <w:t xml:space="preserve">Q2: 0.25 </w:t>
      </w:r>
      <w:r w:rsidRPr="006F3B5D">
        <w:rPr>
          <w:rFonts w:cstheme="minorHAnsi"/>
          <w:color w:val="333333"/>
          <w:sz w:val="22"/>
          <w:szCs w:val="22"/>
          <w:shd w:val="clear" w:color="auto" w:fill="FFFFFF"/>
          <w:lang w:val="en-GB"/>
        </w:rPr>
        <w:t>&lt; Z ≤ 0.5</w:t>
      </w:r>
    </w:p>
    <w:p w14:paraId="7E6387B7" w14:textId="77777777" w:rsidR="002D35DD" w:rsidRPr="006F3B5D" w:rsidRDefault="002D35DD" w:rsidP="002D35DD">
      <w:pPr>
        <w:pStyle w:val="ListParagraph"/>
        <w:numPr>
          <w:ilvl w:val="0"/>
          <w:numId w:val="7"/>
        </w:numPr>
        <w:jc w:val="both"/>
        <w:rPr>
          <w:rFonts w:cstheme="minorHAnsi"/>
          <w:sz w:val="22"/>
          <w:szCs w:val="22"/>
          <w:lang w:val="en-GB"/>
        </w:rPr>
      </w:pPr>
      <w:r w:rsidRPr="006F3B5D">
        <w:rPr>
          <w:rFonts w:cstheme="minorHAnsi"/>
          <w:sz w:val="22"/>
          <w:szCs w:val="22"/>
          <w:lang w:val="en-GB"/>
        </w:rPr>
        <w:t xml:space="preserve">Q3: </w:t>
      </w:r>
      <w:r w:rsidRPr="006F3B5D">
        <w:rPr>
          <w:rFonts w:cstheme="minorHAnsi"/>
          <w:color w:val="333333"/>
          <w:sz w:val="22"/>
          <w:szCs w:val="22"/>
          <w:shd w:val="clear" w:color="auto" w:fill="FFFFFF"/>
          <w:lang w:val="en-GB"/>
        </w:rPr>
        <w:t>0.5 &lt; Z ≤ 0.75</w:t>
      </w:r>
    </w:p>
    <w:p w14:paraId="4B5A6A0C" w14:textId="77777777" w:rsidR="002D35DD" w:rsidRPr="006F3B5D" w:rsidRDefault="002D35DD" w:rsidP="002D35DD">
      <w:pPr>
        <w:pStyle w:val="ListParagraph"/>
        <w:numPr>
          <w:ilvl w:val="0"/>
          <w:numId w:val="7"/>
        </w:numPr>
        <w:jc w:val="both"/>
        <w:rPr>
          <w:rFonts w:cstheme="minorHAnsi"/>
          <w:sz w:val="22"/>
          <w:szCs w:val="22"/>
          <w:lang w:val="en-GB"/>
        </w:rPr>
      </w:pPr>
      <w:r w:rsidRPr="006F3B5D">
        <w:rPr>
          <w:rFonts w:cstheme="minorHAnsi"/>
          <w:sz w:val="22"/>
          <w:szCs w:val="22"/>
          <w:lang w:val="en-GB"/>
        </w:rPr>
        <w:t xml:space="preserve">Q4: </w:t>
      </w:r>
      <w:r w:rsidRPr="006F3B5D">
        <w:rPr>
          <w:rFonts w:cstheme="minorHAnsi"/>
          <w:color w:val="333333"/>
          <w:sz w:val="22"/>
          <w:szCs w:val="22"/>
          <w:shd w:val="clear" w:color="auto" w:fill="FFFFFF"/>
          <w:lang w:val="en-GB"/>
        </w:rPr>
        <w:t>0.75 &lt; Z</w:t>
      </w:r>
    </w:p>
    <w:p w14:paraId="1ABD500C" w14:textId="2F890700" w:rsidR="002D35DD" w:rsidRPr="006F3B5D" w:rsidRDefault="002D35DD" w:rsidP="00BF3EEC">
      <w:pPr>
        <w:jc w:val="both"/>
        <w:rPr>
          <w:rFonts w:cstheme="minorHAnsi"/>
          <w:sz w:val="22"/>
          <w:szCs w:val="22"/>
          <w:lang w:val="en-GB"/>
        </w:rPr>
      </w:pPr>
      <w:r w:rsidRPr="006F3B5D">
        <w:rPr>
          <w:rFonts w:cstheme="minorHAnsi"/>
          <w:sz w:val="22"/>
          <w:szCs w:val="22"/>
          <w:lang w:val="en-GB"/>
        </w:rPr>
        <w:t xml:space="preserve">Thus, Q1 contains the 25% of the journals from a given subject category with the highest IF, while the 25% of journals from the same subject category with the lowest IF are in Q4. Journals might be classified in more than one subject category and, as a result of these calculations, the same journal may be classified in different quartiles. When this happens we have considered the best quartile, for instance for a journal in Q2 and Q1 we have considered the journal to belong to Q1. </w:t>
      </w:r>
    </w:p>
    <w:p w14:paraId="0806D4E0" w14:textId="77777777" w:rsidR="00BF3EEC" w:rsidRDefault="00BF3EEC">
      <w:pPr>
        <w:rPr>
          <w:rFonts w:cstheme="minorHAnsi"/>
          <w:b/>
          <w:sz w:val="22"/>
          <w:szCs w:val="22"/>
          <w:lang w:val="en-GB"/>
        </w:rPr>
      </w:pPr>
      <w:r>
        <w:rPr>
          <w:rFonts w:cstheme="minorHAnsi"/>
          <w:b/>
          <w:sz w:val="22"/>
          <w:szCs w:val="22"/>
          <w:lang w:val="en-GB"/>
        </w:rPr>
        <w:br w:type="page"/>
      </w:r>
    </w:p>
    <w:p w14:paraId="4D1CC217" w14:textId="36DE44EC" w:rsidR="00961F12" w:rsidRPr="0046358C" w:rsidRDefault="00961F12" w:rsidP="00961F12">
      <w:pPr>
        <w:rPr>
          <w:rFonts w:cstheme="minorHAnsi"/>
          <w:b/>
          <w:sz w:val="22"/>
          <w:szCs w:val="22"/>
          <w:lang w:val="en-GB"/>
        </w:rPr>
      </w:pPr>
      <w:r w:rsidRPr="0046358C">
        <w:rPr>
          <w:rFonts w:cstheme="minorHAnsi"/>
          <w:b/>
          <w:sz w:val="22"/>
          <w:szCs w:val="22"/>
          <w:lang w:val="en-GB"/>
        </w:rPr>
        <w:lastRenderedPageBreak/>
        <w:t>S2. Further results</w:t>
      </w:r>
    </w:p>
    <w:p w14:paraId="13B7B821" w14:textId="36717DC4" w:rsidR="005E1BB7" w:rsidRPr="005E1BB7" w:rsidRDefault="005E1BB7" w:rsidP="00F712BB">
      <w:pPr>
        <w:rPr>
          <w:rFonts w:cstheme="minorHAnsi"/>
          <w:sz w:val="22"/>
          <w:szCs w:val="22"/>
          <w:lang w:val="en-GB"/>
        </w:rPr>
      </w:pPr>
      <w:r w:rsidRPr="005E1BB7">
        <w:rPr>
          <w:rFonts w:cstheme="minorHAnsi"/>
          <w:sz w:val="22"/>
          <w:szCs w:val="22"/>
          <w:lang w:val="en-GB"/>
        </w:rPr>
        <w:t>This s</w:t>
      </w:r>
      <w:r>
        <w:rPr>
          <w:rFonts w:cstheme="minorHAnsi"/>
          <w:sz w:val="22"/>
          <w:szCs w:val="22"/>
          <w:lang w:val="en-GB"/>
        </w:rPr>
        <w:t>ection provides empirical results that are not central to the main argument of the article, but that complement and help interpret the findings.</w:t>
      </w:r>
    </w:p>
    <w:p w14:paraId="31F064A8" w14:textId="26D9FC7B" w:rsidR="00961F12" w:rsidRPr="006F3B5D" w:rsidRDefault="00961F12" w:rsidP="00F712BB">
      <w:pPr>
        <w:rPr>
          <w:rFonts w:cstheme="minorHAnsi"/>
          <w:b/>
          <w:sz w:val="22"/>
          <w:szCs w:val="22"/>
          <w:lang w:val="en-GB"/>
        </w:rPr>
      </w:pPr>
      <w:r w:rsidRPr="006F3B5D">
        <w:rPr>
          <w:rFonts w:cstheme="minorHAnsi"/>
          <w:b/>
          <w:sz w:val="22"/>
          <w:szCs w:val="22"/>
          <w:lang w:val="en-GB"/>
        </w:rPr>
        <w:t xml:space="preserve">S2.1 Distribution of </w:t>
      </w:r>
      <w:r w:rsidR="00F53EDA" w:rsidRPr="006F3B5D">
        <w:rPr>
          <w:rFonts w:cstheme="minorHAnsi"/>
          <w:b/>
          <w:sz w:val="22"/>
          <w:szCs w:val="22"/>
          <w:lang w:val="en-GB"/>
        </w:rPr>
        <w:t>burden and efforts</w:t>
      </w:r>
      <w:r w:rsidRPr="006F3B5D">
        <w:rPr>
          <w:rFonts w:cstheme="minorHAnsi"/>
          <w:b/>
          <w:sz w:val="22"/>
          <w:szCs w:val="22"/>
          <w:lang w:val="en-GB"/>
        </w:rPr>
        <w:t xml:space="preserve"> </w:t>
      </w:r>
      <w:r w:rsidR="00F53EDA" w:rsidRPr="006F3B5D">
        <w:rPr>
          <w:rFonts w:cstheme="minorHAnsi"/>
          <w:b/>
          <w:sz w:val="22"/>
          <w:szCs w:val="22"/>
          <w:lang w:val="en-GB"/>
        </w:rPr>
        <w:t>across income levels for a given disease type</w:t>
      </w:r>
    </w:p>
    <w:p w14:paraId="3E33D976" w14:textId="00FD4CA3" w:rsidR="006C6143" w:rsidRPr="0034646B" w:rsidRDefault="0034646B" w:rsidP="009C02D7">
      <w:pPr>
        <w:jc w:val="both"/>
        <w:rPr>
          <w:rFonts w:cstheme="minorHAnsi"/>
          <w:sz w:val="22"/>
          <w:szCs w:val="22"/>
          <w:lang w:val="en-GB"/>
        </w:rPr>
      </w:pPr>
      <w:r w:rsidRPr="00E826E5">
        <w:rPr>
          <w:rFonts w:cstheme="minorHAnsi"/>
          <w:sz w:val="22"/>
          <w:szCs w:val="22"/>
          <w:lang w:val="en-GB"/>
        </w:rPr>
        <w:t>Figu</w:t>
      </w:r>
      <w:r>
        <w:rPr>
          <w:rFonts w:cstheme="minorHAnsi"/>
          <w:sz w:val="22"/>
          <w:szCs w:val="22"/>
          <w:lang w:val="en-GB"/>
        </w:rPr>
        <w:t xml:space="preserve">re S2 shows the distribution of disease burden for each disease types across income levels. We can observe that HICs (in blue) contribute almost 30% of the burden for </w:t>
      </w:r>
      <w:r w:rsidR="009C02D7">
        <w:rPr>
          <w:rFonts w:cstheme="minorHAnsi"/>
          <w:sz w:val="22"/>
          <w:szCs w:val="22"/>
          <w:lang w:val="en-GB"/>
        </w:rPr>
        <w:t>type</w:t>
      </w:r>
      <w:r>
        <w:rPr>
          <w:rFonts w:cstheme="minorHAnsi"/>
          <w:sz w:val="22"/>
          <w:szCs w:val="22"/>
          <w:lang w:val="en-GB"/>
        </w:rPr>
        <w:t xml:space="preserve"> 1a, but smaller proportions for </w:t>
      </w:r>
      <w:r w:rsidR="009C02D7">
        <w:rPr>
          <w:rFonts w:cstheme="minorHAnsi"/>
          <w:sz w:val="22"/>
          <w:szCs w:val="22"/>
          <w:lang w:val="en-GB"/>
        </w:rPr>
        <w:t>type</w:t>
      </w:r>
      <w:r>
        <w:rPr>
          <w:rFonts w:cstheme="minorHAnsi"/>
          <w:sz w:val="22"/>
          <w:szCs w:val="22"/>
          <w:lang w:val="en-GB"/>
        </w:rPr>
        <w:t xml:space="preserve"> 1b, 1c and 2.  On the other hand, most of the burden for </w:t>
      </w:r>
      <w:r w:rsidR="009C02D7">
        <w:rPr>
          <w:rFonts w:cstheme="minorHAnsi"/>
          <w:sz w:val="22"/>
          <w:szCs w:val="22"/>
          <w:lang w:val="en-GB"/>
        </w:rPr>
        <w:t>type</w:t>
      </w:r>
      <w:r>
        <w:rPr>
          <w:rFonts w:cstheme="minorHAnsi"/>
          <w:sz w:val="22"/>
          <w:szCs w:val="22"/>
          <w:lang w:val="en-GB"/>
        </w:rPr>
        <w:t xml:space="preserve"> 2 and 3 correspond to </w:t>
      </w:r>
      <w:proofErr w:type="spellStart"/>
      <w:r>
        <w:rPr>
          <w:rFonts w:cstheme="minorHAnsi"/>
          <w:sz w:val="22"/>
          <w:szCs w:val="22"/>
          <w:lang w:val="en-GB"/>
        </w:rPr>
        <w:t>LoMICs</w:t>
      </w:r>
      <w:proofErr w:type="spellEnd"/>
      <w:r>
        <w:rPr>
          <w:rFonts w:cstheme="minorHAnsi"/>
          <w:sz w:val="22"/>
          <w:szCs w:val="22"/>
          <w:lang w:val="en-GB"/>
        </w:rPr>
        <w:t xml:space="preserve"> and LICs. </w:t>
      </w:r>
      <w:r w:rsidR="006C6143">
        <w:rPr>
          <w:rFonts w:cstheme="minorHAnsi"/>
          <w:sz w:val="22"/>
          <w:szCs w:val="22"/>
          <w:lang w:val="en-GB"/>
        </w:rPr>
        <w:t>Figure S3</w:t>
      </w:r>
      <w:r w:rsidR="009C02D7">
        <w:rPr>
          <w:rFonts w:cstheme="minorHAnsi"/>
          <w:sz w:val="22"/>
          <w:szCs w:val="22"/>
          <w:lang w:val="en-GB"/>
        </w:rPr>
        <w:t xml:space="preserve"> shows that in type 3 diseases the contribution of non-HICs covers a higher proportion of the publications. </w:t>
      </w:r>
    </w:p>
    <w:p w14:paraId="018BAC70" w14:textId="61EBC5DC" w:rsidR="00F53EDA" w:rsidRPr="006F3B5D" w:rsidRDefault="007564E1" w:rsidP="005E1BB7">
      <w:pPr>
        <w:jc w:val="center"/>
        <w:rPr>
          <w:rFonts w:cstheme="minorHAnsi"/>
          <w:b/>
          <w:sz w:val="22"/>
          <w:szCs w:val="22"/>
          <w:lang w:val="en-GB"/>
        </w:rPr>
      </w:pPr>
      <w:r w:rsidRPr="006F3B5D">
        <w:rPr>
          <w:rFonts w:cstheme="minorHAnsi"/>
          <w:b/>
          <w:sz w:val="22"/>
          <w:szCs w:val="22"/>
          <w:lang w:val="en-GB"/>
        </w:rPr>
        <w:t xml:space="preserve">Figure </w:t>
      </w:r>
      <w:r w:rsidR="00F53EDA" w:rsidRPr="006F3B5D">
        <w:rPr>
          <w:rFonts w:cstheme="minorHAnsi"/>
          <w:b/>
          <w:sz w:val="22"/>
          <w:szCs w:val="22"/>
          <w:lang w:val="en-GB"/>
        </w:rPr>
        <w:t>S</w:t>
      </w:r>
      <w:r w:rsidR="0046358C">
        <w:rPr>
          <w:rFonts w:cstheme="minorHAnsi"/>
          <w:b/>
          <w:sz w:val="22"/>
          <w:szCs w:val="22"/>
          <w:lang w:val="en-GB"/>
        </w:rPr>
        <w:t>2</w:t>
      </w:r>
      <w:r w:rsidR="00F53EDA" w:rsidRPr="006F3B5D">
        <w:rPr>
          <w:rFonts w:cstheme="minorHAnsi"/>
          <w:b/>
          <w:sz w:val="22"/>
          <w:szCs w:val="22"/>
          <w:lang w:val="en-GB"/>
        </w:rPr>
        <w:t xml:space="preserve"> Distribution of DALYs across income levels for a given disease type</w:t>
      </w:r>
    </w:p>
    <w:p w14:paraId="65453FDB" w14:textId="3E205486" w:rsidR="00F53EDA" w:rsidRPr="006F3B5D" w:rsidRDefault="00F53EDA" w:rsidP="005E1BB7">
      <w:pPr>
        <w:jc w:val="center"/>
        <w:rPr>
          <w:rFonts w:cstheme="minorHAnsi"/>
          <w:b/>
          <w:sz w:val="22"/>
          <w:szCs w:val="22"/>
          <w:lang w:val="en-GB"/>
        </w:rPr>
      </w:pPr>
      <w:r w:rsidRPr="006F3B5D">
        <w:rPr>
          <w:rFonts w:cstheme="minorHAnsi"/>
          <w:noProof/>
          <w:sz w:val="22"/>
          <w:szCs w:val="22"/>
          <w:lang w:val="nl-NL" w:eastAsia="nl-NL"/>
        </w:rPr>
        <w:drawing>
          <wp:inline distT="0" distB="0" distL="0" distR="0" wp14:anchorId="6299DEB7" wp14:editId="4401F649">
            <wp:extent cx="4762500" cy="2997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62500" cy="2997200"/>
                    </a:xfrm>
                    <a:prstGeom prst="rect">
                      <a:avLst/>
                    </a:prstGeom>
                  </pic:spPr>
                </pic:pic>
              </a:graphicData>
            </a:graphic>
          </wp:inline>
        </w:drawing>
      </w:r>
    </w:p>
    <w:p w14:paraId="4350A263" w14:textId="61EEB248" w:rsidR="00F712BB" w:rsidRPr="006F3B5D" w:rsidRDefault="00F712BB" w:rsidP="005E1BB7">
      <w:pPr>
        <w:jc w:val="center"/>
        <w:rPr>
          <w:rFonts w:cstheme="minorHAnsi"/>
          <w:b/>
          <w:sz w:val="22"/>
          <w:szCs w:val="22"/>
          <w:lang w:val="en-GB"/>
        </w:rPr>
      </w:pPr>
      <w:r w:rsidRPr="006F3B5D">
        <w:rPr>
          <w:rFonts w:cstheme="minorHAnsi"/>
          <w:b/>
          <w:sz w:val="22"/>
          <w:szCs w:val="22"/>
          <w:lang w:val="en-GB"/>
        </w:rPr>
        <w:t>Figure</w:t>
      </w:r>
      <w:r w:rsidR="0046358C">
        <w:rPr>
          <w:rFonts w:cstheme="minorHAnsi"/>
          <w:b/>
          <w:sz w:val="22"/>
          <w:szCs w:val="22"/>
          <w:lang w:val="en-GB"/>
        </w:rPr>
        <w:t xml:space="preserve"> </w:t>
      </w:r>
      <w:r w:rsidR="00C6561D" w:rsidRPr="006F3B5D">
        <w:rPr>
          <w:rFonts w:cstheme="minorHAnsi"/>
          <w:b/>
          <w:sz w:val="22"/>
          <w:szCs w:val="22"/>
          <w:lang w:val="en-GB"/>
        </w:rPr>
        <w:t>S</w:t>
      </w:r>
      <w:r w:rsidR="0046358C">
        <w:rPr>
          <w:rFonts w:cstheme="minorHAnsi"/>
          <w:b/>
          <w:sz w:val="22"/>
          <w:szCs w:val="22"/>
          <w:lang w:val="en-GB"/>
        </w:rPr>
        <w:t>3</w:t>
      </w:r>
      <w:r w:rsidRPr="006F3B5D">
        <w:rPr>
          <w:rFonts w:cstheme="minorHAnsi"/>
          <w:b/>
          <w:sz w:val="22"/>
          <w:szCs w:val="22"/>
          <w:lang w:val="en-GB"/>
        </w:rPr>
        <w:t xml:space="preserve">. </w:t>
      </w:r>
      <w:r w:rsidR="00F53EDA" w:rsidRPr="006F3B5D">
        <w:rPr>
          <w:rFonts w:cstheme="minorHAnsi"/>
          <w:b/>
          <w:sz w:val="22"/>
          <w:szCs w:val="22"/>
          <w:lang w:val="en-GB"/>
        </w:rPr>
        <w:t xml:space="preserve">Distribution </w:t>
      </w:r>
      <w:r w:rsidRPr="006F3B5D">
        <w:rPr>
          <w:rFonts w:cstheme="minorHAnsi"/>
          <w:b/>
          <w:sz w:val="22"/>
          <w:szCs w:val="22"/>
          <w:lang w:val="en-GB"/>
        </w:rPr>
        <w:t xml:space="preserve">of publications </w:t>
      </w:r>
      <w:r w:rsidR="00F53EDA" w:rsidRPr="006F3B5D">
        <w:rPr>
          <w:rFonts w:cstheme="minorHAnsi"/>
          <w:b/>
          <w:sz w:val="22"/>
          <w:szCs w:val="22"/>
          <w:lang w:val="en-GB"/>
        </w:rPr>
        <w:t>across income levels for a given disease type</w:t>
      </w:r>
    </w:p>
    <w:p w14:paraId="2E5DFC1D" w14:textId="5133A669" w:rsidR="00C6561D" w:rsidRPr="006F3B5D" w:rsidRDefault="00F53EDA" w:rsidP="00E53CD1">
      <w:pPr>
        <w:jc w:val="center"/>
        <w:rPr>
          <w:rFonts w:cstheme="minorHAnsi"/>
          <w:b/>
          <w:sz w:val="22"/>
          <w:szCs w:val="22"/>
          <w:lang w:val="en-GB"/>
        </w:rPr>
      </w:pPr>
      <w:r w:rsidRPr="006F3B5D">
        <w:rPr>
          <w:rFonts w:cstheme="minorHAnsi"/>
          <w:noProof/>
          <w:sz w:val="22"/>
          <w:szCs w:val="22"/>
          <w:lang w:val="nl-NL" w:eastAsia="nl-NL"/>
        </w:rPr>
        <w:drawing>
          <wp:inline distT="0" distB="0" distL="0" distR="0" wp14:anchorId="6A8E9540" wp14:editId="0CB4FFE7">
            <wp:extent cx="4825305" cy="3023858"/>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38570" cy="3032171"/>
                    </a:xfrm>
                    <a:prstGeom prst="rect">
                      <a:avLst/>
                    </a:prstGeom>
                  </pic:spPr>
                </pic:pic>
              </a:graphicData>
            </a:graphic>
          </wp:inline>
        </w:drawing>
      </w:r>
      <w:r w:rsidR="00C6561D" w:rsidRPr="006F3B5D">
        <w:rPr>
          <w:rFonts w:cstheme="minorHAnsi"/>
          <w:b/>
          <w:sz w:val="22"/>
          <w:szCs w:val="22"/>
          <w:lang w:val="en-GB"/>
        </w:rPr>
        <w:br w:type="page"/>
      </w:r>
    </w:p>
    <w:p w14:paraId="30D59D8C" w14:textId="14B9B5E4" w:rsidR="006C6143" w:rsidRPr="006F3B5D" w:rsidRDefault="006C6143" w:rsidP="006C6143">
      <w:pPr>
        <w:rPr>
          <w:rFonts w:cstheme="minorHAnsi"/>
          <w:b/>
          <w:sz w:val="22"/>
          <w:szCs w:val="22"/>
          <w:lang w:val="en-GB"/>
        </w:rPr>
      </w:pPr>
      <w:r w:rsidRPr="006F3B5D">
        <w:rPr>
          <w:rFonts w:cstheme="minorHAnsi"/>
          <w:b/>
          <w:sz w:val="22"/>
          <w:szCs w:val="22"/>
          <w:lang w:val="en-GB"/>
        </w:rPr>
        <w:lastRenderedPageBreak/>
        <w:t>S2.</w:t>
      </w:r>
      <w:r w:rsidR="00F57E6B">
        <w:rPr>
          <w:rFonts w:cstheme="minorHAnsi"/>
          <w:b/>
          <w:sz w:val="22"/>
          <w:szCs w:val="22"/>
          <w:lang w:val="en-GB"/>
        </w:rPr>
        <w:t>2</w:t>
      </w:r>
      <w:r w:rsidRPr="006F3B5D">
        <w:rPr>
          <w:rFonts w:cstheme="minorHAnsi"/>
          <w:b/>
          <w:sz w:val="22"/>
          <w:szCs w:val="22"/>
          <w:lang w:val="en-GB"/>
        </w:rPr>
        <w:t xml:space="preserve"> </w:t>
      </w:r>
      <w:r>
        <w:rPr>
          <w:rFonts w:cstheme="minorHAnsi"/>
          <w:b/>
          <w:sz w:val="22"/>
          <w:szCs w:val="22"/>
          <w:lang w:val="en-GB"/>
        </w:rPr>
        <w:t>International collaboration patterns</w:t>
      </w:r>
    </w:p>
    <w:p w14:paraId="6B25F959" w14:textId="0150DB1B" w:rsidR="0046358C" w:rsidRPr="0046358C" w:rsidRDefault="006C6143" w:rsidP="009C02D7">
      <w:pPr>
        <w:jc w:val="both"/>
        <w:rPr>
          <w:rFonts w:cstheme="minorHAnsi"/>
          <w:sz w:val="22"/>
          <w:szCs w:val="22"/>
          <w:lang w:val="en-GB"/>
        </w:rPr>
      </w:pPr>
      <w:r>
        <w:rPr>
          <w:rFonts w:cstheme="minorHAnsi"/>
          <w:sz w:val="22"/>
          <w:szCs w:val="22"/>
          <w:lang w:val="en-GB"/>
        </w:rPr>
        <w:t>Figure S</w:t>
      </w:r>
      <w:r w:rsidR="00E17805">
        <w:rPr>
          <w:rFonts w:cstheme="minorHAnsi"/>
          <w:sz w:val="22"/>
          <w:szCs w:val="22"/>
          <w:lang w:val="en-GB"/>
        </w:rPr>
        <w:t>4</w:t>
      </w:r>
      <w:r>
        <w:rPr>
          <w:rFonts w:cstheme="minorHAnsi"/>
          <w:sz w:val="22"/>
          <w:szCs w:val="22"/>
          <w:lang w:val="en-GB"/>
        </w:rPr>
        <w:t xml:space="preserve"> shows that LICs are highly dependent on international collaborations for publishing in journals classified in </w:t>
      </w:r>
      <w:proofErr w:type="spellStart"/>
      <w:r>
        <w:rPr>
          <w:rFonts w:cstheme="minorHAnsi"/>
          <w:sz w:val="22"/>
          <w:szCs w:val="22"/>
          <w:lang w:val="en-GB"/>
        </w:rPr>
        <w:t>WoS</w:t>
      </w:r>
      <w:proofErr w:type="spellEnd"/>
      <w:r>
        <w:rPr>
          <w:rFonts w:cstheme="minorHAnsi"/>
          <w:sz w:val="22"/>
          <w:szCs w:val="22"/>
          <w:lang w:val="en-GB"/>
        </w:rPr>
        <w:t xml:space="preserve">. </w:t>
      </w:r>
      <w:r w:rsidR="0046358C" w:rsidRPr="006F3B5D">
        <w:rPr>
          <w:rFonts w:cstheme="minorHAnsi"/>
          <w:sz w:val="22"/>
          <w:szCs w:val="22"/>
          <w:lang w:val="en-GB"/>
        </w:rPr>
        <w:t xml:space="preserve">Similarly, international collaborations constitute about 20% of </w:t>
      </w:r>
      <w:r w:rsidR="009C02D7">
        <w:rPr>
          <w:rFonts w:cstheme="minorHAnsi"/>
          <w:sz w:val="22"/>
          <w:szCs w:val="22"/>
          <w:lang w:val="en-GB"/>
        </w:rPr>
        <w:t>type</w:t>
      </w:r>
      <w:r w:rsidR="0046358C" w:rsidRPr="006F3B5D">
        <w:rPr>
          <w:rFonts w:cstheme="minorHAnsi"/>
          <w:sz w:val="22"/>
          <w:szCs w:val="22"/>
          <w:lang w:val="en-GB"/>
        </w:rPr>
        <w:t xml:space="preserve"> 1a, 1b and 1c diseases, 25% of </w:t>
      </w:r>
      <w:r w:rsidR="009C02D7">
        <w:rPr>
          <w:rFonts w:cstheme="minorHAnsi"/>
          <w:sz w:val="22"/>
          <w:szCs w:val="22"/>
          <w:lang w:val="en-GB"/>
        </w:rPr>
        <w:t>type</w:t>
      </w:r>
      <w:r w:rsidR="0046358C" w:rsidRPr="006F3B5D">
        <w:rPr>
          <w:rFonts w:cstheme="minorHAnsi"/>
          <w:sz w:val="22"/>
          <w:szCs w:val="22"/>
          <w:lang w:val="en-GB"/>
        </w:rPr>
        <w:t xml:space="preserve"> 2 diseases, but 40% of </w:t>
      </w:r>
      <w:r w:rsidR="009C02D7">
        <w:rPr>
          <w:rFonts w:cstheme="minorHAnsi"/>
          <w:sz w:val="22"/>
          <w:szCs w:val="22"/>
          <w:lang w:val="en-GB"/>
        </w:rPr>
        <w:t>type</w:t>
      </w:r>
      <w:r w:rsidR="0046358C" w:rsidRPr="006F3B5D">
        <w:rPr>
          <w:rFonts w:cstheme="minorHAnsi"/>
          <w:sz w:val="22"/>
          <w:szCs w:val="22"/>
          <w:lang w:val="en-GB"/>
        </w:rPr>
        <w:t xml:space="preserve"> 3 diseases (shown in Fig. S</w:t>
      </w:r>
      <w:r w:rsidR="001D3BAB">
        <w:rPr>
          <w:rFonts w:cstheme="minorHAnsi"/>
          <w:sz w:val="22"/>
          <w:szCs w:val="22"/>
          <w:lang w:val="en-GB"/>
        </w:rPr>
        <w:t>5</w:t>
      </w:r>
      <w:r w:rsidR="0046358C" w:rsidRPr="006F3B5D">
        <w:rPr>
          <w:rFonts w:cstheme="minorHAnsi"/>
          <w:sz w:val="22"/>
          <w:szCs w:val="22"/>
          <w:lang w:val="en-GB"/>
        </w:rPr>
        <w:t>).</w:t>
      </w:r>
    </w:p>
    <w:p w14:paraId="513E4A29" w14:textId="2435E9C8" w:rsidR="00F712BB" w:rsidRPr="006F3B5D" w:rsidRDefault="00BF6A15" w:rsidP="005E1BB7">
      <w:pPr>
        <w:jc w:val="center"/>
        <w:rPr>
          <w:rFonts w:cstheme="minorHAnsi"/>
          <w:b/>
          <w:sz w:val="22"/>
          <w:szCs w:val="22"/>
          <w:lang w:val="en-GB"/>
        </w:rPr>
      </w:pPr>
      <w:r w:rsidRPr="006F3B5D">
        <w:rPr>
          <w:rFonts w:cstheme="minorHAnsi"/>
          <w:b/>
          <w:sz w:val="22"/>
          <w:szCs w:val="22"/>
          <w:lang w:val="en-GB"/>
        </w:rPr>
        <w:t>Figure</w:t>
      </w:r>
      <w:r w:rsidR="0046358C">
        <w:rPr>
          <w:rFonts w:cstheme="minorHAnsi"/>
          <w:b/>
          <w:sz w:val="22"/>
          <w:szCs w:val="22"/>
          <w:lang w:val="en-GB"/>
        </w:rPr>
        <w:t xml:space="preserve"> </w:t>
      </w:r>
      <w:r w:rsidR="00C6561D" w:rsidRPr="006F3B5D">
        <w:rPr>
          <w:rFonts w:cstheme="minorHAnsi"/>
          <w:b/>
          <w:sz w:val="22"/>
          <w:szCs w:val="22"/>
          <w:lang w:val="en-GB"/>
        </w:rPr>
        <w:t>S</w:t>
      </w:r>
      <w:r w:rsidR="00E17805">
        <w:rPr>
          <w:rFonts w:cstheme="minorHAnsi"/>
          <w:b/>
          <w:sz w:val="22"/>
          <w:szCs w:val="22"/>
          <w:lang w:val="en-GB"/>
        </w:rPr>
        <w:t>4</w:t>
      </w:r>
      <w:r w:rsidRPr="006F3B5D">
        <w:rPr>
          <w:rFonts w:cstheme="minorHAnsi"/>
          <w:b/>
          <w:sz w:val="22"/>
          <w:szCs w:val="22"/>
          <w:lang w:val="en-GB"/>
        </w:rPr>
        <w:t>. International collaboration by income level</w:t>
      </w:r>
    </w:p>
    <w:p w14:paraId="53CAA0C1" w14:textId="48594F5A" w:rsidR="0031726C" w:rsidRPr="006F3B5D" w:rsidRDefault="00BF6A15" w:rsidP="005E1BB7">
      <w:pPr>
        <w:jc w:val="center"/>
        <w:rPr>
          <w:rFonts w:cstheme="minorHAnsi"/>
          <w:sz w:val="22"/>
          <w:szCs w:val="22"/>
          <w:lang w:val="en-GB"/>
        </w:rPr>
      </w:pPr>
      <w:r w:rsidRPr="006F3B5D">
        <w:rPr>
          <w:rFonts w:cstheme="minorHAnsi"/>
          <w:noProof/>
          <w:sz w:val="22"/>
          <w:szCs w:val="22"/>
          <w:lang w:val="nl-NL" w:eastAsia="nl-NL"/>
        </w:rPr>
        <w:drawing>
          <wp:inline distT="0" distB="0" distL="0" distR="0" wp14:anchorId="10D07DA2" wp14:editId="1E2E03E3">
            <wp:extent cx="4444678" cy="2839064"/>
            <wp:effectExtent l="0" t="0" r="635"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89360" cy="2867605"/>
                    </a:xfrm>
                    <a:prstGeom prst="rect">
                      <a:avLst/>
                    </a:prstGeom>
                  </pic:spPr>
                </pic:pic>
              </a:graphicData>
            </a:graphic>
          </wp:inline>
        </w:drawing>
      </w:r>
    </w:p>
    <w:p w14:paraId="3DA9B0DA" w14:textId="20D4ACC5" w:rsidR="00F712BB" w:rsidRPr="006F3B5D" w:rsidRDefault="00F712BB" w:rsidP="005E1BB7">
      <w:pPr>
        <w:jc w:val="center"/>
        <w:rPr>
          <w:rFonts w:cstheme="minorHAnsi"/>
          <w:b/>
          <w:sz w:val="22"/>
          <w:szCs w:val="22"/>
          <w:lang w:val="en-GB"/>
        </w:rPr>
      </w:pPr>
      <w:r w:rsidRPr="006F3B5D">
        <w:rPr>
          <w:rFonts w:cstheme="minorHAnsi"/>
          <w:b/>
          <w:sz w:val="22"/>
          <w:szCs w:val="22"/>
          <w:lang w:val="en-GB"/>
        </w:rPr>
        <w:t>Figure</w:t>
      </w:r>
      <w:r w:rsidR="0046358C">
        <w:rPr>
          <w:rFonts w:cstheme="minorHAnsi"/>
          <w:b/>
          <w:sz w:val="22"/>
          <w:szCs w:val="22"/>
          <w:lang w:val="en-GB"/>
        </w:rPr>
        <w:t xml:space="preserve"> S</w:t>
      </w:r>
      <w:r w:rsidR="00E17805">
        <w:rPr>
          <w:rFonts w:cstheme="minorHAnsi"/>
          <w:b/>
          <w:sz w:val="22"/>
          <w:szCs w:val="22"/>
          <w:lang w:val="en-GB"/>
        </w:rPr>
        <w:t>5</w:t>
      </w:r>
      <w:r w:rsidRPr="006F3B5D">
        <w:rPr>
          <w:rFonts w:cstheme="minorHAnsi"/>
          <w:b/>
          <w:sz w:val="22"/>
          <w:szCs w:val="22"/>
          <w:lang w:val="en-GB"/>
        </w:rPr>
        <w:t>. International collaboration by disease type</w:t>
      </w:r>
    </w:p>
    <w:p w14:paraId="31F26873" w14:textId="6603615F" w:rsidR="00F712BB" w:rsidRPr="006F3B5D" w:rsidRDefault="009C02D7" w:rsidP="005E1BB7">
      <w:pPr>
        <w:jc w:val="center"/>
        <w:rPr>
          <w:rFonts w:cstheme="minorHAnsi"/>
          <w:sz w:val="22"/>
          <w:szCs w:val="22"/>
          <w:lang w:val="en-GB"/>
        </w:rPr>
      </w:pPr>
      <w:r>
        <w:rPr>
          <w:noProof/>
          <w:lang w:val="nl-NL" w:eastAsia="nl-NL"/>
        </w:rPr>
        <w:drawing>
          <wp:inline distT="0" distB="0" distL="0" distR="0" wp14:anchorId="252962D1" wp14:editId="5C87FD4E">
            <wp:extent cx="4423317" cy="2901782"/>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53289" cy="2921444"/>
                    </a:xfrm>
                    <a:prstGeom prst="rect">
                      <a:avLst/>
                    </a:prstGeom>
                  </pic:spPr>
                </pic:pic>
              </a:graphicData>
            </a:graphic>
          </wp:inline>
        </w:drawing>
      </w:r>
    </w:p>
    <w:p w14:paraId="2E1B984F" w14:textId="6FBC7A50" w:rsidR="00F712BB" w:rsidRPr="006F3B5D" w:rsidRDefault="00F712BB" w:rsidP="00F712BB">
      <w:pPr>
        <w:rPr>
          <w:rFonts w:cstheme="minorHAnsi"/>
          <w:sz w:val="22"/>
          <w:szCs w:val="22"/>
          <w:lang w:val="en-GB"/>
        </w:rPr>
      </w:pPr>
    </w:p>
    <w:p w14:paraId="481C8E68" w14:textId="77777777" w:rsidR="00C6561D" w:rsidRPr="006F3B5D" w:rsidRDefault="00C6561D">
      <w:pPr>
        <w:rPr>
          <w:rFonts w:cstheme="minorHAnsi"/>
          <w:sz w:val="22"/>
          <w:szCs w:val="22"/>
          <w:lang w:val="en-GB"/>
        </w:rPr>
      </w:pPr>
      <w:bookmarkStart w:id="1" w:name="OLE_LINK3"/>
      <w:r w:rsidRPr="006F3B5D">
        <w:rPr>
          <w:rFonts w:cstheme="minorHAnsi"/>
          <w:sz w:val="22"/>
          <w:szCs w:val="22"/>
          <w:lang w:val="en-GB"/>
        </w:rPr>
        <w:br w:type="page"/>
      </w:r>
    </w:p>
    <w:p w14:paraId="4ABD5AAA" w14:textId="1C89B6FE" w:rsidR="00F57E6B" w:rsidRPr="006F3B5D" w:rsidRDefault="00F57E6B" w:rsidP="00F57E6B">
      <w:pPr>
        <w:rPr>
          <w:rFonts w:cstheme="minorHAnsi"/>
          <w:b/>
          <w:sz w:val="22"/>
          <w:szCs w:val="22"/>
          <w:lang w:val="en-GB"/>
        </w:rPr>
      </w:pPr>
      <w:r w:rsidRPr="006F3B5D">
        <w:rPr>
          <w:rFonts w:cstheme="minorHAnsi"/>
          <w:b/>
          <w:sz w:val="22"/>
          <w:szCs w:val="22"/>
          <w:lang w:val="en-GB"/>
        </w:rPr>
        <w:lastRenderedPageBreak/>
        <w:t>S2.</w:t>
      </w:r>
      <w:r>
        <w:rPr>
          <w:rFonts w:cstheme="minorHAnsi"/>
          <w:b/>
          <w:sz w:val="22"/>
          <w:szCs w:val="22"/>
          <w:lang w:val="en-GB"/>
        </w:rPr>
        <w:t>3</w:t>
      </w:r>
      <w:r w:rsidRPr="006F3B5D">
        <w:rPr>
          <w:rFonts w:cstheme="minorHAnsi"/>
          <w:b/>
          <w:sz w:val="22"/>
          <w:szCs w:val="22"/>
          <w:lang w:val="en-GB"/>
        </w:rPr>
        <w:t xml:space="preserve"> </w:t>
      </w:r>
      <w:r>
        <w:rPr>
          <w:rFonts w:cstheme="minorHAnsi"/>
          <w:b/>
          <w:sz w:val="22"/>
          <w:szCs w:val="22"/>
          <w:lang w:val="en-GB"/>
        </w:rPr>
        <w:t>Journal prestige and citation patterns with international collaboration</w:t>
      </w:r>
    </w:p>
    <w:p w14:paraId="39492E3F" w14:textId="50FC9D4C" w:rsidR="00F57E6B" w:rsidRPr="00847684" w:rsidRDefault="00C6561D" w:rsidP="00F57E6B">
      <w:pPr>
        <w:jc w:val="both"/>
        <w:rPr>
          <w:rFonts w:cstheme="minorHAnsi"/>
          <w:sz w:val="22"/>
          <w:szCs w:val="22"/>
          <w:lang w:val="en-GB"/>
        </w:rPr>
      </w:pPr>
      <w:r w:rsidRPr="006F3B5D">
        <w:rPr>
          <w:rFonts w:cstheme="minorHAnsi"/>
          <w:sz w:val="22"/>
          <w:szCs w:val="22"/>
          <w:lang w:val="en-GB"/>
        </w:rPr>
        <w:t>In the case of international collaborations</w:t>
      </w:r>
      <w:r w:rsidR="00F57E6B">
        <w:rPr>
          <w:rFonts w:cstheme="minorHAnsi"/>
          <w:sz w:val="22"/>
          <w:szCs w:val="22"/>
          <w:lang w:val="en-GB"/>
        </w:rPr>
        <w:t>, shown</w:t>
      </w:r>
      <w:r w:rsidRPr="006F3B5D">
        <w:rPr>
          <w:rFonts w:cstheme="minorHAnsi"/>
          <w:sz w:val="22"/>
          <w:szCs w:val="22"/>
          <w:lang w:val="en-GB"/>
        </w:rPr>
        <w:t xml:space="preserve"> in </w:t>
      </w:r>
      <w:r w:rsidR="00F57E6B">
        <w:rPr>
          <w:rFonts w:cstheme="minorHAnsi"/>
          <w:sz w:val="22"/>
          <w:szCs w:val="22"/>
          <w:lang w:val="en-GB"/>
        </w:rPr>
        <w:t>F</w:t>
      </w:r>
      <w:r w:rsidRPr="006F3B5D">
        <w:rPr>
          <w:rFonts w:cstheme="minorHAnsi"/>
          <w:sz w:val="22"/>
          <w:szCs w:val="22"/>
          <w:lang w:val="en-GB"/>
        </w:rPr>
        <w:t>igure S</w:t>
      </w:r>
      <w:r w:rsidR="00172501">
        <w:rPr>
          <w:rFonts w:cstheme="minorHAnsi"/>
          <w:sz w:val="22"/>
          <w:szCs w:val="22"/>
          <w:lang w:val="en-GB"/>
        </w:rPr>
        <w:t>6</w:t>
      </w:r>
      <w:r w:rsidRPr="006F3B5D">
        <w:rPr>
          <w:rFonts w:cstheme="minorHAnsi"/>
          <w:sz w:val="22"/>
          <w:szCs w:val="22"/>
          <w:lang w:val="en-GB"/>
        </w:rPr>
        <w:t xml:space="preserve">, </w:t>
      </w:r>
      <w:r w:rsidR="00F57E6B">
        <w:rPr>
          <w:rFonts w:cstheme="minorHAnsi"/>
          <w:sz w:val="22"/>
          <w:szCs w:val="22"/>
          <w:lang w:val="en-GB"/>
        </w:rPr>
        <w:t xml:space="preserve">there is a substantial decrease in the percentage of Q1 publications </w:t>
      </w:r>
      <w:r w:rsidR="00456E97">
        <w:rPr>
          <w:rFonts w:cstheme="minorHAnsi"/>
          <w:sz w:val="22"/>
          <w:szCs w:val="22"/>
          <w:lang w:val="en-GB"/>
        </w:rPr>
        <w:t>in type 1a, 1b and 1a</w:t>
      </w:r>
      <w:r w:rsidR="001304CB">
        <w:rPr>
          <w:rFonts w:cstheme="minorHAnsi"/>
          <w:sz w:val="22"/>
          <w:szCs w:val="22"/>
          <w:lang w:val="en-GB"/>
        </w:rPr>
        <w:t>, from 60% in HICs to 40% in LICs, but this decrease is much smaller than that observed in Figure 5a, from about 45% to less than 10%. Similarly Figure S</w:t>
      </w:r>
      <w:r w:rsidR="00172501">
        <w:rPr>
          <w:rFonts w:cstheme="minorHAnsi"/>
          <w:sz w:val="22"/>
          <w:szCs w:val="22"/>
          <w:lang w:val="en-GB"/>
        </w:rPr>
        <w:t>7</w:t>
      </w:r>
      <w:r w:rsidR="001304CB">
        <w:rPr>
          <w:rFonts w:cstheme="minorHAnsi"/>
          <w:sz w:val="22"/>
          <w:szCs w:val="22"/>
          <w:lang w:val="en-GB"/>
        </w:rPr>
        <w:t xml:space="preserve"> shows that citation impact for different income groups are quite similar – which is not the case </w:t>
      </w:r>
      <w:r w:rsidR="00847684">
        <w:rPr>
          <w:rFonts w:cstheme="minorHAnsi"/>
          <w:sz w:val="22"/>
          <w:szCs w:val="22"/>
          <w:lang w:val="en-GB"/>
        </w:rPr>
        <w:t>without international collaboration. In summary, Figures S7 and S8 illustrate the strong effect that international collaboration in raising visibility and citation impact of publications.</w:t>
      </w:r>
    </w:p>
    <w:p w14:paraId="483448C6" w14:textId="6E68D2D9" w:rsidR="00C6561D" w:rsidRPr="006F3B5D" w:rsidRDefault="00C6561D" w:rsidP="005E1BB7">
      <w:pPr>
        <w:jc w:val="center"/>
        <w:rPr>
          <w:rFonts w:cstheme="minorHAnsi"/>
          <w:b/>
          <w:sz w:val="22"/>
          <w:szCs w:val="22"/>
          <w:lang w:val="en-GB"/>
        </w:rPr>
      </w:pPr>
      <w:r w:rsidRPr="006F3B5D">
        <w:rPr>
          <w:rFonts w:cstheme="minorHAnsi"/>
          <w:b/>
          <w:sz w:val="22"/>
          <w:szCs w:val="22"/>
          <w:lang w:val="en-GB"/>
        </w:rPr>
        <w:t>Figure S</w:t>
      </w:r>
      <w:r w:rsidR="00E17805">
        <w:rPr>
          <w:rFonts w:cstheme="minorHAnsi"/>
          <w:b/>
          <w:sz w:val="22"/>
          <w:szCs w:val="22"/>
          <w:lang w:val="en-GB"/>
        </w:rPr>
        <w:t>6</w:t>
      </w:r>
      <w:r w:rsidRPr="006F3B5D">
        <w:rPr>
          <w:rFonts w:cstheme="minorHAnsi"/>
          <w:b/>
          <w:sz w:val="22"/>
          <w:szCs w:val="22"/>
          <w:lang w:val="en-GB"/>
        </w:rPr>
        <w:t>. Percentage of papers published in Q1 journals, by disease type and income level (with international collaboration)</w:t>
      </w:r>
    </w:p>
    <w:p w14:paraId="18D8C141" w14:textId="77777777" w:rsidR="00C6561D" w:rsidRPr="006F3B5D" w:rsidRDefault="00C6561D" w:rsidP="005E1BB7">
      <w:pPr>
        <w:jc w:val="center"/>
        <w:rPr>
          <w:rFonts w:cstheme="minorHAnsi"/>
          <w:sz w:val="22"/>
          <w:szCs w:val="22"/>
          <w:lang w:val="en-GB"/>
        </w:rPr>
      </w:pPr>
      <w:r w:rsidRPr="006F3B5D">
        <w:rPr>
          <w:rFonts w:cstheme="minorHAnsi"/>
          <w:noProof/>
          <w:sz w:val="22"/>
          <w:szCs w:val="22"/>
          <w:lang w:val="nl-NL" w:eastAsia="nl-NL"/>
        </w:rPr>
        <w:drawing>
          <wp:inline distT="0" distB="0" distL="0" distR="0" wp14:anchorId="2653740F" wp14:editId="6A9838A4">
            <wp:extent cx="4965895" cy="291718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92422" cy="2932768"/>
                    </a:xfrm>
                    <a:prstGeom prst="rect">
                      <a:avLst/>
                    </a:prstGeom>
                  </pic:spPr>
                </pic:pic>
              </a:graphicData>
            </a:graphic>
          </wp:inline>
        </w:drawing>
      </w:r>
    </w:p>
    <w:p w14:paraId="4EBDF91F" w14:textId="0DEFBC18" w:rsidR="00C6561D" w:rsidRPr="006F3B5D" w:rsidRDefault="00C6561D" w:rsidP="005E1BB7">
      <w:pPr>
        <w:jc w:val="center"/>
        <w:rPr>
          <w:rFonts w:cstheme="minorHAnsi"/>
          <w:sz w:val="22"/>
          <w:szCs w:val="22"/>
          <w:lang w:val="en-GB"/>
        </w:rPr>
      </w:pPr>
      <w:r w:rsidRPr="006F3B5D">
        <w:rPr>
          <w:rFonts w:cstheme="minorHAnsi"/>
          <w:b/>
          <w:sz w:val="22"/>
          <w:szCs w:val="22"/>
          <w:lang w:val="en-GB"/>
        </w:rPr>
        <w:t xml:space="preserve">Figure </w:t>
      </w:r>
      <w:r w:rsidR="004F5709">
        <w:rPr>
          <w:rFonts w:cstheme="minorHAnsi"/>
          <w:b/>
          <w:sz w:val="22"/>
          <w:szCs w:val="22"/>
          <w:lang w:val="en-GB"/>
        </w:rPr>
        <w:t>S</w:t>
      </w:r>
      <w:r w:rsidR="00E17805">
        <w:rPr>
          <w:rFonts w:cstheme="minorHAnsi"/>
          <w:b/>
          <w:sz w:val="22"/>
          <w:szCs w:val="22"/>
          <w:lang w:val="en-GB"/>
        </w:rPr>
        <w:t>7</w:t>
      </w:r>
      <w:r w:rsidRPr="006F3B5D">
        <w:rPr>
          <w:rFonts w:cstheme="minorHAnsi"/>
          <w:b/>
          <w:sz w:val="22"/>
          <w:szCs w:val="22"/>
          <w:lang w:val="en-GB"/>
        </w:rPr>
        <w:t>. Citation Impact (PP(top10%), by disease type and income level (with international collaboration)</w:t>
      </w:r>
    </w:p>
    <w:p w14:paraId="690AFD2A" w14:textId="77777777" w:rsidR="00C6561D" w:rsidRPr="006F3B5D" w:rsidRDefault="00C6561D" w:rsidP="005E1BB7">
      <w:pPr>
        <w:jc w:val="center"/>
        <w:rPr>
          <w:rFonts w:cstheme="minorHAnsi"/>
          <w:sz w:val="22"/>
          <w:szCs w:val="22"/>
          <w:lang w:val="en-GB"/>
        </w:rPr>
      </w:pPr>
      <w:r w:rsidRPr="006F3B5D">
        <w:rPr>
          <w:rFonts w:cstheme="minorHAnsi"/>
          <w:noProof/>
          <w:sz w:val="22"/>
          <w:szCs w:val="22"/>
          <w:lang w:val="nl-NL" w:eastAsia="nl-NL"/>
        </w:rPr>
        <w:drawing>
          <wp:inline distT="0" distB="0" distL="0" distR="0" wp14:anchorId="6CC1D992" wp14:editId="6A219EE7">
            <wp:extent cx="5041900" cy="2755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41900" cy="2755900"/>
                    </a:xfrm>
                    <a:prstGeom prst="rect">
                      <a:avLst/>
                    </a:prstGeom>
                  </pic:spPr>
                </pic:pic>
              </a:graphicData>
            </a:graphic>
          </wp:inline>
        </w:drawing>
      </w:r>
    </w:p>
    <w:p w14:paraId="659F2B77" w14:textId="2090113F" w:rsidR="00C6561D" w:rsidRDefault="00C6561D" w:rsidP="00C6561D">
      <w:pPr>
        <w:rPr>
          <w:rFonts w:cstheme="minorHAnsi"/>
          <w:sz w:val="22"/>
          <w:szCs w:val="22"/>
          <w:lang w:val="en-GB"/>
        </w:rPr>
      </w:pPr>
    </w:p>
    <w:p w14:paraId="1105C85E" w14:textId="77777777" w:rsidR="00C14489" w:rsidRDefault="00C14489">
      <w:pPr>
        <w:rPr>
          <w:rFonts w:cstheme="minorHAnsi"/>
          <w:b/>
          <w:sz w:val="22"/>
          <w:szCs w:val="22"/>
          <w:lang w:val="en-GB"/>
        </w:rPr>
      </w:pPr>
      <w:r>
        <w:rPr>
          <w:rFonts w:cstheme="minorHAnsi"/>
          <w:b/>
          <w:sz w:val="22"/>
          <w:szCs w:val="22"/>
          <w:lang w:val="en-GB"/>
        </w:rPr>
        <w:br w:type="page"/>
      </w:r>
    </w:p>
    <w:p w14:paraId="2A24A86C" w14:textId="2FF7826C" w:rsidR="00C14489" w:rsidRPr="00C14489" w:rsidRDefault="00BA3229" w:rsidP="00BA3229">
      <w:pPr>
        <w:jc w:val="both"/>
        <w:rPr>
          <w:rFonts w:cstheme="minorHAnsi"/>
          <w:sz w:val="22"/>
          <w:szCs w:val="22"/>
          <w:lang w:val="en-GB"/>
        </w:rPr>
      </w:pPr>
      <w:r>
        <w:rPr>
          <w:rFonts w:cstheme="minorHAnsi"/>
          <w:sz w:val="22"/>
          <w:szCs w:val="22"/>
          <w:lang w:val="en-GB"/>
        </w:rPr>
        <w:lastRenderedPageBreak/>
        <w:t xml:space="preserve">A potential confounding factor is that LMICs tend to have lower coverage in databases </w:t>
      </w:r>
      <w:proofErr w:type="spellStart"/>
      <w:r>
        <w:rPr>
          <w:rFonts w:cstheme="minorHAnsi"/>
          <w:sz w:val="22"/>
          <w:szCs w:val="22"/>
          <w:lang w:val="en-GB"/>
        </w:rPr>
        <w:t>sucha</w:t>
      </w:r>
      <w:proofErr w:type="spellEnd"/>
      <w:r>
        <w:rPr>
          <w:rFonts w:cstheme="minorHAnsi"/>
          <w:sz w:val="22"/>
          <w:szCs w:val="22"/>
          <w:lang w:val="en-GB"/>
        </w:rPr>
        <w:t xml:space="preserve"> as </w:t>
      </w:r>
      <w:proofErr w:type="spellStart"/>
      <w:r>
        <w:rPr>
          <w:rFonts w:cstheme="minorHAnsi"/>
          <w:sz w:val="22"/>
          <w:szCs w:val="22"/>
          <w:lang w:val="en-GB"/>
        </w:rPr>
        <w:t>WoS</w:t>
      </w:r>
      <w:proofErr w:type="spellEnd"/>
      <w:r w:rsidR="00D93DC7">
        <w:rPr>
          <w:rFonts w:cstheme="minorHAnsi"/>
          <w:sz w:val="22"/>
          <w:szCs w:val="22"/>
          <w:lang w:val="en-GB"/>
        </w:rPr>
        <w:t xml:space="preserve"> </w:t>
      </w:r>
      <w:r w:rsidR="00D93DC7">
        <w:rPr>
          <w:rFonts w:cstheme="minorHAnsi"/>
          <w:sz w:val="22"/>
          <w:szCs w:val="22"/>
          <w:lang w:val="en-GB"/>
        </w:rPr>
        <w:fldChar w:fldCharType="begin"/>
      </w:r>
      <w:r w:rsidR="00F9495A">
        <w:rPr>
          <w:rFonts w:cstheme="minorHAnsi"/>
          <w:sz w:val="22"/>
          <w:szCs w:val="22"/>
          <w:lang w:val="en-GB"/>
        </w:rPr>
        <w:instrText xml:space="preserve"> ADDIN ZOTERO_ITEM CSL_CITATION {"citationID":"QTwf7WUv","properties":{"formattedCitation":"[18,19]","plainCitation":"[18,19]","noteIndex":0},"citationItems":[{"id":1997,"uris":["http://zotero.org/groups/2397039/items/UFJAQTV5"],"uri":["http://zotero.org/groups/2397039/items/UFJAQTV5"],"itemData":{"id":1997,"type":"thesis","title":"Universalism and particularism: explaining the emergence and development of regional journal indexing systems","publisher":"SPRU - University of Sussex","publisher-place":"Brighton","event-place":"Brighton","URL":"http://sro.sussex.ac.uk/id/eprint/66409/","language":"en","author":[{"family":"Chavarro","given":"Diego"}],"issued":{"date-parts":[["2017"]]},"accessed":{"date-parts":[["2019",10,28]]}},"label":"page"},{"id":2113,"uris":["http://zotero.org/groups/2397039/items/MJY2B6XY"],"uri":["http://zotero.org/groups/2397039/items/MJY2B6XY"],"itemData":{"id":2113,"type":"article-journal","title":"The journal coverage of Web of Science and Scopus: a comparative analysis","container-title":"Scientometrics","page":"213-228","volume":"106","issue":"1","source":"Springer Link","abstract":"Bibliometric methods are used in multiple fields for a variety of purposes, namely for research evaluation. Most bibliometric analyses have in common their data sources: Thomson Reuters’ Web of Science (WoS) and Elsevier’s Scopus. The objective of this research is to describe the journal coverage of those two databases and to assess whether some field, publishing country and language are over or underrepresented. To do this we compared the coverage of active scholarly journals in WoS (13,605 journals) and Scopus (20,346 journals) with Ulrich’s extensive periodical directory (63,013 journals). Results indicate that the use of either WoS or Scopus for research evaluation may introduce biases that favor Natural Sciences and Engineering as well as Biomedical Research to the detriment of Social Sciences and Arts and Humanities. Similarly, English-language journals are overrepresented to the detriment of other languages. While both databases share these biases, their coverage differs substantially. As a consequence, the results of bibliometric analyses may vary depending on the database used. These results imply that in the context of comparative research evaluation, WoS and Scopus should be used with caution, especially when comparing different fields, institutions, countries or languages. The bibliometric community should continue its efforts to develop methods and indicators that include scientific output that are not covered in WoS or Scopus, such as field-specific and national citation indexes.","DOI":"10.1007/s11192-015-1765-5","ISSN":"1588-2861","shortTitle":"The journal coverage of Web of Science and Scopus","journalAbbreviation":"Scientometrics","language":"en","author":[{"family":"Mongeon","given":"Philippe"},{"family":"Paul-Hus","given":"Adèle"}],"issued":{"date-parts":[["2016",1,1]]}},"label":"page"}],"schema":"https://github.com/citation-style-language/schema/raw/master/csl-citation.json"} </w:instrText>
      </w:r>
      <w:r w:rsidR="00D93DC7">
        <w:rPr>
          <w:rFonts w:cstheme="minorHAnsi"/>
          <w:sz w:val="22"/>
          <w:szCs w:val="22"/>
          <w:lang w:val="en-GB"/>
        </w:rPr>
        <w:fldChar w:fldCharType="separate"/>
      </w:r>
      <w:r w:rsidR="00F9495A" w:rsidRPr="00F9495A">
        <w:rPr>
          <w:rFonts w:ascii="Calibri" w:hAnsi="Calibri" w:cs="Calibri"/>
          <w:sz w:val="22"/>
        </w:rPr>
        <w:t>[18,19]</w:t>
      </w:r>
      <w:r w:rsidR="00D93DC7">
        <w:rPr>
          <w:rFonts w:cstheme="minorHAnsi"/>
          <w:sz w:val="22"/>
          <w:szCs w:val="22"/>
          <w:lang w:val="en-GB"/>
        </w:rPr>
        <w:fldChar w:fldCharType="end"/>
      </w:r>
      <w:r w:rsidR="00D93DC7">
        <w:rPr>
          <w:rFonts w:cstheme="minorHAnsi"/>
          <w:sz w:val="22"/>
          <w:szCs w:val="22"/>
          <w:lang w:val="en-GB"/>
        </w:rPr>
        <w:t>.</w:t>
      </w:r>
      <w:r>
        <w:rPr>
          <w:rFonts w:cstheme="minorHAnsi"/>
          <w:sz w:val="22"/>
          <w:szCs w:val="22"/>
          <w:lang w:val="en-GB"/>
        </w:rPr>
        <w:t xml:space="preserve"> Indeed, </w:t>
      </w:r>
      <w:r w:rsidR="00D948AC" w:rsidRPr="00BA3229">
        <w:rPr>
          <w:rFonts w:cstheme="minorHAnsi"/>
          <w:sz w:val="22"/>
          <w:szCs w:val="22"/>
          <w:lang w:val="en-GB"/>
        </w:rPr>
        <w:t xml:space="preserve">using as a proxy the indicator of ‘internal coverage’ (i.e. the percentage of references from the publications included in the </w:t>
      </w:r>
      <w:proofErr w:type="spellStart"/>
      <w:r w:rsidR="00D948AC" w:rsidRPr="00BA3229">
        <w:rPr>
          <w:rFonts w:cstheme="minorHAnsi"/>
          <w:sz w:val="22"/>
          <w:szCs w:val="22"/>
          <w:lang w:val="en-GB"/>
        </w:rPr>
        <w:t>WoS</w:t>
      </w:r>
      <w:proofErr w:type="spellEnd"/>
      <w:r w:rsidR="00D948AC" w:rsidRPr="00BA3229">
        <w:rPr>
          <w:rFonts w:cstheme="minorHAnsi"/>
          <w:sz w:val="22"/>
          <w:szCs w:val="22"/>
          <w:lang w:val="en-GB"/>
        </w:rPr>
        <w:t xml:space="preserve">), </w:t>
      </w:r>
      <w:r w:rsidRPr="00BA3229">
        <w:rPr>
          <w:rFonts w:cstheme="minorHAnsi"/>
          <w:sz w:val="22"/>
          <w:szCs w:val="22"/>
          <w:lang w:val="en-GB"/>
        </w:rPr>
        <w:t xml:space="preserve">coverage of diseases in the </w:t>
      </w:r>
      <w:proofErr w:type="spellStart"/>
      <w:r w:rsidRPr="00BA3229">
        <w:rPr>
          <w:rFonts w:cstheme="minorHAnsi"/>
          <w:sz w:val="22"/>
          <w:szCs w:val="22"/>
          <w:lang w:val="en-GB"/>
        </w:rPr>
        <w:t>WoS</w:t>
      </w:r>
      <w:proofErr w:type="spellEnd"/>
      <w:r w:rsidRPr="00BA3229">
        <w:rPr>
          <w:rFonts w:cstheme="minorHAnsi"/>
          <w:sz w:val="22"/>
          <w:szCs w:val="22"/>
          <w:lang w:val="en-GB"/>
        </w:rPr>
        <w:t xml:space="preserve"> </w:t>
      </w:r>
      <w:r w:rsidR="00D948AC">
        <w:rPr>
          <w:rFonts w:cstheme="minorHAnsi"/>
          <w:sz w:val="22"/>
          <w:szCs w:val="22"/>
          <w:lang w:val="en-GB"/>
        </w:rPr>
        <w:t>can be shown to</w:t>
      </w:r>
      <w:r w:rsidRPr="00BA3229">
        <w:rPr>
          <w:rFonts w:cstheme="minorHAnsi"/>
          <w:sz w:val="22"/>
          <w:szCs w:val="22"/>
          <w:lang w:val="en-GB"/>
        </w:rPr>
        <w:t xml:space="preserve"> slightly higher for type 1 diseases – which means that there more papers of type 2 and 3 published in ‘lower prestige’ are not captured in our data. However, the</w:t>
      </w:r>
      <w:r w:rsidR="00D948AC">
        <w:rPr>
          <w:rFonts w:cstheme="minorHAnsi"/>
          <w:sz w:val="22"/>
          <w:szCs w:val="22"/>
          <w:lang w:val="en-GB"/>
        </w:rPr>
        <w:t>se</w:t>
      </w:r>
      <w:r w:rsidRPr="00BA3229">
        <w:rPr>
          <w:rFonts w:cstheme="minorHAnsi"/>
          <w:sz w:val="22"/>
          <w:szCs w:val="22"/>
          <w:lang w:val="en-GB"/>
        </w:rPr>
        <w:t xml:space="preserve"> differences </w:t>
      </w:r>
      <w:r w:rsidR="00D948AC">
        <w:rPr>
          <w:rFonts w:cstheme="minorHAnsi"/>
          <w:sz w:val="22"/>
          <w:szCs w:val="22"/>
          <w:lang w:val="en-GB"/>
        </w:rPr>
        <w:t>are</w:t>
      </w:r>
      <w:r w:rsidRPr="00BA3229">
        <w:rPr>
          <w:rFonts w:cstheme="minorHAnsi"/>
          <w:sz w:val="22"/>
          <w:szCs w:val="22"/>
          <w:lang w:val="en-GB"/>
        </w:rPr>
        <w:t xml:space="preserve"> relatively small</w:t>
      </w:r>
      <w:r w:rsidR="00D948AC">
        <w:rPr>
          <w:rFonts w:cstheme="minorHAnsi"/>
          <w:sz w:val="22"/>
          <w:szCs w:val="22"/>
          <w:lang w:val="en-GB"/>
        </w:rPr>
        <w:t>, as shown in Figure S9</w:t>
      </w:r>
      <w:r w:rsidRPr="00BA3229">
        <w:rPr>
          <w:rFonts w:cstheme="minorHAnsi"/>
          <w:sz w:val="22"/>
          <w:szCs w:val="22"/>
          <w:lang w:val="en-GB"/>
        </w:rPr>
        <w:t>. Type 1a disease</w:t>
      </w:r>
      <w:r w:rsidR="00D948AC">
        <w:rPr>
          <w:rFonts w:cstheme="minorHAnsi"/>
          <w:sz w:val="22"/>
          <w:szCs w:val="22"/>
          <w:lang w:val="en-GB"/>
        </w:rPr>
        <w:t>s</w:t>
      </w:r>
      <w:r w:rsidRPr="00BA3229">
        <w:rPr>
          <w:rFonts w:cstheme="minorHAnsi"/>
          <w:sz w:val="22"/>
          <w:szCs w:val="22"/>
          <w:lang w:val="en-GB"/>
        </w:rPr>
        <w:t xml:space="preserve"> have 91% internal coverage, whereas type 2 and 3 have 86% and 84%, respectively. Similarly</w:t>
      </w:r>
      <w:r w:rsidR="00D948AC">
        <w:rPr>
          <w:rFonts w:cstheme="minorHAnsi"/>
          <w:sz w:val="22"/>
          <w:szCs w:val="22"/>
          <w:lang w:val="en-GB"/>
        </w:rPr>
        <w:t>,</w:t>
      </w:r>
      <w:r w:rsidRPr="00BA3229">
        <w:rPr>
          <w:rFonts w:cstheme="minorHAnsi"/>
          <w:sz w:val="22"/>
          <w:szCs w:val="22"/>
          <w:lang w:val="en-GB"/>
        </w:rPr>
        <w:t xml:space="preserve"> HICs have a coverage of 90%, MICs of 89%, </w:t>
      </w:r>
      <w:proofErr w:type="spellStart"/>
      <w:r w:rsidRPr="00BA3229">
        <w:rPr>
          <w:rFonts w:cstheme="minorHAnsi"/>
          <w:sz w:val="22"/>
          <w:szCs w:val="22"/>
          <w:lang w:val="en-GB"/>
        </w:rPr>
        <w:t>LoMICs</w:t>
      </w:r>
      <w:proofErr w:type="spellEnd"/>
      <w:r w:rsidRPr="00BA3229">
        <w:rPr>
          <w:rFonts w:cstheme="minorHAnsi"/>
          <w:sz w:val="22"/>
          <w:szCs w:val="22"/>
          <w:lang w:val="en-GB"/>
        </w:rPr>
        <w:t xml:space="preserve"> of 84% and LICs of 79%. Correcting for these differences in the order of 5%-10%, the percentage of publications across disease types would be even more similar across disease types.</w:t>
      </w:r>
      <w:r w:rsidR="00C14489">
        <w:rPr>
          <w:rFonts w:cstheme="minorHAnsi"/>
          <w:sz w:val="22"/>
          <w:szCs w:val="22"/>
          <w:lang w:val="en-GB"/>
        </w:rPr>
        <w:t xml:space="preserve">   </w:t>
      </w:r>
    </w:p>
    <w:p w14:paraId="0A95D51C" w14:textId="36F5B868" w:rsidR="00C6561D" w:rsidRPr="006F3B5D" w:rsidRDefault="00C14489" w:rsidP="00C14489">
      <w:pPr>
        <w:jc w:val="center"/>
        <w:rPr>
          <w:rFonts w:cstheme="minorHAnsi"/>
          <w:sz w:val="22"/>
          <w:szCs w:val="22"/>
          <w:lang w:val="en-GB"/>
        </w:rPr>
      </w:pPr>
      <w:r w:rsidRPr="006F3B5D">
        <w:rPr>
          <w:rFonts w:cstheme="minorHAnsi"/>
          <w:b/>
          <w:sz w:val="22"/>
          <w:szCs w:val="22"/>
          <w:lang w:val="en-GB"/>
        </w:rPr>
        <w:t xml:space="preserve">Figure </w:t>
      </w:r>
      <w:r>
        <w:rPr>
          <w:rFonts w:cstheme="minorHAnsi"/>
          <w:b/>
          <w:sz w:val="22"/>
          <w:szCs w:val="22"/>
          <w:lang w:val="en-GB"/>
        </w:rPr>
        <w:t>S</w:t>
      </w:r>
      <w:r w:rsidR="00E17805">
        <w:rPr>
          <w:rFonts w:cstheme="minorHAnsi"/>
          <w:b/>
          <w:sz w:val="22"/>
          <w:szCs w:val="22"/>
          <w:lang w:val="en-GB"/>
        </w:rPr>
        <w:t>8</w:t>
      </w:r>
      <w:r w:rsidRPr="006F3B5D">
        <w:rPr>
          <w:rFonts w:cstheme="minorHAnsi"/>
          <w:b/>
          <w:sz w:val="22"/>
          <w:szCs w:val="22"/>
          <w:lang w:val="en-GB"/>
        </w:rPr>
        <w:t xml:space="preserve">. </w:t>
      </w:r>
      <w:r>
        <w:rPr>
          <w:rFonts w:cstheme="minorHAnsi"/>
          <w:b/>
          <w:sz w:val="22"/>
          <w:szCs w:val="22"/>
          <w:lang w:val="en-GB"/>
        </w:rPr>
        <w:t>Internal coverage</w:t>
      </w:r>
      <w:r w:rsidR="00646547">
        <w:rPr>
          <w:rFonts w:cstheme="minorHAnsi"/>
          <w:b/>
          <w:sz w:val="22"/>
          <w:szCs w:val="22"/>
          <w:lang w:val="en-GB"/>
        </w:rPr>
        <w:t xml:space="preserve"> (percentage </w:t>
      </w:r>
      <w:r>
        <w:rPr>
          <w:rFonts w:cstheme="minorHAnsi"/>
          <w:b/>
          <w:sz w:val="22"/>
          <w:szCs w:val="22"/>
          <w:lang w:val="en-GB"/>
        </w:rPr>
        <w:t>of references in</w:t>
      </w:r>
      <w:r w:rsidR="00646547">
        <w:rPr>
          <w:rFonts w:cstheme="minorHAnsi"/>
          <w:b/>
          <w:sz w:val="22"/>
          <w:szCs w:val="22"/>
          <w:lang w:val="en-GB"/>
        </w:rPr>
        <w:t>cluded in the database)</w:t>
      </w:r>
    </w:p>
    <w:p w14:paraId="096B2CCE" w14:textId="033F89FD" w:rsidR="00C14489" w:rsidRDefault="00C14489" w:rsidP="00C14489">
      <w:pPr>
        <w:jc w:val="center"/>
        <w:rPr>
          <w:rFonts w:cstheme="minorHAnsi"/>
          <w:b/>
          <w:sz w:val="22"/>
          <w:szCs w:val="22"/>
          <w:lang w:val="en-GB"/>
        </w:rPr>
      </w:pPr>
      <w:r>
        <w:rPr>
          <w:noProof/>
          <w:lang w:val="nl-NL" w:eastAsia="nl-NL"/>
        </w:rPr>
        <w:drawing>
          <wp:inline distT="0" distB="0" distL="0" distR="0" wp14:anchorId="379D5ECA" wp14:editId="2B4A47D9">
            <wp:extent cx="4584700" cy="2755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84700" cy="2755900"/>
                    </a:xfrm>
                    <a:prstGeom prst="rect">
                      <a:avLst/>
                    </a:prstGeom>
                  </pic:spPr>
                </pic:pic>
              </a:graphicData>
            </a:graphic>
          </wp:inline>
        </w:drawing>
      </w:r>
    </w:p>
    <w:p w14:paraId="4B9BF4D4" w14:textId="77777777" w:rsidR="00C14489" w:rsidRDefault="00C14489" w:rsidP="006F3B5D">
      <w:pPr>
        <w:rPr>
          <w:rFonts w:cstheme="minorHAnsi"/>
          <w:b/>
          <w:sz w:val="22"/>
          <w:szCs w:val="22"/>
          <w:lang w:val="en-GB"/>
        </w:rPr>
      </w:pPr>
    </w:p>
    <w:p w14:paraId="256D8DA5" w14:textId="2A69A0F4" w:rsidR="006F3B5D" w:rsidRPr="00F9495A" w:rsidRDefault="007142C0" w:rsidP="006F3B5D">
      <w:pPr>
        <w:rPr>
          <w:rFonts w:cstheme="minorHAnsi"/>
          <w:b/>
          <w:sz w:val="22"/>
          <w:szCs w:val="22"/>
        </w:rPr>
      </w:pPr>
      <w:r w:rsidRPr="00F9495A">
        <w:rPr>
          <w:rFonts w:cstheme="minorHAnsi"/>
          <w:b/>
          <w:sz w:val="22"/>
          <w:szCs w:val="22"/>
        </w:rPr>
        <w:t>References</w:t>
      </w:r>
    </w:p>
    <w:p w14:paraId="32C18C3B" w14:textId="77777777" w:rsidR="00F9495A" w:rsidRDefault="004766E2" w:rsidP="00F9495A">
      <w:pPr>
        <w:pStyle w:val="Bibliography"/>
      </w:pPr>
      <w:r>
        <w:rPr>
          <w:rFonts w:cstheme="minorHAnsi"/>
          <w:b/>
          <w:sz w:val="22"/>
          <w:szCs w:val="22"/>
          <w:lang w:val="es-ES"/>
        </w:rPr>
        <w:fldChar w:fldCharType="begin"/>
      </w:r>
      <w:r w:rsidR="00F9495A" w:rsidRPr="00F9495A">
        <w:rPr>
          <w:rFonts w:cstheme="minorHAnsi"/>
          <w:b/>
          <w:sz w:val="22"/>
          <w:szCs w:val="22"/>
        </w:rPr>
        <w:instrText xml:space="preserve"> ADDIN ZOTERO_BIBL {"uncited":[],"omitted":[],"custom":[]} CSL_BIBLIOGRAPHY </w:instrText>
      </w:r>
      <w:r>
        <w:rPr>
          <w:rFonts w:cstheme="minorHAnsi"/>
          <w:b/>
          <w:sz w:val="22"/>
          <w:szCs w:val="22"/>
          <w:lang w:val="es-ES"/>
        </w:rPr>
        <w:fldChar w:fldCharType="separate"/>
      </w:r>
      <w:r w:rsidR="00F9495A">
        <w:t xml:space="preserve">1. </w:t>
      </w:r>
      <w:r w:rsidR="00F9495A">
        <w:tab/>
        <w:t>WHO. Disease, injury and causes of death country, regional and global estimates, 2000–2015 [Internet]. 2017 [cited 2019 Oct 28]. Available from: https://www.who.int/healthinfo/global_burden_disease/estimates_country_2000_2015/en/</w:t>
      </w:r>
    </w:p>
    <w:p w14:paraId="462D7778" w14:textId="77777777" w:rsidR="00F9495A" w:rsidRDefault="00F9495A" w:rsidP="00F9495A">
      <w:pPr>
        <w:pStyle w:val="Bibliography"/>
      </w:pPr>
      <w:r>
        <w:t xml:space="preserve">2. </w:t>
      </w:r>
      <w:r>
        <w:tab/>
      </w:r>
      <w:proofErr w:type="spellStart"/>
      <w:r>
        <w:t>AbouZahr</w:t>
      </w:r>
      <w:proofErr w:type="spellEnd"/>
      <w:r>
        <w:t xml:space="preserve"> C, </w:t>
      </w:r>
      <w:proofErr w:type="spellStart"/>
      <w:r>
        <w:t>Boerma</w:t>
      </w:r>
      <w:proofErr w:type="spellEnd"/>
      <w:r>
        <w:t xml:space="preserve"> T, Hogan D. Global estimates of country health indicators: useful, unnecessary, inevitable? Glob Health Action. 2017 Dec;10(sup1):1290370. </w:t>
      </w:r>
    </w:p>
    <w:p w14:paraId="594D0DBC" w14:textId="77777777" w:rsidR="00F9495A" w:rsidRDefault="00F9495A" w:rsidP="00F9495A">
      <w:pPr>
        <w:pStyle w:val="Bibliography"/>
      </w:pPr>
      <w:r>
        <w:t xml:space="preserve">3. </w:t>
      </w:r>
      <w:r>
        <w:tab/>
      </w:r>
      <w:proofErr w:type="spellStart"/>
      <w:r>
        <w:t>Anand</w:t>
      </w:r>
      <w:proofErr w:type="spellEnd"/>
      <w:r>
        <w:t xml:space="preserve"> S, Hanson K. Disability-adjusted life years: a critical review. J Health Econ. 1997 Dec;16(6):685–702. </w:t>
      </w:r>
    </w:p>
    <w:p w14:paraId="7C14C8A6" w14:textId="77777777" w:rsidR="00F9495A" w:rsidRDefault="00F9495A" w:rsidP="00F9495A">
      <w:pPr>
        <w:pStyle w:val="Bibliography"/>
      </w:pPr>
      <w:r>
        <w:t xml:space="preserve">4. </w:t>
      </w:r>
      <w:r>
        <w:tab/>
      </w:r>
      <w:proofErr w:type="spellStart"/>
      <w:r>
        <w:t>Arnesen</w:t>
      </w:r>
      <w:proofErr w:type="spellEnd"/>
      <w:r>
        <w:t xml:space="preserve"> T, Nord E. The value of DALY life: problems with ethics and validity of disability adjusted life years. BMJ. 1999 Nov 27;319(7222):1423–5. </w:t>
      </w:r>
    </w:p>
    <w:p w14:paraId="446282F6" w14:textId="77777777" w:rsidR="00F9495A" w:rsidRDefault="00F9495A" w:rsidP="00F9495A">
      <w:pPr>
        <w:pStyle w:val="Bibliography"/>
      </w:pPr>
      <w:r>
        <w:t xml:space="preserve">5. </w:t>
      </w:r>
      <w:r>
        <w:tab/>
        <w:t>Parks R. The Rise, Critique and Persistence of the DALY in Global Health. J Glob Health [Internet]. 2014 [cited 2019 Oct 28]; Available from: //www.ghjournal.org/the-rise-critique-and-persistence-of-the-daly-in-global-health/</w:t>
      </w:r>
    </w:p>
    <w:p w14:paraId="1246FE8C" w14:textId="77777777" w:rsidR="00F9495A" w:rsidRDefault="00F9495A" w:rsidP="00F9495A">
      <w:pPr>
        <w:pStyle w:val="Bibliography"/>
      </w:pPr>
      <w:r>
        <w:t xml:space="preserve">6. </w:t>
      </w:r>
      <w:r>
        <w:tab/>
      </w:r>
      <w:proofErr w:type="spellStart"/>
      <w:r>
        <w:t>Ciarli</w:t>
      </w:r>
      <w:proofErr w:type="spellEnd"/>
      <w:r>
        <w:t xml:space="preserve"> T, </w:t>
      </w:r>
      <w:proofErr w:type="spellStart"/>
      <w:r>
        <w:t>Ràfols</w:t>
      </w:r>
      <w:proofErr w:type="spellEnd"/>
      <w:r>
        <w:t xml:space="preserve"> I. The relation between research priorities and societal demands: The case of rice. Res Policy. 2019 May 1;48(4):949–67. </w:t>
      </w:r>
    </w:p>
    <w:p w14:paraId="489FF8E8" w14:textId="77777777" w:rsidR="00F9495A" w:rsidRDefault="00F9495A" w:rsidP="00F9495A">
      <w:pPr>
        <w:pStyle w:val="Bibliography"/>
      </w:pPr>
      <w:r>
        <w:t xml:space="preserve">7. </w:t>
      </w:r>
      <w:r>
        <w:tab/>
        <w:t xml:space="preserve">Evans JA, Shim J-M, Ioannidis JPA. Attention to local health burden and the global disparity of health research. </w:t>
      </w:r>
      <w:proofErr w:type="spellStart"/>
      <w:r>
        <w:t>PloS</w:t>
      </w:r>
      <w:proofErr w:type="spellEnd"/>
      <w:r>
        <w:t xml:space="preserve"> One. 2014;9(4):e90147. </w:t>
      </w:r>
    </w:p>
    <w:p w14:paraId="3C1CB107" w14:textId="77777777" w:rsidR="00F9495A" w:rsidRDefault="00F9495A" w:rsidP="00F9495A">
      <w:pPr>
        <w:pStyle w:val="Bibliography"/>
      </w:pPr>
      <w:r>
        <w:lastRenderedPageBreak/>
        <w:t xml:space="preserve">8. </w:t>
      </w:r>
      <w:r>
        <w:tab/>
        <w:t xml:space="preserve">Irwin AN, Rackham D. Comparison of the time-to-indexing in PubMed between biomedical journals according to impact factor, discipline, and focus. Res </w:t>
      </w:r>
      <w:proofErr w:type="spellStart"/>
      <w:r>
        <w:t>Soc</w:t>
      </w:r>
      <w:proofErr w:type="spellEnd"/>
      <w:r>
        <w:t xml:space="preserve"> </w:t>
      </w:r>
      <w:proofErr w:type="spellStart"/>
      <w:r>
        <w:t>Adm</w:t>
      </w:r>
      <w:proofErr w:type="spellEnd"/>
      <w:r>
        <w:t xml:space="preserve"> Pharm RSAP. 2017 Apr;13(2):389–93. </w:t>
      </w:r>
    </w:p>
    <w:p w14:paraId="33C01DBB" w14:textId="77777777" w:rsidR="00F9495A" w:rsidRDefault="00F9495A" w:rsidP="00F9495A">
      <w:pPr>
        <w:pStyle w:val="Bibliography"/>
      </w:pPr>
      <w:r>
        <w:t xml:space="preserve">9. </w:t>
      </w:r>
      <w:r>
        <w:tab/>
        <w:t>Rodriguez RW. Delay in indexing articles published in major pharmacy practice journals. Am J Health-</w:t>
      </w:r>
      <w:proofErr w:type="spellStart"/>
      <w:r>
        <w:t>Syst</w:t>
      </w:r>
      <w:proofErr w:type="spellEnd"/>
      <w:r>
        <w:t xml:space="preserve"> Pharm AJHP Off J Am </w:t>
      </w:r>
      <w:proofErr w:type="spellStart"/>
      <w:r>
        <w:t>Soc</w:t>
      </w:r>
      <w:proofErr w:type="spellEnd"/>
      <w:r>
        <w:t xml:space="preserve"> Health-</w:t>
      </w:r>
      <w:proofErr w:type="spellStart"/>
      <w:r>
        <w:t>Syst</w:t>
      </w:r>
      <w:proofErr w:type="spellEnd"/>
      <w:r>
        <w:t xml:space="preserve"> Pharm. 2014 Feb 15;71(4):321–4. </w:t>
      </w:r>
    </w:p>
    <w:p w14:paraId="6C414DA5" w14:textId="77777777" w:rsidR="00F9495A" w:rsidRDefault="00F9495A" w:rsidP="00F9495A">
      <w:pPr>
        <w:pStyle w:val="Bibliography"/>
      </w:pPr>
      <w:r>
        <w:t xml:space="preserve">10. </w:t>
      </w:r>
      <w:r>
        <w:tab/>
      </w:r>
      <w:proofErr w:type="spellStart"/>
      <w:r>
        <w:t>Grassano</w:t>
      </w:r>
      <w:proofErr w:type="spellEnd"/>
      <w:r>
        <w:t xml:space="preserve"> N, Rotolo D, Hutton J, Lang F, Hopkins MM. Funding Data from Publication Acknowledgments: Coverage, Uses, and Limitations. J </w:t>
      </w:r>
      <w:proofErr w:type="spellStart"/>
      <w:r>
        <w:t>Assoc</w:t>
      </w:r>
      <w:proofErr w:type="spellEnd"/>
      <w:r>
        <w:t xml:space="preserve"> </w:t>
      </w:r>
      <w:proofErr w:type="spellStart"/>
      <w:r>
        <w:t>Inf</w:t>
      </w:r>
      <w:proofErr w:type="spellEnd"/>
      <w:r>
        <w:t xml:space="preserve"> </w:t>
      </w:r>
      <w:proofErr w:type="spellStart"/>
      <w:r>
        <w:t>Sci</w:t>
      </w:r>
      <w:proofErr w:type="spellEnd"/>
      <w:r>
        <w:t xml:space="preserve"> Technol. 2017;68(4):999–1017. </w:t>
      </w:r>
    </w:p>
    <w:p w14:paraId="204CB46B" w14:textId="77777777" w:rsidR="00F9495A" w:rsidRDefault="00F9495A" w:rsidP="00F9495A">
      <w:pPr>
        <w:pStyle w:val="Bibliography"/>
      </w:pPr>
      <w:r>
        <w:t xml:space="preserve">11. </w:t>
      </w:r>
      <w:r>
        <w:tab/>
        <w:t xml:space="preserve">Rafols I, Hopkins MM, </w:t>
      </w:r>
      <w:proofErr w:type="spellStart"/>
      <w:r>
        <w:t>Hoekman</w:t>
      </w:r>
      <w:proofErr w:type="spellEnd"/>
      <w:r>
        <w:t xml:space="preserve"> J, </w:t>
      </w:r>
      <w:proofErr w:type="spellStart"/>
      <w:r>
        <w:t>Siepel</w:t>
      </w:r>
      <w:proofErr w:type="spellEnd"/>
      <w:r>
        <w:t xml:space="preserve"> J, O’Hare A, </w:t>
      </w:r>
      <w:proofErr w:type="spellStart"/>
      <w:r>
        <w:t>Perianes</w:t>
      </w:r>
      <w:proofErr w:type="spellEnd"/>
      <w:r>
        <w:t xml:space="preserve">-Rodríguez A, et al. Big Pharma, little science?: A bibliometric perspective on Big Pharma’s R&amp;D decline. </w:t>
      </w:r>
      <w:proofErr w:type="spellStart"/>
      <w:r>
        <w:t>Technol</w:t>
      </w:r>
      <w:proofErr w:type="spellEnd"/>
      <w:r>
        <w:t xml:space="preserve"> Forecast </w:t>
      </w:r>
      <w:proofErr w:type="spellStart"/>
      <w:r>
        <w:t>Soc</w:t>
      </w:r>
      <w:proofErr w:type="spellEnd"/>
      <w:r>
        <w:t xml:space="preserve"> Change. 2014 Jan 1;81:22–38. </w:t>
      </w:r>
    </w:p>
    <w:p w14:paraId="39B241EA" w14:textId="77777777" w:rsidR="00F9495A" w:rsidRDefault="00F9495A" w:rsidP="00F9495A">
      <w:pPr>
        <w:pStyle w:val="Bibliography"/>
      </w:pPr>
      <w:r>
        <w:t xml:space="preserve">12. </w:t>
      </w:r>
      <w:r>
        <w:tab/>
      </w:r>
      <w:proofErr w:type="spellStart"/>
      <w:r>
        <w:t>Lewison</w:t>
      </w:r>
      <w:proofErr w:type="spellEnd"/>
      <w:r>
        <w:t xml:space="preserve"> G, Sullivan R. Conflicts of interest statements on biomedical papers. </w:t>
      </w:r>
      <w:proofErr w:type="spellStart"/>
      <w:r>
        <w:t>Scientometrics</w:t>
      </w:r>
      <w:proofErr w:type="spellEnd"/>
      <w:r>
        <w:t xml:space="preserve">. 2015 Mar 1;102(3):2151–9. </w:t>
      </w:r>
    </w:p>
    <w:p w14:paraId="06978E12" w14:textId="77777777" w:rsidR="00F9495A" w:rsidRDefault="00F9495A" w:rsidP="00F9495A">
      <w:pPr>
        <w:pStyle w:val="Bibliography"/>
      </w:pPr>
      <w:r>
        <w:t xml:space="preserve">13. </w:t>
      </w:r>
      <w:r>
        <w:tab/>
        <w:t>WHO. Defining disease types I, II and III [Internet]. 2012. Available from: https://www.who.int/phi/3-background_cewg_agenda_item5_disease_types_final.pdf</w:t>
      </w:r>
    </w:p>
    <w:p w14:paraId="7F31F6C4" w14:textId="77777777" w:rsidR="00F9495A" w:rsidRDefault="00F9495A" w:rsidP="00F9495A">
      <w:pPr>
        <w:pStyle w:val="Bibliography"/>
      </w:pPr>
      <w:r>
        <w:t xml:space="preserve">14. </w:t>
      </w:r>
      <w:r>
        <w:tab/>
      </w:r>
      <w:proofErr w:type="spellStart"/>
      <w:r>
        <w:t>Røttingen</w:t>
      </w:r>
      <w:proofErr w:type="spellEnd"/>
      <w:r>
        <w:t xml:space="preserve"> J-A, </w:t>
      </w:r>
      <w:proofErr w:type="spellStart"/>
      <w:r>
        <w:t>Regmi</w:t>
      </w:r>
      <w:proofErr w:type="spellEnd"/>
      <w:r>
        <w:t xml:space="preserve"> S, </w:t>
      </w:r>
      <w:proofErr w:type="spellStart"/>
      <w:r>
        <w:t>Eide</w:t>
      </w:r>
      <w:proofErr w:type="spellEnd"/>
      <w:r>
        <w:t xml:space="preserve"> M, Young AJ, </w:t>
      </w:r>
      <w:proofErr w:type="spellStart"/>
      <w:r>
        <w:t>Viergever</w:t>
      </w:r>
      <w:proofErr w:type="spellEnd"/>
      <w:r>
        <w:t xml:space="preserve"> RF, </w:t>
      </w:r>
      <w:proofErr w:type="spellStart"/>
      <w:r>
        <w:t>Ardal</w:t>
      </w:r>
      <w:proofErr w:type="spellEnd"/>
      <w:r>
        <w:t xml:space="preserve"> C, et al. Mapping of available health research and development data: what’s there, what’s missing, and what role is there for a global observatory? Lancet </w:t>
      </w:r>
      <w:proofErr w:type="spellStart"/>
      <w:r>
        <w:t>Lond</w:t>
      </w:r>
      <w:proofErr w:type="spellEnd"/>
      <w:r>
        <w:t xml:space="preserve"> Engl. 2013 Oct 12;382(9900):1286–307. </w:t>
      </w:r>
    </w:p>
    <w:p w14:paraId="3AD4C02E" w14:textId="77777777" w:rsidR="00F9495A" w:rsidRDefault="00F9495A" w:rsidP="00F9495A">
      <w:pPr>
        <w:pStyle w:val="Bibliography"/>
      </w:pPr>
      <w:r>
        <w:t xml:space="preserve">15. </w:t>
      </w:r>
      <w:r>
        <w:tab/>
        <w:t xml:space="preserve">von </w:t>
      </w:r>
      <w:proofErr w:type="spellStart"/>
      <w:r>
        <w:t>Philipsborn</w:t>
      </w:r>
      <w:proofErr w:type="spellEnd"/>
      <w:r>
        <w:t xml:space="preserve"> P, </w:t>
      </w:r>
      <w:proofErr w:type="spellStart"/>
      <w:r>
        <w:t>Steinbeis</w:t>
      </w:r>
      <w:proofErr w:type="spellEnd"/>
      <w:r>
        <w:t xml:space="preserve"> F, Bender ME, </w:t>
      </w:r>
      <w:proofErr w:type="spellStart"/>
      <w:r>
        <w:t>Regmi</w:t>
      </w:r>
      <w:proofErr w:type="spellEnd"/>
      <w:r>
        <w:t xml:space="preserve"> S, </w:t>
      </w:r>
      <w:proofErr w:type="spellStart"/>
      <w:r>
        <w:t>Tinnemann</w:t>
      </w:r>
      <w:proofErr w:type="spellEnd"/>
      <w:r>
        <w:t xml:space="preserve"> P. Poverty-related and neglected diseases - an economic and epidemiological analysis of poverty relatedness and neglect in research and development. Glob Health Action. 2015;8:25818. </w:t>
      </w:r>
    </w:p>
    <w:p w14:paraId="0EDD6BAC" w14:textId="77777777" w:rsidR="00F9495A" w:rsidRPr="00F9495A" w:rsidRDefault="00F9495A" w:rsidP="00F9495A">
      <w:pPr>
        <w:pStyle w:val="Bibliography"/>
        <w:rPr>
          <w:lang w:val="nl-NL"/>
        </w:rPr>
      </w:pPr>
      <w:r>
        <w:t xml:space="preserve">16. </w:t>
      </w:r>
      <w:r>
        <w:tab/>
        <w:t xml:space="preserve">Waltman L, van Eck NJ. Field-normalized citation impact indicators and the choice of an appropriate counting method. </w:t>
      </w:r>
      <w:r w:rsidRPr="00F9495A">
        <w:rPr>
          <w:lang w:val="nl-NL"/>
        </w:rPr>
        <w:t xml:space="preserve">J </w:t>
      </w:r>
      <w:proofErr w:type="spellStart"/>
      <w:r w:rsidRPr="00F9495A">
        <w:rPr>
          <w:lang w:val="nl-NL"/>
        </w:rPr>
        <w:t>Informetr</w:t>
      </w:r>
      <w:proofErr w:type="spellEnd"/>
      <w:r w:rsidRPr="00F9495A">
        <w:rPr>
          <w:lang w:val="nl-NL"/>
        </w:rPr>
        <w:t xml:space="preserve">. 2015 </w:t>
      </w:r>
      <w:proofErr w:type="spellStart"/>
      <w:r w:rsidRPr="00F9495A">
        <w:rPr>
          <w:lang w:val="nl-NL"/>
        </w:rPr>
        <w:t>Oct</w:t>
      </w:r>
      <w:proofErr w:type="spellEnd"/>
      <w:r w:rsidRPr="00F9495A">
        <w:rPr>
          <w:lang w:val="nl-NL"/>
        </w:rPr>
        <w:t xml:space="preserve"> 1;9(4):872–94. </w:t>
      </w:r>
    </w:p>
    <w:p w14:paraId="5F78597C" w14:textId="77777777" w:rsidR="00F9495A" w:rsidRDefault="00F9495A" w:rsidP="00F9495A">
      <w:pPr>
        <w:pStyle w:val="Bibliography"/>
      </w:pPr>
      <w:r w:rsidRPr="00F9495A">
        <w:rPr>
          <w:lang w:val="nl-NL"/>
        </w:rPr>
        <w:t xml:space="preserve">17. </w:t>
      </w:r>
      <w:r w:rsidRPr="00F9495A">
        <w:rPr>
          <w:lang w:val="nl-NL"/>
        </w:rPr>
        <w:tab/>
        <w:t xml:space="preserve">Waltman L, van Eck NJ, van Leeuwen TN, Visser MS, van Raan AFJ. </w:t>
      </w:r>
      <w:r>
        <w:t xml:space="preserve">Towards a new crown indicator: Some theoretical considerations. J </w:t>
      </w:r>
      <w:proofErr w:type="spellStart"/>
      <w:r>
        <w:t>Informetr</w:t>
      </w:r>
      <w:proofErr w:type="spellEnd"/>
      <w:r>
        <w:t xml:space="preserve">. 2011 Jan 1;5(1):37–47. </w:t>
      </w:r>
    </w:p>
    <w:p w14:paraId="270DC623" w14:textId="77777777" w:rsidR="00F9495A" w:rsidRDefault="00F9495A" w:rsidP="00F9495A">
      <w:pPr>
        <w:pStyle w:val="Bibliography"/>
      </w:pPr>
      <w:r>
        <w:t xml:space="preserve">18. </w:t>
      </w:r>
      <w:r>
        <w:tab/>
      </w:r>
      <w:proofErr w:type="spellStart"/>
      <w:r>
        <w:t>Chavarro</w:t>
      </w:r>
      <w:proofErr w:type="spellEnd"/>
      <w:r>
        <w:t xml:space="preserve"> D. Universalism and particularism: explaining the emergence and development of regional journal indexing systems [Internet]. [Brighton]: SPRU - University of Sussex; 2017 [cited 2019 Oct 28]. Available from: http://sro.sussex.ac.uk/id/eprint/66409/</w:t>
      </w:r>
    </w:p>
    <w:p w14:paraId="5676E942" w14:textId="77777777" w:rsidR="00F9495A" w:rsidRDefault="00F9495A" w:rsidP="00F9495A">
      <w:pPr>
        <w:pStyle w:val="Bibliography"/>
      </w:pPr>
      <w:r>
        <w:t xml:space="preserve">19. </w:t>
      </w:r>
      <w:r>
        <w:tab/>
        <w:t xml:space="preserve">Mongeon P, Paul-Hus A. The journal coverage of Web of Science and Scopus: a comparative analysis. </w:t>
      </w:r>
      <w:proofErr w:type="spellStart"/>
      <w:r>
        <w:t>Scientometrics</w:t>
      </w:r>
      <w:proofErr w:type="spellEnd"/>
      <w:r>
        <w:t xml:space="preserve">. 2016 Jan 1;106(1):213–28. </w:t>
      </w:r>
    </w:p>
    <w:p w14:paraId="31506757" w14:textId="2ADF59D3" w:rsidR="00883094" w:rsidRPr="00D4565C" w:rsidRDefault="004766E2" w:rsidP="006F3B5D">
      <w:pPr>
        <w:rPr>
          <w:rFonts w:cstheme="minorHAnsi"/>
          <w:b/>
          <w:sz w:val="22"/>
          <w:szCs w:val="22"/>
          <w:lang w:val="es-ES"/>
        </w:rPr>
      </w:pPr>
      <w:r>
        <w:rPr>
          <w:rFonts w:cstheme="minorHAnsi"/>
          <w:b/>
          <w:sz w:val="22"/>
          <w:szCs w:val="22"/>
          <w:lang w:val="es-ES"/>
        </w:rPr>
        <w:fldChar w:fldCharType="end"/>
      </w:r>
      <w:bookmarkEnd w:id="1"/>
    </w:p>
    <w:sectPr w:rsidR="00883094" w:rsidRPr="00D4565C" w:rsidSect="00513A03">
      <w:footerReference w:type="even" r:id="rId16"/>
      <w:footerReference w:type="default" r:id="rId17"/>
      <w:pgSz w:w="11900" w:h="16840"/>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AF56FA" w16cid:durableId="216C82DF"/>
  <w16cid:commentId w16cid:paraId="5F697E8E" w16cid:durableId="216C82F8"/>
  <w16cid:commentId w16cid:paraId="67D49957" w16cid:durableId="216B25CC"/>
  <w16cid:commentId w16cid:paraId="7CAD8586" w16cid:durableId="216B25CD"/>
  <w16cid:commentId w16cid:paraId="1139DF79" w16cid:durableId="216B25D0"/>
  <w16cid:commentId w16cid:paraId="066D0B04" w16cid:durableId="216B25D1"/>
  <w16cid:commentId w16cid:paraId="3964278E" w16cid:durableId="216D005A"/>
  <w16cid:commentId w16cid:paraId="18DA97F5" w16cid:durableId="216B25E2"/>
  <w16cid:commentId w16cid:paraId="4CE547EC" w16cid:durableId="216DCFEF"/>
  <w16cid:commentId w16cid:paraId="17622621" w16cid:durableId="216B25E7"/>
  <w16cid:commentId w16cid:paraId="46D6A93B" w16cid:durableId="216E5473"/>
  <w16cid:commentId w16cid:paraId="7D05E0BF" w16cid:durableId="216B25E9"/>
  <w16cid:commentId w16cid:paraId="4D91BE8D" w16cid:durableId="2141A20B"/>
  <w16cid:commentId w16cid:paraId="3530BBDB" w16cid:durableId="2141A20C"/>
  <w16cid:commentId w16cid:paraId="24B829EB" w16cid:durableId="2141A20D"/>
  <w16cid:commentId w16cid:paraId="070ADC75" w16cid:durableId="2141A20E"/>
  <w16cid:commentId w16cid:paraId="23923FEF" w16cid:durableId="210AB2FE"/>
  <w16cid:commentId w16cid:paraId="6788EE22" w16cid:durableId="2141A210"/>
  <w16cid:commentId w16cid:paraId="08C2B6DA" w16cid:durableId="2141A211"/>
  <w16cid:commentId w16cid:paraId="08D712F2" w16cid:durableId="2141A212"/>
  <w16cid:commentId w16cid:paraId="7B0DBDCA" w16cid:durableId="216B25FA"/>
  <w16cid:commentId w16cid:paraId="78A9F735" w16cid:durableId="210BF66E"/>
  <w16cid:commentId w16cid:paraId="6F6151CF" w16cid:durableId="216B2600"/>
  <w16cid:commentId w16cid:paraId="6F83C247" w16cid:durableId="216B2601"/>
  <w16cid:commentId w16cid:paraId="57B6480F" w16cid:durableId="2108EACA"/>
  <w16cid:commentId w16cid:paraId="4652C780" w16cid:durableId="21339BA2"/>
  <w16cid:commentId w16cid:paraId="114E1728" w16cid:durableId="2107BAF3"/>
  <w16cid:commentId w16cid:paraId="13FDBF11" w16cid:durableId="216B2605"/>
  <w16cid:commentId w16cid:paraId="059B9718" w16cid:durableId="216E57CB"/>
  <w16cid:commentId w16cid:paraId="2666AE57" w16cid:durableId="216B260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834C5" w14:textId="77777777" w:rsidR="008479E4" w:rsidRDefault="008479E4" w:rsidP="004E181A">
      <w:r>
        <w:separator/>
      </w:r>
    </w:p>
  </w:endnote>
  <w:endnote w:type="continuationSeparator" w:id="0">
    <w:p w14:paraId="079579F2" w14:textId="77777777" w:rsidR="008479E4" w:rsidRDefault="008479E4" w:rsidP="004E1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58198621"/>
      <w:docPartObj>
        <w:docPartGallery w:val="Page Numbers (Bottom of Page)"/>
        <w:docPartUnique/>
      </w:docPartObj>
    </w:sdtPr>
    <w:sdtEndPr>
      <w:rPr>
        <w:rStyle w:val="PageNumber"/>
      </w:rPr>
    </w:sdtEndPr>
    <w:sdtContent>
      <w:p w14:paraId="26F288E7" w14:textId="1CB6E2E6" w:rsidR="0009089A" w:rsidRDefault="0009089A" w:rsidP="00AA29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2C20C9" w14:textId="77777777" w:rsidR="0009089A" w:rsidRDefault="0009089A" w:rsidP="00B928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542820125"/>
      <w:docPartObj>
        <w:docPartGallery w:val="Page Numbers (Bottom of Page)"/>
        <w:docPartUnique/>
      </w:docPartObj>
    </w:sdtPr>
    <w:sdtEndPr>
      <w:rPr>
        <w:rStyle w:val="PageNumber"/>
      </w:rPr>
    </w:sdtEndPr>
    <w:sdtContent>
      <w:p w14:paraId="39F6C053" w14:textId="557209D2" w:rsidR="0009089A" w:rsidRDefault="0009089A" w:rsidP="00AA29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9495A">
          <w:rPr>
            <w:rStyle w:val="PageNumber"/>
            <w:noProof/>
          </w:rPr>
          <w:t>13</w:t>
        </w:r>
        <w:r>
          <w:rPr>
            <w:rStyle w:val="PageNumber"/>
          </w:rPr>
          <w:fldChar w:fldCharType="end"/>
        </w:r>
      </w:p>
    </w:sdtContent>
  </w:sdt>
  <w:p w14:paraId="651A3882" w14:textId="77777777" w:rsidR="0009089A" w:rsidRDefault="0009089A" w:rsidP="00B928A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57355" w14:textId="77777777" w:rsidR="008479E4" w:rsidRDefault="008479E4" w:rsidP="004E181A">
      <w:r>
        <w:separator/>
      </w:r>
    </w:p>
  </w:footnote>
  <w:footnote w:type="continuationSeparator" w:id="0">
    <w:p w14:paraId="5A27ED5E" w14:textId="77777777" w:rsidR="008479E4" w:rsidRDefault="008479E4" w:rsidP="004E181A">
      <w:r>
        <w:continuationSeparator/>
      </w:r>
    </w:p>
  </w:footnote>
  <w:footnote w:id="1">
    <w:p w14:paraId="7BDB1CBD" w14:textId="77777777" w:rsidR="0009089A" w:rsidRPr="007A325D" w:rsidRDefault="0009089A" w:rsidP="002D35DD">
      <w:pPr>
        <w:pStyle w:val="FootnoteText"/>
      </w:pPr>
      <w:r>
        <w:rPr>
          <w:rStyle w:val="FootnoteReference"/>
        </w:rPr>
        <w:footnoteRef/>
      </w:r>
      <w:r>
        <w:t xml:space="preserve"> </w:t>
      </w:r>
      <w:hyperlink r:id="rId1" w:history="1">
        <w:r>
          <w:rPr>
            <w:rStyle w:val="Hyperlink"/>
          </w:rPr>
          <w:t>https://www.nlm.nih.gov/mesh/intro_trees.html</w:t>
        </w:r>
      </w:hyperlink>
    </w:p>
  </w:footnote>
  <w:footnote w:id="2">
    <w:p w14:paraId="1FEA7C3E" w14:textId="77777777" w:rsidR="0009089A" w:rsidRPr="005E4C0B" w:rsidRDefault="0009089A" w:rsidP="002D35DD">
      <w:pPr>
        <w:pStyle w:val="FootnoteText"/>
      </w:pPr>
      <w:r>
        <w:rPr>
          <w:rStyle w:val="FootnoteReference"/>
        </w:rPr>
        <w:footnoteRef/>
      </w:r>
      <w:r>
        <w:t xml:space="preserve"> We estimated the total amount of publications dealing with specific diseases by looking at the number of publications with at least one </w:t>
      </w:r>
      <w:proofErr w:type="spellStart"/>
      <w:r>
        <w:t>MeSH</w:t>
      </w:r>
      <w:proofErr w:type="spellEnd"/>
      <w:r>
        <w:t xml:space="preserve"> term from the branch ‘C’</w:t>
      </w:r>
    </w:p>
  </w:footnote>
  <w:footnote w:id="3">
    <w:p w14:paraId="01AD1A7D" w14:textId="77777777" w:rsidR="0009089A" w:rsidRPr="005E4C0B" w:rsidRDefault="0009089A" w:rsidP="002D35DD">
      <w:pPr>
        <w:pStyle w:val="FootnoteText"/>
      </w:pPr>
      <w:r>
        <w:rPr>
          <w:rStyle w:val="FootnoteReference"/>
        </w:rPr>
        <w:footnoteRef/>
      </w:r>
      <w:r>
        <w:t xml:space="preserve"> This estimate is based on the number of publications published in journals classified in </w:t>
      </w:r>
      <w:proofErr w:type="spellStart"/>
      <w:r>
        <w:t>WoS</w:t>
      </w:r>
      <w:proofErr w:type="spellEnd"/>
      <w:r>
        <w:t xml:space="preserve"> Subject categories relevant in biomedical research. The list of these 84 categories can be found in the supplementary material.</w:t>
      </w:r>
    </w:p>
  </w:footnote>
  <w:footnote w:id="4">
    <w:p w14:paraId="68DDD738" w14:textId="77777777" w:rsidR="0009089A" w:rsidRPr="00B97FF8" w:rsidRDefault="0009089A" w:rsidP="002D35DD">
      <w:pPr>
        <w:pStyle w:val="FootnoteText"/>
      </w:pPr>
      <w:r>
        <w:rPr>
          <w:rStyle w:val="FootnoteReference"/>
        </w:rPr>
        <w:footnoteRef/>
      </w:r>
      <w:r>
        <w:t xml:space="preserve"> </w:t>
      </w:r>
      <w:hyperlink r:id="rId2" w:history="1">
        <w:r>
          <w:rPr>
            <w:rStyle w:val="Hyperlink"/>
          </w:rPr>
          <w:t>https://datahelpdesk.worldbank.org/knowledgebase/articles/906519-world-bank-country-and-lending-groups</w:t>
        </w:r>
      </w:hyperlink>
    </w:p>
  </w:footnote>
  <w:footnote w:id="5">
    <w:p w14:paraId="219666D3" w14:textId="77777777" w:rsidR="0009089A" w:rsidRPr="00167075" w:rsidRDefault="0009089A" w:rsidP="00302243">
      <w:pPr>
        <w:pStyle w:val="FootnoteText"/>
        <w:spacing w:after="0"/>
        <w:rPr>
          <w:lang w:val="en-GB"/>
        </w:rPr>
      </w:pPr>
      <w:r>
        <w:rPr>
          <w:rStyle w:val="FootnoteReference"/>
        </w:rPr>
        <w:footnoteRef/>
      </w:r>
      <w:r>
        <w:t xml:space="preserve"> </w:t>
      </w:r>
      <w:r w:rsidRPr="00167075">
        <w:t>https://clarivate.com/webofsciencegroup/essays/impact-factor/</w:t>
      </w:r>
    </w:p>
  </w:footnote>
  <w:footnote w:id="6">
    <w:p w14:paraId="21F37137" w14:textId="77777777" w:rsidR="0009089A" w:rsidRDefault="0009089A" w:rsidP="00302243">
      <w:pPr>
        <w:pStyle w:val="FootnoteText"/>
        <w:spacing w:after="0"/>
      </w:pPr>
      <w:r>
        <w:rPr>
          <w:rStyle w:val="FootnoteReference"/>
        </w:rPr>
        <w:footnoteRef/>
      </w:r>
      <w:r>
        <w:t xml:space="preserve"> While the numerator includes all citations to any article published by the journal, the denominator only the so called ‘citable items’, which refer to articles and reviews. Therefore, any other type of publication such as editorial material, letters, etc. are excluded from the denominator.</w:t>
      </w:r>
    </w:p>
  </w:footnote>
  <w:footnote w:id="7">
    <w:p w14:paraId="134B062D" w14:textId="64C5223E" w:rsidR="0009089A" w:rsidRPr="003A1D78" w:rsidRDefault="0009089A" w:rsidP="00302243">
      <w:pPr>
        <w:pStyle w:val="FootnoteText"/>
        <w:spacing w:after="0"/>
      </w:pPr>
      <w:r>
        <w:rPr>
          <w:rStyle w:val="FootnoteReference"/>
        </w:rPr>
        <w:footnoteRef/>
      </w:r>
      <w:hyperlink r:id="rId3" w:history="1">
        <w:r w:rsidRPr="003A1D78">
          <w:rPr>
            <w:rStyle w:val="Hyperlink"/>
          </w:rPr>
          <w:t>http://help.incites.clarivate.com/inCites2Live/indicatorsGroup/aboutHandbook/usingCitationIndicatorsWisely/jifQuartile.html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E7A33"/>
    <w:multiLevelType w:val="hybridMultilevel"/>
    <w:tmpl w:val="8EDE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A67B1"/>
    <w:multiLevelType w:val="hybridMultilevel"/>
    <w:tmpl w:val="76E6B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106DC2"/>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30E3541"/>
    <w:multiLevelType w:val="hybridMultilevel"/>
    <w:tmpl w:val="9A925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433EF3"/>
    <w:multiLevelType w:val="hybridMultilevel"/>
    <w:tmpl w:val="6130F0C0"/>
    <w:lvl w:ilvl="0" w:tplc="85E646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12113B"/>
    <w:multiLevelType w:val="hybridMultilevel"/>
    <w:tmpl w:val="4A3EC1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BAC669B"/>
    <w:multiLevelType w:val="multilevel"/>
    <w:tmpl w:val="1BB44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B8225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E780291"/>
    <w:multiLevelType w:val="hybridMultilevel"/>
    <w:tmpl w:val="5CEC445A"/>
    <w:lvl w:ilvl="0" w:tplc="88941F66">
      <w:start w:val="1"/>
      <w:numFmt w:val="bullet"/>
      <w:lvlText w:val=""/>
      <w:lvlJc w:val="left"/>
      <w:pPr>
        <w:tabs>
          <w:tab w:val="num" w:pos="720"/>
        </w:tabs>
        <w:ind w:left="720" w:hanging="360"/>
      </w:pPr>
      <w:rPr>
        <w:rFonts w:ascii="Wingdings" w:hAnsi="Wingdings" w:hint="default"/>
      </w:rPr>
    </w:lvl>
    <w:lvl w:ilvl="1" w:tplc="E138D00C" w:tentative="1">
      <w:start w:val="1"/>
      <w:numFmt w:val="bullet"/>
      <w:lvlText w:val=""/>
      <w:lvlJc w:val="left"/>
      <w:pPr>
        <w:tabs>
          <w:tab w:val="num" w:pos="1440"/>
        </w:tabs>
        <w:ind w:left="1440" w:hanging="360"/>
      </w:pPr>
      <w:rPr>
        <w:rFonts w:ascii="Wingdings" w:hAnsi="Wingdings" w:hint="default"/>
      </w:rPr>
    </w:lvl>
    <w:lvl w:ilvl="2" w:tplc="DCAC5BF6" w:tentative="1">
      <w:start w:val="1"/>
      <w:numFmt w:val="bullet"/>
      <w:lvlText w:val=""/>
      <w:lvlJc w:val="left"/>
      <w:pPr>
        <w:tabs>
          <w:tab w:val="num" w:pos="2160"/>
        </w:tabs>
        <w:ind w:left="2160" w:hanging="360"/>
      </w:pPr>
      <w:rPr>
        <w:rFonts w:ascii="Wingdings" w:hAnsi="Wingdings" w:hint="default"/>
      </w:rPr>
    </w:lvl>
    <w:lvl w:ilvl="3" w:tplc="721647FE" w:tentative="1">
      <w:start w:val="1"/>
      <w:numFmt w:val="bullet"/>
      <w:lvlText w:val=""/>
      <w:lvlJc w:val="left"/>
      <w:pPr>
        <w:tabs>
          <w:tab w:val="num" w:pos="2880"/>
        </w:tabs>
        <w:ind w:left="2880" w:hanging="360"/>
      </w:pPr>
      <w:rPr>
        <w:rFonts w:ascii="Wingdings" w:hAnsi="Wingdings" w:hint="default"/>
      </w:rPr>
    </w:lvl>
    <w:lvl w:ilvl="4" w:tplc="5882E338" w:tentative="1">
      <w:start w:val="1"/>
      <w:numFmt w:val="bullet"/>
      <w:lvlText w:val=""/>
      <w:lvlJc w:val="left"/>
      <w:pPr>
        <w:tabs>
          <w:tab w:val="num" w:pos="3600"/>
        </w:tabs>
        <w:ind w:left="3600" w:hanging="360"/>
      </w:pPr>
      <w:rPr>
        <w:rFonts w:ascii="Wingdings" w:hAnsi="Wingdings" w:hint="default"/>
      </w:rPr>
    </w:lvl>
    <w:lvl w:ilvl="5" w:tplc="A1246EDE" w:tentative="1">
      <w:start w:val="1"/>
      <w:numFmt w:val="bullet"/>
      <w:lvlText w:val=""/>
      <w:lvlJc w:val="left"/>
      <w:pPr>
        <w:tabs>
          <w:tab w:val="num" w:pos="4320"/>
        </w:tabs>
        <w:ind w:left="4320" w:hanging="360"/>
      </w:pPr>
      <w:rPr>
        <w:rFonts w:ascii="Wingdings" w:hAnsi="Wingdings" w:hint="default"/>
      </w:rPr>
    </w:lvl>
    <w:lvl w:ilvl="6" w:tplc="B82E5B4A" w:tentative="1">
      <w:start w:val="1"/>
      <w:numFmt w:val="bullet"/>
      <w:lvlText w:val=""/>
      <w:lvlJc w:val="left"/>
      <w:pPr>
        <w:tabs>
          <w:tab w:val="num" w:pos="5040"/>
        </w:tabs>
        <w:ind w:left="5040" w:hanging="360"/>
      </w:pPr>
      <w:rPr>
        <w:rFonts w:ascii="Wingdings" w:hAnsi="Wingdings" w:hint="default"/>
      </w:rPr>
    </w:lvl>
    <w:lvl w:ilvl="7" w:tplc="B1520330" w:tentative="1">
      <w:start w:val="1"/>
      <w:numFmt w:val="bullet"/>
      <w:lvlText w:val=""/>
      <w:lvlJc w:val="left"/>
      <w:pPr>
        <w:tabs>
          <w:tab w:val="num" w:pos="5760"/>
        </w:tabs>
        <w:ind w:left="5760" w:hanging="360"/>
      </w:pPr>
      <w:rPr>
        <w:rFonts w:ascii="Wingdings" w:hAnsi="Wingdings" w:hint="default"/>
      </w:rPr>
    </w:lvl>
    <w:lvl w:ilvl="8" w:tplc="B5BC7FB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F930ACB"/>
    <w:multiLevelType w:val="hybridMultilevel"/>
    <w:tmpl w:val="6DD62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2"/>
  </w:num>
  <w:num w:numId="4">
    <w:abstractNumId w:val="5"/>
  </w:num>
  <w:num w:numId="5">
    <w:abstractNumId w:val="8"/>
  </w:num>
  <w:num w:numId="6">
    <w:abstractNumId w:val="3"/>
  </w:num>
  <w:num w:numId="7">
    <w:abstractNumId w:val="9"/>
  </w:num>
  <w:num w:numId="8">
    <w:abstractNumId w:val="6"/>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601"/>
    <w:rsid w:val="00001744"/>
    <w:rsid w:val="0000437E"/>
    <w:rsid w:val="00007D49"/>
    <w:rsid w:val="00011AB0"/>
    <w:rsid w:val="00011B21"/>
    <w:rsid w:val="00013941"/>
    <w:rsid w:val="00014479"/>
    <w:rsid w:val="00014682"/>
    <w:rsid w:val="00015452"/>
    <w:rsid w:val="00016D7A"/>
    <w:rsid w:val="00017B9A"/>
    <w:rsid w:val="0002276C"/>
    <w:rsid w:val="00022786"/>
    <w:rsid w:val="00027CA5"/>
    <w:rsid w:val="00033B62"/>
    <w:rsid w:val="00035598"/>
    <w:rsid w:val="000403F5"/>
    <w:rsid w:val="0004059F"/>
    <w:rsid w:val="00041B87"/>
    <w:rsid w:val="00044D8C"/>
    <w:rsid w:val="00047141"/>
    <w:rsid w:val="0005309D"/>
    <w:rsid w:val="000535CB"/>
    <w:rsid w:val="00060216"/>
    <w:rsid w:val="00060406"/>
    <w:rsid w:val="000606FB"/>
    <w:rsid w:val="00062A41"/>
    <w:rsid w:val="00064FDF"/>
    <w:rsid w:val="00065115"/>
    <w:rsid w:val="00065CD7"/>
    <w:rsid w:val="00066ED7"/>
    <w:rsid w:val="00074834"/>
    <w:rsid w:val="00075DEE"/>
    <w:rsid w:val="000829CC"/>
    <w:rsid w:val="00083EAE"/>
    <w:rsid w:val="00084189"/>
    <w:rsid w:val="00084A3A"/>
    <w:rsid w:val="00084EF2"/>
    <w:rsid w:val="00085012"/>
    <w:rsid w:val="00090164"/>
    <w:rsid w:val="0009089A"/>
    <w:rsid w:val="00090D80"/>
    <w:rsid w:val="00094365"/>
    <w:rsid w:val="00095E14"/>
    <w:rsid w:val="000977A4"/>
    <w:rsid w:val="00097DC7"/>
    <w:rsid w:val="000A03DB"/>
    <w:rsid w:val="000A36F4"/>
    <w:rsid w:val="000A4148"/>
    <w:rsid w:val="000A43D9"/>
    <w:rsid w:val="000A5320"/>
    <w:rsid w:val="000A5C86"/>
    <w:rsid w:val="000A62E9"/>
    <w:rsid w:val="000A6DC1"/>
    <w:rsid w:val="000B0A31"/>
    <w:rsid w:val="000B0CBF"/>
    <w:rsid w:val="000B29AE"/>
    <w:rsid w:val="000B4B46"/>
    <w:rsid w:val="000B77AA"/>
    <w:rsid w:val="000C6570"/>
    <w:rsid w:val="000D0405"/>
    <w:rsid w:val="000D2AD7"/>
    <w:rsid w:val="000D3253"/>
    <w:rsid w:val="000D38C3"/>
    <w:rsid w:val="000D407F"/>
    <w:rsid w:val="000E63B9"/>
    <w:rsid w:val="000F2887"/>
    <w:rsid w:val="000F6670"/>
    <w:rsid w:val="0010501F"/>
    <w:rsid w:val="00107958"/>
    <w:rsid w:val="00110E90"/>
    <w:rsid w:val="00112F3E"/>
    <w:rsid w:val="00114865"/>
    <w:rsid w:val="001162C5"/>
    <w:rsid w:val="0012077F"/>
    <w:rsid w:val="0012081F"/>
    <w:rsid w:val="00123C2A"/>
    <w:rsid w:val="00125EFA"/>
    <w:rsid w:val="00126674"/>
    <w:rsid w:val="00127F9F"/>
    <w:rsid w:val="001304CB"/>
    <w:rsid w:val="001325CD"/>
    <w:rsid w:val="00133618"/>
    <w:rsid w:val="00143F43"/>
    <w:rsid w:val="001443CE"/>
    <w:rsid w:val="001454C6"/>
    <w:rsid w:val="00146071"/>
    <w:rsid w:val="00146E31"/>
    <w:rsid w:val="00160171"/>
    <w:rsid w:val="00161725"/>
    <w:rsid w:val="0016505A"/>
    <w:rsid w:val="00167075"/>
    <w:rsid w:val="00167D16"/>
    <w:rsid w:val="00167DD4"/>
    <w:rsid w:val="00172501"/>
    <w:rsid w:val="0017485C"/>
    <w:rsid w:val="00175F27"/>
    <w:rsid w:val="00177A26"/>
    <w:rsid w:val="00182A45"/>
    <w:rsid w:val="001859E7"/>
    <w:rsid w:val="00186326"/>
    <w:rsid w:val="001922B3"/>
    <w:rsid w:val="00193923"/>
    <w:rsid w:val="001A0142"/>
    <w:rsid w:val="001A299D"/>
    <w:rsid w:val="001A2C29"/>
    <w:rsid w:val="001A4D7D"/>
    <w:rsid w:val="001A5F9A"/>
    <w:rsid w:val="001A7DC1"/>
    <w:rsid w:val="001B6E18"/>
    <w:rsid w:val="001C49FB"/>
    <w:rsid w:val="001C506D"/>
    <w:rsid w:val="001D060B"/>
    <w:rsid w:val="001D2494"/>
    <w:rsid w:val="001D3BAB"/>
    <w:rsid w:val="001D446A"/>
    <w:rsid w:val="001D4ACF"/>
    <w:rsid w:val="001D53F7"/>
    <w:rsid w:val="001F0AC0"/>
    <w:rsid w:val="001F190A"/>
    <w:rsid w:val="001F218C"/>
    <w:rsid w:val="001F40B0"/>
    <w:rsid w:val="001F4BB6"/>
    <w:rsid w:val="001F6CDE"/>
    <w:rsid w:val="00200854"/>
    <w:rsid w:val="00204073"/>
    <w:rsid w:val="00207357"/>
    <w:rsid w:val="002160F8"/>
    <w:rsid w:val="00216515"/>
    <w:rsid w:val="00220747"/>
    <w:rsid w:val="0022554C"/>
    <w:rsid w:val="002262B4"/>
    <w:rsid w:val="00227123"/>
    <w:rsid w:val="00231520"/>
    <w:rsid w:val="00233FF5"/>
    <w:rsid w:val="002340CA"/>
    <w:rsid w:val="002348DD"/>
    <w:rsid w:val="00234E66"/>
    <w:rsid w:val="002403D0"/>
    <w:rsid w:val="00240C3D"/>
    <w:rsid w:val="0024528A"/>
    <w:rsid w:val="00245B4A"/>
    <w:rsid w:val="002474E0"/>
    <w:rsid w:val="00247BD9"/>
    <w:rsid w:val="00252AF4"/>
    <w:rsid w:val="002530DD"/>
    <w:rsid w:val="00253B17"/>
    <w:rsid w:val="00256CC5"/>
    <w:rsid w:val="00257A16"/>
    <w:rsid w:val="00274F48"/>
    <w:rsid w:val="00275892"/>
    <w:rsid w:val="00275B27"/>
    <w:rsid w:val="002766D0"/>
    <w:rsid w:val="00276AEC"/>
    <w:rsid w:val="00276F11"/>
    <w:rsid w:val="00277547"/>
    <w:rsid w:val="002776E6"/>
    <w:rsid w:val="00280704"/>
    <w:rsid w:val="0028599C"/>
    <w:rsid w:val="0028789A"/>
    <w:rsid w:val="00291469"/>
    <w:rsid w:val="002920CB"/>
    <w:rsid w:val="00295EB8"/>
    <w:rsid w:val="002A0F71"/>
    <w:rsid w:val="002A1FAD"/>
    <w:rsid w:val="002A539E"/>
    <w:rsid w:val="002B1D00"/>
    <w:rsid w:val="002B59EF"/>
    <w:rsid w:val="002C0C17"/>
    <w:rsid w:val="002C4D49"/>
    <w:rsid w:val="002C52F0"/>
    <w:rsid w:val="002C5A12"/>
    <w:rsid w:val="002C5C89"/>
    <w:rsid w:val="002D1FF6"/>
    <w:rsid w:val="002D2EF2"/>
    <w:rsid w:val="002D35DD"/>
    <w:rsid w:val="002D51ED"/>
    <w:rsid w:val="002D6991"/>
    <w:rsid w:val="002E15BF"/>
    <w:rsid w:val="002E2CB1"/>
    <w:rsid w:val="002F6644"/>
    <w:rsid w:val="003017DA"/>
    <w:rsid w:val="00302243"/>
    <w:rsid w:val="00302621"/>
    <w:rsid w:val="003108F2"/>
    <w:rsid w:val="00310E14"/>
    <w:rsid w:val="00311F41"/>
    <w:rsid w:val="00314575"/>
    <w:rsid w:val="0031636E"/>
    <w:rsid w:val="00316BD6"/>
    <w:rsid w:val="0031726C"/>
    <w:rsid w:val="00334254"/>
    <w:rsid w:val="003348C4"/>
    <w:rsid w:val="00336798"/>
    <w:rsid w:val="00337A63"/>
    <w:rsid w:val="003425E0"/>
    <w:rsid w:val="00345A59"/>
    <w:rsid w:val="003462BA"/>
    <w:rsid w:val="0034646B"/>
    <w:rsid w:val="00346EC3"/>
    <w:rsid w:val="0035052C"/>
    <w:rsid w:val="003527B1"/>
    <w:rsid w:val="00353029"/>
    <w:rsid w:val="00353D14"/>
    <w:rsid w:val="00354A8F"/>
    <w:rsid w:val="00356B67"/>
    <w:rsid w:val="0035781D"/>
    <w:rsid w:val="00357B02"/>
    <w:rsid w:val="00360F0D"/>
    <w:rsid w:val="00360F31"/>
    <w:rsid w:val="00361B66"/>
    <w:rsid w:val="00362A7D"/>
    <w:rsid w:val="00364612"/>
    <w:rsid w:val="00364956"/>
    <w:rsid w:val="0037115E"/>
    <w:rsid w:val="00372FC9"/>
    <w:rsid w:val="00375EDD"/>
    <w:rsid w:val="00380F19"/>
    <w:rsid w:val="00381806"/>
    <w:rsid w:val="00385BDF"/>
    <w:rsid w:val="0038678D"/>
    <w:rsid w:val="0039032E"/>
    <w:rsid w:val="00392EB9"/>
    <w:rsid w:val="003941D5"/>
    <w:rsid w:val="003950B3"/>
    <w:rsid w:val="0039524C"/>
    <w:rsid w:val="00397456"/>
    <w:rsid w:val="003A1206"/>
    <w:rsid w:val="003A1D78"/>
    <w:rsid w:val="003A6685"/>
    <w:rsid w:val="003B0373"/>
    <w:rsid w:val="003B1285"/>
    <w:rsid w:val="003B2510"/>
    <w:rsid w:val="003B297E"/>
    <w:rsid w:val="003B306D"/>
    <w:rsid w:val="003C7EC1"/>
    <w:rsid w:val="003D257D"/>
    <w:rsid w:val="003D344C"/>
    <w:rsid w:val="003D44E7"/>
    <w:rsid w:val="003D53AB"/>
    <w:rsid w:val="003D53DF"/>
    <w:rsid w:val="003D6760"/>
    <w:rsid w:val="003D6880"/>
    <w:rsid w:val="003D7541"/>
    <w:rsid w:val="003E0D7C"/>
    <w:rsid w:val="003E10DD"/>
    <w:rsid w:val="003E27EC"/>
    <w:rsid w:val="003E284A"/>
    <w:rsid w:val="003E4602"/>
    <w:rsid w:val="003E5C97"/>
    <w:rsid w:val="003E7B7A"/>
    <w:rsid w:val="003F04E1"/>
    <w:rsid w:val="003F15C5"/>
    <w:rsid w:val="003F16D4"/>
    <w:rsid w:val="003F2C5F"/>
    <w:rsid w:val="003F4ED5"/>
    <w:rsid w:val="003F5826"/>
    <w:rsid w:val="003F5AF3"/>
    <w:rsid w:val="003F6616"/>
    <w:rsid w:val="00400526"/>
    <w:rsid w:val="004025AA"/>
    <w:rsid w:val="0041279C"/>
    <w:rsid w:val="00415C54"/>
    <w:rsid w:val="00420CBC"/>
    <w:rsid w:val="0042638A"/>
    <w:rsid w:val="004330CF"/>
    <w:rsid w:val="004338A2"/>
    <w:rsid w:val="00434C46"/>
    <w:rsid w:val="00434D37"/>
    <w:rsid w:val="00435F1B"/>
    <w:rsid w:val="00442FFD"/>
    <w:rsid w:val="00444CF2"/>
    <w:rsid w:val="004471D5"/>
    <w:rsid w:val="00453648"/>
    <w:rsid w:val="004538AA"/>
    <w:rsid w:val="00456E97"/>
    <w:rsid w:val="00457D6C"/>
    <w:rsid w:val="0046358C"/>
    <w:rsid w:val="0046652B"/>
    <w:rsid w:val="00466C8B"/>
    <w:rsid w:val="00467662"/>
    <w:rsid w:val="0047067E"/>
    <w:rsid w:val="00470C03"/>
    <w:rsid w:val="00473FAB"/>
    <w:rsid w:val="004751FB"/>
    <w:rsid w:val="004766E2"/>
    <w:rsid w:val="00477E5D"/>
    <w:rsid w:val="00480BEC"/>
    <w:rsid w:val="00481401"/>
    <w:rsid w:val="00482D8D"/>
    <w:rsid w:val="00482FA5"/>
    <w:rsid w:val="004845CB"/>
    <w:rsid w:val="00484F27"/>
    <w:rsid w:val="00487B4A"/>
    <w:rsid w:val="004925F3"/>
    <w:rsid w:val="00492FC7"/>
    <w:rsid w:val="0049623D"/>
    <w:rsid w:val="004965B0"/>
    <w:rsid w:val="004A2329"/>
    <w:rsid w:val="004A4CC0"/>
    <w:rsid w:val="004A7795"/>
    <w:rsid w:val="004B264D"/>
    <w:rsid w:val="004B2936"/>
    <w:rsid w:val="004B533A"/>
    <w:rsid w:val="004B5501"/>
    <w:rsid w:val="004B5B7C"/>
    <w:rsid w:val="004B61EA"/>
    <w:rsid w:val="004B7F30"/>
    <w:rsid w:val="004C18B4"/>
    <w:rsid w:val="004C1959"/>
    <w:rsid w:val="004C1C8F"/>
    <w:rsid w:val="004C1CEA"/>
    <w:rsid w:val="004C3021"/>
    <w:rsid w:val="004C3091"/>
    <w:rsid w:val="004C4A91"/>
    <w:rsid w:val="004D5991"/>
    <w:rsid w:val="004D7C72"/>
    <w:rsid w:val="004E077D"/>
    <w:rsid w:val="004E181A"/>
    <w:rsid w:val="004E5479"/>
    <w:rsid w:val="004E64B3"/>
    <w:rsid w:val="004F0346"/>
    <w:rsid w:val="004F5709"/>
    <w:rsid w:val="00501ED4"/>
    <w:rsid w:val="005034B6"/>
    <w:rsid w:val="00512DB4"/>
    <w:rsid w:val="00513A03"/>
    <w:rsid w:val="00525C8B"/>
    <w:rsid w:val="005300CC"/>
    <w:rsid w:val="005305A3"/>
    <w:rsid w:val="00530910"/>
    <w:rsid w:val="00530C69"/>
    <w:rsid w:val="00531F4E"/>
    <w:rsid w:val="005417C0"/>
    <w:rsid w:val="005423CD"/>
    <w:rsid w:val="0054571E"/>
    <w:rsid w:val="00547126"/>
    <w:rsid w:val="00547B65"/>
    <w:rsid w:val="00552E61"/>
    <w:rsid w:val="00554490"/>
    <w:rsid w:val="005615F3"/>
    <w:rsid w:val="00561DCD"/>
    <w:rsid w:val="005624D5"/>
    <w:rsid w:val="005632FF"/>
    <w:rsid w:val="005633CF"/>
    <w:rsid w:val="00564055"/>
    <w:rsid w:val="005646C7"/>
    <w:rsid w:val="00564C9B"/>
    <w:rsid w:val="005660D6"/>
    <w:rsid w:val="00566EC8"/>
    <w:rsid w:val="005704DE"/>
    <w:rsid w:val="00570F91"/>
    <w:rsid w:val="005710C3"/>
    <w:rsid w:val="005724A0"/>
    <w:rsid w:val="00572850"/>
    <w:rsid w:val="00573E3C"/>
    <w:rsid w:val="005742A1"/>
    <w:rsid w:val="0057446A"/>
    <w:rsid w:val="005750C4"/>
    <w:rsid w:val="00575FF2"/>
    <w:rsid w:val="00580D20"/>
    <w:rsid w:val="00581887"/>
    <w:rsid w:val="00584C38"/>
    <w:rsid w:val="0058673A"/>
    <w:rsid w:val="00591748"/>
    <w:rsid w:val="005923DC"/>
    <w:rsid w:val="005927CE"/>
    <w:rsid w:val="00593610"/>
    <w:rsid w:val="00595384"/>
    <w:rsid w:val="005A4671"/>
    <w:rsid w:val="005A4921"/>
    <w:rsid w:val="005A4F1B"/>
    <w:rsid w:val="005A699E"/>
    <w:rsid w:val="005A70D8"/>
    <w:rsid w:val="005A78C6"/>
    <w:rsid w:val="005B1EE4"/>
    <w:rsid w:val="005B400D"/>
    <w:rsid w:val="005C1F4E"/>
    <w:rsid w:val="005C242E"/>
    <w:rsid w:val="005C46E6"/>
    <w:rsid w:val="005C7173"/>
    <w:rsid w:val="005C795B"/>
    <w:rsid w:val="005D41B7"/>
    <w:rsid w:val="005D44F6"/>
    <w:rsid w:val="005D4E08"/>
    <w:rsid w:val="005D6688"/>
    <w:rsid w:val="005D6B33"/>
    <w:rsid w:val="005D6EC1"/>
    <w:rsid w:val="005D7432"/>
    <w:rsid w:val="005E1BB7"/>
    <w:rsid w:val="005E3014"/>
    <w:rsid w:val="005E3BF6"/>
    <w:rsid w:val="005F2DE0"/>
    <w:rsid w:val="005F3B00"/>
    <w:rsid w:val="005F6078"/>
    <w:rsid w:val="0060121A"/>
    <w:rsid w:val="0060465D"/>
    <w:rsid w:val="00610E27"/>
    <w:rsid w:val="00611839"/>
    <w:rsid w:val="006238F1"/>
    <w:rsid w:val="00623F40"/>
    <w:rsid w:val="00626050"/>
    <w:rsid w:val="00634703"/>
    <w:rsid w:val="006376B1"/>
    <w:rsid w:val="00640FF3"/>
    <w:rsid w:val="006410EB"/>
    <w:rsid w:val="00643F9C"/>
    <w:rsid w:val="00645648"/>
    <w:rsid w:val="00646547"/>
    <w:rsid w:val="006470E0"/>
    <w:rsid w:val="00652692"/>
    <w:rsid w:val="00653623"/>
    <w:rsid w:val="00654309"/>
    <w:rsid w:val="006654E2"/>
    <w:rsid w:val="006677A0"/>
    <w:rsid w:val="00671EC5"/>
    <w:rsid w:val="00675A7C"/>
    <w:rsid w:val="006764C4"/>
    <w:rsid w:val="00676D1A"/>
    <w:rsid w:val="006821C3"/>
    <w:rsid w:val="00682D92"/>
    <w:rsid w:val="00694586"/>
    <w:rsid w:val="00694BD7"/>
    <w:rsid w:val="00694D51"/>
    <w:rsid w:val="0069606B"/>
    <w:rsid w:val="00696450"/>
    <w:rsid w:val="00696EEE"/>
    <w:rsid w:val="006A630B"/>
    <w:rsid w:val="006B368D"/>
    <w:rsid w:val="006B7BD6"/>
    <w:rsid w:val="006C6143"/>
    <w:rsid w:val="006C664C"/>
    <w:rsid w:val="006C7D12"/>
    <w:rsid w:val="006D199B"/>
    <w:rsid w:val="006D696D"/>
    <w:rsid w:val="006E1A62"/>
    <w:rsid w:val="006E2F8F"/>
    <w:rsid w:val="006E546B"/>
    <w:rsid w:val="006E770B"/>
    <w:rsid w:val="006F3201"/>
    <w:rsid w:val="006F361F"/>
    <w:rsid w:val="006F3B5D"/>
    <w:rsid w:val="006F3BA1"/>
    <w:rsid w:val="006F4696"/>
    <w:rsid w:val="00700FFA"/>
    <w:rsid w:val="00703ABF"/>
    <w:rsid w:val="007142C0"/>
    <w:rsid w:val="0072074A"/>
    <w:rsid w:val="00725416"/>
    <w:rsid w:val="007257B4"/>
    <w:rsid w:val="00725B78"/>
    <w:rsid w:val="00727823"/>
    <w:rsid w:val="0073111C"/>
    <w:rsid w:val="00732D5E"/>
    <w:rsid w:val="007340A3"/>
    <w:rsid w:val="00740E26"/>
    <w:rsid w:val="007418EC"/>
    <w:rsid w:val="00745D71"/>
    <w:rsid w:val="00746F0E"/>
    <w:rsid w:val="00747191"/>
    <w:rsid w:val="00747999"/>
    <w:rsid w:val="00753AA6"/>
    <w:rsid w:val="007564E1"/>
    <w:rsid w:val="00756E03"/>
    <w:rsid w:val="00764B68"/>
    <w:rsid w:val="00765C8E"/>
    <w:rsid w:val="007678A4"/>
    <w:rsid w:val="00770CE9"/>
    <w:rsid w:val="007770E7"/>
    <w:rsid w:val="00784EBE"/>
    <w:rsid w:val="00786C64"/>
    <w:rsid w:val="007874FC"/>
    <w:rsid w:val="00787E23"/>
    <w:rsid w:val="007901E1"/>
    <w:rsid w:val="007962D6"/>
    <w:rsid w:val="007A1310"/>
    <w:rsid w:val="007A1322"/>
    <w:rsid w:val="007A5004"/>
    <w:rsid w:val="007A5634"/>
    <w:rsid w:val="007A6726"/>
    <w:rsid w:val="007A710F"/>
    <w:rsid w:val="007B2DF6"/>
    <w:rsid w:val="007B3169"/>
    <w:rsid w:val="007B31DD"/>
    <w:rsid w:val="007B4A89"/>
    <w:rsid w:val="007B5B9C"/>
    <w:rsid w:val="007D20AE"/>
    <w:rsid w:val="007D21DD"/>
    <w:rsid w:val="007D3D9D"/>
    <w:rsid w:val="007D789F"/>
    <w:rsid w:val="007D7BF6"/>
    <w:rsid w:val="007E033C"/>
    <w:rsid w:val="007E2895"/>
    <w:rsid w:val="007E2DA0"/>
    <w:rsid w:val="007E5F4C"/>
    <w:rsid w:val="007E6570"/>
    <w:rsid w:val="007F2436"/>
    <w:rsid w:val="007F4D52"/>
    <w:rsid w:val="0080207F"/>
    <w:rsid w:val="008022B1"/>
    <w:rsid w:val="00806874"/>
    <w:rsid w:val="008073E7"/>
    <w:rsid w:val="00811012"/>
    <w:rsid w:val="008140B3"/>
    <w:rsid w:val="00814917"/>
    <w:rsid w:val="00820BD6"/>
    <w:rsid w:val="0082367E"/>
    <w:rsid w:val="0082480C"/>
    <w:rsid w:val="008251DA"/>
    <w:rsid w:val="008268AC"/>
    <w:rsid w:val="008305D6"/>
    <w:rsid w:val="0083203E"/>
    <w:rsid w:val="008322B0"/>
    <w:rsid w:val="00834094"/>
    <w:rsid w:val="00835401"/>
    <w:rsid w:val="00842253"/>
    <w:rsid w:val="00842E4D"/>
    <w:rsid w:val="00847684"/>
    <w:rsid w:val="008478EF"/>
    <w:rsid w:val="008479E4"/>
    <w:rsid w:val="008543AA"/>
    <w:rsid w:val="00856727"/>
    <w:rsid w:val="00856FC8"/>
    <w:rsid w:val="00861C56"/>
    <w:rsid w:val="0086236D"/>
    <w:rsid w:val="008634DD"/>
    <w:rsid w:val="00864791"/>
    <w:rsid w:val="00866E18"/>
    <w:rsid w:val="0087036A"/>
    <w:rsid w:val="00881D3B"/>
    <w:rsid w:val="00883094"/>
    <w:rsid w:val="00886C6E"/>
    <w:rsid w:val="00891A9E"/>
    <w:rsid w:val="00895A4C"/>
    <w:rsid w:val="008A112B"/>
    <w:rsid w:val="008A1BDF"/>
    <w:rsid w:val="008A2662"/>
    <w:rsid w:val="008A5757"/>
    <w:rsid w:val="008B154B"/>
    <w:rsid w:val="008B16AF"/>
    <w:rsid w:val="008C0B83"/>
    <w:rsid w:val="008C0E19"/>
    <w:rsid w:val="008C3200"/>
    <w:rsid w:val="008D0601"/>
    <w:rsid w:val="008D2CF5"/>
    <w:rsid w:val="008D2FE1"/>
    <w:rsid w:val="008D48DA"/>
    <w:rsid w:val="008D4AC5"/>
    <w:rsid w:val="008E43FF"/>
    <w:rsid w:val="008E7DD3"/>
    <w:rsid w:val="008F2731"/>
    <w:rsid w:val="008F2F3D"/>
    <w:rsid w:val="008F3131"/>
    <w:rsid w:val="008F34FB"/>
    <w:rsid w:val="008F3CB7"/>
    <w:rsid w:val="008F4A43"/>
    <w:rsid w:val="00904595"/>
    <w:rsid w:val="0090673D"/>
    <w:rsid w:val="0091070F"/>
    <w:rsid w:val="00911968"/>
    <w:rsid w:val="0091352E"/>
    <w:rsid w:val="00914CF2"/>
    <w:rsid w:val="00914E39"/>
    <w:rsid w:val="009164C1"/>
    <w:rsid w:val="00917077"/>
    <w:rsid w:val="00917471"/>
    <w:rsid w:val="009219BA"/>
    <w:rsid w:val="00924828"/>
    <w:rsid w:val="00932D0E"/>
    <w:rsid w:val="0093772D"/>
    <w:rsid w:val="00942A6E"/>
    <w:rsid w:val="00944314"/>
    <w:rsid w:val="00945D0A"/>
    <w:rsid w:val="00945D38"/>
    <w:rsid w:val="009526BE"/>
    <w:rsid w:val="00953996"/>
    <w:rsid w:val="00953FE2"/>
    <w:rsid w:val="009557F5"/>
    <w:rsid w:val="0095635A"/>
    <w:rsid w:val="00957F03"/>
    <w:rsid w:val="00960C3A"/>
    <w:rsid w:val="00960DBA"/>
    <w:rsid w:val="00961F12"/>
    <w:rsid w:val="00965897"/>
    <w:rsid w:val="0097023F"/>
    <w:rsid w:val="009728F5"/>
    <w:rsid w:val="00973B5B"/>
    <w:rsid w:val="00975898"/>
    <w:rsid w:val="00980ED7"/>
    <w:rsid w:val="009820EC"/>
    <w:rsid w:val="00984632"/>
    <w:rsid w:val="00985BDF"/>
    <w:rsid w:val="00990587"/>
    <w:rsid w:val="00990F49"/>
    <w:rsid w:val="009916DF"/>
    <w:rsid w:val="00994CD5"/>
    <w:rsid w:val="00995A97"/>
    <w:rsid w:val="0099662A"/>
    <w:rsid w:val="009A1DD7"/>
    <w:rsid w:val="009A7DE6"/>
    <w:rsid w:val="009B2B54"/>
    <w:rsid w:val="009B3BAD"/>
    <w:rsid w:val="009B433C"/>
    <w:rsid w:val="009B77C8"/>
    <w:rsid w:val="009B78E8"/>
    <w:rsid w:val="009C02D7"/>
    <w:rsid w:val="009D0FBD"/>
    <w:rsid w:val="009D41BE"/>
    <w:rsid w:val="009E65B5"/>
    <w:rsid w:val="009E6995"/>
    <w:rsid w:val="009E6B0D"/>
    <w:rsid w:val="009E6C7D"/>
    <w:rsid w:val="009E6CF2"/>
    <w:rsid w:val="009E7BD7"/>
    <w:rsid w:val="009F1260"/>
    <w:rsid w:val="009F3DFE"/>
    <w:rsid w:val="009F755A"/>
    <w:rsid w:val="00A00108"/>
    <w:rsid w:val="00A01373"/>
    <w:rsid w:val="00A03711"/>
    <w:rsid w:val="00A03F13"/>
    <w:rsid w:val="00A057ED"/>
    <w:rsid w:val="00A107A5"/>
    <w:rsid w:val="00A11031"/>
    <w:rsid w:val="00A13EA1"/>
    <w:rsid w:val="00A15AB3"/>
    <w:rsid w:val="00A15D92"/>
    <w:rsid w:val="00A17A7D"/>
    <w:rsid w:val="00A206FD"/>
    <w:rsid w:val="00A23E43"/>
    <w:rsid w:val="00A25884"/>
    <w:rsid w:val="00A26A2B"/>
    <w:rsid w:val="00A27631"/>
    <w:rsid w:val="00A27C06"/>
    <w:rsid w:val="00A303CA"/>
    <w:rsid w:val="00A31E52"/>
    <w:rsid w:val="00A40257"/>
    <w:rsid w:val="00A4107E"/>
    <w:rsid w:val="00A44033"/>
    <w:rsid w:val="00A47BB1"/>
    <w:rsid w:val="00A524CE"/>
    <w:rsid w:val="00A5442E"/>
    <w:rsid w:val="00A55FEE"/>
    <w:rsid w:val="00A60991"/>
    <w:rsid w:val="00A62B1A"/>
    <w:rsid w:val="00A63258"/>
    <w:rsid w:val="00A647F6"/>
    <w:rsid w:val="00A71B29"/>
    <w:rsid w:val="00A7381A"/>
    <w:rsid w:val="00A75DA0"/>
    <w:rsid w:val="00A76414"/>
    <w:rsid w:val="00A80910"/>
    <w:rsid w:val="00A82935"/>
    <w:rsid w:val="00A83A95"/>
    <w:rsid w:val="00A83B84"/>
    <w:rsid w:val="00A867F1"/>
    <w:rsid w:val="00A8772A"/>
    <w:rsid w:val="00A9293B"/>
    <w:rsid w:val="00A94F8D"/>
    <w:rsid w:val="00A95073"/>
    <w:rsid w:val="00AA0330"/>
    <w:rsid w:val="00AA0607"/>
    <w:rsid w:val="00AA0ADE"/>
    <w:rsid w:val="00AA2915"/>
    <w:rsid w:val="00AA6879"/>
    <w:rsid w:val="00AB31BF"/>
    <w:rsid w:val="00AB3E7C"/>
    <w:rsid w:val="00AB7DCD"/>
    <w:rsid w:val="00AC0573"/>
    <w:rsid w:val="00AC6202"/>
    <w:rsid w:val="00AD5581"/>
    <w:rsid w:val="00AD68C5"/>
    <w:rsid w:val="00AD7781"/>
    <w:rsid w:val="00AD7E8A"/>
    <w:rsid w:val="00AE3C67"/>
    <w:rsid w:val="00AE3E3F"/>
    <w:rsid w:val="00AE49F0"/>
    <w:rsid w:val="00AE4E64"/>
    <w:rsid w:val="00AE60FC"/>
    <w:rsid w:val="00AF0B20"/>
    <w:rsid w:val="00AF2B4E"/>
    <w:rsid w:val="00AF41C7"/>
    <w:rsid w:val="00AF4F50"/>
    <w:rsid w:val="00AF5AA5"/>
    <w:rsid w:val="00AF6418"/>
    <w:rsid w:val="00B01A43"/>
    <w:rsid w:val="00B023CC"/>
    <w:rsid w:val="00B0329C"/>
    <w:rsid w:val="00B05553"/>
    <w:rsid w:val="00B06D87"/>
    <w:rsid w:val="00B07069"/>
    <w:rsid w:val="00B11C2D"/>
    <w:rsid w:val="00B12DA5"/>
    <w:rsid w:val="00B16F8D"/>
    <w:rsid w:val="00B22F7B"/>
    <w:rsid w:val="00B2480B"/>
    <w:rsid w:val="00B24966"/>
    <w:rsid w:val="00B25778"/>
    <w:rsid w:val="00B25EEF"/>
    <w:rsid w:val="00B26A62"/>
    <w:rsid w:val="00B2762D"/>
    <w:rsid w:val="00B31BB1"/>
    <w:rsid w:val="00B36817"/>
    <w:rsid w:val="00B37248"/>
    <w:rsid w:val="00B40199"/>
    <w:rsid w:val="00B40977"/>
    <w:rsid w:val="00B41041"/>
    <w:rsid w:val="00B4516C"/>
    <w:rsid w:val="00B45AB8"/>
    <w:rsid w:val="00B46C51"/>
    <w:rsid w:val="00B5079F"/>
    <w:rsid w:val="00B55527"/>
    <w:rsid w:val="00B575AD"/>
    <w:rsid w:val="00B60355"/>
    <w:rsid w:val="00B6053D"/>
    <w:rsid w:val="00B60A1D"/>
    <w:rsid w:val="00B664B4"/>
    <w:rsid w:val="00B702D0"/>
    <w:rsid w:val="00B71A84"/>
    <w:rsid w:val="00B74E04"/>
    <w:rsid w:val="00B75BB3"/>
    <w:rsid w:val="00B76209"/>
    <w:rsid w:val="00B76874"/>
    <w:rsid w:val="00B81157"/>
    <w:rsid w:val="00B824CD"/>
    <w:rsid w:val="00B83407"/>
    <w:rsid w:val="00B86B2E"/>
    <w:rsid w:val="00B87048"/>
    <w:rsid w:val="00B8746B"/>
    <w:rsid w:val="00B92831"/>
    <w:rsid w:val="00B928AD"/>
    <w:rsid w:val="00BA1270"/>
    <w:rsid w:val="00BA3229"/>
    <w:rsid w:val="00BA64B2"/>
    <w:rsid w:val="00BB49C2"/>
    <w:rsid w:val="00BB4B96"/>
    <w:rsid w:val="00BB525A"/>
    <w:rsid w:val="00BB7AA9"/>
    <w:rsid w:val="00BC05FA"/>
    <w:rsid w:val="00BC142B"/>
    <w:rsid w:val="00BC3E39"/>
    <w:rsid w:val="00BC495B"/>
    <w:rsid w:val="00BC53C1"/>
    <w:rsid w:val="00BD42EF"/>
    <w:rsid w:val="00BE0B70"/>
    <w:rsid w:val="00BE2FC8"/>
    <w:rsid w:val="00BE4D60"/>
    <w:rsid w:val="00BE4DAA"/>
    <w:rsid w:val="00BE7BC2"/>
    <w:rsid w:val="00BF00E0"/>
    <w:rsid w:val="00BF0315"/>
    <w:rsid w:val="00BF104B"/>
    <w:rsid w:val="00BF1922"/>
    <w:rsid w:val="00BF3AEE"/>
    <w:rsid w:val="00BF3EEC"/>
    <w:rsid w:val="00BF4C8A"/>
    <w:rsid w:val="00BF6A15"/>
    <w:rsid w:val="00BF743E"/>
    <w:rsid w:val="00C02D67"/>
    <w:rsid w:val="00C05853"/>
    <w:rsid w:val="00C06AB0"/>
    <w:rsid w:val="00C10464"/>
    <w:rsid w:val="00C114A6"/>
    <w:rsid w:val="00C11759"/>
    <w:rsid w:val="00C12A65"/>
    <w:rsid w:val="00C14489"/>
    <w:rsid w:val="00C15093"/>
    <w:rsid w:val="00C22755"/>
    <w:rsid w:val="00C2447F"/>
    <w:rsid w:val="00C249D6"/>
    <w:rsid w:val="00C25087"/>
    <w:rsid w:val="00C32829"/>
    <w:rsid w:val="00C35336"/>
    <w:rsid w:val="00C367DA"/>
    <w:rsid w:val="00C432FE"/>
    <w:rsid w:val="00C464A8"/>
    <w:rsid w:val="00C46756"/>
    <w:rsid w:val="00C47291"/>
    <w:rsid w:val="00C47D06"/>
    <w:rsid w:val="00C51969"/>
    <w:rsid w:val="00C5211C"/>
    <w:rsid w:val="00C56984"/>
    <w:rsid w:val="00C62CDC"/>
    <w:rsid w:val="00C6414A"/>
    <w:rsid w:val="00C64EF6"/>
    <w:rsid w:val="00C6561D"/>
    <w:rsid w:val="00C67D20"/>
    <w:rsid w:val="00C7044B"/>
    <w:rsid w:val="00C71C45"/>
    <w:rsid w:val="00C72785"/>
    <w:rsid w:val="00C74056"/>
    <w:rsid w:val="00C81821"/>
    <w:rsid w:val="00C836A0"/>
    <w:rsid w:val="00C9268A"/>
    <w:rsid w:val="00C92B02"/>
    <w:rsid w:val="00C92FF2"/>
    <w:rsid w:val="00C96871"/>
    <w:rsid w:val="00C971E0"/>
    <w:rsid w:val="00C977D8"/>
    <w:rsid w:val="00C97D47"/>
    <w:rsid w:val="00C97FB4"/>
    <w:rsid w:val="00CA0312"/>
    <w:rsid w:val="00CA051E"/>
    <w:rsid w:val="00CA0C8A"/>
    <w:rsid w:val="00CA6FB4"/>
    <w:rsid w:val="00CB71E7"/>
    <w:rsid w:val="00CC25CA"/>
    <w:rsid w:val="00CC76D7"/>
    <w:rsid w:val="00CC772B"/>
    <w:rsid w:val="00CD1F5C"/>
    <w:rsid w:val="00CD425D"/>
    <w:rsid w:val="00CD5A9E"/>
    <w:rsid w:val="00CD6036"/>
    <w:rsid w:val="00CD6C79"/>
    <w:rsid w:val="00CD76C6"/>
    <w:rsid w:val="00CE218A"/>
    <w:rsid w:val="00CE7530"/>
    <w:rsid w:val="00CF0A32"/>
    <w:rsid w:val="00CF1CD5"/>
    <w:rsid w:val="00CF4752"/>
    <w:rsid w:val="00CF6D51"/>
    <w:rsid w:val="00D057DD"/>
    <w:rsid w:val="00D06B89"/>
    <w:rsid w:val="00D11C26"/>
    <w:rsid w:val="00D1219C"/>
    <w:rsid w:val="00D15F66"/>
    <w:rsid w:val="00D1632C"/>
    <w:rsid w:val="00D16FCB"/>
    <w:rsid w:val="00D20123"/>
    <w:rsid w:val="00D2084F"/>
    <w:rsid w:val="00D21676"/>
    <w:rsid w:val="00D23846"/>
    <w:rsid w:val="00D26333"/>
    <w:rsid w:val="00D27398"/>
    <w:rsid w:val="00D27E7D"/>
    <w:rsid w:val="00D30A51"/>
    <w:rsid w:val="00D322FB"/>
    <w:rsid w:val="00D333FE"/>
    <w:rsid w:val="00D367CE"/>
    <w:rsid w:val="00D4116C"/>
    <w:rsid w:val="00D41388"/>
    <w:rsid w:val="00D4565C"/>
    <w:rsid w:val="00D5356B"/>
    <w:rsid w:val="00D541D2"/>
    <w:rsid w:val="00D548EB"/>
    <w:rsid w:val="00D57001"/>
    <w:rsid w:val="00D642E5"/>
    <w:rsid w:val="00D64323"/>
    <w:rsid w:val="00D72E19"/>
    <w:rsid w:val="00D754AB"/>
    <w:rsid w:val="00D76CCC"/>
    <w:rsid w:val="00D82F5E"/>
    <w:rsid w:val="00D91A9C"/>
    <w:rsid w:val="00D93DC7"/>
    <w:rsid w:val="00D948AC"/>
    <w:rsid w:val="00D96B48"/>
    <w:rsid w:val="00DA28D9"/>
    <w:rsid w:val="00DA2A8B"/>
    <w:rsid w:val="00DA5F37"/>
    <w:rsid w:val="00DA7D8C"/>
    <w:rsid w:val="00DB03EC"/>
    <w:rsid w:val="00DB110B"/>
    <w:rsid w:val="00DB1908"/>
    <w:rsid w:val="00DB398B"/>
    <w:rsid w:val="00DB4B12"/>
    <w:rsid w:val="00DB6390"/>
    <w:rsid w:val="00DB7A0D"/>
    <w:rsid w:val="00DC49E8"/>
    <w:rsid w:val="00DC52CE"/>
    <w:rsid w:val="00DD270C"/>
    <w:rsid w:val="00DD33DB"/>
    <w:rsid w:val="00DD7056"/>
    <w:rsid w:val="00DE0DA8"/>
    <w:rsid w:val="00DE2B6B"/>
    <w:rsid w:val="00DE7E70"/>
    <w:rsid w:val="00DF435C"/>
    <w:rsid w:val="00DF5DB1"/>
    <w:rsid w:val="00E05A1E"/>
    <w:rsid w:val="00E10780"/>
    <w:rsid w:val="00E10AB4"/>
    <w:rsid w:val="00E17805"/>
    <w:rsid w:val="00E17D0B"/>
    <w:rsid w:val="00E17DEA"/>
    <w:rsid w:val="00E20AE7"/>
    <w:rsid w:val="00E213A3"/>
    <w:rsid w:val="00E23566"/>
    <w:rsid w:val="00E24D4B"/>
    <w:rsid w:val="00E25DDB"/>
    <w:rsid w:val="00E2757C"/>
    <w:rsid w:val="00E3161D"/>
    <w:rsid w:val="00E32793"/>
    <w:rsid w:val="00E34F8C"/>
    <w:rsid w:val="00E369B8"/>
    <w:rsid w:val="00E36F15"/>
    <w:rsid w:val="00E37D40"/>
    <w:rsid w:val="00E457AD"/>
    <w:rsid w:val="00E46295"/>
    <w:rsid w:val="00E463D8"/>
    <w:rsid w:val="00E46745"/>
    <w:rsid w:val="00E50AA4"/>
    <w:rsid w:val="00E50B9D"/>
    <w:rsid w:val="00E53CD1"/>
    <w:rsid w:val="00E56F6F"/>
    <w:rsid w:val="00E659A6"/>
    <w:rsid w:val="00E70321"/>
    <w:rsid w:val="00E70516"/>
    <w:rsid w:val="00E708E3"/>
    <w:rsid w:val="00E712C8"/>
    <w:rsid w:val="00E71DA9"/>
    <w:rsid w:val="00E76DA3"/>
    <w:rsid w:val="00E81320"/>
    <w:rsid w:val="00E8179D"/>
    <w:rsid w:val="00E81F1D"/>
    <w:rsid w:val="00E828DF"/>
    <w:rsid w:val="00E84D7D"/>
    <w:rsid w:val="00E857E5"/>
    <w:rsid w:val="00E86A46"/>
    <w:rsid w:val="00E94AC5"/>
    <w:rsid w:val="00E968AB"/>
    <w:rsid w:val="00EA492B"/>
    <w:rsid w:val="00EA5D5F"/>
    <w:rsid w:val="00EB025F"/>
    <w:rsid w:val="00EB16DB"/>
    <w:rsid w:val="00EB38DA"/>
    <w:rsid w:val="00EB4BE4"/>
    <w:rsid w:val="00EC1412"/>
    <w:rsid w:val="00EC4BCE"/>
    <w:rsid w:val="00EC5D50"/>
    <w:rsid w:val="00ED130C"/>
    <w:rsid w:val="00ED26D1"/>
    <w:rsid w:val="00ED30F4"/>
    <w:rsid w:val="00ED4A1A"/>
    <w:rsid w:val="00ED6116"/>
    <w:rsid w:val="00ED708B"/>
    <w:rsid w:val="00EE0471"/>
    <w:rsid w:val="00EE3D51"/>
    <w:rsid w:val="00EE5013"/>
    <w:rsid w:val="00EE5FF0"/>
    <w:rsid w:val="00EE64A9"/>
    <w:rsid w:val="00EE685B"/>
    <w:rsid w:val="00EF01BD"/>
    <w:rsid w:val="00EF1008"/>
    <w:rsid w:val="00EF6965"/>
    <w:rsid w:val="00F0265D"/>
    <w:rsid w:val="00F06919"/>
    <w:rsid w:val="00F11F72"/>
    <w:rsid w:val="00F12A14"/>
    <w:rsid w:val="00F212F7"/>
    <w:rsid w:val="00F244C3"/>
    <w:rsid w:val="00F27A6C"/>
    <w:rsid w:val="00F31BE1"/>
    <w:rsid w:val="00F31CAF"/>
    <w:rsid w:val="00F32D29"/>
    <w:rsid w:val="00F37D72"/>
    <w:rsid w:val="00F503FF"/>
    <w:rsid w:val="00F5054B"/>
    <w:rsid w:val="00F50EAE"/>
    <w:rsid w:val="00F53EDA"/>
    <w:rsid w:val="00F54B23"/>
    <w:rsid w:val="00F57E6B"/>
    <w:rsid w:val="00F6088E"/>
    <w:rsid w:val="00F6145D"/>
    <w:rsid w:val="00F6250B"/>
    <w:rsid w:val="00F651A3"/>
    <w:rsid w:val="00F66340"/>
    <w:rsid w:val="00F712BB"/>
    <w:rsid w:val="00F71ECD"/>
    <w:rsid w:val="00F807EB"/>
    <w:rsid w:val="00F834A9"/>
    <w:rsid w:val="00F85893"/>
    <w:rsid w:val="00F86D3D"/>
    <w:rsid w:val="00F9022C"/>
    <w:rsid w:val="00F91A2C"/>
    <w:rsid w:val="00F929B7"/>
    <w:rsid w:val="00F9495A"/>
    <w:rsid w:val="00FA0E9C"/>
    <w:rsid w:val="00FA288E"/>
    <w:rsid w:val="00FA5E15"/>
    <w:rsid w:val="00FB23AD"/>
    <w:rsid w:val="00FB3C1D"/>
    <w:rsid w:val="00FB3E6C"/>
    <w:rsid w:val="00FB5BA7"/>
    <w:rsid w:val="00FB6869"/>
    <w:rsid w:val="00FB7851"/>
    <w:rsid w:val="00FB7FA1"/>
    <w:rsid w:val="00FC0BE5"/>
    <w:rsid w:val="00FC18F5"/>
    <w:rsid w:val="00FC5BED"/>
    <w:rsid w:val="00FD2E1D"/>
    <w:rsid w:val="00FD467D"/>
    <w:rsid w:val="00FD6B01"/>
    <w:rsid w:val="00FE01C7"/>
    <w:rsid w:val="00FE0321"/>
    <w:rsid w:val="00FE0596"/>
    <w:rsid w:val="00FE1575"/>
    <w:rsid w:val="00FE33B1"/>
    <w:rsid w:val="00FE62E3"/>
    <w:rsid w:val="00FF1EFA"/>
    <w:rsid w:val="00FF6B5D"/>
    <w:rsid w:val="20CC79F5"/>
    <w:rsid w:val="429220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8D8238"/>
  <w15:docId w15:val="{BCF1E1DF-2C34-8540-B8E1-045E30120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E66"/>
  </w:style>
  <w:style w:type="paragraph" w:styleId="Heading1">
    <w:name w:val="heading 1"/>
    <w:basedOn w:val="Normal"/>
    <w:next w:val="Normal"/>
    <w:link w:val="Heading1Char"/>
    <w:uiPriority w:val="9"/>
    <w:qFormat/>
    <w:rsid w:val="00234E66"/>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34E6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234E66"/>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34E66"/>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34E66"/>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34E6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34E66"/>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234E66"/>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34E6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828"/>
    <w:pPr>
      <w:ind w:left="720"/>
      <w:contextualSpacing/>
    </w:pPr>
  </w:style>
  <w:style w:type="character" w:styleId="CommentReference">
    <w:name w:val="annotation reference"/>
    <w:basedOn w:val="DefaultParagraphFont"/>
    <w:uiPriority w:val="99"/>
    <w:semiHidden/>
    <w:unhideWhenUsed/>
    <w:rsid w:val="003D257D"/>
    <w:rPr>
      <w:sz w:val="16"/>
      <w:szCs w:val="16"/>
    </w:rPr>
  </w:style>
  <w:style w:type="paragraph" w:styleId="CommentText">
    <w:name w:val="annotation text"/>
    <w:basedOn w:val="Normal"/>
    <w:link w:val="CommentTextChar"/>
    <w:uiPriority w:val="99"/>
    <w:unhideWhenUsed/>
    <w:rsid w:val="003D257D"/>
  </w:style>
  <w:style w:type="character" w:customStyle="1" w:styleId="CommentTextChar">
    <w:name w:val="Comment Text Char"/>
    <w:basedOn w:val="DefaultParagraphFont"/>
    <w:link w:val="CommentText"/>
    <w:uiPriority w:val="99"/>
    <w:rsid w:val="003D257D"/>
    <w:rPr>
      <w:sz w:val="20"/>
      <w:szCs w:val="20"/>
      <w:lang w:val="en-GB"/>
    </w:rPr>
  </w:style>
  <w:style w:type="paragraph" w:styleId="CommentSubject">
    <w:name w:val="annotation subject"/>
    <w:basedOn w:val="CommentText"/>
    <w:next w:val="CommentText"/>
    <w:link w:val="CommentSubjectChar"/>
    <w:uiPriority w:val="99"/>
    <w:semiHidden/>
    <w:unhideWhenUsed/>
    <w:rsid w:val="003D257D"/>
    <w:rPr>
      <w:b/>
      <w:bCs/>
    </w:rPr>
  </w:style>
  <w:style w:type="character" w:customStyle="1" w:styleId="CommentSubjectChar">
    <w:name w:val="Comment Subject Char"/>
    <w:basedOn w:val="CommentTextChar"/>
    <w:link w:val="CommentSubject"/>
    <w:uiPriority w:val="99"/>
    <w:semiHidden/>
    <w:rsid w:val="003D257D"/>
    <w:rPr>
      <w:b/>
      <w:bCs/>
      <w:sz w:val="20"/>
      <w:szCs w:val="20"/>
      <w:lang w:val="en-GB"/>
    </w:rPr>
  </w:style>
  <w:style w:type="paragraph" w:styleId="BalloonText">
    <w:name w:val="Balloon Text"/>
    <w:basedOn w:val="Normal"/>
    <w:link w:val="BalloonTextChar"/>
    <w:uiPriority w:val="99"/>
    <w:semiHidden/>
    <w:unhideWhenUsed/>
    <w:rsid w:val="003D257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257D"/>
    <w:rPr>
      <w:rFonts w:ascii="Times New Roman" w:hAnsi="Times New Roman" w:cs="Times New Roman"/>
      <w:sz w:val="18"/>
      <w:szCs w:val="18"/>
      <w:lang w:val="en-GB"/>
    </w:rPr>
  </w:style>
  <w:style w:type="paragraph" w:styleId="FootnoteText">
    <w:name w:val="footnote text"/>
    <w:basedOn w:val="Normal"/>
    <w:link w:val="FootnoteTextChar"/>
    <w:uiPriority w:val="99"/>
    <w:semiHidden/>
    <w:unhideWhenUsed/>
    <w:rsid w:val="004E181A"/>
  </w:style>
  <w:style w:type="character" w:customStyle="1" w:styleId="FootnoteTextChar">
    <w:name w:val="Footnote Text Char"/>
    <w:basedOn w:val="DefaultParagraphFont"/>
    <w:link w:val="FootnoteText"/>
    <w:uiPriority w:val="99"/>
    <w:semiHidden/>
    <w:rsid w:val="004E181A"/>
    <w:rPr>
      <w:sz w:val="20"/>
      <w:szCs w:val="20"/>
      <w:lang w:val="en-GB"/>
    </w:rPr>
  </w:style>
  <w:style w:type="character" w:styleId="FootnoteReference">
    <w:name w:val="footnote reference"/>
    <w:basedOn w:val="DefaultParagraphFont"/>
    <w:uiPriority w:val="99"/>
    <w:semiHidden/>
    <w:unhideWhenUsed/>
    <w:rsid w:val="004E181A"/>
    <w:rPr>
      <w:vertAlign w:val="superscript"/>
    </w:rPr>
  </w:style>
  <w:style w:type="table" w:styleId="TableGrid">
    <w:name w:val="Table Grid"/>
    <w:basedOn w:val="TableNormal"/>
    <w:uiPriority w:val="59"/>
    <w:rsid w:val="00F31C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7D49"/>
    <w:rPr>
      <w:color w:val="0563C1" w:themeColor="hyperlink"/>
      <w:u w:val="single"/>
    </w:rPr>
  </w:style>
  <w:style w:type="character" w:customStyle="1" w:styleId="UnresolvedMention1">
    <w:name w:val="Unresolved Mention1"/>
    <w:basedOn w:val="DefaultParagraphFont"/>
    <w:uiPriority w:val="99"/>
    <w:rsid w:val="00007D49"/>
    <w:rPr>
      <w:color w:val="605E5C"/>
      <w:shd w:val="clear" w:color="auto" w:fill="E1DFDD"/>
    </w:rPr>
  </w:style>
  <w:style w:type="character" w:customStyle="1" w:styleId="Heading3Char">
    <w:name w:val="Heading 3 Char"/>
    <w:basedOn w:val="DefaultParagraphFont"/>
    <w:link w:val="Heading3"/>
    <w:uiPriority w:val="9"/>
    <w:rsid w:val="00234E66"/>
    <w:rPr>
      <w:rFonts w:asciiTheme="majorHAnsi" w:eastAsiaTheme="majorEastAsia" w:hAnsiTheme="majorHAnsi" w:cstheme="majorBidi"/>
      <w:color w:val="44546A" w:themeColor="text2"/>
      <w:sz w:val="24"/>
      <w:szCs w:val="24"/>
    </w:rPr>
  </w:style>
  <w:style w:type="character" w:styleId="Strong">
    <w:name w:val="Strong"/>
    <w:basedOn w:val="DefaultParagraphFont"/>
    <w:uiPriority w:val="22"/>
    <w:qFormat/>
    <w:rsid w:val="00234E66"/>
    <w:rPr>
      <w:b/>
      <w:bCs/>
    </w:rPr>
  </w:style>
  <w:style w:type="character" w:customStyle="1" w:styleId="Heading2Char">
    <w:name w:val="Heading 2 Char"/>
    <w:basedOn w:val="DefaultParagraphFont"/>
    <w:link w:val="Heading2"/>
    <w:uiPriority w:val="9"/>
    <w:semiHidden/>
    <w:rsid w:val="00234E66"/>
    <w:rPr>
      <w:rFonts w:asciiTheme="majorHAnsi" w:eastAsiaTheme="majorEastAsia" w:hAnsiTheme="majorHAnsi" w:cstheme="majorBidi"/>
      <w:color w:val="404040" w:themeColor="text1" w:themeTint="BF"/>
      <w:sz w:val="28"/>
      <w:szCs w:val="28"/>
    </w:rPr>
  </w:style>
  <w:style w:type="character" w:styleId="FollowedHyperlink">
    <w:name w:val="FollowedHyperlink"/>
    <w:basedOn w:val="DefaultParagraphFont"/>
    <w:uiPriority w:val="99"/>
    <w:semiHidden/>
    <w:unhideWhenUsed/>
    <w:rsid w:val="00C11759"/>
    <w:rPr>
      <w:color w:val="954F72" w:themeColor="followedHyperlink"/>
      <w:u w:val="single"/>
    </w:rPr>
  </w:style>
  <w:style w:type="paragraph" w:styleId="Footer">
    <w:name w:val="footer"/>
    <w:basedOn w:val="Normal"/>
    <w:link w:val="FooterChar"/>
    <w:uiPriority w:val="99"/>
    <w:unhideWhenUsed/>
    <w:rsid w:val="00B928AD"/>
    <w:pPr>
      <w:tabs>
        <w:tab w:val="center" w:pos="4252"/>
        <w:tab w:val="right" w:pos="8504"/>
      </w:tabs>
    </w:pPr>
  </w:style>
  <w:style w:type="character" w:customStyle="1" w:styleId="FooterChar">
    <w:name w:val="Footer Char"/>
    <w:basedOn w:val="DefaultParagraphFont"/>
    <w:link w:val="Footer"/>
    <w:uiPriority w:val="99"/>
    <w:rsid w:val="00B928AD"/>
    <w:rPr>
      <w:lang w:val="en-GB"/>
    </w:rPr>
  </w:style>
  <w:style w:type="character" w:styleId="PageNumber">
    <w:name w:val="page number"/>
    <w:basedOn w:val="DefaultParagraphFont"/>
    <w:uiPriority w:val="99"/>
    <w:semiHidden/>
    <w:unhideWhenUsed/>
    <w:rsid w:val="00B928AD"/>
  </w:style>
  <w:style w:type="character" w:customStyle="1" w:styleId="fm-citation-ids-label">
    <w:name w:val="fm-citation-ids-label"/>
    <w:basedOn w:val="DefaultParagraphFont"/>
    <w:rsid w:val="00375EDD"/>
  </w:style>
  <w:style w:type="character" w:customStyle="1" w:styleId="Heading1Char">
    <w:name w:val="Heading 1 Char"/>
    <w:basedOn w:val="DefaultParagraphFont"/>
    <w:link w:val="Heading1"/>
    <w:uiPriority w:val="9"/>
    <w:rsid w:val="00234E66"/>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234E66"/>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34E66"/>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34E66"/>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34E66"/>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234E66"/>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34E66"/>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234E66"/>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34E66"/>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234E66"/>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234E66"/>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34E66"/>
    <w:rPr>
      <w:rFonts w:asciiTheme="majorHAnsi" w:eastAsiaTheme="majorEastAsia" w:hAnsiTheme="majorHAnsi" w:cstheme="majorBidi"/>
      <w:sz w:val="24"/>
      <w:szCs w:val="24"/>
    </w:rPr>
  </w:style>
  <w:style w:type="character" w:styleId="Emphasis">
    <w:name w:val="Emphasis"/>
    <w:basedOn w:val="DefaultParagraphFont"/>
    <w:uiPriority w:val="20"/>
    <w:qFormat/>
    <w:rsid w:val="00234E66"/>
    <w:rPr>
      <w:i/>
      <w:iCs/>
    </w:rPr>
  </w:style>
  <w:style w:type="paragraph" w:styleId="NoSpacing">
    <w:name w:val="No Spacing"/>
    <w:uiPriority w:val="1"/>
    <w:qFormat/>
    <w:rsid w:val="00234E66"/>
    <w:pPr>
      <w:spacing w:after="0" w:line="240" w:lineRule="auto"/>
    </w:pPr>
  </w:style>
  <w:style w:type="paragraph" w:styleId="Quote">
    <w:name w:val="Quote"/>
    <w:basedOn w:val="Normal"/>
    <w:next w:val="Normal"/>
    <w:link w:val="QuoteChar"/>
    <w:uiPriority w:val="29"/>
    <w:qFormat/>
    <w:rsid w:val="00234E6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34E66"/>
    <w:rPr>
      <w:i/>
      <w:iCs/>
      <w:color w:val="404040" w:themeColor="text1" w:themeTint="BF"/>
    </w:rPr>
  </w:style>
  <w:style w:type="paragraph" w:styleId="IntenseQuote">
    <w:name w:val="Intense Quote"/>
    <w:basedOn w:val="Normal"/>
    <w:next w:val="Normal"/>
    <w:link w:val="IntenseQuoteChar"/>
    <w:uiPriority w:val="30"/>
    <w:qFormat/>
    <w:rsid w:val="00234E66"/>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34E66"/>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34E66"/>
    <w:rPr>
      <w:i/>
      <w:iCs/>
      <w:color w:val="404040" w:themeColor="text1" w:themeTint="BF"/>
    </w:rPr>
  </w:style>
  <w:style w:type="character" w:styleId="IntenseEmphasis">
    <w:name w:val="Intense Emphasis"/>
    <w:basedOn w:val="DefaultParagraphFont"/>
    <w:uiPriority w:val="21"/>
    <w:qFormat/>
    <w:rsid w:val="00234E66"/>
    <w:rPr>
      <w:b/>
      <w:bCs/>
      <w:i/>
      <w:iCs/>
    </w:rPr>
  </w:style>
  <w:style w:type="character" w:styleId="SubtleReference">
    <w:name w:val="Subtle Reference"/>
    <w:basedOn w:val="DefaultParagraphFont"/>
    <w:uiPriority w:val="31"/>
    <w:qFormat/>
    <w:rsid w:val="00234E6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34E66"/>
    <w:rPr>
      <w:b/>
      <w:bCs/>
      <w:smallCaps/>
      <w:spacing w:val="5"/>
      <w:u w:val="single"/>
    </w:rPr>
  </w:style>
  <w:style w:type="character" w:styleId="BookTitle">
    <w:name w:val="Book Title"/>
    <w:basedOn w:val="DefaultParagraphFont"/>
    <w:uiPriority w:val="33"/>
    <w:qFormat/>
    <w:rsid w:val="00234E66"/>
    <w:rPr>
      <w:b/>
      <w:bCs/>
      <w:smallCaps/>
    </w:rPr>
  </w:style>
  <w:style w:type="paragraph" w:styleId="TOCHeading">
    <w:name w:val="TOC Heading"/>
    <w:basedOn w:val="Heading1"/>
    <w:next w:val="Normal"/>
    <w:uiPriority w:val="39"/>
    <w:semiHidden/>
    <w:unhideWhenUsed/>
    <w:qFormat/>
    <w:rsid w:val="00234E66"/>
    <w:pPr>
      <w:outlineLvl w:val="9"/>
    </w:pPr>
  </w:style>
  <w:style w:type="character" w:customStyle="1" w:styleId="UnresolvedMention2">
    <w:name w:val="Unresolved Mention2"/>
    <w:basedOn w:val="DefaultParagraphFont"/>
    <w:uiPriority w:val="99"/>
    <w:semiHidden/>
    <w:unhideWhenUsed/>
    <w:rsid w:val="00C15093"/>
    <w:rPr>
      <w:color w:val="605E5C"/>
      <w:shd w:val="clear" w:color="auto" w:fill="E1DFDD"/>
    </w:rPr>
  </w:style>
  <w:style w:type="paragraph" w:styleId="Header">
    <w:name w:val="header"/>
    <w:basedOn w:val="Normal"/>
    <w:link w:val="HeaderChar"/>
    <w:uiPriority w:val="99"/>
    <w:unhideWhenUsed/>
    <w:rsid w:val="00F85893"/>
    <w:pPr>
      <w:tabs>
        <w:tab w:val="center" w:pos="4252"/>
        <w:tab w:val="right" w:pos="8504"/>
      </w:tabs>
      <w:spacing w:after="0" w:line="240" w:lineRule="auto"/>
    </w:pPr>
  </w:style>
  <w:style w:type="character" w:customStyle="1" w:styleId="HeaderChar">
    <w:name w:val="Header Char"/>
    <w:basedOn w:val="DefaultParagraphFont"/>
    <w:link w:val="Header"/>
    <w:uiPriority w:val="99"/>
    <w:rsid w:val="00F85893"/>
  </w:style>
  <w:style w:type="character" w:customStyle="1" w:styleId="tlid-translation">
    <w:name w:val="tlid-translation"/>
    <w:basedOn w:val="DefaultParagraphFont"/>
    <w:rsid w:val="00513A03"/>
  </w:style>
  <w:style w:type="paragraph" w:styleId="Bibliography">
    <w:name w:val="Bibliography"/>
    <w:basedOn w:val="Normal"/>
    <w:next w:val="Normal"/>
    <w:uiPriority w:val="37"/>
    <w:unhideWhenUsed/>
    <w:rsid w:val="00D21676"/>
    <w:pPr>
      <w:tabs>
        <w:tab w:val="left" w:pos="504"/>
      </w:tabs>
      <w:spacing w:after="240" w:line="240" w:lineRule="auto"/>
      <w:ind w:left="504" w:hanging="504"/>
    </w:pPr>
  </w:style>
  <w:style w:type="paragraph" w:styleId="Revision">
    <w:name w:val="Revision"/>
    <w:hidden/>
    <w:uiPriority w:val="99"/>
    <w:semiHidden/>
    <w:rsid w:val="00AC6202"/>
    <w:pPr>
      <w:spacing w:after="0" w:line="240" w:lineRule="auto"/>
    </w:pPr>
  </w:style>
  <w:style w:type="character" w:customStyle="1" w:styleId="UnresolvedMention">
    <w:name w:val="Unresolved Mention"/>
    <w:basedOn w:val="DefaultParagraphFont"/>
    <w:uiPriority w:val="99"/>
    <w:semiHidden/>
    <w:unhideWhenUsed/>
    <w:rsid w:val="00BE0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1003">
      <w:bodyDiv w:val="1"/>
      <w:marLeft w:val="0"/>
      <w:marRight w:val="0"/>
      <w:marTop w:val="0"/>
      <w:marBottom w:val="0"/>
      <w:divBdr>
        <w:top w:val="none" w:sz="0" w:space="0" w:color="auto"/>
        <w:left w:val="none" w:sz="0" w:space="0" w:color="auto"/>
        <w:bottom w:val="none" w:sz="0" w:space="0" w:color="auto"/>
        <w:right w:val="none" w:sz="0" w:space="0" w:color="auto"/>
      </w:divBdr>
      <w:divsChild>
        <w:div w:id="76219122">
          <w:marLeft w:val="0"/>
          <w:marRight w:val="0"/>
          <w:marTop w:val="0"/>
          <w:marBottom w:val="0"/>
          <w:divBdr>
            <w:top w:val="none" w:sz="0" w:space="0" w:color="auto"/>
            <w:left w:val="none" w:sz="0" w:space="0" w:color="auto"/>
            <w:bottom w:val="none" w:sz="0" w:space="0" w:color="auto"/>
            <w:right w:val="none" w:sz="0" w:space="0" w:color="auto"/>
          </w:divBdr>
        </w:div>
      </w:divsChild>
    </w:div>
    <w:div w:id="26834818">
      <w:bodyDiv w:val="1"/>
      <w:marLeft w:val="0"/>
      <w:marRight w:val="0"/>
      <w:marTop w:val="0"/>
      <w:marBottom w:val="0"/>
      <w:divBdr>
        <w:top w:val="none" w:sz="0" w:space="0" w:color="auto"/>
        <w:left w:val="none" w:sz="0" w:space="0" w:color="auto"/>
        <w:bottom w:val="none" w:sz="0" w:space="0" w:color="auto"/>
        <w:right w:val="none" w:sz="0" w:space="0" w:color="auto"/>
      </w:divBdr>
      <w:divsChild>
        <w:div w:id="875894876">
          <w:marLeft w:val="0"/>
          <w:marRight w:val="0"/>
          <w:marTop w:val="0"/>
          <w:marBottom w:val="0"/>
          <w:divBdr>
            <w:top w:val="none" w:sz="0" w:space="0" w:color="auto"/>
            <w:left w:val="none" w:sz="0" w:space="0" w:color="auto"/>
            <w:bottom w:val="none" w:sz="0" w:space="0" w:color="auto"/>
            <w:right w:val="none" w:sz="0" w:space="0" w:color="auto"/>
          </w:divBdr>
          <w:divsChild>
            <w:div w:id="79629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22123">
      <w:bodyDiv w:val="1"/>
      <w:marLeft w:val="0"/>
      <w:marRight w:val="0"/>
      <w:marTop w:val="0"/>
      <w:marBottom w:val="0"/>
      <w:divBdr>
        <w:top w:val="none" w:sz="0" w:space="0" w:color="auto"/>
        <w:left w:val="none" w:sz="0" w:space="0" w:color="auto"/>
        <w:bottom w:val="none" w:sz="0" w:space="0" w:color="auto"/>
        <w:right w:val="none" w:sz="0" w:space="0" w:color="auto"/>
      </w:divBdr>
    </w:div>
    <w:div w:id="40057881">
      <w:bodyDiv w:val="1"/>
      <w:marLeft w:val="0"/>
      <w:marRight w:val="0"/>
      <w:marTop w:val="0"/>
      <w:marBottom w:val="0"/>
      <w:divBdr>
        <w:top w:val="none" w:sz="0" w:space="0" w:color="auto"/>
        <w:left w:val="none" w:sz="0" w:space="0" w:color="auto"/>
        <w:bottom w:val="none" w:sz="0" w:space="0" w:color="auto"/>
        <w:right w:val="none" w:sz="0" w:space="0" w:color="auto"/>
      </w:divBdr>
    </w:div>
    <w:div w:id="65344958">
      <w:bodyDiv w:val="1"/>
      <w:marLeft w:val="0"/>
      <w:marRight w:val="0"/>
      <w:marTop w:val="0"/>
      <w:marBottom w:val="0"/>
      <w:divBdr>
        <w:top w:val="none" w:sz="0" w:space="0" w:color="auto"/>
        <w:left w:val="none" w:sz="0" w:space="0" w:color="auto"/>
        <w:bottom w:val="none" w:sz="0" w:space="0" w:color="auto"/>
        <w:right w:val="none" w:sz="0" w:space="0" w:color="auto"/>
      </w:divBdr>
    </w:div>
    <w:div w:id="73479142">
      <w:bodyDiv w:val="1"/>
      <w:marLeft w:val="0"/>
      <w:marRight w:val="0"/>
      <w:marTop w:val="0"/>
      <w:marBottom w:val="0"/>
      <w:divBdr>
        <w:top w:val="none" w:sz="0" w:space="0" w:color="auto"/>
        <w:left w:val="none" w:sz="0" w:space="0" w:color="auto"/>
        <w:bottom w:val="none" w:sz="0" w:space="0" w:color="auto"/>
        <w:right w:val="none" w:sz="0" w:space="0" w:color="auto"/>
      </w:divBdr>
      <w:divsChild>
        <w:div w:id="1300039355">
          <w:marLeft w:val="547"/>
          <w:marRight w:val="0"/>
          <w:marTop w:val="0"/>
          <w:marBottom w:val="0"/>
          <w:divBdr>
            <w:top w:val="none" w:sz="0" w:space="0" w:color="auto"/>
            <w:left w:val="none" w:sz="0" w:space="0" w:color="auto"/>
            <w:bottom w:val="none" w:sz="0" w:space="0" w:color="auto"/>
            <w:right w:val="none" w:sz="0" w:space="0" w:color="auto"/>
          </w:divBdr>
        </w:div>
        <w:div w:id="803497980">
          <w:marLeft w:val="547"/>
          <w:marRight w:val="0"/>
          <w:marTop w:val="0"/>
          <w:marBottom w:val="0"/>
          <w:divBdr>
            <w:top w:val="none" w:sz="0" w:space="0" w:color="auto"/>
            <w:left w:val="none" w:sz="0" w:space="0" w:color="auto"/>
            <w:bottom w:val="none" w:sz="0" w:space="0" w:color="auto"/>
            <w:right w:val="none" w:sz="0" w:space="0" w:color="auto"/>
          </w:divBdr>
        </w:div>
        <w:div w:id="1597521761">
          <w:marLeft w:val="547"/>
          <w:marRight w:val="0"/>
          <w:marTop w:val="0"/>
          <w:marBottom w:val="0"/>
          <w:divBdr>
            <w:top w:val="none" w:sz="0" w:space="0" w:color="auto"/>
            <w:left w:val="none" w:sz="0" w:space="0" w:color="auto"/>
            <w:bottom w:val="none" w:sz="0" w:space="0" w:color="auto"/>
            <w:right w:val="none" w:sz="0" w:space="0" w:color="auto"/>
          </w:divBdr>
        </w:div>
      </w:divsChild>
    </w:div>
    <w:div w:id="121970912">
      <w:bodyDiv w:val="1"/>
      <w:marLeft w:val="0"/>
      <w:marRight w:val="0"/>
      <w:marTop w:val="0"/>
      <w:marBottom w:val="0"/>
      <w:divBdr>
        <w:top w:val="none" w:sz="0" w:space="0" w:color="auto"/>
        <w:left w:val="none" w:sz="0" w:space="0" w:color="auto"/>
        <w:bottom w:val="none" w:sz="0" w:space="0" w:color="auto"/>
        <w:right w:val="none" w:sz="0" w:space="0" w:color="auto"/>
      </w:divBdr>
      <w:divsChild>
        <w:div w:id="1271477275">
          <w:marLeft w:val="0"/>
          <w:marRight w:val="0"/>
          <w:marTop w:val="0"/>
          <w:marBottom w:val="0"/>
          <w:divBdr>
            <w:top w:val="none" w:sz="0" w:space="0" w:color="auto"/>
            <w:left w:val="none" w:sz="0" w:space="0" w:color="auto"/>
            <w:bottom w:val="none" w:sz="0" w:space="0" w:color="auto"/>
            <w:right w:val="none" w:sz="0" w:space="0" w:color="auto"/>
          </w:divBdr>
        </w:div>
      </w:divsChild>
    </w:div>
    <w:div w:id="140779941">
      <w:bodyDiv w:val="1"/>
      <w:marLeft w:val="0"/>
      <w:marRight w:val="0"/>
      <w:marTop w:val="0"/>
      <w:marBottom w:val="0"/>
      <w:divBdr>
        <w:top w:val="none" w:sz="0" w:space="0" w:color="auto"/>
        <w:left w:val="none" w:sz="0" w:space="0" w:color="auto"/>
        <w:bottom w:val="none" w:sz="0" w:space="0" w:color="auto"/>
        <w:right w:val="none" w:sz="0" w:space="0" w:color="auto"/>
      </w:divBdr>
      <w:divsChild>
        <w:div w:id="1451632166">
          <w:marLeft w:val="0"/>
          <w:marRight w:val="0"/>
          <w:marTop w:val="0"/>
          <w:marBottom w:val="0"/>
          <w:divBdr>
            <w:top w:val="none" w:sz="0" w:space="0" w:color="auto"/>
            <w:left w:val="none" w:sz="0" w:space="0" w:color="auto"/>
            <w:bottom w:val="none" w:sz="0" w:space="0" w:color="auto"/>
            <w:right w:val="none" w:sz="0" w:space="0" w:color="auto"/>
          </w:divBdr>
        </w:div>
      </w:divsChild>
    </w:div>
    <w:div w:id="141318414">
      <w:bodyDiv w:val="1"/>
      <w:marLeft w:val="0"/>
      <w:marRight w:val="0"/>
      <w:marTop w:val="0"/>
      <w:marBottom w:val="0"/>
      <w:divBdr>
        <w:top w:val="none" w:sz="0" w:space="0" w:color="auto"/>
        <w:left w:val="none" w:sz="0" w:space="0" w:color="auto"/>
        <w:bottom w:val="none" w:sz="0" w:space="0" w:color="auto"/>
        <w:right w:val="none" w:sz="0" w:space="0" w:color="auto"/>
      </w:divBdr>
      <w:divsChild>
        <w:div w:id="1906184557">
          <w:marLeft w:val="0"/>
          <w:marRight w:val="0"/>
          <w:marTop w:val="0"/>
          <w:marBottom w:val="0"/>
          <w:divBdr>
            <w:top w:val="none" w:sz="0" w:space="0" w:color="auto"/>
            <w:left w:val="none" w:sz="0" w:space="0" w:color="auto"/>
            <w:bottom w:val="none" w:sz="0" w:space="0" w:color="auto"/>
            <w:right w:val="none" w:sz="0" w:space="0" w:color="auto"/>
          </w:divBdr>
        </w:div>
      </w:divsChild>
    </w:div>
    <w:div w:id="294337105">
      <w:bodyDiv w:val="1"/>
      <w:marLeft w:val="0"/>
      <w:marRight w:val="0"/>
      <w:marTop w:val="0"/>
      <w:marBottom w:val="0"/>
      <w:divBdr>
        <w:top w:val="none" w:sz="0" w:space="0" w:color="auto"/>
        <w:left w:val="none" w:sz="0" w:space="0" w:color="auto"/>
        <w:bottom w:val="none" w:sz="0" w:space="0" w:color="auto"/>
        <w:right w:val="none" w:sz="0" w:space="0" w:color="auto"/>
      </w:divBdr>
    </w:div>
    <w:div w:id="314916114">
      <w:bodyDiv w:val="1"/>
      <w:marLeft w:val="0"/>
      <w:marRight w:val="0"/>
      <w:marTop w:val="0"/>
      <w:marBottom w:val="0"/>
      <w:divBdr>
        <w:top w:val="none" w:sz="0" w:space="0" w:color="auto"/>
        <w:left w:val="none" w:sz="0" w:space="0" w:color="auto"/>
        <w:bottom w:val="none" w:sz="0" w:space="0" w:color="auto"/>
        <w:right w:val="none" w:sz="0" w:space="0" w:color="auto"/>
      </w:divBdr>
    </w:div>
    <w:div w:id="411850181">
      <w:bodyDiv w:val="1"/>
      <w:marLeft w:val="0"/>
      <w:marRight w:val="0"/>
      <w:marTop w:val="0"/>
      <w:marBottom w:val="0"/>
      <w:divBdr>
        <w:top w:val="none" w:sz="0" w:space="0" w:color="auto"/>
        <w:left w:val="none" w:sz="0" w:space="0" w:color="auto"/>
        <w:bottom w:val="none" w:sz="0" w:space="0" w:color="auto"/>
        <w:right w:val="none" w:sz="0" w:space="0" w:color="auto"/>
      </w:divBdr>
    </w:div>
    <w:div w:id="465860518">
      <w:bodyDiv w:val="1"/>
      <w:marLeft w:val="0"/>
      <w:marRight w:val="0"/>
      <w:marTop w:val="0"/>
      <w:marBottom w:val="0"/>
      <w:divBdr>
        <w:top w:val="none" w:sz="0" w:space="0" w:color="auto"/>
        <w:left w:val="none" w:sz="0" w:space="0" w:color="auto"/>
        <w:bottom w:val="none" w:sz="0" w:space="0" w:color="auto"/>
        <w:right w:val="none" w:sz="0" w:space="0" w:color="auto"/>
      </w:divBdr>
    </w:div>
    <w:div w:id="474638028">
      <w:bodyDiv w:val="1"/>
      <w:marLeft w:val="0"/>
      <w:marRight w:val="0"/>
      <w:marTop w:val="0"/>
      <w:marBottom w:val="0"/>
      <w:divBdr>
        <w:top w:val="none" w:sz="0" w:space="0" w:color="auto"/>
        <w:left w:val="none" w:sz="0" w:space="0" w:color="auto"/>
        <w:bottom w:val="none" w:sz="0" w:space="0" w:color="auto"/>
        <w:right w:val="none" w:sz="0" w:space="0" w:color="auto"/>
      </w:divBdr>
      <w:divsChild>
        <w:div w:id="732580106">
          <w:marLeft w:val="0"/>
          <w:marRight w:val="0"/>
          <w:marTop w:val="0"/>
          <w:marBottom w:val="0"/>
          <w:divBdr>
            <w:top w:val="none" w:sz="0" w:space="0" w:color="auto"/>
            <w:left w:val="none" w:sz="0" w:space="0" w:color="auto"/>
            <w:bottom w:val="none" w:sz="0" w:space="0" w:color="auto"/>
            <w:right w:val="none" w:sz="0" w:space="0" w:color="auto"/>
          </w:divBdr>
        </w:div>
      </w:divsChild>
    </w:div>
    <w:div w:id="478769664">
      <w:bodyDiv w:val="1"/>
      <w:marLeft w:val="0"/>
      <w:marRight w:val="0"/>
      <w:marTop w:val="0"/>
      <w:marBottom w:val="0"/>
      <w:divBdr>
        <w:top w:val="none" w:sz="0" w:space="0" w:color="auto"/>
        <w:left w:val="none" w:sz="0" w:space="0" w:color="auto"/>
        <w:bottom w:val="none" w:sz="0" w:space="0" w:color="auto"/>
        <w:right w:val="none" w:sz="0" w:space="0" w:color="auto"/>
      </w:divBdr>
    </w:div>
    <w:div w:id="483359126">
      <w:bodyDiv w:val="1"/>
      <w:marLeft w:val="0"/>
      <w:marRight w:val="0"/>
      <w:marTop w:val="0"/>
      <w:marBottom w:val="0"/>
      <w:divBdr>
        <w:top w:val="none" w:sz="0" w:space="0" w:color="auto"/>
        <w:left w:val="none" w:sz="0" w:space="0" w:color="auto"/>
        <w:bottom w:val="none" w:sz="0" w:space="0" w:color="auto"/>
        <w:right w:val="none" w:sz="0" w:space="0" w:color="auto"/>
      </w:divBdr>
      <w:divsChild>
        <w:div w:id="130294053">
          <w:marLeft w:val="0"/>
          <w:marRight w:val="0"/>
          <w:marTop w:val="0"/>
          <w:marBottom w:val="0"/>
          <w:divBdr>
            <w:top w:val="none" w:sz="0" w:space="0" w:color="auto"/>
            <w:left w:val="none" w:sz="0" w:space="0" w:color="auto"/>
            <w:bottom w:val="none" w:sz="0" w:space="0" w:color="auto"/>
            <w:right w:val="none" w:sz="0" w:space="0" w:color="auto"/>
          </w:divBdr>
        </w:div>
      </w:divsChild>
    </w:div>
    <w:div w:id="670060622">
      <w:bodyDiv w:val="1"/>
      <w:marLeft w:val="0"/>
      <w:marRight w:val="0"/>
      <w:marTop w:val="0"/>
      <w:marBottom w:val="0"/>
      <w:divBdr>
        <w:top w:val="none" w:sz="0" w:space="0" w:color="auto"/>
        <w:left w:val="none" w:sz="0" w:space="0" w:color="auto"/>
        <w:bottom w:val="none" w:sz="0" w:space="0" w:color="auto"/>
        <w:right w:val="none" w:sz="0" w:space="0" w:color="auto"/>
      </w:divBdr>
      <w:divsChild>
        <w:div w:id="1457062860">
          <w:marLeft w:val="0"/>
          <w:marRight w:val="0"/>
          <w:marTop w:val="0"/>
          <w:marBottom w:val="0"/>
          <w:divBdr>
            <w:top w:val="none" w:sz="0" w:space="0" w:color="auto"/>
            <w:left w:val="none" w:sz="0" w:space="0" w:color="auto"/>
            <w:bottom w:val="none" w:sz="0" w:space="0" w:color="auto"/>
            <w:right w:val="none" w:sz="0" w:space="0" w:color="auto"/>
          </w:divBdr>
        </w:div>
      </w:divsChild>
    </w:div>
    <w:div w:id="687028669">
      <w:bodyDiv w:val="1"/>
      <w:marLeft w:val="0"/>
      <w:marRight w:val="0"/>
      <w:marTop w:val="0"/>
      <w:marBottom w:val="0"/>
      <w:divBdr>
        <w:top w:val="none" w:sz="0" w:space="0" w:color="auto"/>
        <w:left w:val="none" w:sz="0" w:space="0" w:color="auto"/>
        <w:bottom w:val="none" w:sz="0" w:space="0" w:color="auto"/>
        <w:right w:val="none" w:sz="0" w:space="0" w:color="auto"/>
      </w:divBdr>
      <w:divsChild>
        <w:div w:id="1519808267">
          <w:marLeft w:val="0"/>
          <w:marRight w:val="0"/>
          <w:marTop w:val="0"/>
          <w:marBottom w:val="0"/>
          <w:divBdr>
            <w:top w:val="none" w:sz="0" w:space="0" w:color="auto"/>
            <w:left w:val="none" w:sz="0" w:space="0" w:color="auto"/>
            <w:bottom w:val="none" w:sz="0" w:space="0" w:color="auto"/>
            <w:right w:val="none" w:sz="0" w:space="0" w:color="auto"/>
          </w:divBdr>
        </w:div>
      </w:divsChild>
    </w:div>
    <w:div w:id="722605493">
      <w:bodyDiv w:val="1"/>
      <w:marLeft w:val="0"/>
      <w:marRight w:val="0"/>
      <w:marTop w:val="0"/>
      <w:marBottom w:val="0"/>
      <w:divBdr>
        <w:top w:val="none" w:sz="0" w:space="0" w:color="auto"/>
        <w:left w:val="none" w:sz="0" w:space="0" w:color="auto"/>
        <w:bottom w:val="none" w:sz="0" w:space="0" w:color="auto"/>
        <w:right w:val="none" w:sz="0" w:space="0" w:color="auto"/>
      </w:divBdr>
      <w:divsChild>
        <w:div w:id="882136174">
          <w:marLeft w:val="0"/>
          <w:marRight w:val="0"/>
          <w:marTop w:val="0"/>
          <w:marBottom w:val="0"/>
          <w:divBdr>
            <w:top w:val="none" w:sz="0" w:space="0" w:color="auto"/>
            <w:left w:val="none" w:sz="0" w:space="0" w:color="auto"/>
            <w:bottom w:val="none" w:sz="0" w:space="0" w:color="auto"/>
            <w:right w:val="none" w:sz="0" w:space="0" w:color="auto"/>
          </w:divBdr>
        </w:div>
      </w:divsChild>
    </w:div>
    <w:div w:id="727804249">
      <w:bodyDiv w:val="1"/>
      <w:marLeft w:val="0"/>
      <w:marRight w:val="0"/>
      <w:marTop w:val="0"/>
      <w:marBottom w:val="0"/>
      <w:divBdr>
        <w:top w:val="none" w:sz="0" w:space="0" w:color="auto"/>
        <w:left w:val="none" w:sz="0" w:space="0" w:color="auto"/>
        <w:bottom w:val="none" w:sz="0" w:space="0" w:color="auto"/>
        <w:right w:val="none" w:sz="0" w:space="0" w:color="auto"/>
      </w:divBdr>
    </w:div>
    <w:div w:id="775447982">
      <w:bodyDiv w:val="1"/>
      <w:marLeft w:val="0"/>
      <w:marRight w:val="0"/>
      <w:marTop w:val="0"/>
      <w:marBottom w:val="0"/>
      <w:divBdr>
        <w:top w:val="none" w:sz="0" w:space="0" w:color="auto"/>
        <w:left w:val="none" w:sz="0" w:space="0" w:color="auto"/>
        <w:bottom w:val="none" w:sz="0" w:space="0" w:color="auto"/>
        <w:right w:val="none" w:sz="0" w:space="0" w:color="auto"/>
      </w:divBdr>
      <w:divsChild>
        <w:div w:id="1791896427">
          <w:marLeft w:val="0"/>
          <w:marRight w:val="0"/>
          <w:marTop w:val="0"/>
          <w:marBottom w:val="0"/>
          <w:divBdr>
            <w:top w:val="none" w:sz="0" w:space="0" w:color="auto"/>
            <w:left w:val="none" w:sz="0" w:space="0" w:color="auto"/>
            <w:bottom w:val="none" w:sz="0" w:space="0" w:color="auto"/>
            <w:right w:val="none" w:sz="0" w:space="0" w:color="auto"/>
          </w:divBdr>
        </w:div>
      </w:divsChild>
    </w:div>
    <w:div w:id="789588680">
      <w:bodyDiv w:val="1"/>
      <w:marLeft w:val="0"/>
      <w:marRight w:val="0"/>
      <w:marTop w:val="0"/>
      <w:marBottom w:val="0"/>
      <w:divBdr>
        <w:top w:val="none" w:sz="0" w:space="0" w:color="auto"/>
        <w:left w:val="none" w:sz="0" w:space="0" w:color="auto"/>
        <w:bottom w:val="none" w:sz="0" w:space="0" w:color="auto"/>
        <w:right w:val="none" w:sz="0" w:space="0" w:color="auto"/>
      </w:divBdr>
      <w:divsChild>
        <w:div w:id="1685477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322203">
              <w:marLeft w:val="0"/>
              <w:marRight w:val="0"/>
              <w:marTop w:val="0"/>
              <w:marBottom w:val="0"/>
              <w:divBdr>
                <w:top w:val="none" w:sz="0" w:space="0" w:color="auto"/>
                <w:left w:val="none" w:sz="0" w:space="0" w:color="auto"/>
                <w:bottom w:val="none" w:sz="0" w:space="0" w:color="auto"/>
                <w:right w:val="none" w:sz="0" w:space="0" w:color="auto"/>
              </w:divBdr>
              <w:divsChild>
                <w:div w:id="185572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035996">
      <w:bodyDiv w:val="1"/>
      <w:marLeft w:val="0"/>
      <w:marRight w:val="0"/>
      <w:marTop w:val="0"/>
      <w:marBottom w:val="0"/>
      <w:divBdr>
        <w:top w:val="none" w:sz="0" w:space="0" w:color="auto"/>
        <w:left w:val="none" w:sz="0" w:space="0" w:color="auto"/>
        <w:bottom w:val="none" w:sz="0" w:space="0" w:color="auto"/>
        <w:right w:val="none" w:sz="0" w:space="0" w:color="auto"/>
      </w:divBdr>
      <w:divsChild>
        <w:div w:id="1251810974">
          <w:marLeft w:val="0"/>
          <w:marRight w:val="0"/>
          <w:marTop w:val="0"/>
          <w:marBottom w:val="0"/>
          <w:divBdr>
            <w:top w:val="none" w:sz="0" w:space="0" w:color="auto"/>
            <w:left w:val="none" w:sz="0" w:space="0" w:color="auto"/>
            <w:bottom w:val="none" w:sz="0" w:space="0" w:color="auto"/>
            <w:right w:val="none" w:sz="0" w:space="0" w:color="auto"/>
          </w:divBdr>
        </w:div>
      </w:divsChild>
    </w:div>
    <w:div w:id="805777378">
      <w:bodyDiv w:val="1"/>
      <w:marLeft w:val="0"/>
      <w:marRight w:val="0"/>
      <w:marTop w:val="0"/>
      <w:marBottom w:val="0"/>
      <w:divBdr>
        <w:top w:val="none" w:sz="0" w:space="0" w:color="auto"/>
        <w:left w:val="none" w:sz="0" w:space="0" w:color="auto"/>
        <w:bottom w:val="none" w:sz="0" w:space="0" w:color="auto"/>
        <w:right w:val="none" w:sz="0" w:space="0" w:color="auto"/>
      </w:divBdr>
      <w:divsChild>
        <w:div w:id="1923678756">
          <w:marLeft w:val="0"/>
          <w:marRight w:val="0"/>
          <w:marTop w:val="0"/>
          <w:marBottom w:val="0"/>
          <w:divBdr>
            <w:top w:val="none" w:sz="0" w:space="0" w:color="auto"/>
            <w:left w:val="none" w:sz="0" w:space="0" w:color="auto"/>
            <w:bottom w:val="none" w:sz="0" w:space="0" w:color="auto"/>
            <w:right w:val="none" w:sz="0" w:space="0" w:color="auto"/>
          </w:divBdr>
        </w:div>
      </w:divsChild>
    </w:div>
    <w:div w:id="809253772">
      <w:bodyDiv w:val="1"/>
      <w:marLeft w:val="0"/>
      <w:marRight w:val="0"/>
      <w:marTop w:val="0"/>
      <w:marBottom w:val="0"/>
      <w:divBdr>
        <w:top w:val="none" w:sz="0" w:space="0" w:color="auto"/>
        <w:left w:val="none" w:sz="0" w:space="0" w:color="auto"/>
        <w:bottom w:val="none" w:sz="0" w:space="0" w:color="auto"/>
        <w:right w:val="none" w:sz="0" w:space="0" w:color="auto"/>
      </w:divBdr>
      <w:divsChild>
        <w:div w:id="650527269">
          <w:marLeft w:val="0"/>
          <w:marRight w:val="0"/>
          <w:marTop w:val="0"/>
          <w:marBottom w:val="0"/>
          <w:divBdr>
            <w:top w:val="none" w:sz="0" w:space="0" w:color="auto"/>
            <w:left w:val="none" w:sz="0" w:space="0" w:color="auto"/>
            <w:bottom w:val="none" w:sz="0" w:space="0" w:color="auto"/>
            <w:right w:val="none" w:sz="0" w:space="0" w:color="auto"/>
          </w:divBdr>
        </w:div>
      </w:divsChild>
    </w:div>
    <w:div w:id="837843472">
      <w:bodyDiv w:val="1"/>
      <w:marLeft w:val="0"/>
      <w:marRight w:val="0"/>
      <w:marTop w:val="0"/>
      <w:marBottom w:val="0"/>
      <w:divBdr>
        <w:top w:val="none" w:sz="0" w:space="0" w:color="auto"/>
        <w:left w:val="none" w:sz="0" w:space="0" w:color="auto"/>
        <w:bottom w:val="none" w:sz="0" w:space="0" w:color="auto"/>
        <w:right w:val="none" w:sz="0" w:space="0" w:color="auto"/>
      </w:divBdr>
      <w:divsChild>
        <w:div w:id="658313245">
          <w:marLeft w:val="0"/>
          <w:marRight w:val="0"/>
          <w:marTop w:val="0"/>
          <w:marBottom w:val="0"/>
          <w:divBdr>
            <w:top w:val="none" w:sz="0" w:space="0" w:color="auto"/>
            <w:left w:val="none" w:sz="0" w:space="0" w:color="auto"/>
            <w:bottom w:val="none" w:sz="0" w:space="0" w:color="auto"/>
            <w:right w:val="none" w:sz="0" w:space="0" w:color="auto"/>
          </w:divBdr>
        </w:div>
      </w:divsChild>
    </w:div>
    <w:div w:id="870268734">
      <w:bodyDiv w:val="1"/>
      <w:marLeft w:val="0"/>
      <w:marRight w:val="0"/>
      <w:marTop w:val="0"/>
      <w:marBottom w:val="0"/>
      <w:divBdr>
        <w:top w:val="none" w:sz="0" w:space="0" w:color="auto"/>
        <w:left w:val="none" w:sz="0" w:space="0" w:color="auto"/>
        <w:bottom w:val="none" w:sz="0" w:space="0" w:color="auto"/>
        <w:right w:val="none" w:sz="0" w:space="0" w:color="auto"/>
      </w:divBdr>
    </w:div>
    <w:div w:id="910389992">
      <w:bodyDiv w:val="1"/>
      <w:marLeft w:val="0"/>
      <w:marRight w:val="0"/>
      <w:marTop w:val="0"/>
      <w:marBottom w:val="0"/>
      <w:divBdr>
        <w:top w:val="none" w:sz="0" w:space="0" w:color="auto"/>
        <w:left w:val="none" w:sz="0" w:space="0" w:color="auto"/>
        <w:bottom w:val="none" w:sz="0" w:space="0" w:color="auto"/>
        <w:right w:val="none" w:sz="0" w:space="0" w:color="auto"/>
      </w:divBdr>
    </w:div>
    <w:div w:id="929392051">
      <w:bodyDiv w:val="1"/>
      <w:marLeft w:val="0"/>
      <w:marRight w:val="0"/>
      <w:marTop w:val="0"/>
      <w:marBottom w:val="0"/>
      <w:divBdr>
        <w:top w:val="none" w:sz="0" w:space="0" w:color="auto"/>
        <w:left w:val="none" w:sz="0" w:space="0" w:color="auto"/>
        <w:bottom w:val="none" w:sz="0" w:space="0" w:color="auto"/>
        <w:right w:val="none" w:sz="0" w:space="0" w:color="auto"/>
      </w:divBdr>
      <w:divsChild>
        <w:div w:id="200214743">
          <w:marLeft w:val="0"/>
          <w:marRight w:val="0"/>
          <w:marTop w:val="0"/>
          <w:marBottom w:val="0"/>
          <w:divBdr>
            <w:top w:val="none" w:sz="0" w:space="0" w:color="auto"/>
            <w:left w:val="none" w:sz="0" w:space="0" w:color="auto"/>
            <w:bottom w:val="none" w:sz="0" w:space="0" w:color="auto"/>
            <w:right w:val="none" w:sz="0" w:space="0" w:color="auto"/>
          </w:divBdr>
        </w:div>
      </w:divsChild>
    </w:div>
    <w:div w:id="1085415717">
      <w:bodyDiv w:val="1"/>
      <w:marLeft w:val="0"/>
      <w:marRight w:val="0"/>
      <w:marTop w:val="0"/>
      <w:marBottom w:val="0"/>
      <w:divBdr>
        <w:top w:val="none" w:sz="0" w:space="0" w:color="auto"/>
        <w:left w:val="none" w:sz="0" w:space="0" w:color="auto"/>
        <w:bottom w:val="none" w:sz="0" w:space="0" w:color="auto"/>
        <w:right w:val="none" w:sz="0" w:space="0" w:color="auto"/>
      </w:divBdr>
      <w:divsChild>
        <w:div w:id="634877168">
          <w:marLeft w:val="0"/>
          <w:marRight w:val="0"/>
          <w:marTop w:val="0"/>
          <w:marBottom w:val="0"/>
          <w:divBdr>
            <w:top w:val="none" w:sz="0" w:space="0" w:color="auto"/>
            <w:left w:val="none" w:sz="0" w:space="0" w:color="auto"/>
            <w:bottom w:val="none" w:sz="0" w:space="0" w:color="auto"/>
            <w:right w:val="none" w:sz="0" w:space="0" w:color="auto"/>
          </w:divBdr>
        </w:div>
      </w:divsChild>
    </w:div>
    <w:div w:id="1090546802">
      <w:bodyDiv w:val="1"/>
      <w:marLeft w:val="0"/>
      <w:marRight w:val="0"/>
      <w:marTop w:val="0"/>
      <w:marBottom w:val="0"/>
      <w:divBdr>
        <w:top w:val="none" w:sz="0" w:space="0" w:color="auto"/>
        <w:left w:val="none" w:sz="0" w:space="0" w:color="auto"/>
        <w:bottom w:val="none" w:sz="0" w:space="0" w:color="auto"/>
        <w:right w:val="none" w:sz="0" w:space="0" w:color="auto"/>
      </w:divBdr>
    </w:div>
    <w:div w:id="1197426278">
      <w:bodyDiv w:val="1"/>
      <w:marLeft w:val="0"/>
      <w:marRight w:val="0"/>
      <w:marTop w:val="0"/>
      <w:marBottom w:val="0"/>
      <w:divBdr>
        <w:top w:val="none" w:sz="0" w:space="0" w:color="auto"/>
        <w:left w:val="none" w:sz="0" w:space="0" w:color="auto"/>
        <w:bottom w:val="none" w:sz="0" w:space="0" w:color="auto"/>
        <w:right w:val="none" w:sz="0" w:space="0" w:color="auto"/>
      </w:divBdr>
      <w:divsChild>
        <w:div w:id="1353188271">
          <w:marLeft w:val="0"/>
          <w:marRight w:val="0"/>
          <w:marTop w:val="0"/>
          <w:marBottom w:val="0"/>
          <w:divBdr>
            <w:top w:val="none" w:sz="0" w:space="0" w:color="auto"/>
            <w:left w:val="none" w:sz="0" w:space="0" w:color="auto"/>
            <w:bottom w:val="none" w:sz="0" w:space="0" w:color="auto"/>
            <w:right w:val="none" w:sz="0" w:space="0" w:color="auto"/>
          </w:divBdr>
        </w:div>
      </w:divsChild>
    </w:div>
    <w:div w:id="1279146135">
      <w:bodyDiv w:val="1"/>
      <w:marLeft w:val="0"/>
      <w:marRight w:val="0"/>
      <w:marTop w:val="0"/>
      <w:marBottom w:val="0"/>
      <w:divBdr>
        <w:top w:val="none" w:sz="0" w:space="0" w:color="auto"/>
        <w:left w:val="none" w:sz="0" w:space="0" w:color="auto"/>
        <w:bottom w:val="none" w:sz="0" w:space="0" w:color="auto"/>
        <w:right w:val="none" w:sz="0" w:space="0" w:color="auto"/>
      </w:divBdr>
      <w:divsChild>
        <w:div w:id="1029838838">
          <w:marLeft w:val="0"/>
          <w:marRight w:val="0"/>
          <w:marTop w:val="0"/>
          <w:marBottom w:val="0"/>
          <w:divBdr>
            <w:top w:val="none" w:sz="0" w:space="0" w:color="auto"/>
            <w:left w:val="none" w:sz="0" w:space="0" w:color="auto"/>
            <w:bottom w:val="none" w:sz="0" w:space="0" w:color="auto"/>
            <w:right w:val="none" w:sz="0" w:space="0" w:color="auto"/>
          </w:divBdr>
        </w:div>
      </w:divsChild>
    </w:div>
    <w:div w:id="1285623055">
      <w:bodyDiv w:val="1"/>
      <w:marLeft w:val="0"/>
      <w:marRight w:val="0"/>
      <w:marTop w:val="0"/>
      <w:marBottom w:val="0"/>
      <w:divBdr>
        <w:top w:val="none" w:sz="0" w:space="0" w:color="auto"/>
        <w:left w:val="none" w:sz="0" w:space="0" w:color="auto"/>
        <w:bottom w:val="none" w:sz="0" w:space="0" w:color="auto"/>
        <w:right w:val="none" w:sz="0" w:space="0" w:color="auto"/>
      </w:divBdr>
      <w:divsChild>
        <w:div w:id="1831216376">
          <w:marLeft w:val="0"/>
          <w:marRight w:val="0"/>
          <w:marTop w:val="0"/>
          <w:marBottom w:val="0"/>
          <w:divBdr>
            <w:top w:val="none" w:sz="0" w:space="0" w:color="auto"/>
            <w:left w:val="none" w:sz="0" w:space="0" w:color="auto"/>
            <w:bottom w:val="none" w:sz="0" w:space="0" w:color="auto"/>
            <w:right w:val="none" w:sz="0" w:space="0" w:color="auto"/>
          </w:divBdr>
        </w:div>
      </w:divsChild>
    </w:div>
    <w:div w:id="1293947498">
      <w:bodyDiv w:val="1"/>
      <w:marLeft w:val="0"/>
      <w:marRight w:val="0"/>
      <w:marTop w:val="0"/>
      <w:marBottom w:val="0"/>
      <w:divBdr>
        <w:top w:val="none" w:sz="0" w:space="0" w:color="auto"/>
        <w:left w:val="none" w:sz="0" w:space="0" w:color="auto"/>
        <w:bottom w:val="none" w:sz="0" w:space="0" w:color="auto"/>
        <w:right w:val="none" w:sz="0" w:space="0" w:color="auto"/>
      </w:divBdr>
      <w:divsChild>
        <w:div w:id="525364510">
          <w:marLeft w:val="0"/>
          <w:marRight w:val="0"/>
          <w:marTop w:val="0"/>
          <w:marBottom w:val="0"/>
          <w:divBdr>
            <w:top w:val="none" w:sz="0" w:space="0" w:color="auto"/>
            <w:left w:val="none" w:sz="0" w:space="0" w:color="auto"/>
            <w:bottom w:val="none" w:sz="0" w:space="0" w:color="auto"/>
            <w:right w:val="none" w:sz="0" w:space="0" w:color="auto"/>
          </w:divBdr>
        </w:div>
      </w:divsChild>
    </w:div>
    <w:div w:id="1294554293">
      <w:bodyDiv w:val="1"/>
      <w:marLeft w:val="0"/>
      <w:marRight w:val="0"/>
      <w:marTop w:val="0"/>
      <w:marBottom w:val="0"/>
      <w:divBdr>
        <w:top w:val="none" w:sz="0" w:space="0" w:color="auto"/>
        <w:left w:val="none" w:sz="0" w:space="0" w:color="auto"/>
        <w:bottom w:val="none" w:sz="0" w:space="0" w:color="auto"/>
        <w:right w:val="none" w:sz="0" w:space="0" w:color="auto"/>
      </w:divBdr>
      <w:divsChild>
        <w:div w:id="152062449">
          <w:marLeft w:val="0"/>
          <w:marRight w:val="0"/>
          <w:marTop w:val="0"/>
          <w:marBottom w:val="0"/>
          <w:divBdr>
            <w:top w:val="none" w:sz="0" w:space="0" w:color="auto"/>
            <w:left w:val="none" w:sz="0" w:space="0" w:color="auto"/>
            <w:bottom w:val="none" w:sz="0" w:space="0" w:color="auto"/>
            <w:right w:val="none" w:sz="0" w:space="0" w:color="auto"/>
          </w:divBdr>
        </w:div>
      </w:divsChild>
    </w:div>
    <w:div w:id="1333332143">
      <w:bodyDiv w:val="1"/>
      <w:marLeft w:val="0"/>
      <w:marRight w:val="0"/>
      <w:marTop w:val="0"/>
      <w:marBottom w:val="0"/>
      <w:divBdr>
        <w:top w:val="none" w:sz="0" w:space="0" w:color="auto"/>
        <w:left w:val="none" w:sz="0" w:space="0" w:color="auto"/>
        <w:bottom w:val="none" w:sz="0" w:space="0" w:color="auto"/>
        <w:right w:val="none" w:sz="0" w:space="0" w:color="auto"/>
      </w:divBdr>
    </w:div>
    <w:div w:id="1340892261">
      <w:bodyDiv w:val="1"/>
      <w:marLeft w:val="0"/>
      <w:marRight w:val="0"/>
      <w:marTop w:val="0"/>
      <w:marBottom w:val="0"/>
      <w:divBdr>
        <w:top w:val="none" w:sz="0" w:space="0" w:color="auto"/>
        <w:left w:val="none" w:sz="0" w:space="0" w:color="auto"/>
        <w:bottom w:val="none" w:sz="0" w:space="0" w:color="auto"/>
        <w:right w:val="none" w:sz="0" w:space="0" w:color="auto"/>
      </w:divBdr>
      <w:divsChild>
        <w:div w:id="1267343901">
          <w:marLeft w:val="0"/>
          <w:marRight w:val="0"/>
          <w:marTop w:val="0"/>
          <w:marBottom w:val="0"/>
          <w:divBdr>
            <w:top w:val="none" w:sz="0" w:space="0" w:color="auto"/>
            <w:left w:val="none" w:sz="0" w:space="0" w:color="auto"/>
            <w:bottom w:val="none" w:sz="0" w:space="0" w:color="auto"/>
            <w:right w:val="none" w:sz="0" w:space="0" w:color="auto"/>
          </w:divBdr>
        </w:div>
      </w:divsChild>
    </w:div>
    <w:div w:id="1401949706">
      <w:bodyDiv w:val="1"/>
      <w:marLeft w:val="0"/>
      <w:marRight w:val="0"/>
      <w:marTop w:val="0"/>
      <w:marBottom w:val="0"/>
      <w:divBdr>
        <w:top w:val="none" w:sz="0" w:space="0" w:color="auto"/>
        <w:left w:val="none" w:sz="0" w:space="0" w:color="auto"/>
        <w:bottom w:val="none" w:sz="0" w:space="0" w:color="auto"/>
        <w:right w:val="none" w:sz="0" w:space="0" w:color="auto"/>
      </w:divBdr>
      <w:divsChild>
        <w:div w:id="1423842381">
          <w:marLeft w:val="0"/>
          <w:marRight w:val="0"/>
          <w:marTop w:val="0"/>
          <w:marBottom w:val="0"/>
          <w:divBdr>
            <w:top w:val="none" w:sz="0" w:space="0" w:color="auto"/>
            <w:left w:val="none" w:sz="0" w:space="0" w:color="auto"/>
            <w:bottom w:val="none" w:sz="0" w:space="0" w:color="auto"/>
            <w:right w:val="none" w:sz="0" w:space="0" w:color="auto"/>
          </w:divBdr>
        </w:div>
      </w:divsChild>
    </w:div>
    <w:div w:id="1403218640">
      <w:bodyDiv w:val="1"/>
      <w:marLeft w:val="0"/>
      <w:marRight w:val="0"/>
      <w:marTop w:val="0"/>
      <w:marBottom w:val="0"/>
      <w:divBdr>
        <w:top w:val="none" w:sz="0" w:space="0" w:color="auto"/>
        <w:left w:val="none" w:sz="0" w:space="0" w:color="auto"/>
        <w:bottom w:val="none" w:sz="0" w:space="0" w:color="auto"/>
        <w:right w:val="none" w:sz="0" w:space="0" w:color="auto"/>
      </w:divBdr>
    </w:div>
    <w:div w:id="1404141372">
      <w:bodyDiv w:val="1"/>
      <w:marLeft w:val="0"/>
      <w:marRight w:val="0"/>
      <w:marTop w:val="0"/>
      <w:marBottom w:val="0"/>
      <w:divBdr>
        <w:top w:val="none" w:sz="0" w:space="0" w:color="auto"/>
        <w:left w:val="none" w:sz="0" w:space="0" w:color="auto"/>
        <w:bottom w:val="none" w:sz="0" w:space="0" w:color="auto"/>
        <w:right w:val="none" w:sz="0" w:space="0" w:color="auto"/>
      </w:divBdr>
    </w:div>
    <w:div w:id="1444300219">
      <w:bodyDiv w:val="1"/>
      <w:marLeft w:val="0"/>
      <w:marRight w:val="0"/>
      <w:marTop w:val="0"/>
      <w:marBottom w:val="0"/>
      <w:divBdr>
        <w:top w:val="none" w:sz="0" w:space="0" w:color="auto"/>
        <w:left w:val="none" w:sz="0" w:space="0" w:color="auto"/>
        <w:bottom w:val="none" w:sz="0" w:space="0" w:color="auto"/>
        <w:right w:val="none" w:sz="0" w:space="0" w:color="auto"/>
      </w:divBdr>
    </w:div>
    <w:div w:id="1469588918">
      <w:bodyDiv w:val="1"/>
      <w:marLeft w:val="0"/>
      <w:marRight w:val="0"/>
      <w:marTop w:val="0"/>
      <w:marBottom w:val="0"/>
      <w:divBdr>
        <w:top w:val="none" w:sz="0" w:space="0" w:color="auto"/>
        <w:left w:val="none" w:sz="0" w:space="0" w:color="auto"/>
        <w:bottom w:val="none" w:sz="0" w:space="0" w:color="auto"/>
        <w:right w:val="none" w:sz="0" w:space="0" w:color="auto"/>
      </w:divBdr>
      <w:divsChild>
        <w:div w:id="1246574124">
          <w:marLeft w:val="0"/>
          <w:marRight w:val="0"/>
          <w:marTop w:val="0"/>
          <w:marBottom w:val="0"/>
          <w:divBdr>
            <w:top w:val="none" w:sz="0" w:space="0" w:color="auto"/>
            <w:left w:val="none" w:sz="0" w:space="0" w:color="auto"/>
            <w:bottom w:val="none" w:sz="0" w:space="0" w:color="auto"/>
            <w:right w:val="none" w:sz="0" w:space="0" w:color="auto"/>
          </w:divBdr>
        </w:div>
      </w:divsChild>
    </w:div>
    <w:div w:id="1564368682">
      <w:bodyDiv w:val="1"/>
      <w:marLeft w:val="0"/>
      <w:marRight w:val="0"/>
      <w:marTop w:val="0"/>
      <w:marBottom w:val="0"/>
      <w:divBdr>
        <w:top w:val="none" w:sz="0" w:space="0" w:color="auto"/>
        <w:left w:val="none" w:sz="0" w:space="0" w:color="auto"/>
        <w:bottom w:val="none" w:sz="0" w:space="0" w:color="auto"/>
        <w:right w:val="none" w:sz="0" w:space="0" w:color="auto"/>
      </w:divBdr>
      <w:divsChild>
        <w:div w:id="302077000">
          <w:marLeft w:val="0"/>
          <w:marRight w:val="0"/>
          <w:marTop w:val="0"/>
          <w:marBottom w:val="0"/>
          <w:divBdr>
            <w:top w:val="none" w:sz="0" w:space="0" w:color="auto"/>
            <w:left w:val="none" w:sz="0" w:space="0" w:color="auto"/>
            <w:bottom w:val="none" w:sz="0" w:space="0" w:color="auto"/>
            <w:right w:val="none" w:sz="0" w:space="0" w:color="auto"/>
          </w:divBdr>
        </w:div>
      </w:divsChild>
    </w:div>
    <w:div w:id="1571428237">
      <w:bodyDiv w:val="1"/>
      <w:marLeft w:val="0"/>
      <w:marRight w:val="0"/>
      <w:marTop w:val="0"/>
      <w:marBottom w:val="0"/>
      <w:divBdr>
        <w:top w:val="none" w:sz="0" w:space="0" w:color="auto"/>
        <w:left w:val="none" w:sz="0" w:space="0" w:color="auto"/>
        <w:bottom w:val="none" w:sz="0" w:space="0" w:color="auto"/>
        <w:right w:val="none" w:sz="0" w:space="0" w:color="auto"/>
      </w:divBdr>
      <w:divsChild>
        <w:div w:id="642974039">
          <w:marLeft w:val="0"/>
          <w:marRight w:val="0"/>
          <w:marTop w:val="0"/>
          <w:marBottom w:val="0"/>
          <w:divBdr>
            <w:top w:val="none" w:sz="0" w:space="0" w:color="auto"/>
            <w:left w:val="none" w:sz="0" w:space="0" w:color="auto"/>
            <w:bottom w:val="none" w:sz="0" w:space="0" w:color="auto"/>
            <w:right w:val="none" w:sz="0" w:space="0" w:color="auto"/>
          </w:divBdr>
        </w:div>
      </w:divsChild>
    </w:div>
    <w:div w:id="1618490173">
      <w:bodyDiv w:val="1"/>
      <w:marLeft w:val="0"/>
      <w:marRight w:val="0"/>
      <w:marTop w:val="0"/>
      <w:marBottom w:val="0"/>
      <w:divBdr>
        <w:top w:val="none" w:sz="0" w:space="0" w:color="auto"/>
        <w:left w:val="none" w:sz="0" w:space="0" w:color="auto"/>
        <w:bottom w:val="none" w:sz="0" w:space="0" w:color="auto"/>
        <w:right w:val="none" w:sz="0" w:space="0" w:color="auto"/>
      </w:divBdr>
    </w:div>
    <w:div w:id="1717585148">
      <w:bodyDiv w:val="1"/>
      <w:marLeft w:val="0"/>
      <w:marRight w:val="0"/>
      <w:marTop w:val="0"/>
      <w:marBottom w:val="0"/>
      <w:divBdr>
        <w:top w:val="none" w:sz="0" w:space="0" w:color="auto"/>
        <w:left w:val="none" w:sz="0" w:space="0" w:color="auto"/>
        <w:bottom w:val="none" w:sz="0" w:space="0" w:color="auto"/>
        <w:right w:val="none" w:sz="0" w:space="0" w:color="auto"/>
      </w:divBdr>
      <w:divsChild>
        <w:div w:id="2128236949">
          <w:marLeft w:val="0"/>
          <w:marRight w:val="0"/>
          <w:marTop w:val="0"/>
          <w:marBottom w:val="0"/>
          <w:divBdr>
            <w:top w:val="none" w:sz="0" w:space="0" w:color="auto"/>
            <w:left w:val="none" w:sz="0" w:space="0" w:color="auto"/>
            <w:bottom w:val="none" w:sz="0" w:space="0" w:color="auto"/>
            <w:right w:val="none" w:sz="0" w:space="0" w:color="auto"/>
          </w:divBdr>
        </w:div>
      </w:divsChild>
    </w:div>
    <w:div w:id="1720010442">
      <w:bodyDiv w:val="1"/>
      <w:marLeft w:val="0"/>
      <w:marRight w:val="0"/>
      <w:marTop w:val="0"/>
      <w:marBottom w:val="0"/>
      <w:divBdr>
        <w:top w:val="none" w:sz="0" w:space="0" w:color="auto"/>
        <w:left w:val="none" w:sz="0" w:space="0" w:color="auto"/>
        <w:bottom w:val="none" w:sz="0" w:space="0" w:color="auto"/>
        <w:right w:val="none" w:sz="0" w:space="0" w:color="auto"/>
      </w:divBdr>
      <w:divsChild>
        <w:div w:id="151457852">
          <w:marLeft w:val="0"/>
          <w:marRight w:val="0"/>
          <w:marTop w:val="0"/>
          <w:marBottom w:val="0"/>
          <w:divBdr>
            <w:top w:val="none" w:sz="0" w:space="0" w:color="auto"/>
            <w:left w:val="none" w:sz="0" w:space="0" w:color="auto"/>
            <w:bottom w:val="none" w:sz="0" w:space="0" w:color="auto"/>
            <w:right w:val="none" w:sz="0" w:space="0" w:color="auto"/>
          </w:divBdr>
        </w:div>
      </w:divsChild>
    </w:div>
    <w:div w:id="1733384208">
      <w:bodyDiv w:val="1"/>
      <w:marLeft w:val="0"/>
      <w:marRight w:val="0"/>
      <w:marTop w:val="0"/>
      <w:marBottom w:val="0"/>
      <w:divBdr>
        <w:top w:val="none" w:sz="0" w:space="0" w:color="auto"/>
        <w:left w:val="none" w:sz="0" w:space="0" w:color="auto"/>
        <w:bottom w:val="none" w:sz="0" w:space="0" w:color="auto"/>
        <w:right w:val="none" w:sz="0" w:space="0" w:color="auto"/>
      </w:divBdr>
      <w:divsChild>
        <w:div w:id="696464303">
          <w:marLeft w:val="0"/>
          <w:marRight w:val="0"/>
          <w:marTop w:val="0"/>
          <w:marBottom w:val="0"/>
          <w:divBdr>
            <w:top w:val="none" w:sz="0" w:space="0" w:color="auto"/>
            <w:left w:val="none" w:sz="0" w:space="0" w:color="auto"/>
            <w:bottom w:val="none" w:sz="0" w:space="0" w:color="auto"/>
            <w:right w:val="none" w:sz="0" w:space="0" w:color="auto"/>
          </w:divBdr>
          <w:divsChild>
            <w:div w:id="32987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805024">
      <w:bodyDiv w:val="1"/>
      <w:marLeft w:val="0"/>
      <w:marRight w:val="0"/>
      <w:marTop w:val="0"/>
      <w:marBottom w:val="0"/>
      <w:divBdr>
        <w:top w:val="none" w:sz="0" w:space="0" w:color="auto"/>
        <w:left w:val="none" w:sz="0" w:space="0" w:color="auto"/>
        <w:bottom w:val="none" w:sz="0" w:space="0" w:color="auto"/>
        <w:right w:val="none" w:sz="0" w:space="0" w:color="auto"/>
      </w:divBdr>
    </w:div>
    <w:div w:id="1798134081">
      <w:bodyDiv w:val="1"/>
      <w:marLeft w:val="0"/>
      <w:marRight w:val="0"/>
      <w:marTop w:val="0"/>
      <w:marBottom w:val="0"/>
      <w:divBdr>
        <w:top w:val="none" w:sz="0" w:space="0" w:color="auto"/>
        <w:left w:val="none" w:sz="0" w:space="0" w:color="auto"/>
        <w:bottom w:val="none" w:sz="0" w:space="0" w:color="auto"/>
        <w:right w:val="none" w:sz="0" w:space="0" w:color="auto"/>
      </w:divBdr>
      <w:divsChild>
        <w:div w:id="2094161095">
          <w:marLeft w:val="0"/>
          <w:marRight w:val="0"/>
          <w:marTop w:val="0"/>
          <w:marBottom w:val="0"/>
          <w:divBdr>
            <w:top w:val="none" w:sz="0" w:space="0" w:color="auto"/>
            <w:left w:val="none" w:sz="0" w:space="0" w:color="auto"/>
            <w:bottom w:val="none" w:sz="0" w:space="0" w:color="auto"/>
            <w:right w:val="none" w:sz="0" w:space="0" w:color="auto"/>
          </w:divBdr>
        </w:div>
      </w:divsChild>
    </w:div>
    <w:div w:id="1863517410">
      <w:bodyDiv w:val="1"/>
      <w:marLeft w:val="0"/>
      <w:marRight w:val="0"/>
      <w:marTop w:val="0"/>
      <w:marBottom w:val="0"/>
      <w:divBdr>
        <w:top w:val="none" w:sz="0" w:space="0" w:color="auto"/>
        <w:left w:val="none" w:sz="0" w:space="0" w:color="auto"/>
        <w:bottom w:val="none" w:sz="0" w:space="0" w:color="auto"/>
        <w:right w:val="none" w:sz="0" w:space="0" w:color="auto"/>
      </w:divBdr>
      <w:divsChild>
        <w:div w:id="846138765">
          <w:marLeft w:val="0"/>
          <w:marRight w:val="0"/>
          <w:marTop w:val="0"/>
          <w:marBottom w:val="0"/>
          <w:divBdr>
            <w:top w:val="none" w:sz="0" w:space="0" w:color="auto"/>
            <w:left w:val="none" w:sz="0" w:space="0" w:color="auto"/>
            <w:bottom w:val="none" w:sz="0" w:space="0" w:color="auto"/>
            <w:right w:val="none" w:sz="0" w:space="0" w:color="auto"/>
          </w:divBdr>
        </w:div>
      </w:divsChild>
    </w:div>
    <w:div w:id="1919050752">
      <w:bodyDiv w:val="1"/>
      <w:marLeft w:val="0"/>
      <w:marRight w:val="0"/>
      <w:marTop w:val="0"/>
      <w:marBottom w:val="0"/>
      <w:divBdr>
        <w:top w:val="none" w:sz="0" w:space="0" w:color="auto"/>
        <w:left w:val="none" w:sz="0" w:space="0" w:color="auto"/>
        <w:bottom w:val="none" w:sz="0" w:space="0" w:color="auto"/>
        <w:right w:val="none" w:sz="0" w:space="0" w:color="auto"/>
      </w:divBdr>
      <w:divsChild>
        <w:div w:id="1305239251">
          <w:marLeft w:val="0"/>
          <w:marRight w:val="0"/>
          <w:marTop w:val="0"/>
          <w:marBottom w:val="0"/>
          <w:divBdr>
            <w:top w:val="none" w:sz="0" w:space="0" w:color="auto"/>
            <w:left w:val="none" w:sz="0" w:space="0" w:color="auto"/>
            <w:bottom w:val="none" w:sz="0" w:space="0" w:color="auto"/>
            <w:right w:val="none" w:sz="0" w:space="0" w:color="auto"/>
          </w:divBdr>
        </w:div>
      </w:divsChild>
    </w:div>
    <w:div w:id="1919289121">
      <w:bodyDiv w:val="1"/>
      <w:marLeft w:val="0"/>
      <w:marRight w:val="0"/>
      <w:marTop w:val="0"/>
      <w:marBottom w:val="0"/>
      <w:divBdr>
        <w:top w:val="none" w:sz="0" w:space="0" w:color="auto"/>
        <w:left w:val="none" w:sz="0" w:space="0" w:color="auto"/>
        <w:bottom w:val="none" w:sz="0" w:space="0" w:color="auto"/>
        <w:right w:val="none" w:sz="0" w:space="0" w:color="auto"/>
      </w:divBdr>
      <w:divsChild>
        <w:div w:id="1999460548">
          <w:marLeft w:val="0"/>
          <w:marRight w:val="0"/>
          <w:marTop w:val="0"/>
          <w:marBottom w:val="0"/>
          <w:divBdr>
            <w:top w:val="none" w:sz="0" w:space="0" w:color="auto"/>
            <w:left w:val="none" w:sz="0" w:space="0" w:color="auto"/>
            <w:bottom w:val="none" w:sz="0" w:space="0" w:color="auto"/>
            <w:right w:val="none" w:sz="0" w:space="0" w:color="auto"/>
          </w:divBdr>
        </w:div>
      </w:divsChild>
    </w:div>
    <w:div w:id="1946765727">
      <w:bodyDiv w:val="1"/>
      <w:marLeft w:val="0"/>
      <w:marRight w:val="0"/>
      <w:marTop w:val="0"/>
      <w:marBottom w:val="0"/>
      <w:divBdr>
        <w:top w:val="none" w:sz="0" w:space="0" w:color="auto"/>
        <w:left w:val="none" w:sz="0" w:space="0" w:color="auto"/>
        <w:bottom w:val="none" w:sz="0" w:space="0" w:color="auto"/>
        <w:right w:val="none" w:sz="0" w:space="0" w:color="auto"/>
      </w:divBdr>
    </w:div>
    <w:div w:id="1968466647">
      <w:bodyDiv w:val="1"/>
      <w:marLeft w:val="0"/>
      <w:marRight w:val="0"/>
      <w:marTop w:val="0"/>
      <w:marBottom w:val="0"/>
      <w:divBdr>
        <w:top w:val="none" w:sz="0" w:space="0" w:color="auto"/>
        <w:left w:val="none" w:sz="0" w:space="0" w:color="auto"/>
        <w:bottom w:val="none" w:sz="0" w:space="0" w:color="auto"/>
        <w:right w:val="none" w:sz="0" w:space="0" w:color="auto"/>
      </w:divBdr>
      <w:divsChild>
        <w:div w:id="1051461402">
          <w:marLeft w:val="0"/>
          <w:marRight w:val="0"/>
          <w:marTop w:val="0"/>
          <w:marBottom w:val="0"/>
          <w:divBdr>
            <w:top w:val="none" w:sz="0" w:space="0" w:color="auto"/>
            <w:left w:val="none" w:sz="0" w:space="0" w:color="auto"/>
            <w:bottom w:val="none" w:sz="0" w:space="0" w:color="auto"/>
            <w:right w:val="none" w:sz="0" w:space="0" w:color="auto"/>
          </w:divBdr>
        </w:div>
      </w:divsChild>
    </w:div>
    <w:div w:id="1986009472">
      <w:bodyDiv w:val="1"/>
      <w:marLeft w:val="0"/>
      <w:marRight w:val="0"/>
      <w:marTop w:val="0"/>
      <w:marBottom w:val="0"/>
      <w:divBdr>
        <w:top w:val="none" w:sz="0" w:space="0" w:color="auto"/>
        <w:left w:val="none" w:sz="0" w:space="0" w:color="auto"/>
        <w:bottom w:val="none" w:sz="0" w:space="0" w:color="auto"/>
        <w:right w:val="none" w:sz="0" w:space="0" w:color="auto"/>
      </w:divBdr>
      <w:divsChild>
        <w:div w:id="1535772972">
          <w:marLeft w:val="0"/>
          <w:marRight w:val="0"/>
          <w:marTop w:val="0"/>
          <w:marBottom w:val="0"/>
          <w:divBdr>
            <w:top w:val="none" w:sz="0" w:space="0" w:color="auto"/>
            <w:left w:val="none" w:sz="0" w:space="0" w:color="auto"/>
            <w:bottom w:val="none" w:sz="0" w:space="0" w:color="auto"/>
            <w:right w:val="none" w:sz="0" w:space="0" w:color="auto"/>
          </w:divBdr>
        </w:div>
      </w:divsChild>
    </w:div>
    <w:div w:id="2010475356">
      <w:bodyDiv w:val="1"/>
      <w:marLeft w:val="0"/>
      <w:marRight w:val="0"/>
      <w:marTop w:val="0"/>
      <w:marBottom w:val="0"/>
      <w:divBdr>
        <w:top w:val="none" w:sz="0" w:space="0" w:color="auto"/>
        <w:left w:val="none" w:sz="0" w:space="0" w:color="auto"/>
        <w:bottom w:val="none" w:sz="0" w:space="0" w:color="auto"/>
        <w:right w:val="none" w:sz="0" w:space="0" w:color="auto"/>
      </w:divBdr>
    </w:div>
    <w:div w:id="2018313262">
      <w:bodyDiv w:val="1"/>
      <w:marLeft w:val="0"/>
      <w:marRight w:val="0"/>
      <w:marTop w:val="0"/>
      <w:marBottom w:val="0"/>
      <w:divBdr>
        <w:top w:val="none" w:sz="0" w:space="0" w:color="auto"/>
        <w:left w:val="none" w:sz="0" w:space="0" w:color="auto"/>
        <w:bottom w:val="none" w:sz="0" w:space="0" w:color="auto"/>
        <w:right w:val="none" w:sz="0" w:space="0" w:color="auto"/>
      </w:divBdr>
      <w:divsChild>
        <w:div w:id="679550728">
          <w:marLeft w:val="0"/>
          <w:marRight w:val="0"/>
          <w:marTop w:val="0"/>
          <w:marBottom w:val="0"/>
          <w:divBdr>
            <w:top w:val="none" w:sz="0" w:space="0" w:color="auto"/>
            <w:left w:val="none" w:sz="0" w:space="0" w:color="auto"/>
            <w:bottom w:val="none" w:sz="0" w:space="0" w:color="auto"/>
            <w:right w:val="none" w:sz="0" w:space="0" w:color="auto"/>
          </w:divBdr>
        </w:div>
      </w:divsChild>
    </w:div>
    <w:div w:id="2051108493">
      <w:bodyDiv w:val="1"/>
      <w:marLeft w:val="0"/>
      <w:marRight w:val="0"/>
      <w:marTop w:val="0"/>
      <w:marBottom w:val="0"/>
      <w:divBdr>
        <w:top w:val="none" w:sz="0" w:space="0" w:color="auto"/>
        <w:left w:val="none" w:sz="0" w:space="0" w:color="auto"/>
        <w:bottom w:val="none" w:sz="0" w:space="0" w:color="auto"/>
        <w:right w:val="none" w:sz="0" w:space="0" w:color="auto"/>
      </w:divBdr>
      <w:divsChild>
        <w:div w:id="1743596180">
          <w:marLeft w:val="0"/>
          <w:marRight w:val="0"/>
          <w:marTop w:val="0"/>
          <w:marBottom w:val="0"/>
          <w:divBdr>
            <w:top w:val="none" w:sz="0" w:space="0" w:color="auto"/>
            <w:left w:val="none" w:sz="0" w:space="0" w:color="auto"/>
            <w:bottom w:val="none" w:sz="0" w:space="0" w:color="auto"/>
            <w:right w:val="none" w:sz="0" w:space="0" w:color="auto"/>
          </w:divBdr>
        </w:div>
      </w:divsChild>
    </w:div>
    <w:div w:id="2062050091">
      <w:bodyDiv w:val="1"/>
      <w:marLeft w:val="0"/>
      <w:marRight w:val="0"/>
      <w:marTop w:val="0"/>
      <w:marBottom w:val="0"/>
      <w:divBdr>
        <w:top w:val="none" w:sz="0" w:space="0" w:color="auto"/>
        <w:left w:val="none" w:sz="0" w:space="0" w:color="auto"/>
        <w:bottom w:val="none" w:sz="0" w:space="0" w:color="auto"/>
        <w:right w:val="none" w:sz="0" w:space="0" w:color="auto"/>
      </w:divBdr>
      <w:divsChild>
        <w:div w:id="1819295985">
          <w:marLeft w:val="0"/>
          <w:marRight w:val="0"/>
          <w:marTop w:val="0"/>
          <w:marBottom w:val="0"/>
          <w:divBdr>
            <w:top w:val="none" w:sz="0" w:space="0" w:color="auto"/>
            <w:left w:val="none" w:sz="0" w:space="0" w:color="auto"/>
            <w:bottom w:val="none" w:sz="0" w:space="0" w:color="auto"/>
            <w:right w:val="none" w:sz="0" w:space="0" w:color="auto"/>
          </w:divBdr>
        </w:div>
      </w:divsChild>
    </w:div>
    <w:div w:id="2093232999">
      <w:bodyDiv w:val="1"/>
      <w:marLeft w:val="0"/>
      <w:marRight w:val="0"/>
      <w:marTop w:val="0"/>
      <w:marBottom w:val="0"/>
      <w:divBdr>
        <w:top w:val="none" w:sz="0" w:space="0" w:color="auto"/>
        <w:left w:val="none" w:sz="0" w:space="0" w:color="auto"/>
        <w:bottom w:val="none" w:sz="0" w:space="0" w:color="auto"/>
        <w:right w:val="none" w:sz="0" w:space="0" w:color="auto"/>
      </w:divBdr>
      <w:divsChild>
        <w:div w:id="2020889486">
          <w:marLeft w:val="0"/>
          <w:marRight w:val="0"/>
          <w:marTop w:val="0"/>
          <w:marBottom w:val="0"/>
          <w:divBdr>
            <w:top w:val="none" w:sz="0" w:space="0" w:color="auto"/>
            <w:left w:val="none" w:sz="0" w:space="0" w:color="auto"/>
            <w:bottom w:val="none" w:sz="0" w:space="0" w:color="auto"/>
            <w:right w:val="none" w:sz="0" w:space="0" w:color="auto"/>
          </w:divBdr>
        </w:div>
      </w:divsChild>
    </w:div>
    <w:div w:id="2095390561">
      <w:bodyDiv w:val="1"/>
      <w:marLeft w:val="0"/>
      <w:marRight w:val="0"/>
      <w:marTop w:val="0"/>
      <w:marBottom w:val="0"/>
      <w:divBdr>
        <w:top w:val="none" w:sz="0" w:space="0" w:color="auto"/>
        <w:left w:val="none" w:sz="0" w:space="0" w:color="auto"/>
        <w:bottom w:val="none" w:sz="0" w:space="0" w:color="auto"/>
        <w:right w:val="none" w:sz="0" w:space="0" w:color="auto"/>
      </w:divBdr>
    </w:div>
    <w:div w:id="2130855386">
      <w:bodyDiv w:val="1"/>
      <w:marLeft w:val="0"/>
      <w:marRight w:val="0"/>
      <w:marTop w:val="0"/>
      <w:marBottom w:val="0"/>
      <w:divBdr>
        <w:top w:val="none" w:sz="0" w:space="0" w:color="auto"/>
        <w:left w:val="none" w:sz="0" w:space="0" w:color="auto"/>
        <w:bottom w:val="none" w:sz="0" w:space="0" w:color="auto"/>
        <w:right w:val="none" w:sz="0" w:space="0" w:color="auto"/>
      </w:divBdr>
      <w:divsChild>
        <w:div w:id="2021159473">
          <w:marLeft w:val="0"/>
          <w:marRight w:val="0"/>
          <w:marTop w:val="0"/>
          <w:marBottom w:val="0"/>
          <w:divBdr>
            <w:top w:val="none" w:sz="0" w:space="0" w:color="auto"/>
            <w:left w:val="none" w:sz="0" w:space="0" w:color="auto"/>
            <w:bottom w:val="none" w:sz="0" w:space="0" w:color="auto"/>
            <w:right w:val="none" w:sz="0" w:space="0" w:color="auto"/>
          </w:divBdr>
          <w:divsChild>
            <w:div w:id="156251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356366">
      <w:bodyDiv w:val="1"/>
      <w:marLeft w:val="0"/>
      <w:marRight w:val="0"/>
      <w:marTop w:val="0"/>
      <w:marBottom w:val="0"/>
      <w:divBdr>
        <w:top w:val="none" w:sz="0" w:space="0" w:color="auto"/>
        <w:left w:val="none" w:sz="0" w:space="0" w:color="auto"/>
        <w:bottom w:val="none" w:sz="0" w:space="0" w:color="auto"/>
        <w:right w:val="none" w:sz="0" w:space="0" w:color="auto"/>
      </w:divBdr>
    </w:div>
    <w:div w:id="2145586827">
      <w:bodyDiv w:val="1"/>
      <w:marLeft w:val="0"/>
      <w:marRight w:val="0"/>
      <w:marTop w:val="0"/>
      <w:marBottom w:val="0"/>
      <w:divBdr>
        <w:top w:val="none" w:sz="0" w:space="0" w:color="auto"/>
        <w:left w:val="none" w:sz="0" w:space="0" w:color="auto"/>
        <w:bottom w:val="none" w:sz="0" w:space="0" w:color="auto"/>
        <w:right w:val="none" w:sz="0" w:space="0" w:color="auto"/>
      </w:divBdr>
      <w:divsChild>
        <w:div w:id="1742678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42"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_rels/footnotes.xml.rels><?xml version="1.0" encoding="UTF-8" standalone="yes"?>
<Relationships xmlns="http://schemas.openxmlformats.org/package/2006/relationships"><Relationship Id="rId3" Type="http://schemas.openxmlformats.org/officeDocument/2006/relationships/hyperlink" Target="http://help.incites.clarivate.com/inCites2Live/indicatorsGroup/aboutHandbook/usingCitationIndicatorsWisely/jifQuartile.html" TargetMode="External"/><Relationship Id="rId2" Type="http://schemas.openxmlformats.org/officeDocument/2006/relationships/hyperlink" Target="https://datahelpdesk.worldbank.org/knowledgebase/articles/906519-world-bank-country-and-lending-groups" TargetMode="External"/><Relationship Id="rId1" Type="http://schemas.openxmlformats.org/officeDocument/2006/relationships/hyperlink" Target="https://www.nlm.nih.gov/mesh/intro_trees.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yegrosa\Dropbox\Disease%20Burden,%20research%20priorities,%20citation%20impacts,%20and%20inappropriate%20evaluation%20schemes\1.%20Pre-%20November%202019%20Initial%20Publication%20work\Article\Yegros_SupplMat_AY.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'Fig S1'!$A$6:$A$9</c:f>
              <c:strCache>
                <c:ptCount val="4"/>
                <c:pt idx="0">
                  <c:v>World</c:v>
                </c:pt>
                <c:pt idx="1">
                  <c:v>Health</c:v>
                </c:pt>
                <c:pt idx="2">
                  <c:v>Diseases </c:v>
                </c:pt>
                <c:pt idx="3">
                  <c:v>134 WHO diseases</c:v>
                </c:pt>
              </c:strCache>
            </c:strRef>
          </c:cat>
          <c:val>
            <c:numRef>
              <c:f>'Fig S1'!$C$6:$C$9</c:f>
              <c:numCache>
                <c:formatCode>0%</c:formatCode>
                <c:ptCount val="4"/>
                <c:pt idx="0">
                  <c:v>1</c:v>
                </c:pt>
                <c:pt idx="1">
                  <c:v>0.42940961182476101</c:v>
                </c:pt>
                <c:pt idx="2">
                  <c:v>0.22229902252969053</c:v>
                </c:pt>
                <c:pt idx="3">
                  <c:v>0.12938697711605196</c:v>
                </c:pt>
              </c:numCache>
            </c:numRef>
          </c:val>
          <c:extLst>
            <c:ext xmlns:c16="http://schemas.microsoft.com/office/drawing/2014/chart" uri="{C3380CC4-5D6E-409C-BE32-E72D297353CC}">
              <c16:uniqueId val="{00000000-875B-4736-B71D-49B79B163BDB}"/>
            </c:ext>
          </c:extLst>
        </c:ser>
        <c:dLbls>
          <c:showLegendKey val="0"/>
          <c:showVal val="0"/>
          <c:showCatName val="0"/>
          <c:showSerName val="0"/>
          <c:showPercent val="0"/>
          <c:showBubbleSize val="0"/>
        </c:dLbls>
        <c:gapWidth val="219"/>
        <c:overlap val="-27"/>
        <c:axId val="490816320"/>
        <c:axId val="490816648"/>
      </c:barChart>
      <c:catAx>
        <c:axId val="490816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490816648"/>
        <c:crosses val="autoZero"/>
        <c:auto val="1"/>
        <c:lblAlgn val="ctr"/>
        <c:lblOffset val="100"/>
        <c:noMultiLvlLbl val="0"/>
      </c:catAx>
      <c:valAx>
        <c:axId val="49081664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490816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43F03-3263-4A29-A380-E54FC46E6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10553</Words>
  <Characters>58045</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dc:creator>
  <cp:keywords/>
  <dc:description/>
  <cp:lastModifiedBy>Yegros, A.</cp:lastModifiedBy>
  <cp:revision>73</cp:revision>
  <dcterms:created xsi:type="dcterms:W3CDTF">2019-11-06T08:08:00Z</dcterms:created>
  <dcterms:modified xsi:type="dcterms:W3CDTF">2019-11-07T16:00:00Z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zotero-version="5.0.55"&gt;&lt;session id="iY9iBiNC"/&gt;&lt;style id="http://www.zotero.org/styles/vancouver-brackets" locale="en-GB"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