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FF5" w:rsidRDefault="00510FF5" w:rsidP="00510FF5">
      <w:pPr>
        <w:jc w:val="both"/>
        <w:rPr>
          <w:rStyle w:val="fontstyle01"/>
          <w:b/>
        </w:rPr>
      </w:pPr>
      <w:r>
        <w:rPr>
          <w:rStyle w:val="fontstyle01"/>
          <w:b/>
        </w:rPr>
        <w:t xml:space="preserve">Additional File 1: Summary Table of 2016/2017 </w:t>
      </w:r>
      <w:proofErr w:type="spellStart"/>
      <w:r>
        <w:rPr>
          <w:rStyle w:val="fontstyle01"/>
          <w:b/>
        </w:rPr>
        <w:t>iPIER</w:t>
      </w:r>
      <w:proofErr w:type="spellEnd"/>
      <w:r>
        <w:rPr>
          <w:rStyle w:val="fontstyle01"/>
          <w:b/>
        </w:rPr>
        <w:t xml:space="preserve"> </w:t>
      </w:r>
      <w:r w:rsidR="00B92F90">
        <w:rPr>
          <w:rStyle w:val="fontstyle01"/>
          <w:b/>
        </w:rPr>
        <w:t xml:space="preserve">Embedded IR </w:t>
      </w:r>
      <w:r>
        <w:rPr>
          <w:rStyle w:val="fontstyle01"/>
          <w:b/>
        </w:rPr>
        <w:t>Projects</w:t>
      </w:r>
    </w:p>
    <w:tbl>
      <w:tblPr>
        <w:tblW w:w="5000" w:type="pct"/>
        <w:tblLayout w:type="fixed"/>
        <w:tblCellMar>
          <w:left w:w="0" w:type="dxa"/>
          <w:right w:w="0" w:type="dxa"/>
        </w:tblCellMar>
        <w:tblLook w:val="04A0" w:firstRow="1" w:lastRow="0" w:firstColumn="1" w:lastColumn="0" w:noHBand="0" w:noVBand="1"/>
      </w:tblPr>
      <w:tblGrid>
        <w:gridCol w:w="1620"/>
        <w:gridCol w:w="1399"/>
        <w:gridCol w:w="1323"/>
        <w:gridCol w:w="2236"/>
        <w:gridCol w:w="2992"/>
        <w:gridCol w:w="1832"/>
        <w:gridCol w:w="1722"/>
      </w:tblGrid>
      <w:tr w:rsidR="00510FF5" w:rsidRPr="004F74C0" w:rsidTr="00510FF5">
        <w:trPr>
          <w:trHeight w:val="525"/>
        </w:trPr>
        <w:tc>
          <w:tcPr>
            <w:tcW w:w="617" w:type="pct"/>
            <w:tcBorders>
              <w:top w:val="nil"/>
              <w:left w:val="nil"/>
              <w:bottom w:val="single" w:sz="8" w:space="0" w:color="000000" w:themeColor="text1"/>
              <w:right w:val="nil"/>
            </w:tcBorders>
            <w:shd w:val="clear" w:color="auto" w:fill="4F81BD" w:themeFill="accent1"/>
            <w:tcMar>
              <w:top w:w="15" w:type="dxa"/>
              <w:left w:w="82" w:type="dxa"/>
              <w:bottom w:w="0" w:type="dxa"/>
              <w:right w:w="82" w:type="dxa"/>
            </w:tcMar>
            <w:hideMark/>
          </w:tcPr>
          <w:p w:rsidR="00510FF5" w:rsidRPr="004F74C0" w:rsidRDefault="00510FF5" w:rsidP="002E1479">
            <w:pPr>
              <w:spacing w:after="0"/>
              <w:jc w:val="both"/>
              <w:rPr>
                <w:rFonts w:eastAsiaTheme="minorEastAsia"/>
                <w:sz w:val="20"/>
                <w:szCs w:val="20"/>
              </w:rPr>
            </w:pPr>
            <w:r w:rsidRPr="004F74C0">
              <w:rPr>
                <w:rFonts w:eastAsiaTheme="minorEastAsia"/>
                <w:b/>
                <w:bCs/>
                <w:sz w:val="20"/>
                <w:szCs w:val="20"/>
              </w:rPr>
              <w:t>Targeted Program</w:t>
            </w:r>
          </w:p>
        </w:tc>
        <w:tc>
          <w:tcPr>
            <w:tcW w:w="533" w:type="pct"/>
            <w:tcBorders>
              <w:top w:val="nil"/>
              <w:left w:val="nil"/>
              <w:bottom w:val="single" w:sz="8" w:space="0" w:color="000000" w:themeColor="text1"/>
              <w:right w:val="nil"/>
            </w:tcBorders>
            <w:shd w:val="clear" w:color="auto" w:fill="4F81BD" w:themeFill="accent1"/>
          </w:tcPr>
          <w:p w:rsidR="00510FF5" w:rsidRPr="004F74C0" w:rsidRDefault="00510FF5" w:rsidP="00510FF5">
            <w:pPr>
              <w:tabs>
                <w:tab w:val="left" w:pos="1236"/>
              </w:tabs>
              <w:spacing w:after="0"/>
              <w:ind w:right="179"/>
              <w:rPr>
                <w:rFonts w:eastAsiaTheme="minorEastAsia"/>
                <w:b/>
                <w:bCs/>
                <w:sz w:val="20"/>
                <w:szCs w:val="20"/>
              </w:rPr>
            </w:pPr>
            <w:r w:rsidRPr="004F74C0">
              <w:rPr>
                <w:rFonts w:eastAsiaTheme="minorEastAsia"/>
                <w:b/>
                <w:bCs/>
                <w:sz w:val="20"/>
                <w:szCs w:val="20"/>
              </w:rPr>
              <w:t>Decision Maker Affiliation</w:t>
            </w:r>
          </w:p>
        </w:tc>
        <w:tc>
          <w:tcPr>
            <w:tcW w:w="504" w:type="pct"/>
            <w:tcBorders>
              <w:top w:val="nil"/>
              <w:left w:val="nil"/>
              <w:bottom w:val="single" w:sz="8" w:space="0" w:color="000000" w:themeColor="text1"/>
              <w:right w:val="nil"/>
            </w:tcBorders>
            <w:shd w:val="clear" w:color="auto" w:fill="4F81BD" w:themeFill="accent1"/>
          </w:tcPr>
          <w:p w:rsidR="00510FF5" w:rsidRPr="004F74C0" w:rsidRDefault="00510FF5" w:rsidP="00510FF5">
            <w:pPr>
              <w:spacing w:after="0"/>
              <w:ind w:left="68" w:right="196"/>
              <w:rPr>
                <w:rFonts w:eastAsiaTheme="minorEastAsia"/>
                <w:b/>
                <w:bCs/>
                <w:sz w:val="20"/>
                <w:szCs w:val="20"/>
              </w:rPr>
            </w:pPr>
            <w:r w:rsidRPr="004F74C0">
              <w:rPr>
                <w:rFonts w:eastAsiaTheme="minorEastAsia"/>
                <w:b/>
                <w:bCs/>
                <w:sz w:val="20"/>
                <w:szCs w:val="20"/>
              </w:rPr>
              <w:t>Researcher Affiliation</w:t>
            </w:r>
          </w:p>
        </w:tc>
        <w:tc>
          <w:tcPr>
            <w:tcW w:w="852" w:type="pct"/>
            <w:tcBorders>
              <w:top w:val="nil"/>
              <w:left w:val="nil"/>
              <w:bottom w:val="single" w:sz="8" w:space="0" w:color="000000" w:themeColor="text1"/>
              <w:right w:val="nil"/>
            </w:tcBorders>
            <w:shd w:val="clear" w:color="auto" w:fill="4F81BD" w:themeFill="accent1"/>
          </w:tcPr>
          <w:p w:rsidR="00510FF5" w:rsidRPr="004F74C0" w:rsidRDefault="00510FF5" w:rsidP="00510FF5">
            <w:pPr>
              <w:spacing w:after="0"/>
              <w:ind w:right="106"/>
              <w:rPr>
                <w:rFonts w:eastAsiaTheme="minorEastAsia"/>
                <w:b/>
                <w:bCs/>
                <w:sz w:val="20"/>
                <w:szCs w:val="20"/>
              </w:rPr>
            </w:pPr>
            <w:r w:rsidRPr="004F74C0">
              <w:rPr>
                <w:rFonts w:eastAsiaTheme="minorEastAsia"/>
                <w:b/>
                <w:bCs/>
                <w:sz w:val="20"/>
                <w:szCs w:val="20"/>
              </w:rPr>
              <w:t>General Objective</w:t>
            </w:r>
          </w:p>
        </w:tc>
        <w:tc>
          <w:tcPr>
            <w:tcW w:w="1140" w:type="pct"/>
            <w:tcBorders>
              <w:top w:val="nil"/>
              <w:left w:val="nil"/>
              <w:bottom w:val="single" w:sz="8" w:space="0" w:color="000000" w:themeColor="text1"/>
              <w:right w:val="nil"/>
            </w:tcBorders>
            <w:shd w:val="clear" w:color="auto" w:fill="4F81BD" w:themeFill="accent1"/>
          </w:tcPr>
          <w:p w:rsidR="00510FF5" w:rsidRPr="004F74C0" w:rsidRDefault="00510FF5" w:rsidP="002E1479">
            <w:pPr>
              <w:spacing w:after="0"/>
              <w:ind w:left="87" w:right="196"/>
              <w:rPr>
                <w:rFonts w:eastAsiaTheme="minorEastAsia"/>
                <w:b/>
                <w:bCs/>
                <w:sz w:val="20"/>
                <w:szCs w:val="20"/>
              </w:rPr>
            </w:pPr>
            <w:r w:rsidRPr="004F74C0">
              <w:rPr>
                <w:rFonts w:eastAsiaTheme="minorEastAsia"/>
                <w:b/>
                <w:bCs/>
                <w:sz w:val="20"/>
                <w:szCs w:val="20"/>
              </w:rPr>
              <w:t>Research Question</w:t>
            </w:r>
          </w:p>
        </w:tc>
        <w:tc>
          <w:tcPr>
            <w:tcW w:w="698" w:type="pct"/>
            <w:tcBorders>
              <w:top w:val="nil"/>
              <w:left w:val="nil"/>
              <w:bottom w:val="single" w:sz="8" w:space="0" w:color="000000" w:themeColor="text1"/>
              <w:right w:val="nil"/>
            </w:tcBorders>
            <w:shd w:val="clear" w:color="auto" w:fill="4F81BD" w:themeFill="accent1"/>
          </w:tcPr>
          <w:p w:rsidR="00510FF5" w:rsidRPr="004F74C0" w:rsidRDefault="00510FF5" w:rsidP="002E1479">
            <w:pPr>
              <w:spacing w:after="0"/>
              <w:ind w:right="196"/>
              <w:rPr>
                <w:rFonts w:eastAsiaTheme="minorEastAsia"/>
                <w:b/>
                <w:bCs/>
                <w:sz w:val="20"/>
                <w:szCs w:val="20"/>
              </w:rPr>
            </w:pPr>
            <w:r>
              <w:rPr>
                <w:rFonts w:eastAsiaTheme="minorEastAsia"/>
                <w:b/>
                <w:bCs/>
                <w:sz w:val="20"/>
                <w:szCs w:val="20"/>
              </w:rPr>
              <w:t>Research design/ Methods</w:t>
            </w:r>
          </w:p>
        </w:tc>
        <w:tc>
          <w:tcPr>
            <w:tcW w:w="656" w:type="pct"/>
            <w:tcBorders>
              <w:top w:val="nil"/>
              <w:left w:val="nil"/>
              <w:bottom w:val="single" w:sz="8" w:space="0" w:color="000000" w:themeColor="text1"/>
              <w:right w:val="nil"/>
            </w:tcBorders>
            <w:shd w:val="clear" w:color="auto" w:fill="4F81BD" w:themeFill="accent1"/>
            <w:tcMar>
              <w:top w:w="15" w:type="dxa"/>
              <w:left w:w="82" w:type="dxa"/>
              <w:bottom w:w="0" w:type="dxa"/>
              <w:right w:w="82" w:type="dxa"/>
            </w:tcMar>
            <w:hideMark/>
          </w:tcPr>
          <w:p w:rsidR="00510FF5" w:rsidRPr="004F74C0" w:rsidRDefault="00510FF5" w:rsidP="002E1479">
            <w:pPr>
              <w:spacing w:after="0"/>
              <w:ind w:right="196"/>
              <w:rPr>
                <w:rFonts w:eastAsiaTheme="minorEastAsia"/>
                <w:sz w:val="20"/>
                <w:szCs w:val="20"/>
              </w:rPr>
            </w:pPr>
            <w:r w:rsidRPr="004F74C0">
              <w:rPr>
                <w:rFonts w:eastAsiaTheme="minorEastAsia"/>
                <w:b/>
                <w:bCs/>
                <w:sz w:val="20"/>
                <w:szCs w:val="20"/>
              </w:rPr>
              <w:t>Geographic Scope of investigation</w:t>
            </w:r>
          </w:p>
        </w:tc>
      </w:tr>
      <w:tr w:rsidR="00510FF5" w:rsidRPr="004F74C0" w:rsidTr="00510FF5">
        <w:trPr>
          <w:trHeight w:val="307"/>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2E1479">
            <w:pPr>
              <w:spacing w:after="0"/>
              <w:rPr>
                <w:rFonts w:eastAsiaTheme="minorEastAsia"/>
                <w:sz w:val="20"/>
                <w:szCs w:val="20"/>
              </w:rPr>
            </w:pPr>
            <w:r w:rsidRPr="004F74C0">
              <w:rPr>
                <w:rFonts w:eastAsiaTheme="minorEastAsia"/>
                <w:b/>
                <w:bCs/>
                <w:sz w:val="20"/>
                <w:szCs w:val="20"/>
              </w:rPr>
              <w:t>Argentina</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jc w:val="both"/>
              <w:rPr>
                <w:rFonts w:eastAsiaTheme="minorEastAsia"/>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jc w:val="both"/>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2E1479">
            <w:pPr>
              <w:spacing w:after="0"/>
              <w:ind w:right="164"/>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2E1479">
            <w:pPr>
              <w:spacing w:after="0"/>
              <w:jc w:val="both"/>
              <w:rPr>
                <w:rFonts w:eastAsiaTheme="minorEastAsia"/>
                <w:sz w:val="20"/>
                <w:szCs w:val="20"/>
                <w:lang w:val="es-419"/>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2E1479">
            <w:pPr>
              <w:spacing w:after="0"/>
              <w:jc w:val="both"/>
              <w:rPr>
                <w:rFonts w:eastAsiaTheme="minorEastAsia"/>
                <w:sz w:val="20"/>
                <w:szCs w:val="20"/>
                <w:lang w:val="es-419"/>
              </w:rPr>
            </w:pPr>
          </w:p>
        </w:tc>
      </w:tr>
      <w:tr w:rsidR="00510FF5" w:rsidRPr="004F74C0" w:rsidTr="00510FF5">
        <w:trPr>
          <w:trHeight w:val="354"/>
        </w:trPr>
        <w:tc>
          <w:tcPr>
            <w:tcW w:w="617" w:type="pct"/>
            <w:tcBorders>
              <w:top w:val="single" w:sz="8" w:space="0" w:color="000000" w:themeColor="text1"/>
              <w:left w:val="nil"/>
              <w:bottom w:val="single" w:sz="8" w:space="0" w:color="000000" w:themeColor="text1"/>
              <w:right w:val="nil"/>
            </w:tcBorders>
            <w:shd w:val="clear" w:color="auto" w:fill="D0D8E8"/>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TB Control and Prevention Program in Penitentiary System</w:t>
            </w:r>
          </w:p>
        </w:tc>
        <w:tc>
          <w:tcPr>
            <w:tcW w:w="533"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Provincial Ministry of Health Director and Sub</w:t>
            </w:r>
            <w:r>
              <w:rPr>
                <w:rFonts w:eastAsiaTheme="minorEastAsia"/>
                <w:sz w:val="20"/>
                <w:szCs w:val="20"/>
              </w:rPr>
              <w:t>-</w:t>
            </w:r>
            <w:r w:rsidRPr="004F74C0">
              <w:rPr>
                <w:rFonts w:eastAsiaTheme="minorEastAsia"/>
                <w:sz w:val="20"/>
                <w:szCs w:val="20"/>
              </w:rPr>
              <w:t xml:space="preserve">secretariat for health among  Incarcerated Populations </w:t>
            </w:r>
          </w:p>
        </w:tc>
        <w:tc>
          <w:tcPr>
            <w:tcW w:w="504"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left="68" w:right="169"/>
              <w:rPr>
                <w:rFonts w:eastAsiaTheme="minorEastAsia"/>
                <w:sz w:val="20"/>
                <w:szCs w:val="20"/>
              </w:rPr>
            </w:pPr>
            <w:r w:rsidRPr="004F74C0">
              <w:rPr>
                <w:rFonts w:eastAsiaTheme="minorEastAsia"/>
                <w:sz w:val="20"/>
                <w:szCs w:val="20"/>
              </w:rPr>
              <w:t>Non-profit social sciences research Institute (CEDES)</w:t>
            </w:r>
          </w:p>
        </w:tc>
        <w:tc>
          <w:tcPr>
            <w:tcW w:w="852"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Identify the main barriers and facilitators in the implementation of the TB prevention and control program for incarcerated populations in the Province of Buenos Aires since the establishment of an inter</w:t>
            </w:r>
            <w:r>
              <w:rPr>
                <w:rFonts w:eastAsiaTheme="minorEastAsia"/>
                <w:sz w:val="20"/>
                <w:szCs w:val="20"/>
              </w:rPr>
              <w:t>-</w:t>
            </w:r>
            <w:r w:rsidRPr="004F74C0">
              <w:rPr>
                <w:rFonts w:eastAsiaTheme="minorEastAsia"/>
                <w:sz w:val="20"/>
                <w:szCs w:val="20"/>
              </w:rPr>
              <w:t>ministerial agreement (2009)</w:t>
            </w:r>
          </w:p>
        </w:tc>
        <w:tc>
          <w:tcPr>
            <w:tcW w:w="1140"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left="87" w:right="164"/>
              <w:rPr>
                <w:rFonts w:eastAsiaTheme="minorEastAsia"/>
                <w:sz w:val="20"/>
                <w:szCs w:val="20"/>
              </w:rPr>
            </w:pPr>
            <w:r w:rsidRPr="004F74C0">
              <w:rPr>
                <w:rFonts w:eastAsiaTheme="minorEastAsia"/>
                <w:sz w:val="20"/>
                <w:szCs w:val="20"/>
              </w:rPr>
              <w:t xml:space="preserve">How were the strategies for the prevention and control of TB in the incarcerated populations in PBA implemented, and what </w:t>
            </w:r>
            <w:proofErr w:type="gramStart"/>
            <w:r w:rsidRPr="004F74C0">
              <w:rPr>
                <w:rFonts w:eastAsiaTheme="minorEastAsia"/>
                <w:sz w:val="20"/>
                <w:szCs w:val="20"/>
              </w:rPr>
              <w:t>has</w:t>
            </w:r>
            <w:proofErr w:type="gramEnd"/>
            <w:r w:rsidRPr="004F74C0">
              <w:rPr>
                <w:rFonts w:eastAsiaTheme="minorEastAsia"/>
                <w:sz w:val="20"/>
                <w:szCs w:val="20"/>
              </w:rPr>
              <w:t xml:space="preserve"> been its acceptability, adherence and adoption by the Penitentiary Health Service? How could the implementation strategy of the TB program be modified in the PBA in order to favor its adoption by the Provincial Penitentiary Health Service?</w:t>
            </w:r>
          </w:p>
        </w:tc>
        <w:tc>
          <w:tcPr>
            <w:tcW w:w="698" w:type="pct"/>
            <w:tcBorders>
              <w:top w:val="single" w:sz="8" w:space="0" w:color="000000" w:themeColor="text1"/>
              <w:left w:val="nil"/>
              <w:bottom w:val="single" w:sz="8" w:space="0" w:color="000000" w:themeColor="text1"/>
              <w:right w:val="nil"/>
            </w:tcBorders>
            <w:shd w:val="clear" w:color="auto" w:fill="D0D8E8"/>
          </w:tcPr>
          <w:p w:rsidR="00510FF5" w:rsidRPr="00875F05" w:rsidRDefault="00510FF5" w:rsidP="00510FF5">
            <w:pPr>
              <w:spacing w:after="0"/>
              <w:ind w:right="180"/>
              <w:rPr>
                <w:rFonts w:eastAsiaTheme="minorEastAsia"/>
                <w:sz w:val="20"/>
                <w:szCs w:val="20"/>
              </w:rPr>
            </w:pPr>
            <w:r w:rsidRPr="00875F05">
              <w:rPr>
                <w:rFonts w:eastAsiaTheme="minorEastAsia"/>
                <w:sz w:val="20"/>
                <w:szCs w:val="20"/>
              </w:rPr>
              <w:t>Qualitative—Key informant interviews at multiple levels of penitentiary health system</w:t>
            </w:r>
          </w:p>
        </w:tc>
        <w:tc>
          <w:tcPr>
            <w:tcW w:w="656" w:type="pct"/>
            <w:tcBorders>
              <w:top w:val="single" w:sz="8" w:space="0" w:color="000000" w:themeColor="text1"/>
              <w:left w:val="nil"/>
              <w:bottom w:val="single" w:sz="8" w:space="0" w:color="000000" w:themeColor="text1"/>
              <w:right w:val="nil"/>
            </w:tcBorders>
            <w:shd w:val="clear" w:color="auto" w:fill="D0D8E8"/>
            <w:tcMar>
              <w:top w:w="15" w:type="dxa"/>
              <w:left w:w="82" w:type="dxa"/>
              <w:bottom w:w="0" w:type="dxa"/>
              <w:right w:w="82" w:type="dxa"/>
            </w:tcMar>
            <w:hideMark/>
          </w:tcPr>
          <w:p w:rsidR="00510FF5" w:rsidRPr="004F74C0" w:rsidRDefault="00510FF5" w:rsidP="00510FF5">
            <w:pPr>
              <w:spacing w:after="0"/>
              <w:ind w:left="98"/>
              <w:rPr>
                <w:rFonts w:eastAsiaTheme="minorEastAsia"/>
                <w:sz w:val="20"/>
                <w:szCs w:val="20"/>
              </w:rPr>
            </w:pPr>
            <w:r w:rsidRPr="004F74C0">
              <w:rPr>
                <w:rFonts w:eastAsiaTheme="minorEastAsia"/>
                <w:sz w:val="20"/>
                <w:szCs w:val="20"/>
                <w:lang w:val="es-419"/>
              </w:rPr>
              <w:t>Provincial</w:t>
            </w:r>
          </w:p>
        </w:tc>
      </w:tr>
      <w:tr w:rsidR="00510FF5" w:rsidRPr="004F74C0" w:rsidTr="00510FF5">
        <w:trPr>
          <w:trHeight w:val="280"/>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b/>
                <w:bCs/>
                <w:sz w:val="20"/>
                <w:szCs w:val="20"/>
              </w:rPr>
            </w:pPr>
            <w:r w:rsidRPr="004F74C0">
              <w:rPr>
                <w:rFonts w:eastAsiaTheme="minorEastAsia"/>
                <w:b/>
                <w:bCs/>
                <w:sz w:val="20"/>
                <w:szCs w:val="20"/>
              </w:rPr>
              <w:t>Bolivia</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rPr>
                <w:rFonts w:eastAsiaTheme="minorEastAsia"/>
                <w:b/>
                <w:bCs/>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b/>
                <w:bCs/>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b/>
                <w:bCs/>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b/>
                <w:bCs/>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b/>
                <w:bCs/>
                <w:sz w:val="20"/>
                <w:szCs w:val="20"/>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b/>
                <w:bCs/>
                <w:sz w:val="20"/>
                <w:szCs w:val="20"/>
              </w:rPr>
            </w:pPr>
          </w:p>
        </w:tc>
      </w:tr>
      <w:tr w:rsidR="00510FF5" w:rsidRPr="004F74C0" w:rsidTr="00AE1167">
        <w:trPr>
          <w:trHeight w:val="3628"/>
        </w:trPr>
        <w:tc>
          <w:tcPr>
            <w:tcW w:w="617"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 xml:space="preserve">The </w:t>
            </w:r>
            <w:proofErr w:type="spellStart"/>
            <w:r>
              <w:rPr>
                <w:rFonts w:eastAsiaTheme="minorEastAsia"/>
                <w:sz w:val="20"/>
                <w:szCs w:val="20"/>
              </w:rPr>
              <w:t>C</w:t>
            </w:r>
            <w:r w:rsidRPr="004F74C0">
              <w:rPr>
                <w:rFonts w:eastAsiaTheme="minorEastAsia"/>
                <w:i/>
                <w:iCs/>
                <w:sz w:val="20"/>
                <w:szCs w:val="20"/>
              </w:rPr>
              <w:t>hispitas</w:t>
            </w:r>
            <w:proofErr w:type="spellEnd"/>
            <w:r w:rsidRPr="004F74C0">
              <w:rPr>
                <w:rFonts w:eastAsiaTheme="minorEastAsia"/>
                <w:i/>
                <w:iCs/>
                <w:sz w:val="20"/>
                <w:szCs w:val="20"/>
              </w:rPr>
              <w:t xml:space="preserve"> </w:t>
            </w:r>
            <w:r w:rsidRPr="004F74C0">
              <w:rPr>
                <w:rFonts w:eastAsiaTheme="minorEastAsia"/>
                <w:sz w:val="20"/>
                <w:szCs w:val="20"/>
              </w:rPr>
              <w:t xml:space="preserve">micronutrient supplement strategy </w:t>
            </w:r>
            <w:r>
              <w:rPr>
                <w:rFonts w:eastAsiaTheme="minorEastAsia"/>
                <w:sz w:val="20"/>
                <w:szCs w:val="20"/>
              </w:rPr>
              <w:t>for children</w:t>
            </w:r>
          </w:p>
        </w:tc>
        <w:tc>
          <w:tcPr>
            <w:tcW w:w="533"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Regional coordinator of the municipal health network</w:t>
            </w:r>
          </w:p>
        </w:tc>
        <w:tc>
          <w:tcPr>
            <w:tcW w:w="504"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68" w:right="169"/>
              <w:rPr>
                <w:rFonts w:eastAsiaTheme="minorEastAsia"/>
                <w:sz w:val="20"/>
                <w:szCs w:val="20"/>
              </w:rPr>
            </w:pPr>
            <w:r w:rsidRPr="004F74C0">
              <w:rPr>
                <w:rFonts w:eastAsiaTheme="minorEastAsia"/>
                <w:sz w:val="20"/>
                <w:szCs w:val="20"/>
              </w:rPr>
              <w:t>Researcher and pediatrician at the municipal hospital</w:t>
            </w:r>
          </w:p>
        </w:tc>
        <w:tc>
          <w:tcPr>
            <w:tcW w:w="852"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AE1167">
            <w:pPr>
              <w:spacing w:after="0"/>
              <w:ind w:right="106"/>
              <w:rPr>
                <w:rFonts w:eastAsiaTheme="minorEastAsia"/>
                <w:sz w:val="20"/>
                <w:szCs w:val="20"/>
              </w:rPr>
            </w:pPr>
            <w:r w:rsidRPr="004F74C0">
              <w:rPr>
                <w:rFonts w:eastAsiaTheme="minorEastAsia"/>
                <w:sz w:val="20"/>
                <w:szCs w:val="20"/>
              </w:rPr>
              <w:t>To understand</w:t>
            </w:r>
            <w:r>
              <w:rPr>
                <w:rFonts w:eastAsiaTheme="minorEastAsia"/>
                <w:sz w:val="20"/>
                <w:szCs w:val="20"/>
              </w:rPr>
              <w:t xml:space="preserve">, in the context of </w:t>
            </w:r>
            <w:r w:rsidRPr="004F74C0">
              <w:rPr>
                <w:rFonts w:eastAsiaTheme="minorEastAsia"/>
                <w:sz w:val="20"/>
                <w:szCs w:val="20"/>
              </w:rPr>
              <w:t xml:space="preserve">the “Zero Malnutrition” Program, the barriers and facilitators </w:t>
            </w:r>
            <w:r w:rsidR="00AE1167">
              <w:rPr>
                <w:rFonts w:eastAsiaTheme="minorEastAsia"/>
                <w:sz w:val="20"/>
                <w:szCs w:val="20"/>
              </w:rPr>
              <w:t>in</w:t>
            </w:r>
            <w:r w:rsidRPr="004F74C0">
              <w:rPr>
                <w:rFonts w:eastAsiaTheme="minorEastAsia"/>
                <w:sz w:val="20"/>
                <w:szCs w:val="20"/>
              </w:rPr>
              <w:t xml:space="preserve"> adherence to </w:t>
            </w:r>
            <w:proofErr w:type="spellStart"/>
            <w:r w:rsidR="00AE1167" w:rsidRPr="00AE1167">
              <w:rPr>
                <w:rFonts w:eastAsiaTheme="minorEastAsia"/>
                <w:i/>
                <w:sz w:val="20"/>
                <w:szCs w:val="20"/>
              </w:rPr>
              <w:t>Chispitas</w:t>
            </w:r>
            <w:proofErr w:type="spellEnd"/>
            <w:r w:rsidRPr="004F74C0">
              <w:rPr>
                <w:rFonts w:eastAsiaTheme="minorEastAsia"/>
                <w:sz w:val="20"/>
                <w:szCs w:val="20"/>
              </w:rPr>
              <w:t xml:space="preserve"> nutritional supplements in children between 6 and 23 months of age </w:t>
            </w:r>
            <w:r w:rsidR="00AE1167">
              <w:rPr>
                <w:rFonts w:eastAsiaTheme="minorEastAsia"/>
                <w:sz w:val="20"/>
                <w:szCs w:val="20"/>
              </w:rPr>
              <w:t xml:space="preserve">in Los Andes health network </w:t>
            </w:r>
            <w:r w:rsidRPr="004F74C0">
              <w:rPr>
                <w:rFonts w:eastAsiaTheme="minorEastAsia"/>
                <w:sz w:val="20"/>
                <w:szCs w:val="20"/>
              </w:rPr>
              <w:t>and design an action plan for its improvement.</w:t>
            </w:r>
          </w:p>
        </w:tc>
        <w:tc>
          <w:tcPr>
            <w:tcW w:w="1140"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tabs>
                <w:tab w:val="left" w:pos="4047"/>
              </w:tabs>
              <w:spacing w:after="0"/>
              <w:ind w:left="87" w:right="180"/>
              <w:rPr>
                <w:rFonts w:eastAsiaTheme="minorEastAsia"/>
                <w:sz w:val="20"/>
                <w:szCs w:val="20"/>
              </w:rPr>
            </w:pPr>
            <w:r w:rsidRPr="004F74C0">
              <w:rPr>
                <w:rFonts w:eastAsiaTheme="minorEastAsia"/>
                <w:sz w:val="20"/>
                <w:szCs w:val="20"/>
              </w:rPr>
              <w:t>What are the elements of the program that affected adherence to the consumption of</w:t>
            </w:r>
            <w:r w:rsidR="00AE1167">
              <w:rPr>
                <w:rFonts w:eastAsiaTheme="minorEastAsia"/>
                <w:sz w:val="20"/>
                <w:szCs w:val="20"/>
              </w:rPr>
              <w:t xml:space="preserve"> </w:t>
            </w:r>
            <w:proofErr w:type="spellStart"/>
            <w:r w:rsidR="00AE1167" w:rsidRPr="00AE1167">
              <w:rPr>
                <w:rFonts w:eastAsiaTheme="minorEastAsia"/>
                <w:i/>
                <w:sz w:val="20"/>
                <w:szCs w:val="20"/>
              </w:rPr>
              <w:t>Chispitas</w:t>
            </w:r>
            <w:proofErr w:type="spellEnd"/>
            <w:r w:rsidRPr="004F74C0">
              <w:rPr>
                <w:rFonts w:eastAsiaTheme="minorEastAsia"/>
                <w:sz w:val="20"/>
                <w:szCs w:val="20"/>
              </w:rPr>
              <w:t xml:space="preserve"> nutritional supplements in children between 6 and 23 months of age and how could adherence be improved?</w:t>
            </w:r>
          </w:p>
        </w:tc>
        <w:tc>
          <w:tcPr>
            <w:tcW w:w="698"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right="90"/>
              <w:rPr>
                <w:rFonts w:eastAsiaTheme="minorEastAsia"/>
                <w:sz w:val="20"/>
                <w:szCs w:val="20"/>
              </w:rPr>
            </w:pPr>
            <w:r>
              <w:rPr>
                <w:rFonts w:eastAsiaTheme="minorEastAsia"/>
                <w:sz w:val="20"/>
                <w:szCs w:val="20"/>
              </w:rPr>
              <w:t>Qualitative—Key informant interviews, direct observation of service delivery, and focus group discussions.</w:t>
            </w:r>
          </w:p>
        </w:tc>
        <w:tc>
          <w:tcPr>
            <w:tcW w:w="656"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Local—Municipal</w:t>
            </w:r>
            <w:r w:rsidR="00AE1167">
              <w:rPr>
                <w:rFonts w:eastAsiaTheme="minorEastAsia"/>
                <w:sz w:val="20"/>
                <w:szCs w:val="20"/>
              </w:rPr>
              <w:t>/Health Network</w:t>
            </w:r>
            <w:r w:rsidRPr="004F74C0">
              <w:rPr>
                <w:rFonts w:eastAsiaTheme="minorEastAsia"/>
                <w:sz w:val="20"/>
                <w:szCs w:val="20"/>
              </w:rPr>
              <w:t xml:space="preserve"> </w:t>
            </w:r>
          </w:p>
          <w:p w:rsidR="00510FF5" w:rsidRPr="004F74C0" w:rsidRDefault="00510FF5" w:rsidP="00510FF5">
            <w:pPr>
              <w:spacing w:after="0"/>
              <w:rPr>
                <w:rFonts w:eastAsiaTheme="minorEastAsia"/>
                <w:sz w:val="20"/>
                <w:szCs w:val="20"/>
              </w:rPr>
            </w:pPr>
            <w:r w:rsidRPr="004F74C0">
              <w:rPr>
                <w:rFonts w:eastAsiaTheme="minorEastAsia"/>
                <w:sz w:val="20"/>
                <w:szCs w:val="20"/>
              </w:rPr>
              <w:t>  </w:t>
            </w:r>
          </w:p>
        </w:tc>
      </w:tr>
      <w:tr w:rsidR="00510FF5" w:rsidRPr="004F74C0" w:rsidTr="00AE1167">
        <w:trPr>
          <w:trHeight w:val="235"/>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ind w:right="278"/>
              <w:rPr>
                <w:rFonts w:eastAsiaTheme="minorEastAsia"/>
                <w:b/>
                <w:bCs/>
                <w:sz w:val="20"/>
                <w:szCs w:val="20"/>
              </w:rPr>
            </w:pPr>
            <w:r w:rsidRPr="004F74C0">
              <w:rPr>
                <w:rFonts w:eastAsiaTheme="minorEastAsia"/>
                <w:b/>
                <w:bCs/>
                <w:sz w:val="20"/>
                <w:szCs w:val="20"/>
              </w:rPr>
              <w:lastRenderedPageBreak/>
              <w:t>Brazil</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rPr>
                <w:rFonts w:eastAsiaTheme="minorEastAsia"/>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181"/>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p>
        </w:tc>
      </w:tr>
      <w:tr w:rsidR="00510FF5" w:rsidRPr="00D119DE" w:rsidTr="00510FF5">
        <w:trPr>
          <w:trHeight w:val="615"/>
        </w:trPr>
        <w:tc>
          <w:tcPr>
            <w:tcW w:w="617" w:type="pct"/>
            <w:tcBorders>
              <w:top w:val="single" w:sz="8" w:space="0" w:color="000000" w:themeColor="text1"/>
              <w:left w:val="nil"/>
              <w:bottom w:val="nil"/>
              <w:right w:val="nil"/>
            </w:tcBorders>
            <w:shd w:val="clear" w:color="auto" w:fill="D0D8E8"/>
            <w:tcMar>
              <w:top w:w="15" w:type="dxa"/>
              <w:left w:w="82" w:type="dxa"/>
              <w:bottom w:w="0" w:type="dxa"/>
              <w:right w:w="82" w:type="dxa"/>
            </w:tcMar>
          </w:tcPr>
          <w:p w:rsidR="00510FF5" w:rsidRPr="004F74C0" w:rsidRDefault="00510FF5" w:rsidP="00510FF5">
            <w:pPr>
              <w:spacing w:after="0"/>
              <w:ind w:right="278"/>
              <w:rPr>
                <w:rFonts w:eastAsiaTheme="minorEastAsia"/>
                <w:sz w:val="20"/>
                <w:szCs w:val="20"/>
              </w:rPr>
            </w:pPr>
            <w:r w:rsidRPr="004F74C0">
              <w:rPr>
                <w:rFonts w:eastAsiaTheme="minorEastAsia"/>
                <w:sz w:val="20"/>
                <w:szCs w:val="20"/>
              </w:rPr>
              <w:t>Psychosocial Care Program (Mental Health)</w:t>
            </w:r>
          </w:p>
        </w:tc>
        <w:tc>
          <w:tcPr>
            <w:tcW w:w="533" w:type="pct"/>
            <w:tcBorders>
              <w:top w:val="single" w:sz="8" w:space="0" w:color="000000" w:themeColor="text1"/>
              <w:left w:val="nil"/>
              <w:bottom w:val="nil"/>
              <w:right w:val="nil"/>
            </w:tcBorders>
            <w:shd w:val="clear" w:color="auto" w:fill="D0D8E8"/>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Mental Health Services of the Federal District Health Department</w:t>
            </w:r>
          </w:p>
        </w:tc>
        <w:tc>
          <w:tcPr>
            <w:tcW w:w="504" w:type="pct"/>
            <w:tcBorders>
              <w:top w:val="single" w:sz="8" w:space="0" w:color="000000" w:themeColor="text1"/>
              <w:left w:val="nil"/>
              <w:bottom w:val="nil"/>
              <w:right w:val="nil"/>
            </w:tcBorders>
            <w:shd w:val="clear" w:color="auto" w:fill="D0D8E8"/>
          </w:tcPr>
          <w:p w:rsidR="00510FF5" w:rsidRPr="004F74C0" w:rsidRDefault="00510FF5" w:rsidP="00510FF5">
            <w:pPr>
              <w:spacing w:after="0"/>
              <w:ind w:left="68"/>
              <w:rPr>
                <w:rFonts w:eastAsiaTheme="minorEastAsia"/>
                <w:sz w:val="20"/>
                <w:szCs w:val="20"/>
              </w:rPr>
            </w:pPr>
            <w:r w:rsidRPr="004F74C0">
              <w:rPr>
                <w:rFonts w:eastAsiaTheme="minorEastAsia"/>
                <w:sz w:val="20"/>
                <w:szCs w:val="20"/>
              </w:rPr>
              <w:t>National research institute (</w:t>
            </w:r>
            <w:proofErr w:type="spellStart"/>
            <w:r w:rsidRPr="004F74C0">
              <w:rPr>
                <w:rFonts w:eastAsiaTheme="minorEastAsia"/>
                <w:sz w:val="20"/>
                <w:szCs w:val="20"/>
              </w:rPr>
              <w:t>Fiocruz</w:t>
            </w:r>
            <w:proofErr w:type="spellEnd"/>
            <w:r w:rsidRPr="004F74C0">
              <w:rPr>
                <w:rFonts w:eastAsiaTheme="minorEastAsia"/>
                <w:sz w:val="20"/>
                <w:szCs w:val="20"/>
              </w:rPr>
              <w:t>)</w:t>
            </w:r>
          </w:p>
        </w:tc>
        <w:tc>
          <w:tcPr>
            <w:tcW w:w="852" w:type="pct"/>
            <w:tcBorders>
              <w:top w:val="single" w:sz="8" w:space="0" w:color="000000" w:themeColor="text1"/>
              <w:left w:val="nil"/>
              <w:bottom w:val="nil"/>
              <w:right w:val="nil"/>
            </w:tcBorders>
            <w:shd w:val="clear" w:color="auto" w:fill="D0D8E8"/>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Identify the main barriers and facilitators to implementation of actions and strategies in order to strengthen the role of and guarantee the rights of users in Psychosocial Care Centers</w:t>
            </w:r>
          </w:p>
        </w:tc>
        <w:tc>
          <w:tcPr>
            <w:tcW w:w="1140" w:type="pct"/>
            <w:tcBorders>
              <w:top w:val="single" w:sz="8" w:space="0" w:color="000000" w:themeColor="text1"/>
              <w:left w:val="nil"/>
              <w:bottom w:val="nil"/>
              <w:right w:val="nil"/>
            </w:tcBorders>
            <w:shd w:val="clear" w:color="auto" w:fill="D0D8E8"/>
          </w:tcPr>
          <w:p w:rsidR="00510FF5" w:rsidRPr="004F74C0" w:rsidRDefault="00510FF5" w:rsidP="00510FF5">
            <w:pPr>
              <w:spacing w:after="0"/>
              <w:ind w:left="181" w:right="180"/>
              <w:rPr>
                <w:rFonts w:eastAsiaTheme="minorEastAsia"/>
                <w:sz w:val="20"/>
                <w:szCs w:val="20"/>
              </w:rPr>
            </w:pPr>
            <w:r w:rsidRPr="004F74C0">
              <w:rPr>
                <w:rFonts w:eastAsiaTheme="minorEastAsia"/>
                <w:sz w:val="20"/>
                <w:szCs w:val="20"/>
              </w:rPr>
              <w:t>What are the actions and strategies carried out by Psychosocial Care Centers that strengthen the role of and guarantee users' rights and how are they implemented?</w:t>
            </w:r>
          </w:p>
        </w:tc>
        <w:tc>
          <w:tcPr>
            <w:tcW w:w="698" w:type="pct"/>
            <w:tcBorders>
              <w:top w:val="single" w:sz="8" w:space="0" w:color="000000" w:themeColor="text1"/>
              <w:left w:val="nil"/>
              <w:bottom w:val="nil"/>
              <w:right w:val="nil"/>
            </w:tcBorders>
            <w:shd w:val="clear" w:color="auto" w:fill="D0D8E8"/>
          </w:tcPr>
          <w:p w:rsidR="00510FF5" w:rsidRPr="00E45413" w:rsidRDefault="00510FF5" w:rsidP="00510FF5">
            <w:pPr>
              <w:spacing w:after="0"/>
              <w:rPr>
                <w:rFonts w:eastAsiaTheme="minorEastAsia"/>
                <w:sz w:val="20"/>
                <w:szCs w:val="20"/>
              </w:rPr>
            </w:pPr>
            <w:r w:rsidRPr="00E45413">
              <w:rPr>
                <w:rFonts w:eastAsiaTheme="minorEastAsia"/>
                <w:sz w:val="20"/>
                <w:szCs w:val="20"/>
              </w:rPr>
              <w:t>Qualitative—key informant interviews, focus group discussions, direct observation of service delivery, and document review.</w:t>
            </w:r>
          </w:p>
        </w:tc>
        <w:tc>
          <w:tcPr>
            <w:tcW w:w="656" w:type="pct"/>
            <w:tcBorders>
              <w:top w:val="single" w:sz="8" w:space="0" w:color="000000" w:themeColor="text1"/>
              <w:left w:val="nil"/>
              <w:bottom w:val="nil"/>
              <w:right w:val="nil"/>
            </w:tcBorders>
            <w:shd w:val="clear" w:color="auto" w:fill="D0D8E8"/>
            <w:tcMar>
              <w:top w:w="15" w:type="dxa"/>
              <w:left w:w="82" w:type="dxa"/>
              <w:bottom w:w="0" w:type="dxa"/>
              <w:right w:w="82" w:type="dxa"/>
            </w:tcMar>
          </w:tcPr>
          <w:p w:rsidR="00510FF5" w:rsidRPr="004F74C0" w:rsidRDefault="00510FF5" w:rsidP="00510FF5">
            <w:pPr>
              <w:spacing w:after="0"/>
              <w:rPr>
                <w:rFonts w:eastAsiaTheme="minorEastAsia"/>
                <w:sz w:val="20"/>
                <w:szCs w:val="20"/>
                <w:lang w:val="es-419"/>
              </w:rPr>
            </w:pPr>
            <w:r w:rsidRPr="004F74C0">
              <w:rPr>
                <w:rFonts w:eastAsiaTheme="minorEastAsia"/>
                <w:sz w:val="20"/>
                <w:szCs w:val="20"/>
                <w:lang w:val="es-419"/>
              </w:rPr>
              <w:t>Regional—State level (Distrito Federal de Brasilia)</w:t>
            </w:r>
          </w:p>
        </w:tc>
      </w:tr>
      <w:tr w:rsidR="00510FF5" w:rsidRPr="004F74C0" w:rsidTr="00AE1167">
        <w:trPr>
          <w:trHeight w:val="217"/>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r w:rsidRPr="004F74C0">
              <w:rPr>
                <w:rFonts w:eastAsiaTheme="minorEastAsia"/>
                <w:b/>
                <w:bCs/>
                <w:sz w:val="20"/>
                <w:szCs w:val="20"/>
              </w:rPr>
              <w:t>Chile</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rPr>
                <w:rFonts w:eastAsiaTheme="minorEastAsia"/>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p>
        </w:tc>
      </w:tr>
      <w:tr w:rsidR="00510FF5" w:rsidRPr="004F74C0" w:rsidTr="00510FF5">
        <w:trPr>
          <w:trHeight w:val="678"/>
        </w:trPr>
        <w:tc>
          <w:tcPr>
            <w:tcW w:w="617"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 xml:space="preserve">Policy on Interchangeability of Pharmaceuticals </w:t>
            </w:r>
          </w:p>
        </w:tc>
        <w:tc>
          <w:tcPr>
            <w:tcW w:w="533"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MOH/Central-Pharmaceutical policies division</w:t>
            </w:r>
          </w:p>
        </w:tc>
        <w:tc>
          <w:tcPr>
            <w:tcW w:w="504"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68"/>
              <w:rPr>
                <w:rFonts w:eastAsiaTheme="minorEastAsia"/>
                <w:sz w:val="20"/>
                <w:szCs w:val="20"/>
              </w:rPr>
            </w:pPr>
            <w:r w:rsidRPr="004F74C0">
              <w:rPr>
                <w:rFonts w:eastAsiaTheme="minorEastAsia"/>
                <w:sz w:val="20"/>
                <w:szCs w:val="20"/>
              </w:rPr>
              <w:t>MOH/Central planning division</w:t>
            </w:r>
          </w:p>
        </w:tc>
        <w:tc>
          <w:tcPr>
            <w:tcW w:w="852"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Study the impact of the drug interchangeability policy and identify the processes and mechanisms of its implementation, which have generated results opposite to those proposed, in order to prepare recommendations for its reorientation.</w:t>
            </w:r>
          </w:p>
        </w:tc>
        <w:tc>
          <w:tcPr>
            <w:tcW w:w="1140"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181" w:right="180"/>
              <w:rPr>
                <w:rFonts w:eastAsiaTheme="minorEastAsia"/>
                <w:sz w:val="20"/>
                <w:szCs w:val="20"/>
              </w:rPr>
            </w:pPr>
            <w:r w:rsidRPr="004F74C0">
              <w:rPr>
                <w:rFonts w:eastAsiaTheme="minorEastAsia"/>
                <w:sz w:val="20"/>
                <w:szCs w:val="20"/>
              </w:rPr>
              <w:t>Why has the policy on drug interchangeability not had the expected results and what should be done to make it an initiative that improves access to quality medicines for the population?</w:t>
            </w:r>
          </w:p>
        </w:tc>
        <w:tc>
          <w:tcPr>
            <w:tcW w:w="698" w:type="pct"/>
            <w:tcBorders>
              <w:top w:val="single" w:sz="8" w:space="0" w:color="000000" w:themeColor="text1"/>
              <w:left w:val="nil"/>
              <w:bottom w:val="single" w:sz="8" w:space="0" w:color="000000" w:themeColor="text1"/>
              <w:right w:val="nil"/>
            </w:tcBorders>
            <w:shd w:val="clear" w:color="auto" w:fill="E9EDF4"/>
          </w:tcPr>
          <w:p w:rsidR="00510FF5" w:rsidRPr="007504FE" w:rsidRDefault="00510FF5" w:rsidP="00510FF5">
            <w:pPr>
              <w:spacing w:after="0"/>
              <w:ind w:right="180"/>
              <w:rPr>
                <w:rFonts w:eastAsiaTheme="minorEastAsia"/>
                <w:sz w:val="20"/>
                <w:szCs w:val="20"/>
              </w:rPr>
            </w:pPr>
            <w:r w:rsidRPr="007504FE">
              <w:rPr>
                <w:rFonts w:eastAsiaTheme="minorEastAsia"/>
                <w:sz w:val="20"/>
                <w:szCs w:val="20"/>
              </w:rPr>
              <w:t>Mixed methods—Quantitative</w:t>
            </w:r>
            <w:r>
              <w:rPr>
                <w:rFonts w:eastAsiaTheme="minorEastAsia"/>
                <w:sz w:val="20"/>
                <w:szCs w:val="20"/>
              </w:rPr>
              <w:t>:</w:t>
            </w:r>
            <w:r w:rsidRPr="007504FE">
              <w:rPr>
                <w:rFonts w:eastAsiaTheme="minorEastAsia"/>
                <w:sz w:val="20"/>
                <w:szCs w:val="20"/>
              </w:rPr>
              <w:t xml:space="preserve"> </w:t>
            </w:r>
            <w:r>
              <w:rPr>
                <w:rFonts w:eastAsiaTheme="minorEastAsia"/>
                <w:sz w:val="20"/>
                <w:szCs w:val="20"/>
              </w:rPr>
              <w:t xml:space="preserve">interrupted </w:t>
            </w:r>
            <w:r w:rsidRPr="007504FE">
              <w:rPr>
                <w:rFonts w:eastAsiaTheme="minorEastAsia"/>
                <w:sz w:val="20"/>
                <w:szCs w:val="20"/>
              </w:rPr>
              <w:t xml:space="preserve">time series analysis of impact </w:t>
            </w:r>
            <w:r>
              <w:rPr>
                <w:rFonts w:eastAsiaTheme="minorEastAsia"/>
                <w:sz w:val="20"/>
                <w:szCs w:val="20"/>
              </w:rPr>
              <w:t xml:space="preserve">of </w:t>
            </w:r>
            <w:r w:rsidRPr="007504FE">
              <w:rPr>
                <w:rFonts w:eastAsiaTheme="minorEastAsia"/>
                <w:sz w:val="20"/>
                <w:szCs w:val="20"/>
              </w:rPr>
              <w:t>current  generic dru</w:t>
            </w:r>
            <w:r>
              <w:rPr>
                <w:rFonts w:eastAsiaTheme="minorEastAsia"/>
                <w:sz w:val="20"/>
                <w:szCs w:val="20"/>
              </w:rPr>
              <w:t>g</w:t>
            </w:r>
            <w:r w:rsidRPr="007504FE">
              <w:rPr>
                <w:rFonts w:eastAsiaTheme="minorEastAsia"/>
                <w:sz w:val="20"/>
                <w:szCs w:val="20"/>
              </w:rPr>
              <w:t xml:space="preserve"> substitution policy; </w:t>
            </w:r>
            <w:r w:rsidRPr="00E45413">
              <w:rPr>
                <w:rFonts w:eastAsiaTheme="minorEastAsia"/>
                <w:sz w:val="20"/>
                <w:szCs w:val="20"/>
              </w:rPr>
              <w:t>Qualitative</w:t>
            </w:r>
            <w:r>
              <w:rPr>
                <w:rFonts w:eastAsiaTheme="minorEastAsia"/>
                <w:sz w:val="20"/>
                <w:szCs w:val="20"/>
              </w:rPr>
              <w:t>:</w:t>
            </w:r>
            <w:r w:rsidRPr="00E45413">
              <w:rPr>
                <w:rFonts w:eastAsiaTheme="minorEastAsia"/>
                <w:sz w:val="20"/>
                <w:szCs w:val="20"/>
              </w:rPr>
              <w:t xml:space="preserve"> key informant interviews</w:t>
            </w:r>
          </w:p>
        </w:tc>
        <w:tc>
          <w:tcPr>
            <w:tcW w:w="656"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National</w:t>
            </w:r>
          </w:p>
        </w:tc>
      </w:tr>
      <w:tr w:rsidR="00510FF5" w:rsidRPr="004F74C0" w:rsidTr="00AE1167">
        <w:trPr>
          <w:trHeight w:val="289"/>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r w:rsidRPr="004F74C0">
              <w:rPr>
                <w:rFonts w:eastAsiaTheme="minorEastAsia"/>
                <w:b/>
                <w:bCs/>
                <w:sz w:val="20"/>
                <w:szCs w:val="20"/>
              </w:rPr>
              <w:t>Colombia</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rPr>
                <w:rFonts w:eastAsiaTheme="minorEastAsia"/>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lang w:val="es-419"/>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lang w:val="es-419"/>
              </w:rPr>
            </w:pPr>
          </w:p>
        </w:tc>
      </w:tr>
      <w:tr w:rsidR="00510FF5" w:rsidRPr="004F74C0" w:rsidTr="00AE1167">
        <w:trPr>
          <w:trHeight w:val="325"/>
        </w:trPr>
        <w:tc>
          <w:tcPr>
            <w:tcW w:w="617" w:type="pct"/>
            <w:tcBorders>
              <w:top w:val="single" w:sz="8" w:space="0" w:color="000000" w:themeColor="text1"/>
              <w:left w:val="nil"/>
              <w:bottom w:val="single" w:sz="8" w:space="0" w:color="000000" w:themeColor="text1"/>
              <w:right w:val="nil"/>
            </w:tcBorders>
            <w:shd w:val="clear" w:color="auto" w:fill="D0D8E8"/>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 xml:space="preserve">Program for cervical cancer screening </w:t>
            </w:r>
          </w:p>
        </w:tc>
        <w:tc>
          <w:tcPr>
            <w:tcW w:w="533"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Municipal health system manager</w:t>
            </w:r>
          </w:p>
        </w:tc>
        <w:tc>
          <w:tcPr>
            <w:tcW w:w="504"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left="68" w:right="169"/>
              <w:rPr>
                <w:rFonts w:eastAsiaTheme="minorEastAsia"/>
                <w:sz w:val="20"/>
                <w:szCs w:val="20"/>
              </w:rPr>
            </w:pPr>
            <w:r w:rsidRPr="004F74C0">
              <w:rPr>
                <w:rFonts w:eastAsiaTheme="minorEastAsia"/>
                <w:sz w:val="20"/>
                <w:szCs w:val="20"/>
              </w:rPr>
              <w:t>Independent research consultants</w:t>
            </w:r>
          </w:p>
        </w:tc>
        <w:tc>
          <w:tcPr>
            <w:tcW w:w="852"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Identify strategies related to access and quality of care within the health services in the network of public facilities in Cali that affect the levels of vaginal cytology coverage; based on this, make suggestions for improvement.</w:t>
            </w:r>
          </w:p>
        </w:tc>
        <w:tc>
          <w:tcPr>
            <w:tcW w:w="1140"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left="181" w:right="180"/>
              <w:rPr>
                <w:rFonts w:eastAsiaTheme="minorEastAsia"/>
                <w:sz w:val="20"/>
                <w:szCs w:val="20"/>
              </w:rPr>
            </w:pPr>
            <w:r w:rsidRPr="004F74C0">
              <w:rPr>
                <w:rFonts w:eastAsiaTheme="minorEastAsia"/>
                <w:sz w:val="20"/>
                <w:szCs w:val="20"/>
              </w:rPr>
              <w:t>How do the strategies related to access and quality of care, used by the public health services of Cali, affect the levels of vaginal cytology coverage in the city?</w:t>
            </w:r>
          </w:p>
        </w:tc>
        <w:tc>
          <w:tcPr>
            <w:tcW w:w="698" w:type="pct"/>
            <w:tcBorders>
              <w:top w:val="single" w:sz="8" w:space="0" w:color="000000" w:themeColor="text1"/>
              <w:left w:val="nil"/>
              <w:bottom w:val="single" w:sz="8" w:space="0" w:color="000000" w:themeColor="text1"/>
              <w:right w:val="nil"/>
            </w:tcBorders>
            <w:shd w:val="clear" w:color="auto" w:fill="D0D8E8"/>
          </w:tcPr>
          <w:p w:rsidR="00510FF5" w:rsidRPr="004F74C0" w:rsidRDefault="00510FF5" w:rsidP="00510FF5">
            <w:pPr>
              <w:spacing w:after="0"/>
              <w:ind w:right="180"/>
              <w:rPr>
                <w:rFonts w:eastAsiaTheme="minorEastAsia"/>
                <w:sz w:val="20"/>
                <w:szCs w:val="20"/>
              </w:rPr>
            </w:pPr>
            <w:r w:rsidRPr="004F74C0">
              <w:rPr>
                <w:rFonts w:eastAsiaTheme="minorEastAsia"/>
                <w:sz w:val="20"/>
                <w:szCs w:val="20"/>
              </w:rPr>
              <w:t xml:space="preserve">Qualitative—Key informant interviews, </w:t>
            </w:r>
            <w:r>
              <w:rPr>
                <w:rFonts w:eastAsiaTheme="minorEastAsia"/>
                <w:sz w:val="20"/>
                <w:szCs w:val="20"/>
              </w:rPr>
              <w:t xml:space="preserve">direct observations of service delivery, document review, </w:t>
            </w:r>
            <w:r w:rsidRPr="004F74C0">
              <w:rPr>
                <w:rFonts w:eastAsiaTheme="minorEastAsia"/>
                <w:sz w:val="20"/>
                <w:szCs w:val="20"/>
              </w:rPr>
              <w:t>focus group discussions</w:t>
            </w:r>
          </w:p>
        </w:tc>
        <w:tc>
          <w:tcPr>
            <w:tcW w:w="656" w:type="pct"/>
            <w:tcBorders>
              <w:top w:val="single" w:sz="8" w:space="0" w:color="000000" w:themeColor="text1"/>
              <w:left w:val="nil"/>
              <w:bottom w:val="single" w:sz="8" w:space="0" w:color="000000" w:themeColor="text1"/>
              <w:right w:val="nil"/>
            </w:tcBorders>
            <w:shd w:val="clear" w:color="auto" w:fill="D0D8E8"/>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lang w:val="es-419"/>
              </w:rPr>
              <w:t xml:space="preserve">Local—Municipal </w:t>
            </w:r>
          </w:p>
        </w:tc>
      </w:tr>
      <w:tr w:rsidR="00510FF5" w:rsidRPr="004F74C0" w:rsidTr="00510FF5">
        <w:trPr>
          <w:trHeight w:val="289"/>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ind w:right="-1022"/>
              <w:rPr>
                <w:rFonts w:eastAsiaTheme="minorEastAsia"/>
                <w:sz w:val="20"/>
                <w:szCs w:val="20"/>
              </w:rPr>
            </w:pPr>
            <w:r w:rsidRPr="004F74C0">
              <w:rPr>
                <w:rFonts w:eastAsiaTheme="minorEastAsia"/>
                <w:b/>
                <w:bCs/>
                <w:sz w:val="20"/>
                <w:szCs w:val="20"/>
              </w:rPr>
              <w:lastRenderedPageBreak/>
              <w:t>Dominican Republic</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510FF5" w:rsidRDefault="00510FF5" w:rsidP="00510FF5">
            <w:pPr>
              <w:tabs>
                <w:tab w:val="left" w:pos="1236"/>
              </w:tabs>
              <w:spacing w:after="0"/>
              <w:ind w:right="179"/>
              <w:rPr>
                <w:rFonts w:eastAsiaTheme="minorEastAsia"/>
                <w:b/>
                <w:sz w:val="20"/>
                <w:szCs w:val="20"/>
              </w:rPr>
            </w:pPr>
            <w:r w:rsidRPr="00510FF5">
              <w:rPr>
                <w:rFonts w:eastAsiaTheme="minorEastAsia"/>
                <w:b/>
                <w:sz w:val="20"/>
                <w:szCs w:val="20"/>
              </w:rPr>
              <w:t>c</w:t>
            </w: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p>
        </w:tc>
      </w:tr>
      <w:tr w:rsidR="00510FF5" w:rsidRPr="004F74C0" w:rsidTr="00510FF5">
        <w:trPr>
          <w:trHeight w:val="678"/>
        </w:trPr>
        <w:tc>
          <w:tcPr>
            <w:tcW w:w="617"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Family Planning Program, Men’s Health Strategy</w:t>
            </w:r>
          </w:p>
        </w:tc>
        <w:tc>
          <w:tcPr>
            <w:tcW w:w="533"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tabs>
                <w:tab w:val="left" w:pos="1236"/>
              </w:tabs>
              <w:spacing w:after="0"/>
              <w:ind w:right="179"/>
              <w:rPr>
                <w:rFonts w:eastAsiaTheme="minorEastAsia"/>
                <w:sz w:val="20"/>
                <w:szCs w:val="20"/>
              </w:rPr>
            </w:pPr>
            <w:r w:rsidRPr="004F74C0">
              <w:rPr>
                <w:rFonts w:eastAsiaTheme="minorEastAsia"/>
                <w:sz w:val="20"/>
                <w:szCs w:val="20"/>
              </w:rPr>
              <w:t>MOH-Office of Gender Equity and Development</w:t>
            </w:r>
          </w:p>
        </w:tc>
        <w:tc>
          <w:tcPr>
            <w:tcW w:w="504"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68" w:right="169"/>
              <w:rPr>
                <w:rFonts w:eastAsiaTheme="minorEastAsia"/>
                <w:sz w:val="20"/>
                <w:szCs w:val="20"/>
              </w:rPr>
            </w:pPr>
            <w:r w:rsidRPr="004F74C0">
              <w:rPr>
                <w:rFonts w:eastAsiaTheme="minorEastAsia"/>
                <w:sz w:val="20"/>
                <w:szCs w:val="20"/>
              </w:rPr>
              <w:t>Academic research institute</w:t>
            </w:r>
          </w:p>
        </w:tc>
        <w:tc>
          <w:tcPr>
            <w:tcW w:w="852"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Identify the mechanisms that facilitate the effective integration of men as a beneficiary population in the implementation of the Family Planning Program.</w:t>
            </w:r>
          </w:p>
        </w:tc>
        <w:tc>
          <w:tcPr>
            <w:tcW w:w="1140"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181" w:right="270"/>
              <w:rPr>
                <w:rFonts w:eastAsiaTheme="minorEastAsia"/>
                <w:sz w:val="20"/>
                <w:szCs w:val="20"/>
              </w:rPr>
            </w:pPr>
            <w:r w:rsidRPr="004F74C0">
              <w:rPr>
                <w:rFonts w:eastAsiaTheme="minorEastAsia"/>
                <w:sz w:val="20"/>
                <w:szCs w:val="20"/>
              </w:rPr>
              <w:t>Has the absence of a gender focus in the design and implementation of the Family Planning Program been an obstacle to the integration of men as active subjects in contraception?</w:t>
            </w:r>
          </w:p>
        </w:tc>
        <w:tc>
          <w:tcPr>
            <w:tcW w:w="698" w:type="pct"/>
            <w:tcBorders>
              <w:top w:val="single" w:sz="8" w:space="0" w:color="000000" w:themeColor="text1"/>
              <w:left w:val="nil"/>
              <w:bottom w:val="single" w:sz="8" w:space="0" w:color="000000" w:themeColor="text1"/>
              <w:right w:val="nil"/>
            </w:tcBorders>
            <w:shd w:val="clear" w:color="auto" w:fill="E9EDF4"/>
          </w:tcPr>
          <w:p w:rsidR="00510FF5" w:rsidRPr="004F74C0" w:rsidRDefault="00510FF5" w:rsidP="00510FF5">
            <w:pPr>
              <w:spacing w:after="0"/>
              <w:ind w:left="90" w:right="90"/>
              <w:rPr>
                <w:rFonts w:eastAsiaTheme="minorEastAsia"/>
                <w:sz w:val="20"/>
                <w:szCs w:val="20"/>
              </w:rPr>
            </w:pPr>
            <w:r>
              <w:rPr>
                <w:rFonts w:eastAsiaTheme="minorEastAsia"/>
                <w:sz w:val="20"/>
                <w:szCs w:val="20"/>
              </w:rPr>
              <w:t>Qualitative—Key informant interviews, focus group discussions, and document review.</w:t>
            </w:r>
          </w:p>
        </w:tc>
        <w:tc>
          <w:tcPr>
            <w:tcW w:w="656" w:type="pct"/>
            <w:tcBorders>
              <w:top w:val="single" w:sz="8" w:space="0" w:color="000000" w:themeColor="text1"/>
              <w:left w:val="nil"/>
              <w:bottom w:val="single" w:sz="8" w:space="0" w:color="000000" w:themeColor="text1"/>
              <w:right w:val="nil"/>
            </w:tcBorders>
            <w:shd w:val="clear" w:color="auto" w:fill="E9EDF4"/>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National</w:t>
            </w:r>
          </w:p>
        </w:tc>
      </w:tr>
      <w:tr w:rsidR="00510FF5" w:rsidRPr="004F74C0" w:rsidTr="00D119DE">
        <w:trPr>
          <w:trHeight w:val="334"/>
        </w:trPr>
        <w:tc>
          <w:tcPr>
            <w:tcW w:w="617"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rPr>
            </w:pPr>
            <w:r w:rsidRPr="004F74C0">
              <w:rPr>
                <w:rFonts w:eastAsiaTheme="minorEastAsia"/>
                <w:b/>
                <w:bCs/>
                <w:sz w:val="20"/>
                <w:szCs w:val="20"/>
              </w:rPr>
              <w:t>Peru</w:t>
            </w:r>
          </w:p>
        </w:tc>
        <w:tc>
          <w:tcPr>
            <w:tcW w:w="533"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tabs>
                <w:tab w:val="left" w:pos="1236"/>
              </w:tabs>
              <w:spacing w:after="0"/>
              <w:ind w:right="179"/>
              <w:rPr>
                <w:rFonts w:eastAsiaTheme="minorEastAsia"/>
                <w:sz w:val="20"/>
                <w:szCs w:val="20"/>
              </w:rPr>
            </w:pPr>
          </w:p>
        </w:tc>
        <w:tc>
          <w:tcPr>
            <w:tcW w:w="504"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left="68"/>
              <w:rPr>
                <w:rFonts w:eastAsiaTheme="minorEastAsia"/>
                <w:sz w:val="20"/>
                <w:szCs w:val="20"/>
              </w:rPr>
            </w:pPr>
          </w:p>
        </w:tc>
        <w:tc>
          <w:tcPr>
            <w:tcW w:w="852"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ind w:right="106"/>
              <w:rPr>
                <w:rFonts w:eastAsiaTheme="minorEastAsia"/>
                <w:sz w:val="20"/>
                <w:szCs w:val="20"/>
              </w:rPr>
            </w:pPr>
          </w:p>
        </w:tc>
        <w:tc>
          <w:tcPr>
            <w:tcW w:w="1140"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rPr>
            </w:pPr>
          </w:p>
        </w:tc>
        <w:tc>
          <w:tcPr>
            <w:tcW w:w="698" w:type="pct"/>
            <w:tcBorders>
              <w:top w:val="single" w:sz="8" w:space="0" w:color="000000" w:themeColor="text1"/>
              <w:left w:val="nil"/>
              <w:bottom w:val="single" w:sz="8" w:space="0" w:color="000000" w:themeColor="text1"/>
              <w:right w:val="nil"/>
            </w:tcBorders>
            <w:shd w:val="clear" w:color="auto" w:fill="FFFFFF" w:themeFill="background1"/>
          </w:tcPr>
          <w:p w:rsidR="00510FF5" w:rsidRPr="004F74C0" w:rsidRDefault="00510FF5" w:rsidP="00510FF5">
            <w:pPr>
              <w:spacing w:after="0"/>
              <w:rPr>
                <w:rFonts w:eastAsiaTheme="minorEastAsia"/>
                <w:sz w:val="20"/>
                <w:szCs w:val="20"/>
                <w:lang w:val="es-419"/>
              </w:rPr>
            </w:pPr>
          </w:p>
        </w:tc>
        <w:tc>
          <w:tcPr>
            <w:tcW w:w="656" w:type="pct"/>
            <w:tcBorders>
              <w:top w:val="single" w:sz="8" w:space="0" w:color="000000" w:themeColor="text1"/>
              <w:left w:val="nil"/>
              <w:bottom w:val="single" w:sz="8" w:space="0" w:color="000000" w:themeColor="text1"/>
              <w:right w:val="nil"/>
            </w:tcBorders>
            <w:shd w:val="clear" w:color="auto" w:fill="FFFFFF" w:themeFill="background1"/>
            <w:tcMar>
              <w:top w:w="15" w:type="dxa"/>
              <w:left w:w="82" w:type="dxa"/>
              <w:bottom w:w="0" w:type="dxa"/>
              <w:right w:w="82" w:type="dxa"/>
            </w:tcMar>
          </w:tcPr>
          <w:p w:rsidR="00510FF5" w:rsidRPr="004F74C0" w:rsidRDefault="00510FF5" w:rsidP="00510FF5">
            <w:pPr>
              <w:spacing w:after="0"/>
              <w:rPr>
                <w:rFonts w:eastAsiaTheme="minorEastAsia"/>
                <w:sz w:val="20"/>
                <w:szCs w:val="20"/>
                <w:lang w:val="es-419"/>
              </w:rPr>
            </w:pPr>
          </w:p>
        </w:tc>
      </w:tr>
      <w:tr w:rsidR="00510FF5" w:rsidRPr="004F74C0" w:rsidTr="00D119DE">
        <w:trPr>
          <w:trHeight w:val="663"/>
        </w:trPr>
        <w:tc>
          <w:tcPr>
            <w:tcW w:w="617" w:type="pct"/>
            <w:tcBorders>
              <w:top w:val="single" w:sz="8" w:space="0" w:color="000000" w:themeColor="text1"/>
              <w:left w:val="nil"/>
              <w:bottom w:val="single" w:sz="4" w:space="0" w:color="auto"/>
              <w:right w:val="nil"/>
            </w:tcBorders>
            <w:shd w:val="clear" w:color="auto" w:fill="D0D8E8"/>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4F74C0">
              <w:rPr>
                <w:rFonts w:eastAsiaTheme="minorEastAsia"/>
                <w:sz w:val="20"/>
                <w:szCs w:val="20"/>
              </w:rPr>
              <w:t>TB Control and Prevention Program</w:t>
            </w:r>
          </w:p>
        </w:tc>
        <w:tc>
          <w:tcPr>
            <w:tcW w:w="533" w:type="pct"/>
            <w:tcBorders>
              <w:top w:val="single" w:sz="8" w:space="0" w:color="000000" w:themeColor="text1"/>
              <w:left w:val="nil"/>
              <w:bottom w:val="single" w:sz="4" w:space="0" w:color="auto"/>
              <w:right w:val="nil"/>
            </w:tcBorders>
            <w:shd w:val="clear" w:color="auto" w:fill="D0D8E8"/>
          </w:tcPr>
          <w:p w:rsidR="00510FF5" w:rsidRPr="004F74C0" w:rsidRDefault="00510FF5" w:rsidP="00510FF5">
            <w:pPr>
              <w:tabs>
                <w:tab w:val="left" w:pos="1236"/>
              </w:tabs>
              <w:spacing w:after="0"/>
              <w:ind w:right="179"/>
              <w:rPr>
                <w:rFonts w:eastAsiaTheme="minorEastAsia"/>
                <w:sz w:val="20"/>
                <w:szCs w:val="20"/>
                <w:lang w:val="es-419"/>
              </w:rPr>
            </w:pPr>
            <w:r w:rsidRPr="004F74C0">
              <w:rPr>
                <w:rFonts w:eastAsiaTheme="minorEastAsia"/>
                <w:sz w:val="20"/>
                <w:szCs w:val="20"/>
                <w:lang w:val="es-419"/>
              </w:rPr>
              <w:t xml:space="preserve">Regional Health Directorate </w:t>
            </w:r>
          </w:p>
        </w:tc>
        <w:tc>
          <w:tcPr>
            <w:tcW w:w="504" w:type="pct"/>
            <w:tcBorders>
              <w:top w:val="single" w:sz="8" w:space="0" w:color="000000" w:themeColor="text1"/>
              <w:left w:val="nil"/>
              <w:bottom w:val="single" w:sz="4" w:space="0" w:color="auto"/>
              <w:right w:val="nil"/>
            </w:tcBorders>
            <w:shd w:val="clear" w:color="auto" w:fill="D0D8E8"/>
          </w:tcPr>
          <w:p w:rsidR="00510FF5" w:rsidRPr="004F74C0" w:rsidRDefault="00510FF5" w:rsidP="00510FF5">
            <w:pPr>
              <w:spacing w:after="0"/>
              <w:ind w:left="68" w:right="169"/>
              <w:rPr>
                <w:rFonts w:eastAsiaTheme="minorEastAsia"/>
                <w:sz w:val="20"/>
                <w:szCs w:val="20"/>
              </w:rPr>
            </w:pPr>
            <w:r w:rsidRPr="004F74C0">
              <w:rPr>
                <w:rFonts w:eastAsiaTheme="minorEastAsia"/>
                <w:sz w:val="20"/>
                <w:szCs w:val="20"/>
              </w:rPr>
              <w:t xml:space="preserve">National Institute of Health (INS) - Unit  on Public Health Evidence Analysis and Generation </w:t>
            </w:r>
          </w:p>
        </w:tc>
        <w:tc>
          <w:tcPr>
            <w:tcW w:w="852" w:type="pct"/>
            <w:tcBorders>
              <w:top w:val="single" w:sz="8" w:space="0" w:color="000000" w:themeColor="text1"/>
              <w:left w:val="nil"/>
              <w:bottom w:val="single" w:sz="4" w:space="0" w:color="auto"/>
              <w:right w:val="nil"/>
            </w:tcBorders>
            <w:shd w:val="clear" w:color="auto" w:fill="D0D8E8"/>
          </w:tcPr>
          <w:p w:rsidR="00510FF5" w:rsidRPr="004F74C0" w:rsidRDefault="00510FF5" w:rsidP="00510FF5">
            <w:pPr>
              <w:spacing w:after="0"/>
              <w:ind w:right="106"/>
              <w:rPr>
                <w:rFonts w:eastAsiaTheme="minorEastAsia"/>
                <w:sz w:val="20"/>
                <w:szCs w:val="20"/>
              </w:rPr>
            </w:pPr>
            <w:r w:rsidRPr="004F74C0">
              <w:rPr>
                <w:rFonts w:eastAsiaTheme="minorEastAsia"/>
                <w:sz w:val="20"/>
                <w:szCs w:val="20"/>
              </w:rPr>
              <w:t>Identify the factors influencing the implementation of the Regional Health Strategy for Prevention and Control of TB in primary care that influence adherence to treatment from the perspective of the provider and the user.</w:t>
            </w:r>
          </w:p>
        </w:tc>
        <w:tc>
          <w:tcPr>
            <w:tcW w:w="1140" w:type="pct"/>
            <w:tcBorders>
              <w:top w:val="single" w:sz="8" w:space="0" w:color="000000" w:themeColor="text1"/>
              <w:left w:val="nil"/>
              <w:bottom w:val="single" w:sz="4" w:space="0" w:color="auto"/>
              <w:right w:val="nil"/>
            </w:tcBorders>
            <w:shd w:val="clear" w:color="auto" w:fill="D0D8E8"/>
          </w:tcPr>
          <w:p w:rsidR="00510FF5" w:rsidRPr="004F74C0" w:rsidRDefault="00510FF5" w:rsidP="00510FF5">
            <w:pPr>
              <w:spacing w:after="0"/>
              <w:ind w:left="181" w:right="180"/>
              <w:rPr>
                <w:rFonts w:eastAsiaTheme="minorEastAsia"/>
                <w:sz w:val="20"/>
                <w:szCs w:val="20"/>
              </w:rPr>
            </w:pPr>
            <w:r w:rsidRPr="004F74C0">
              <w:rPr>
                <w:rFonts w:eastAsiaTheme="minorEastAsia"/>
                <w:sz w:val="20"/>
                <w:szCs w:val="20"/>
              </w:rPr>
              <w:t>What factors in the implementation of the TB program affect adherence to treatment from the perspective of the provider and the user?</w:t>
            </w:r>
          </w:p>
        </w:tc>
        <w:tc>
          <w:tcPr>
            <w:tcW w:w="698" w:type="pct"/>
            <w:tcBorders>
              <w:top w:val="single" w:sz="8" w:space="0" w:color="000000" w:themeColor="text1"/>
              <w:left w:val="nil"/>
              <w:bottom w:val="single" w:sz="4" w:space="0" w:color="auto"/>
              <w:right w:val="nil"/>
            </w:tcBorders>
            <w:shd w:val="clear" w:color="auto" w:fill="D0D8E8"/>
          </w:tcPr>
          <w:p w:rsidR="00510FF5" w:rsidRPr="007504FE" w:rsidRDefault="00510FF5" w:rsidP="00510FF5">
            <w:pPr>
              <w:spacing w:after="0"/>
              <w:rPr>
                <w:rFonts w:eastAsiaTheme="minorEastAsia"/>
                <w:sz w:val="20"/>
                <w:szCs w:val="20"/>
              </w:rPr>
            </w:pPr>
            <w:r w:rsidRPr="007504FE">
              <w:rPr>
                <w:rFonts w:eastAsiaTheme="minorEastAsia"/>
                <w:sz w:val="20"/>
                <w:szCs w:val="20"/>
              </w:rPr>
              <w:t xml:space="preserve">Mixed—Qualitative interviews and focus group discussions; Quantitative </w:t>
            </w:r>
            <w:r>
              <w:rPr>
                <w:rFonts w:eastAsiaTheme="minorEastAsia"/>
                <w:sz w:val="20"/>
                <w:szCs w:val="20"/>
              </w:rPr>
              <w:t xml:space="preserve">health facility </w:t>
            </w:r>
            <w:r w:rsidRPr="007504FE">
              <w:rPr>
                <w:rFonts w:eastAsiaTheme="minorEastAsia"/>
                <w:sz w:val="20"/>
                <w:szCs w:val="20"/>
              </w:rPr>
              <w:t>survey</w:t>
            </w:r>
            <w:r>
              <w:rPr>
                <w:rFonts w:eastAsiaTheme="minorEastAsia"/>
                <w:sz w:val="20"/>
                <w:szCs w:val="20"/>
              </w:rPr>
              <w:t>.</w:t>
            </w:r>
            <w:r w:rsidRPr="007504FE">
              <w:rPr>
                <w:rFonts w:eastAsiaTheme="minorEastAsia"/>
                <w:sz w:val="20"/>
                <w:szCs w:val="20"/>
              </w:rPr>
              <w:t xml:space="preserve"> </w:t>
            </w:r>
          </w:p>
        </w:tc>
        <w:tc>
          <w:tcPr>
            <w:tcW w:w="656" w:type="pct"/>
            <w:tcBorders>
              <w:top w:val="single" w:sz="8" w:space="0" w:color="000000" w:themeColor="text1"/>
              <w:left w:val="nil"/>
              <w:bottom w:val="single" w:sz="4" w:space="0" w:color="auto"/>
              <w:right w:val="nil"/>
            </w:tcBorders>
            <w:shd w:val="clear" w:color="auto" w:fill="D0D8E8"/>
            <w:tcMar>
              <w:top w:w="15" w:type="dxa"/>
              <w:left w:w="82" w:type="dxa"/>
              <w:bottom w:w="0" w:type="dxa"/>
              <w:right w:w="82" w:type="dxa"/>
            </w:tcMar>
            <w:hideMark/>
          </w:tcPr>
          <w:p w:rsidR="00510FF5" w:rsidRPr="004F74C0" w:rsidRDefault="00510FF5" w:rsidP="00510FF5">
            <w:pPr>
              <w:spacing w:after="0"/>
              <w:rPr>
                <w:rFonts w:eastAsiaTheme="minorEastAsia"/>
                <w:sz w:val="20"/>
                <w:szCs w:val="20"/>
              </w:rPr>
            </w:pPr>
            <w:r w:rsidRPr="007504FE">
              <w:rPr>
                <w:rFonts w:eastAsiaTheme="minorEastAsia"/>
                <w:sz w:val="20"/>
                <w:szCs w:val="20"/>
              </w:rPr>
              <w:t xml:space="preserve">Regional </w:t>
            </w:r>
          </w:p>
        </w:tc>
      </w:tr>
    </w:tbl>
    <w:p w:rsidR="00DF75FE" w:rsidRDefault="00DF75FE" w:rsidP="00510FF5">
      <w:bookmarkStart w:id="0" w:name="_GoBack"/>
      <w:bookmarkEnd w:id="0"/>
    </w:p>
    <w:sectPr w:rsidR="00DF75FE" w:rsidSect="00510FF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FF5"/>
    <w:rsid w:val="001F487C"/>
    <w:rsid w:val="00206BA9"/>
    <w:rsid w:val="00510FF5"/>
    <w:rsid w:val="005F274F"/>
    <w:rsid w:val="006934B3"/>
    <w:rsid w:val="00AE1167"/>
    <w:rsid w:val="00B92F90"/>
    <w:rsid w:val="00D119DE"/>
    <w:rsid w:val="00D22857"/>
    <w:rsid w:val="00DF75FE"/>
    <w:rsid w:val="00E73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F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10FF5"/>
    <w:rPr>
      <w:rFonts w:ascii="Calibri" w:hAnsi="Calibri" w:cs="Calibri"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F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10FF5"/>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dc:creator>
  <cp:lastModifiedBy>ilona</cp:lastModifiedBy>
  <cp:revision>3</cp:revision>
  <dcterms:created xsi:type="dcterms:W3CDTF">2019-03-06T17:38:00Z</dcterms:created>
  <dcterms:modified xsi:type="dcterms:W3CDTF">2019-04-05T13:19:00Z</dcterms:modified>
</cp:coreProperties>
</file>