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3D88" w:rsidRPr="00627FC8" w:rsidRDefault="00C23D88" w:rsidP="00C23D88">
      <w:pPr>
        <w:jc w:val="both"/>
        <w:rPr>
          <w:rStyle w:val="fontstyle01"/>
          <w:b/>
        </w:rPr>
      </w:pPr>
      <w:r>
        <w:rPr>
          <w:b/>
        </w:rPr>
        <w:t>Additional File</w:t>
      </w:r>
      <w:r w:rsidRPr="00F52ECE">
        <w:rPr>
          <w:b/>
        </w:rPr>
        <w:t xml:space="preserve"> 3:</w:t>
      </w:r>
      <w:r w:rsidRPr="00627FC8">
        <w:rPr>
          <w:b/>
        </w:rPr>
        <w:t xml:space="preserve"> Summary </w:t>
      </w:r>
      <w:r>
        <w:rPr>
          <w:b/>
        </w:rPr>
        <w:t xml:space="preserve">table </w:t>
      </w:r>
      <w:r w:rsidRPr="00627FC8">
        <w:rPr>
          <w:b/>
        </w:rPr>
        <w:t>of key evaluation constructs</w:t>
      </w:r>
      <w:r>
        <w:rPr>
          <w:b/>
        </w:rPr>
        <w:t xml:space="preserve"> underlying embedded IR conceptual framework, organized along d</w:t>
      </w:r>
      <w:r w:rsidRPr="00F52ECE">
        <w:rPr>
          <w:b/>
        </w:rPr>
        <w:t xml:space="preserve">omains: Embedded IR </w:t>
      </w:r>
      <w:r>
        <w:rPr>
          <w:b/>
        </w:rPr>
        <w:t>Attributes</w:t>
      </w:r>
      <w:r w:rsidRPr="00F52ECE">
        <w:rPr>
          <w:b/>
        </w:rPr>
        <w:t>, Processes, Outcomes, and Context</w:t>
      </w:r>
    </w:p>
    <w:tbl>
      <w:tblPr>
        <w:tblStyle w:val="LightList-Accent51"/>
        <w:tblW w:w="4991" w:type="pct"/>
        <w:tblBorders>
          <w:top w:val="single" w:sz="8" w:space="0" w:color="00CC99"/>
          <w:left w:val="none" w:sz="0" w:space="0" w:color="auto"/>
          <w:bottom w:val="single" w:sz="8" w:space="0" w:color="4BACC6" w:themeColor="accent5"/>
          <w:right w:val="none" w:sz="0" w:space="0" w:color="auto"/>
          <w:insideH w:val="single" w:sz="8" w:space="0" w:color="00CC99"/>
          <w:insideV w:val="single" w:sz="8" w:space="0" w:color="00CC99"/>
        </w:tblBorders>
        <w:tblLook w:val="04A0" w:firstRow="1" w:lastRow="0" w:firstColumn="1" w:lastColumn="0" w:noHBand="0" w:noVBand="1"/>
      </w:tblPr>
      <w:tblGrid>
        <w:gridCol w:w="9559"/>
      </w:tblGrid>
      <w:tr w:rsidR="00C23D88" w:rsidRPr="006F7A87" w:rsidTr="002E1479">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5000" w:type="pct"/>
            <w:tcBorders>
              <w:bottom w:val="single" w:sz="8" w:space="0" w:color="808080" w:themeColor="background1" w:themeShade="80"/>
            </w:tcBorders>
            <w:shd w:val="clear" w:color="auto" w:fill="00CC99"/>
            <w:vAlign w:val="center"/>
          </w:tcPr>
          <w:p w:rsidR="00C23D88" w:rsidRPr="006F7A87" w:rsidRDefault="00C23D88" w:rsidP="00B55B67">
            <w:pPr>
              <w:spacing w:line="276" w:lineRule="auto"/>
              <w:rPr>
                <w:rFonts w:ascii="Calibri" w:hAnsi="Calibri" w:cs="Times New Roman"/>
                <w:sz w:val="21"/>
                <w:szCs w:val="21"/>
              </w:rPr>
            </w:pPr>
            <w:r w:rsidRPr="006F7A87">
              <w:rPr>
                <w:rFonts w:ascii="Calibri" w:hAnsi="Calibri" w:cs="Times New Roman"/>
                <w:sz w:val="21"/>
                <w:szCs w:val="21"/>
              </w:rPr>
              <w:t xml:space="preserve">Embedded IR </w:t>
            </w:r>
            <w:r w:rsidR="00B55B67">
              <w:rPr>
                <w:rFonts w:ascii="Calibri" w:hAnsi="Calibri" w:cs="Times New Roman"/>
                <w:sz w:val="21"/>
                <w:szCs w:val="21"/>
              </w:rPr>
              <w:t>Attributes</w:t>
            </w:r>
            <w:bookmarkStart w:id="0" w:name="_GoBack"/>
            <w:bookmarkEnd w:id="0"/>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one" w:sz="0" w:space="0" w:color="auto"/>
              <w:bottom w:val="nil"/>
              <w:right w:val="none" w:sz="0" w:space="0" w:color="auto"/>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 xml:space="preserve">Decision maker role in research </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Decision maker positioning in program/system (type of decision maker, level of authority)</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one" w:sz="0" w:space="0" w:color="auto"/>
              <w:bottom w:val="nil"/>
              <w:right w:val="none" w:sz="0" w:space="0" w:color="auto"/>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Research capacity and absorptive capacity of decision makers</w:t>
            </w:r>
          </w:p>
        </w:tc>
      </w:tr>
      <w:tr w:rsidR="00C23D88" w:rsidRPr="00F52ECE" w:rsidTr="00C23D88">
        <w:trPr>
          <w:trHeight w:val="286"/>
        </w:trPr>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Researcher affiliation (internal/external to Ministry of Health)</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one" w:sz="0" w:space="0" w:color="auto"/>
              <w:bottom w:val="nil"/>
              <w:right w:val="none" w:sz="0" w:space="0" w:color="auto"/>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Partnership mechanisms and governance structures</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bottom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Prior history of collaboration between program decision maker and researcher</w:t>
            </w:r>
          </w:p>
        </w:tc>
      </w:tr>
    </w:tbl>
    <w:p w:rsidR="00C23D88" w:rsidRPr="00F52ECE" w:rsidRDefault="00C23D88" w:rsidP="00C23D88">
      <w:pPr>
        <w:numPr>
          <w:ilvl w:val="0"/>
          <w:numId w:val="2"/>
        </w:numPr>
        <w:tabs>
          <w:tab w:val="num" w:pos="360"/>
        </w:tabs>
        <w:spacing w:after="0"/>
        <w:ind w:left="360" w:hanging="180"/>
        <w:jc w:val="both"/>
        <w:rPr>
          <w:rFonts w:ascii="Calibri" w:eastAsia="Times New Roman" w:hAnsi="Calibri" w:cs="Times New Roman"/>
          <w:bCs/>
          <w:sz w:val="21"/>
          <w:szCs w:val="21"/>
        </w:rPr>
      </w:pPr>
      <w:r w:rsidRPr="00F52ECE">
        <w:rPr>
          <w:rFonts w:ascii="Calibri" w:eastAsia="Times New Roman" w:hAnsi="Calibri" w:cs="Times New Roman"/>
          <w:bCs/>
          <w:sz w:val="21"/>
          <w:szCs w:val="21"/>
        </w:rPr>
        <w:t>Mutual trust between researcher and decision maker at outset</w:t>
      </w:r>
    </w:p>
    <w:tbl>
      <w:tblPr>
        <w:tblStyle w:val="LightList-Accent51"/>
        <w:tblW w:w="5000" w:type="pct"/>
        <w:tblLook w:val="04A0" w:firstRow="1" w:lastRow="0" w:firstColumn="1" w:lastColumn="0" w:noHBand="0" w:noVBand="1"/>
      </w:tblPr>
      <w:tblGrid>
        <w:gridCol w:w="9559"/>
        <w:gridCol w:w="17"/>
      </w:tblGrid>
      <w:tr w:rsidR="00C23D88" w:rsidRPr="006F7A87" w:rsidTr="002E1479">
        <w:trPr>
          <w:gridAfter w:val="1"/>
          <w:cnfStyle w:val="100000000000" w:firstRow="1" w:lastRow="0" w:firstColumn="0" w:lastColumn="0" w:oddVBand="0" w:evenVBand="0" w:oddHBand="0" w:evenHBand="0" w:firstRowFirstColumn="0" w:firstRowLastColumn="0" w:lastRowFirstColumn="0" w:lastRowLastColumn="0"/>
          <w:wAfter w:w="9" w:type="pct"/>
          <w:trHeight w:val="385"/>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single" w:sz="8" w:space="0" w:color="808080" w:themeColor="background1" w:themeShade="80"/>
              <w:right w:val="nil"/>
            </w:tcBorders>
            <w:shd w:val="clear" w:color="auto" w:fill="92CDDC" w:themeFill="accent5" w:themeFillTint="99"/>
            <w:vAlign w:val="center"/>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color w:val="5B6973"/>
                <w:sz w:val="21"/>
                <w:szCs w:val="21"/>
              </w:rPr>
              <w:t>Processes</w:t>
            </w:r>
          </w:p>
        </w:tc>
      </w:tr>
      <w:tr w:rsidR="00C23D88" w:rsidRPr="006F7A87" w:rsidTr="002E1479">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Research Process</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Source of initial impetus to conduct IR (problem identification)</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Focusing research on ‘implementation’ (framing research questions)</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Decision maker participation &amp; intensity of engagement</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Surfacing and sharing tacit knowledge (values, mindsets, experiences)</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Facilitation/support (</w:t>
            </w:r>
            <w:proofErr w:type="spellStart"/>
            <w:r w:rsidRPr="00F52ECE">
              <w:rPr>
                <w:rFonts w:ascii="Calibri" w:hAnsi="Calibri" w:cs="Times New Roman"/>
                <w:b w:val="0"/>
                <w:sz w:val="21"/>
                <w:szCs w:val="21"/>
              </w:rPr>
              <w:t>eg</w:t>
            </w:r>
            <w:proofErr w:type="spellEnd"/>
            <w:r w:rsidRPr="00F52ECE">
              <w:rPr>
                <w:rFonts w:ascii="Calibri" w:hAnsi="Calibri" w:cs="Times New Roman"/>
                <w:b w:val="0"/>
                <w:sz w:val="21"/>
                <w:szCs w:val="21"/>
              </w:rPr>
              <w:t>. incentives, technical support, capacity development)</w:t>
            </w:r>
          </w:p>
        </w:tc>
      </w:tr>
      <w:tr w:rsidR="00C23D88" w:rsidRPr="006F7A87" w:rsidTr="002E1479">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Interpersonal Processes</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nil"/>
              <w:right w:val="nil"/>
            </w:tcBorders>
          </w:tcPr>
          <w:p w:rsidR="00C23D88" w:rsidRPr="00F52ECE" w:rsidRDefault="00C23D88" w:rsidP="00C23D88">
            <w:pPr>
              <w:numPr>
                <w:ilvl w:val="0"/>
                <w:numId w:val="1"/>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Shared understanding/vision</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1"/>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Trust building</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1"/>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Power dynamics; power-sharing and co-governance</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1"/>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Mutual benefit; incentives</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1"/>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Collaborative team work</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single" w:sz="8" w:space="0" w:color="808080" w:themeColor="background1" w:themeShade="80"/>
              <w:right w:val="nil"/>
            </w:tcBorders>
          </w:tcPr>
          <w:p w:rsidR="00C23D88" w:rsidRPr="00F52ECE" w:rsidRDefault="00C23D88" w:rsidP="00C23D88">
            <w:pPr>
              <w:numPr>
                <w:ilvl w:val="0"/>
                <w:numId w:val="1"/>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Conflict resolution (“productive conflict”)</w:t>
            </w:r>
          </w:p>
        </w:tc>
      </w:tr>
      <w:tr w:rsidR="00C23D88" w:rsidRPr="006F7A87" w:rsidTr="002E1479">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Evidence-informed Decision Making Processes</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Height w:val="160"/>
        </w:trPr>
        <w:tc>
          <w:tcPr>
            <w:cnfStyle w:val="001000000000" w:firstRow="0" w:lastRow="0" w:firstColumn="1" w:lastColumn="0" w:oddVBand="0" w:evenVBand="0" w:oddHBand="0" w:evenHBand="0" w:firstRowFirstColumn="0" w:firstRowLastColumn="0" w:lastRowFirstColumn="0" w:lastRowLastColumn="0"/>
            <w:tcW w:w="4991" w:type="pct"/>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Linkage and exchange; continued engagement beyond research phase</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Deliberation and collaborative problem-solving</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 xml:space="preserve">Strategizing and action planning </w:t>
            </w:r>
          </w:p>
        </w:tc>
      </w:tr>
      <w:tr w:rsidR="00C23D88" w:rsidRPr="00F52ECE" w:rsidTr="00C23D88">
        <w:trPr>
          <w:gridAfter w:val="1"/>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Negotiation and approvals (resource allocation)</w:t>
            </w:r>
          </w:p>
        </w:tc>
      </w:tr>
      <w:tr w:rsidR="00C23D88" w:rsidRPr="00F52ECE" w:rsidTr="00C23D88">
        <w:trPr>
          <w:gridAfter w:val="1"/>
          <w:cnfStyle w:val="000000100000" w:firstRow="0" w:lastRow="0" w:firstColumn="0" w:lastColumn="0" w:oddVBand="0" w:evenVBand="0" w:oddHBand="1" w:evenHBand="0" w:firstRowFirstColumn="0" w:firstRowLastColumn="0" w:lastRowFirstColumn="0" w:lastRowLastColumn="0"/>
          <w:wAfter w:w="9" w:type="pct"/>
        </w:trPr>
        <w:tc>
          <w:tcPr>
            <w:cnfStyle w:val="001000000000" w:firstRow="0" w:lastRow="0" w:firstColumn="1" w:lastColumn="0" w:oddVBand="0" w:evenVBand="0" w:oddHBand="0" w:evenHBand="0" w:firstRowFirstColumn="0" w:firstRowLastColumn="0" w:lastRowFirstColumn="0" w:lastRowLastColumn="0"/>
            <w:tcW w:w="4991" w:type="pct"/>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Preparations and health system adjustments for change</w:t>
            </w:r>
          </w:p>
        </w:tc>
      </w:tr>
      <w:tr w:rsidR="00C23D88" w:rsidRPr="006F7A87" w:rsidTr="002E1479">
        <w:trPr>
          <w:trHeight w:val="385"/>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single" w:sz="8" w:space="0" w:color="808080" w:themeColor="background1" w:themeShade="80"/>
              <w:right w:val="nil"/>
            </w:tcBorders>
            <w:shd w:val="clear" w:color="auto" w:fill="FFFF66"/>
            <w:vAlign w:val="center"/>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color w:val="5B6973"/>
                <w:sz w:val="21"/>
                <w:szCs w:val="21"/>
              </w:rPr>
              <w:t>Outcomes</w:t>
            </w:r>
          </w:p>
        </w:tc>
      </w:tr>
      <w:tr w:rsidR="00C23D88" w:rsidRPr="006F7A87" w:rsidTr="002E1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Process outputs and proximal outcomes</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 xml:space="preserve">Relevant, timely, interpretable, and credible IR findings </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IR evidence considered in problem-solving</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Actionable recommendations for program improvement</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Ownership of proposed program improvements by decision makers</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Readiness for change within system</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Adoption decision and impleme</w:t>
            </w:r>
            <w:r>
              <w:rPr>
                <w:rFonts w:ascii="Calibri" w:hAnsi="Calibri" w:cs="Times New Roman"/>
                <w:b w:val="0"/>
                <w:sz w:val="21"/>
                <w:szCs w:val="21"/>
              </w:rPr>
              <w:t>ntation of program changes (including</w:t>
            </w:r>
            <w:r w:rsidRPr="00F52ECE">
              <w:rPr>
                <w:rFonts w:ascii="Calibri" w:hAnsi="Calibri" w:cs="Times New Roman"/>
                <w:b w:val="0"/>
                <w:sz w:val="21"/>
                <w:szCs w:val="21"/>
              </w:rPr>
              <w:t xml:space="preserve"> ‘real time’ changes)</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Capacity development (both researchers and decision makers)</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single" w:sz="8" w:space="0" w:color="808080" w:themeColor="background1" w:themeShade="80"/>
              <w:right w:val="nil"/>
            </w:tcBorders>
          </w:tcPr>
          <w:p w:rsidR="00C23D88"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Cultivating a culture of evidence</w:t>
            </w:r>
          </w:p>
          <w:p w:rsidR="00C23D88" w:rsidRPr="00F52ECE" w:rsidRDefault="00C23D88" w:rsidP="00C23D88">
            <w:pPr>
              <w:spacing w:line="276" w:lineRule="auto"/>
              <w:ind w:left="540"/>
              <w:rPr>
                <w:rFonts w:ascii="Calibri" w:hAnsi="Calibri" w:cs="Times New Roman"/>
                <w:b w:val="0"/>
                <w:sz w:val="21"/>
                <w:szCs w:val="21"/>
              </w:rPr>
            </w:pPr>
          </w:p>
        </w:tc>
      </w:tr>
      <w:tr w:rsidR="00C23D88" w:rsidRPr="006F7A87" w:rsidTr="002E1479">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lastRenderedPageBreak/>
              <w:t>Implementation outcomes [intermediate]</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 xml:space="preserve">Acceptability, Feasibility, Appropriateness/fit </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Adoption, Fidelity, Cost</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Reach, Sustainability</w:t>
            </w:r>
          </w:p>
        </w:tc>
      </w:tr>
      <w:tr w:rsidR="00C23D88" w:rsidRPr="006F7A87" w:rsidTr="002E1479">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Health service/system outcomes [intermediate]</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Access, Utilization, Adherence</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Service delivery quality &amp; Patient satisfaction</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nil"/>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Resource allocation, Efficiency</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gridSpan w:val="2"/>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540"/>
              <w:rPr>
                <w:rFonts w:ascii="Calibri" w:hAnsi="Calibri" w:cs="Times New Roman"/>
                <w:b w:val="0"/>
                <w:sz w:val="21"/>
                <w:szCs w:val="21"/>
              </w:rPr>
            </w:pPr>
            <w:r w:rsidRPr="00F52ECE">
              <w:rPr>
                <w:rFonts w:ascii="Calibri" w:hAnsi="Calibri" w:cs="Times New Roman"/>
                <w:b w:val="0"/>
                <w:sz w:val="21"/>
                <w:szCs w:val="21"/>
              </w:rPr>
              <w:t>Health equity, cross-cutting</w:t>
            </w:r>
            <w:r>
              <w:rPr>
                <w:rFonts w:ascii="Calibri" w:hAnsi="Calibri" w:cs="Times New Roman"/>
                <w:b w:val="0"/>
                <w:sz w:val="21"/>
                <w:szCs w:val="21"/>
              </w:rPr>
              <w:t xml:space="preserve"> through all stages</w:t>
            </w:r>
          </w:p>
        </w:tc>
      </w:tr>
    </w:tbl>
    <w:p w:rsidR="00C23D88" w:rsidRPr="006F7A87" w:rsidRDefault="00C23D88" w:rsidP="00C23D88">
      <w:pPr>
        <w:spacing w:after="0"/>
        <w:jc w:val="both"/>
        <w:rPr>
          <w:rFonts w:ascii="Calibri" w:eastAsia="Times New Roman" w:hAnsi="Calibri" w:cs="Times New Roman"/>
          <w:sz w:val="21"/>
          <w:szCs w:val="21"/>
        </w:rPr>
      </w:pPr>
    </w:p>
    <w:tbl>
      <w:tblPr>
        <w:tblStyle w:val="LightList-Accent51"/>
        <w:tblW w:w="5000" w:type="pct"/>
        <w:tblLook w:val="04A0" w:firstRow="1" w:lastRow="0" w:firstColumn="1" w:lastColumn="0" w:noHBand="0" w:noVBand="1"/>
      </w:tblPr>
      <w:tblGrid>
        <w:gridCol w:w="9576"/>
      </w:tblGrid>
      <w:tr w:rsidR="00C23D88" w:rsidRPr="006F7A87" w:rsidTr="002E1479">
        <w:trPr>
          <w:cnfStyle w:val="100000000000" w:firstRow="1" w:lastRow="0" w:firstColumn="0" w:lastColumn="0" w:oddVBand="0" w:evenVBand="0" w:oddHBand="0"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C4BC96" w:themeColor="background2" w:themeShade="BF"/>
              <w:left w:val="single" w:sz="8" w:space="0" w:color="C4BC96" w:themeColor="background2" w:themeShade="BF"/>
              <w:bottom w:val="single" w:sz="8" w:space="0" w:color="808080" w:themeColor="background1" w:themeShade="80"/>
              <w:right w:val="nil"/>
            </w:tcBorders>
            <w:shd w:val="clear" w:color="auto" w:fill="C4BC96" w:themeFill="background2" w:themeFillShade="BF"/>
            <w:vAlign w:val="center"/>
          </w:tcPr>
          <w:p w:rsidR="00C23D88" w:rsidRPr="006F7A87" w:rsidRDefault="00C23D88" w:rsidP="002E1479">
            <w:pPr>
              <w:tabs>
                <w:tab w:val="center" w:pos="2382"/>
              </w:tabs>
              <w:spacing w:line="276" w:lineRule="auto"/>
              <w:rPr>
                <w:rFonts w:ascii="Calibri" w:hAnsi="Calibri" w:cs="Times New Roman"/>
                <w:sz w:val="21"/>
                <w:szCs w:val="21"/>
              </w:rPr>
            </w:pPr>
            <w:r w:rsidRPr="006F7A87">
              <w:rPr>
                <w:rFonts w:ascii="Calibri" w:hAnsi="Calibri" w:cs="Times New Roman"/>
                <w:sz w:val="21"/>
                <w:szCs w:val="21"/>
              </w:rPr>
              <w:t>Context</w:t>
            </w:r>
            <w:r w:rsidRPr="006F7A87">
              <w:rPr>
                <w:rFonts w:ascii="Calibri" w:hAnsi="Calibri" w:cs="Times New Roman"/>
                <w:sz w:val="21"/>
                <w:szCs w:val="21"/>
              </w:rPr>
              <w:tab/>
            </w:r>
          </w:p>
        </w:tc>
      </w:tr>
      <w:tr w:rsidR="00C23D88" w:rsidRPr="006F7A87" w:rsidTr="002E14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Program Context</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Nature of health program under study (e.g. complexity of the program, degree of public sensitivity around program, type of program/intervention, stage of implementation, etc.)</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Significance of research questions relative to other program priorities (issue prioritization)</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Openness to change among program stakeholders</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Availability of other relevant information to inform program decisions (</w:t>
            </w:r>
            <w:proofErr w:type="spellStart"/>
            <w:r w:rsidRPr="00F52ECE">
              <w:rPr>
                <w:rFonts w:ascii="Calibri" w:hAnsi="Calibri" w:cs="Times New Roman"/>
                <w:b w:val="0"/>
                <w:sz w:val="21"/>
                <w:szCs w:val="21"/>
              </w:rPr>
              <w:t>eg</w:t>
            </w:r>
            <w:proofErr w:type="spellEnd"/>
            <w:r w:rsidRPr="00F52ECE">
              <w:rPr>
                <w:rFonts w:ascii="Calibri" w:hAnsi="Calibri" w:cs="Times New Roman"/>
                <w:b w:val="0"/>
                <w:sz w:val="21"/>
                <w:szCs w:val="21"/>
              </w:rPr>
              <w:t xml:space="preserve">. routine monitoring data; </w:t>
            </w:r>
            <w:r w:rsidRPr="00F52ECE">
              <w:rPr>
                <w:rFonts w:ascii="Calibri" w:hAnsi="Calibri" w:cs="Times New Roman"/>
                <w:b w:val="0"/>
              </w:rPr>
              <w:t>political pressure; experiential knowledge/ colleague’s opinions; other research findings</w:t>
            </w:r>
            <w:r w:rsidRPr="00F52ECE">
              <w:rPr>
                <w:rFonts w:ascii="Calibri" w:hAnsi="Calibri" w:cs="Times New Roman"/>
                <w:b w:val="0"/>
                <w:sz w:val="21"/>
                <w:szCs w:val="21"/>
              </w:rPr>
              <w:t>)</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Organizational structures, particularly those that relate to program decision making</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Availability of resources/support (financial, HR, infrastructure) to implement large scale change</w:t>
            </w:r>
          </w:p>
        </w:tc>
      </w:tr>
      <w:tr w:rsidR="00C23D88" w:rsidRPr="006F7A87" w:rsidTr="002E1479">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 xml:space="preserve">Health System Context </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 xml:space="preserve">Capacity of the health system to adapt to change </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 xml:space="preserve">Health program prioritization within broader public health agenda </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 xml:space="preserve">Health system governance and decision making structures; e.g. degree of decentralization in decision making </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Other parallel initiatives that could divert attention/resources from program improvement processes</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Political climate around research issue (goodwill and receptivity to change)</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Perceptions of importance/value of implementation research</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 xml:space="preserve">Incentives or institutional arrangements that facilitate the use of research evidence for decision making (e.g. mandates on role of evidence for program improvement, national health research systems, or other research platforms) </w:t>
            </w:r>
          </w:p>
        </w:tc>
      </w:tr>
      <w:tr w:rsidR="00C23D88" w:rsidRPr="006F7A87" w:rsidTr="002E1479">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il"/>
              <w:bottom w:val="single" w:sz="8" w:space="0" w:color="808080" w:themeColor="background1" w:themeShade="80"/>
              <w:right w:val="nil"/>
            </w:tcBorders>
          </w:tcPr>
          <w:p w:rsidR="00C23D88" w:rsidRPr="006F7A87" w:rsidRDefault="00C23D88" w:rsidP="002E1479">
            <w:pPr>
              <w:spacing w:line="276" w:lineRule="auto"/>
              <w:rPr>
                <w:rFonts w:ascii="Calibri" w:hAnsi="Calibri" w:cs="Times New Roman"/>
                <w:sz w:val="21"/>
                <w:szCs w:val="21"/>
              </w:rPr>
            </w:pPr>
            <w:r w:rsidRPr="006F7A87">
              <w:rPr>
                <w:rFonts w:ascii="Calibri" w:hAnsi="Calibri" w:cs="Times New Roman"/>
                <w:sz w:val="21"/>
                <w:szCs w:val="21"/>
              </w:rPr>
              <w:t>External Context</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single" w:sz="8" w:space="0" w:color="808080" w:themeColor="background1" w:themeShade="80"/>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External forces and interests (e.g. pharmaceutical industry, professional associations, religious groups, public opinion, donors, other third party actors advocating for program changes)</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Demand for evidence-informed interventions (value placed on research evidence)</w:t>
            </w:r>
          </w:p>
        </w:tc>
      </w:tr>
      <w:tr w:rsidR="00C23D88" w:rsidRPr="00F52ECE" w:rsidTr="00C23D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nil"/>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 xml:space="preserve">Political stability &amp; stage in election cycle </w:t>
            </w:r>
          </w:p>
        </w:tc>
      </w:tr>
      <w:tr w:rsidR="00C23D88" w:rsidRPr="00F52ECE" w:rsidTr="00C23D88">
        <w:tc>
          <w:tcPr>
            <w:cnfStyle w:val="001000000000" w:firstRow="0" w:lastRow="0" w:firstColumn="1" w:lastColumn="0" w:oddVBand="0" w:evenVBand="0" w:oddHBand="0" w:evenHBand="0" w:firstRowFirstColumn="0" w:firstRowLastColumn="0" w:lastRowFirstColumn="0" w:lastRowLastColumn="0"/>
            <w:tcW w:w="5000" w:type="pct"/>
            <w:tcBorders>
              <w:top w:val="nil"/>
              <w:left w:val="nil"/>
              <w:bottom w:val="single" w:sz="8" w:space="0" w:color="808080" w:themeColor="background1" w:themeShade="80"/>
              <w:right w:val="nil"/>
            </w:tcBorders>
          </w:tcPr>
          <w:p w:rsidR="00C23D88" w:rsidRPr="00F52ECE" w:rsidRDefault="00C23D88" w:rsidP="00C23D88">
            <w:pPr>
              <w:numPr>
                <w:ilvl w:val="0"/>
                <w:numId w:val="2"/>
              </w:numPr>
              <w:tabs>
                <w:tab w:val="num" w:pos="360"/>
              </w:tabs>
              <w:spacing w:line="276" w:lineRule="auto"/>
              <w:ind w:left="360" w:hanging="180"/>
              <w:rPr>
                <w:rFonts w:ascii="Calibri" w:hAnsi="Calibri" w:cs="Times New Roman"/>
                <w:b w:val="0"/>
                <w:sz w:val="21"/>
                <w:szCs w:val="21"/>
              </w:rPr>
            </w:pPr>
            <w:r w:rsidRPr="00F52ECE">
              <w:rPr>
                <w:rFonts w:ascii="Calibri" w:hAnsi="Calibri" w:cs="Times New Roman"/>
                <w:b w:val="0"/>
                <w:sz w:val="21"/>
                <w:szCs w:val="21"/>
              </w:rPr>
              <w:t>Broader political economy</w:t>
            </w:r>
          </w:p>
        </w:tc>
      </w:tr>
    </w:tbl>
    <w:p w:rsidR="00C23D88" w:rsidRPr="006F7A87" w:rsidRDefault="00C23D88" w:rsidP="00C23D88">
      <w:pPr>
        <w:jc w:val="both"/>
        <w:rPr>
          <w:rFonts w:ascii="Calibri" w:eastAsia="Times New Roman" w:hAnsi="Calibri" w:cs="Times New Roman"/>
          <w:szCs w:val="20"/>
        </w:rPr>
      </w:pPr>
    </w:p>
    <w:p w:rsidR="00DF75FE" w:rsidRDefault="00DF75FE"/>
    <w:sectPr w:rsidR="00DF7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6714F"/>
    <w:multiLevelType w:val="hybridMultilevel"/>
    <w:tmpl w:val="6F9E743C"/>
    <w:lvl w:ilvl="0" w:tplc="AD1C84DA">
      <w:start w:val="1"/>
      <w:numFmt w:val="bullet"/>
      <w:lvlText w:val="•"/>
      <w:lvlJc w:val="left"/>
      <w:pPr>
        <w:tabs>
          <w:tab w:val="num" w:pos="720"/>
        </w:tabs>
        <w:ind w:left="720" w:hanging="360"/>
      </w:pPr>
      <w:rPr>
        <w:rFonts w:ascii="Times New Roman" w:hAnsi="Times New Roman" w:hint="default"/>
      </w:rPr>
    </w:lvl>
    <w:lvl w:ilvl="1" w:tplc="3802F084" w:tentative="1">
      <w:start w:val="1"/>
      <w:numFmt w:val="bullet"/>
      <w:lvlText w:val="•"/>
      <w:lvlJc w:val="left"/>
      <w:pPr>
        <w:tabs>
          <w:tab w:val="num" w:pos="1440"/>
        </w:tabs>
        <w:ind w:left="1440" w:hanging="360"/>
      </w:pPr>
      <w:rPr>
        <w:rFonts w:ascii="Times New Roman" w:hAnsi="Times New Roman" w:hint="default"/>
      </w:rPr>
    </w:lvl>
    <w:lvl w:ilvl="2" w:tplc="A4E44784" w:tentative="1">
      <w:start w:val="1"/>
      <w:numFmt w:val="bullet"/>
      <w:lvlText w:val="•"/>
      <w:lvlJc w:val="left"/>
      <w:pPr>
        <w:tabs>
          <w:tab w:val="num" w:pos="2160"/>
        </w:tabs>
        <w:ind w:left="2160" w:hanging="360"/>
      </w:pPr>
      <w:rPr>
        <w:rFonts w:ascii="Times New Roman" w:hAnsi="Times New Roman" w:hint="default"/>
      </w:rPr>
    </w:lvl>
    <w:lvl w:ilvl="3" w:tplc="03CE68E6" w:tentative="1">
      <w:start w:val="1"/>
      <w:numFmt w:val="bullet"/>
      <w:lvlText w:val="•"/>
      <w:lvlJc w:val="left"/>
      <w:pPr>
        <w:tabs>
          <w:tab w:val="num" w:pos="2880"/>
        </w:tabs>
        <w:ind w:left="2880" w:hanging="360"/>
      </w:pPr>
      <w:rPr>
        <w:rFonts w:ascii="Times New Roman" w:hAnsi="Times New Roman" w:hint="default"/>
      </w:rPr>
    </w:lvl>
    <w:lvl w:ilvl="4" w:tplc="DFA668F6" w:tentative="1">
      <w:start w:val="1"/>
      <w:numFmt w:val="bullet"/>
      <w:lvlText w:val="•"/>
      <w:lvlJc w:val="left"/>
      <w:pPr>
        <w:tabs>
          <w:tab w:val="num" w:pos="3600"/>
        </w:tabs>
        <w:ind w:left="3600" w:hanging="360"/>
      </w:pPr>
      <w:rPr>
        <w:rFonts w:ascii="Times New Roman" w:hAnsi="Times New Roman" w:hint="default"/>
      </w:rPr>
    </w:lvl>
    <w:lvl w:ilvl="5" w:tplc="11E85D5A" w:tentative="1">
      <w:start w:val="1"/>
      <w:numFmt w:val="bullet"/>
      <w:lvlText w:val="•"/>
      <w:lvlJc w:val="left"/>
      <w:pPr>
        <w:tabs>
          <w:tab w:val="num" w:pos="4320"/>
        </w:tabs>
        <w:ind w:left="4320" w:hanging="360"/>
      </w:pPr>
      <w:rPr>
        <w:rFonts w:ascii="Times New Roman" w:hAnsi="Times New Roman" w:hint="default"/>
      </w:rPr>
    </w:lvl>
    <w:lvl w:ilvl="6" w:tplc="AEB0126A" w:tentative="1">
      <w:start w:val="1"/>
      <w:numFmt w:val="bullet"/>
      <w:lvlText w:val="•"/>
      <w:lvlJc w:val="left"/>
      <w:pPr>
        <w:tabs>
          <w:tab w:val="num" w:pos="5040"/>
        </w:tabs>
        <w:ind w:left="5040" w:hanging="360"/>
      </w:pPr>
      <w:rPr>
        <w:rFonts w:ascii="Times New Roman" w:hAnsi="Times New Roman" w:hint="default"/>
      </w:rPr>
    </w:lvl>
    <w:lvl w:ilvl="7" w:tplc="D42E73BA" w:tentative="1">
      <w:start w:val="1"/>
      <w:numFmt w:val="bullet"/>
      <w:lvlText w:val="•"/>
      <w:lvlJc w:val="left"/>
      <w:pPr>
        <w:tabs>
          <w:tab w:val="num" w:pos="5760"/>
        </w:tabs>
        <w:ind w:left="5760" w:hanging="360"/>
      </w:pPr>
      <w:rPr>
        <w:rFonts w:ascii="Times New Roman" w:hAnsi="Times New Roman" w:hint="default"/>
      </w:rPr>
    </w:lvl>
    <w:lvl w:ilvl="8" w:tplc="1728BC0E" w:tentative="1">
      <w:start w:val="1"/>
      <w:numFmt w:val="bullet"/>
      <w:lvlText w:val="•"/>
      <w:lvlJc w:val="left"/>
      <w:pPr>
        <w:tabs>
          <w:tab w:val="num" w:pos="6480"/>
        </w:tabs>
        <w:ind w:left="6480" w:hanging="360"/>
      </w:pPr>
      <w:rPr>
        <w:rFonts w:ascii="Times New Roman" w:hAnsi="Times New Roman" w:hint="default"/>
      </w:rPr>
    </w:lvl>
  </w:abstractNum>
  <w:abstractNum w:abstractNumId="1">
    <w:nsid w:val="764C1F10"/>
    <w:multiLevelType w:val="hybridMultilevel"/>
    <w:tmpl w:val="ADF2C0FE"/>
    <w:lvl w:ilvl="0" w:tplc="7ECCC35A">
      <w:start w:val="1"/>
      <w:numFmt w:val="bullet"/>
      <w:lvlText w:val="•"/>
      <w:lvlJc w:val="left"/>
      <w:pPr>
        <w:tabs>
          <w:tab w:val="num" w:pos="720"/>
        </w:tabs>
        <w:ind w:left="720" w:hanging="360"/>
      </w:pPr>
      <w:rPr>
        <w:rFonts w:ascii="Times New Roman" w:hAnsi="Times New Roman" w:hint="default"/>
      </w:rPr>
    </w:lvl>
    <w:lvl w:ilvl="1" w:tplc="0A56FE8C" w:tentative="1">
      <w:start w:val="1"/>
      <w:numFmt w:val="bullet"/>
      <w:lvlText w:val="•"/>
      <w:lvlJc w:val="left"/>
      <w:pPr>
        <w:tabs>
          <w:tab w:val="num" w:pos="1440"/>
        </w:tabs>
        <w:ind w:left="1440" w:hanging="360"/>
      </w:pPr>
      <w:rPr>
        <w:rFonts w:ascii="Times New Roman" w:hAnsi="Times New Roman" w:hint="default"/>
      </w:rPr>
    </w:lvl>
    <w:lvl w:ilvl="2" w:tplc="010EDBB8" w:tentative="1">
      <w:start w:val="1"/>
      <w:numFmt w:val="bullet"/>
      <w:lvlText w:val="•"/>
      <w:lvlJc w:val="left"/>
      <w:pPr>
        <w:tabs>
          <w:tab w:val="num" w:pos="2160"/>
        </w:tabs>
        <w:ind w:left="2160" w:hanging="360"/>
      </w:pPr>
      <w:rPr>
        <w:rFonts w:ascii="Times New Roman" w:hAnsi="Times New Roman" w:hint="default"/>
      </w:rPr>
    </w:lvl>
    <w:lvl w:ilvl="3" w:tplc="AC6088AA" w:tentative="1">
      <w:start w:val="1"/>
      <w:numFmt w:val="bullet"/>
      <w:lvlText w:val="•"/>
      <w:lvlJc w:val="left"/>
      <w:pPr>
        <w:tabs>
          <w:tab w:val="num" w:pos="2880"/>
        </w:tabs>
        <w:ind w:left="2880" w:hanging="360"/>
      </w:pPr>
      <w:rPr>
        <w:rFonts w:ascii="Times New Roman" w:hAnsi="Times New Roman" w:hint="default"/>
      </w:rPr>
    </w:lvl>
    <w:lvl w:ilvl="4" w:tplc="45D2D5A8" w:tentative="1">
      <w:start w:val="1"/>
      <w:numFmt w:val="bullet"/>
      <w:lvlText w:val="•"/>
      <w:lvlJc w:val="left"/>
      <w:pPr>
        <w:tabs>
          <w:tab w:val="num" w:pos="3600"/>
        </w:tabs>
        <w:ind w:left="3600" w:hanging="360"/>
      </w:pPr>
      <w:rPr>
        <w:rFonts w:ascii="Times New Roman" w:hAnsi="Times New Roman" w:hint="default"/>
      </w:rPr>
    </w:lvl>
    <w:lvl w:ilvl="5" w:tplc="0D82AD7E" w:tentative="1">
      <w:start w:val="1"/>
      <w:numFmt w:val="bullet"/>
      <w:lvlText w:val="•"/>
      <w:lvlJc w:val="left"/>
      <w:pPr>
        <w:tabs>
          <w:tab w:val="num" w:pos="4320"/>
        </w:tabs>
        <w:ind w:left="4320" w:hanging="360"/>
      </w:pPr>
      <w:rPr>
        <w:rFonts w:ascii="Times New Roman" w:hAnsi="Times New Roman" w:hint="default"/>
      </w:rPr>
    </w:lvl>
    <w:lvl w:ilvl="6" w:tplc="4B5C73E2" w:tentative="1">
      <w:start w:val="1"/>
      <w:numFmt w:val="bullet"/>
      <w:lvlText w:val="•"/>
      <w:lvlJc w:val="left"/>
      <w:pPr>
        <w:tabs>
          <w:tab w:val="num" w:pos="5040"/>
        </w:tabs>
        <w:ind w:left="5040" w:hanging="360"/>
      </w:pPr>
      <w:rPr>
        <w:rFonts w:ascii="Times New Roman" w:hAnsi="Times New Roman" w:hint="default"/>
      </w:rPr>
    </w:lvl>
    <w:lvl w:ilvl="7" w:tplc="2C8085E2" w:tentative="1">
      <w:start w:val="1"/>
      <w:numFmt w:val="bullet"/>
      <w:lvlText w:val="•"/>
      <w:lvlJc w:val="left"/>
      <w:pPr>
        <w:tabs>
          <w:tab w:val="num" w:pos="5760"/>
        </w:tabs>
        <w:ind w:left="5760" w:hanging="360"/>
      </w:pPr>
      <w:rPr>
        <w:rFonts w:ascii="Times New Roman" w:hAnsi="Times New Roman" w:hint="default"/>
      </w:rPr>
    </w:lvl>
    <w:lvl w:ilvl="8" w:tplc="AD74E736"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D88"/>
    <w:rsid w:val="001F487C"/>
    <w:rsid w:val="00206BA9"/>
    <w:rsid w:val="005F274F"/>
    <w:rsid w:val="006934B3"/>
    <w:rsid w:val="00B55B67"/>
    <w:rsid w:val="00C23D88"/>
    <w:rsid w:val="00D22857"/>
    <w:rsid w:val="00DF75FE"/>
    <w:rsid w:val="00E73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23D88"/>
    <w:rPr>
      <w:sz w:val="16"/>
      <w:szCs w:val="16"/>
    </w:rPr>
  </w:style>
  <w:style w:type="paragraph" w:styleId="CommentText">
    <w:name w:val="annotation text"/>
    <w:basedOn w:val="Normal"/>
    <w:link w:val="CommentTextChar"/>
    <w:uiPriority w:val="99"/>
    <w:unhideWhenUsed/>
    <w:rsid w:val="00C23D88"/>
    <w:pPr>
      <w:spacing w:line="240" w:lineRule="auto"/>
    </w:pPr>
    <w:rPr>
      <w:sz w:val="20"/>
      <w:szCs w:val="20"/>
    </w:rPr>
  </w:style>
  <w:style w:type="character" w:customStyle="1" w:styleId="CommentTextChar">
    <w:name w:val="Comment Text Char"/>
    <w:basedOn w:val="DefaultParagraphFont"/>
    <w:link w:val="CommentText"/>
    <w:uiPriority w:val="99"/>
    <w:rsid w:val="00C23D88"/>
    <w:rPr>
      <w:sz w:val="20"/>
      <w:szCs w:val="20"/>
    </w:rPr>
  </w:style>
  <w:style w:type="character" w:customStyle="1" w:styleId="fontstyle01">
    <w:name w:val="fontstyle01"/>
    <w:basedOn w:val="DefaultParagraphFont"/>
    <w:rsid w:val="00C23D88"/>
    <w:rPr>
      <w:rFonts w:ascii="Calibri" w:hAnsi="Calibri" w:cs="Calibri" w:hint="default"/>
      <w:b w:val="0"/>
      <w:bCs w:val="0"/>
      <w:i w:val="0"/>
      <w:iCs w:val="0"/>
      <w:color w:val="000000"/>
      <w:sz w:val="22"/>
      <w:szCs w:val="22"/>
    </w:rPr>
  </w:style>
  <w:style w:type="table" w:customStyle="1" w:styleId="LightList-Accent51">
    <w:name w:val="Light List - Accent 51"/>
    <w:basedOn w:val="TableNormal"/>
    <w:next w:val="LightList-Accent5"/>
    <w:uiPriority w:val="61"/>
    <w:rsid w:val="00C23D88"/>
    <w:pPr>
      <w:spacing w:after="0" w:line="240" w:lineRule="auto"/>
      <w:jc w:val="both"/>
    </w:pPr>
    <w:rPr>
      <w:rFonts w:eastAsia="Times New Roman"/>
      <w:sz w:val="20"/>
      <w:szCs w:val="20"/>
    </w:rPr>
    <w:tblPr>
      <w:tblStyleRowBandSize w:val="1"/>
      <w:tblStyleColBandSize w:val="1"/>
      <w:tblBorders>
        <w:top w:val="single" w:sz="8" w:space="0" w:color="E0773C"/>
        <w:left w:val="single" w:sz="8" w:space="0" w:color="E0773C"/>
        <w:bottom w:val="single" w:sz="8" w:space="0" w:color="E0773C"/>
        <w:right w:val="single" w:sz="8" w:space="0" w:color="E0773C"/>
      </w:tblBorders>
    </w:tblPr>
    <w:tblStylePr w:type="firstRow">
      <w:pPr>
        <w:spacing w:before="0" w:after="0" w:line="240" w:lineRule="auto"/>
      </w:pPr>
      <w:rPr>
        <w:b/>
        <w:bCs/>
        <w:color w:val="FFFFFF"/>
      </w:rPr>
      <w:tblPr/>
      <w:tcPr>
        <w:shd w:val="clear" w:color="auto" w:fill="E0773C"/>
      </w:tcPr>
    </w:tblStylePr>
    <w:tblStylePr w:type="lastRow">
      <w:pPr>
        <w:spacing w:before="0" w:after="0" w:line="240" w:lineRule="auto"/>
      </w:pPr>
      <w:rPr>
        <w:b/>
        <w:bCs/>
      </w:rPr>
      <w:tblPr/>
      <w:tcPr>
        <w:tcBorders>
          <w:top w:val="double" w:sz="6" w:space="0" w:color="E0773C"/>
          <w:left w:val="single" w:sz="8" w:space="0" w:color="E0773C"/>
          <w:bottom w:val="single" w:sz="8" w:space="0" w:color="E0773C"/>
          <w:right w:val="single" w:sz="8" w:space="0" w:color="E0773C"/>
        </w:tcBorders>
      </w:tcPr>
    </w:tblStylePr>
    <w:tblStylePr w:type="firstCol">
      <w:rPr>
        <w:b/>
        <w:bCs/>
      </w:rPr>
    </w:tblStylePr>
    <w:tblStylePr w:type="lastCol">
      <w:rPr>
        <w:b/>
        <w:bCs/>
      </w:rPr>
    </w:tblStylePr>
    <w:tblStylePr w:type="band1Vert">
      <w:tblPr/>
      <w:tcPr>
        <w:tcBorders>
          <w:top w:val="single" w:sz="8" w:space="0" w:color="E0773C"/>
          <w:left w:val="single" w:sz="8" w:space="0" w:color="E0773C"/>
          <w:bottom w:val="single" w:sz="8" w:space="0" w:color="E0773C"/>
          <w:right w:val="single" w:sz="8" w:space="0" w:color="E0773C"/>
        </w:tcBorders>
      </w:tcPr>
    </w:tblStylePr>
    <w:tblStylePr w:type="band1Horz">
      <w:tblPr/>
      <w:tcPr>
        <w:tcBorders>
          <w:top w:val="single" w:sz="8" w:space="0" w:color="E0773C"/>
          <w:left w:val="single" w:sz="8" w:space="0" w:color="E0773C"/>
          <w:bottom w:val="single" w:sz="8" w:space="0" w:color="E0773C"/>
          <w:right w:val="single" w:sz="8" w:space="0" w:color="E0773C"/>
        </w:tcBorders>
      </w:tcPr>
    </w:tblStylePr>
  </w:style>
  <w:style w:type="table" w:styleId="LightList-Accent5">
    <w:name w:val="Light List Accent 5"/>
    <w:basedOn w:val="TableNormal"/>
    <w:uiPriority w:val="61"/>
    <w:rsid w:val="00C23D8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onText">
    <w:name w:val="Balloon Text"/>
    <w:basedOn w:val="Normal"/>
    <w:link w:val="BalloonTextChar"/>
    <w:uiPriority w:val="99"/>
    <w:semiHidden/>
    <w:unhideWhenUsed/>
    <w:rsid w:val="00C23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D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D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23D88"/>
    <w:rPr>
      <w:sz w:val="16"/>
      <w:szCs w:val="16"/>
    </w:rPr>
  </w:style>
  <w:style w:type="paragraph" w:styleId="CommentText">
    <w:name w:val="annotation text"/>
    <w:basedOn w:val="Normal"/>
    <w:link w:val="CommentTextChar"/>
    <w:uiPriority w:val="99"/>
    <w:unhideWhenUsed/>
    <w:rsid w:val="00C23D88"/>
    <w:pPr>
      <w:spacing w:line="240" w:lineRule="auto"/>
    </w:pPr>
    <w:rPr>
      <w:sz w:val="20"/>
      <w:szCs w:val="20"/>
    </w:rPr>
  </w:style>
  <w:style w:type="character" w:customStyle="1" w:styleId="CommentTextChar">
    <w:name w:val="Comment Text Char"/>
    <w:basedOn w:val="DefaultParagraphFont"/>
    <w:link w:val="CommentText"/>
    <w:uiPriority w:val="99"/>
    <w:rsid w:val="00C23D88"/>
    <w:rPr>
      <w:sz w:val="20"/>
      <w:szCs w:val="20"/>
    </w:rPr>
  </w:style>
  <w:style w:type="character" w:customStyle="1" w:styleId="fontstyle01">
    <w:name w:val="fontstyle01"/>
    <w:basedOn w:val="DefaultParagraphFont"/>
    <w:rsid w:val="00C23D88"/>
    <w:rPr>
      <w:rFonts w:ascii="Calibri" w:hAnsi="Calibri" w:cs="Calibri" w:hint="default"/>
      <w:b w:val="0"/>
      <w:bCs w:val="0"/>
      <w:i w:val="0"/>
      <w:iCs w:val="0"/>
      <w:color w:val="000000"/>
      <w:sz w:val="22"/>
      <w:szCs w:val="22"/>
    </w:rPr>
  </w:style>
  <w:style w:type="table" w:customStyle="1" w:styleId="LightList-Accent51">
    <w:name w:val="Light List - Accent 51"/>
    <w:basedOn w:val="TableNormal"/>
    <w:next w:val="LightList-Accent5"/>
    <w:uiPriority w:val="61"/>
    <w:rsid w:val="00C23D88"/>
    <w:pPr>
      <w:spacing w:after="0" w:line="240" w:lineRule="auto"/>
      <w:jc w:val="both"/>
    </w:pPr>
    <w:rPr>
      <w:rFonts w:eastAsia="Times New Roman"/>
      <w:sz w:val="20"/>
      <w:szCs w:val="20"/>
    </w:rPr>
    <w:tblPr>
      <w:tblStyleRowBandSize w:val="1"/>
      <w:tblStyleColBandSize w:val="1"/>
      <w:tblBorders>
        <w:top w:val="single" w:sz="8" w:space="0" w:color="E0773C"/>
        <w:left w:val="single" w:sz="8" w:space="0" w:color="E0773C"/>
        <w:bottom w:val="single" w:sz="8" w:space="0" w:color="E0773C"/>
        <w:right w:val="single" w:sz="8" w:space="0" w:color="E0773C"/>
      </w:tblBorders>
    </w:tblPr>
    <w:tblStylePr w:type="firstRow">
      <w:pPr>
        <w:spacing w:before="0" w:after="0" w:line="240" w:lineRule="auto"/>
      </w:pPr>
      <w:rPr>
        <w:b/>
        <w:bCs/>
        <w:color w:val="FFFFFF"/>
      </w:rPr>
      <w:tblPr/>
      <w:tcPr>
        <w:shd w:val="clear" w:color="auto" w:fill="E0773C"/>
      </w:tcPr>
    </w:tblStylePr>
    <w:tblStylePr w:type="lastRow">
      <w:pPr>
        <w:spacing w:before="0" w:after="0" w:line="240" w:lineRule="auto"/>
      </w:pPr>
      <w:rPr>
        <w:b/>
        <w:bCs/>
      </w:rPr>
      <w:tblPr/>
      <w:tcPr>
        <w:tcBorders>
          <w:top w:val="double" w:sz="6" w:space="0" w:color="E0773C"/>
          <w:left w:val="single" w:sz="8" w:space="0" w:color="E0773C"/>
          <w:bottom w:val="single" w:sz="8" w:space="0" w:color="E0773C"/>
          <w:right w:val="single" w:sz="8" w:space="0" w:color="E0773C"/>
        </w:tcBorders>
      </w:tcPr>
    </w:tblStylePr>
    <w:tblStylePr w:type="firstCol">
      <w:rPr>
        <w:b/>
        <w:bCs/>
      </w:rPr>
    </w:tblStylePr>
    <w:tblStylePr w:type="lastCol">
      <w:rPr>
        <w:b/>
        <w:bCs/>
      </w:rPr>
    </w:tblStylePr>
    <w:tblStylePr w:type="band1Vert">
      <w:tblPr/>
      <w:tcPr>
        <w:tcBorders>
          <w:top w:val="single" w:sz="8" w:space="0" w:color="E0773C"/>
          <w:left w:val="single" w:sz="8" w:space="0" w:color="E0773C"/>
          <w:bottom w:val="single" w:sz="8" w:space="0" w:color="E0773C"/>
          <w:right w:val="single" w:sz="8" w:space="0" w:color="E0773C"/>
        </w:tcBorders>
      </w:tcPr>
    </w:tblStylePr>
    <w:tblStylePr w:type="band1Horz">
      <w:tblPr/>
      <w:tcPr>
        <w:tcBorders>
          <w:top w:val="single" w:sz="8" w:space="0" w:color="E0773C"/>
          <w:left w:val="single" w:sz="8" w:space="0" w:color="E0773C"/>
          <w:bottom w:val="single" w:sz="8" w:space="0" w:color="E0773C"/>
          <w:right w:val="single" w:sz="8" w:space="0" w:color="E0773C"/>
        </w:tcBorders>
      </w:tcPr>
    </w:tblStylePr>
  </w:style>
  <w:style w:type="table" w:styleId="LightList-Accent5">
    <w:name w:val="Light List Accent 5"/>
    <w:basedOn w:val="TableNormal"/>
    <w:uiPriority w:val="61"/>
    <w:rsid w:val="00C23D88"/>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BalloonText">
    <w:name w:val="Balloon Text"/>
    <w:basedOn w:val="Normal"/>
    <w:link w:val="BalloonTextChar"/>
    <w:uiPriority w:val="99"/>
    <w:semiHidden/>
    <w:unhideWhenUsed/>
    <w:rsid w:val="00C23D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3D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dc:creator>
  <cp:lastModifiedBy>ilona</cp:lastModifiedBy>
  <cp:revision>2</cp:revision>
  <dcterms:created xsi:type="dcterms:W3CDTF">2019-03-06T18:35:00Z</dcterms:created>
  <dcterms:modified xsi:type="dcterms:W3CDTF">2019-03-06T19:08:00Z</dcterms:modified>
</cp:coreProperties>
</file>