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ECF24" w14:textId="77777777" w:rsidR="00F77219" w:rsidRPr="00A42920" w:rsidRDefault="00625E1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r w:rsidR="00F77219" w:rsidRPr="00A42920">
        <w:rPr>
          <w:rFonts w:ascii="Times New Roman" w:hAnsi="Times New Roman" w:cs="Times New Roman"/>
          <w:b/>
        </w:rPr>
        <w:t xml:space="preserve"> file </w:t>
      </w:r>
      <w:r w:rsidR="005C7A3C">
        <w:rPr>
          <w:rFonts w:ascii="Times New Roman" w:hAnsi="Times New Roman" w:cs="Times New Roman"/>
          <w:b/>
        </w:rPr>
        <w:t>1</w:t>
      </w:r>
      <w:r w:rsidR="00F77219" w:rsidRPr="00A42920">
        <w:rPr>
          <w:rFonts w:ascii="Times New Roman" w:hAnsi="Times New Roman" w:cs="Times New Roman"/>
          <w:b/>
        </w:rPr>
        <w:t>:</w:t>
      </w:r>
      <w:r w:rsidR="00A42920">
        <w:rPr>
          <w:rFonts w:ascii="Times New Roman" w:hAnsi="Times New Roman" w:cs="Times New Roman"/>
          <w:b/>
        </w:rPr>
        <w:t xml:space="preserve"> Sustainability </w:t>
      </w:r>
      <w:r w:rsidR="00AB1EEC">
        <w:rPr>
          <w:rFonts w:ascii="Times New Roman" w:hAnsi="Times New Roman" w:cs="Times New Roman"/>
          <w:b/>
        </w:rPr>
        <w:t>A</w:t>
      </w:r>
      <w:r w:rsidR="00A42920">
        <w:rPr>
          <w:rFonts w:ascii="Times New Roman" w:hAnsi="Times New Roman" w:cs="Times New Roman"/>
          <w:b/>
        </w:rPr>
        <w:t>pproaches Tracked in the Literature</w:t>
      </w:r>
    </w:p>
    <w:tbl>
      <w:tblPr>
        <w:tblStyle w:val="GridTable4-Accent3"/>
        <w:tblW w:w="13958" w:type="dxa"/>
        <w:tblLayout w:type="fixed"/>
        <w:tblLook w:val="04A0" w:firstRow="1" w:lastRow="0" w:firstColumn="1" w:lastColumn="0" w:noHBand="0" w:noVBand="1"/>
      </w:tblPr>
      <w:tblGrid>
        <w:gridCol w:w="2547"/>
        <w:gridCol w:w="7229"/>
        <w:gridCol w:w="1276"/>
        <w:gridCol w:w="1134"/>
        <w:gridCol w:w="1772"/>
      </w:tblGrid>
      <w:tr w:rsidR="00233E69" w:rsidRPr="00A42920" w14:paraId="631FD2BE" w14:textId="77777777" w:rsidTr="00E004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3ED936A" w14:textId="77777777" w:rsidR="00F77219" w:rsidRPr="00A42920" w:rsidRDefault="00F77219" w:rsidP="00F77219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>Author</w:t>
            </w:r>
          </w:p>
        </w:tc>
        <w:tc>
          <w:tcPr>
            <w:tcW w:w="7229" w:type="dxa"/>
            <w:noWrap/>
            <w:hideMark/>
          </w:tcPr>
          <w:p w14:paraId="4C3CFC3C" w14:textId="77777777" w:rsidR="00F77219" w:rsidRPr="00A42920" w:rsidRDefault="00A42920" w:rsidP="00F772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Sustainability Approach </w:t>
            </w:r>
            <w:r w:rsidR="00F77219"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>Name</w:t>
            </w:r>
          </w:p>
        </w:tc>
        <w:tc>
          <w:tcPr>
            <w:tcW w:w="1276" w:type="dxa"/>
            <w:noWrap/>
            <w:hideMark/>
          </w:tcPr>
          <w:p w14:paraId="5AA56283" w14:textId="77777777" w:rsidR="00F77219" w:rsidRPr="00A42920" w:rsidRDefault="00F77219" w:rsidP="00F772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>Number of Citations</w:t>
            </w:r>
          </w:p>
        </w:tc>
        <w:tc>
          <w:tcPr>
            <w:tcW w:w="1134" w:type="dxa"/>
            <w:noWrap/>
            <w:hideMark/>
          </w:tcPr>
          <w:p w14:paraId="15C117D4" w14:textId="77777777" w:rsidR="00F77219" w:rsidRPr="00A42920" w:rsidRDefault="00F77219" w:rsidP="00F772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Full text </w:t>
            </w:r>
            <w:r w:rsidR="00233E69"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>retrieved</w:t>
            </w:r>
            <w:r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772" w:type="dxa"/>
            <w:noWrap/>
            <w:hideMark/>
          </w:tcPr>
          <w:p w14:paraId="2BBBEA7F" w14:textId="77777777" w:rsidR="00F77219" w:rsidRPr="00A42920" w:rsidRDefault="00A42920" w:rsidP="00F772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Articles I</w:t>
            </w:r>
            <w:r w:rsidR="00F77219" w:rsidRPr="00A42920">
              <w:rPr>
                <w:rFonts w:ascii="Calibri" w:eastAsia="Times New Roman" w:hAnsi="Calibri" w:cs="Times New Roman"/>
                <w:color w:val="000000"/>
                <w:lang w:eastAsia="en-GB"/>
              </w:rPr>
              <w:t>ncluded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in Review</w:t>
            </w:r>
          </w:p>
        </w:tc>
      </w:tr>
      <w:tr w:rsidR="00233E69" w:rsidRPr="00F77219" w14:paraId="5768C822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6E49D3C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Alexander, J.A. et al. </w:t>
            </w:r>
          </w:p>
        </w:tc>
        <w:tc>
          <w:tcPr>
            <w:tcW w:w="7229" w:type="dxa"/>
            <w:noWrap/>
            <w:hideMark/>
          </w:tcPr>
          <w:p w14:paraId="1B70FB50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model for community health partnership sustainability</w:t>
            </w:r>
          </w:p>
        </w:tc>
        <w:tc>
          <w:tcPr>
            <w:tcW w:w="1276" w:type="dxa"/>
            <w:noWrap/>
            <w:hideMark/>
          </w:tcPr>
          <w:p w14:paraId="5865F0D8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59D584EE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F597EF7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4C02FC8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69D2AAAC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Amaya, A. et al. </w:t>
            </w:r>
          </w:p>
        </w:tc>
        <w:tc>
          <w:tcPr>
            <w:tcW w:w="7229" w:type="dxa"/>
            <w:noWrap/>
            <w:hideMark/>
          </w:tcPr>
          <w:p w14:paraId="51EA7F05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Conceptual framework for sustainability</w:t>
            </w:r>
          </w:p>
        </w:tc>
        <w:tc>
          <w:tcPr>
            <w:tcW w:w="1276" w:type="dxa"/>
            <w:noWrap/>
            <w:hideMark/>
          </w:tcPr>
          <w:p w14:paraId="2C17CA4B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7B8732B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A26FCE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53D5689A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BF60904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Ament, S. et al. </w:t>
            </w:r>
          </w:p>
        </w:tc>
        <w:tc>
          <w:tcPr>
            <w:tcW w:w="7229" w:type="dxa"/>
            <w:noWrap/>
            <w:hideMark/>
          </w:tcPr>
          <w:p w14:paraId="78C48D94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Strategies to sustain improvements in hospital practice</w:t>
            </w:r>
          </w:p>
        </w:tc>
        <w:tc>
          <w:tcPr>
            <w:tcW w:w="1276" w:type="dxa"/>
            <w:noWrap/>
            <w:hideMark/>
          </w:tcPr>
          <w:p w14:paraId="277870A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5285D91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73E5D97C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9E1E7BF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D1AADD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Atun, R. et al.</w:t>
            </w:r>
          </w:p>
        </w:tc>
        <w:tc>
          <w:tcPr>
            <w:tcW w:w="7229" w:type="dxa"/>
            <w:noWrap/>
            <w:hideMark/>
          </w:tcPr>
          <w:p w14:paraId="438BFF66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conceptual framework for analysing integration of targeted health interventions into health systems</w:t>
            </w:r>
          </w:p>
        </w:tc>
        <w:tc>
          <w:tcPr>
            <w:tcW w:w="1276" w:type="dxa"/>
            <w:noWrap/>
            <w:hideMark/>
          </w:tcPr>
          <w:p w14:paraId="6CD1D447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115</w:t>
            </w:r>
          </w:p>
        </w:tc>
        <w:tc>
          <w:tcPr>
            <w:tcW w:w="1134" w:type="dxa"/>
            <w:noWrap/>
            <w:hideMark/>
          </w:tcPr>
          <w:p w14:paraId="48C99B0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794D69D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5368286E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A845C6F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Azeredo, </w:t>
            </w:r>
            <w:proofErr w:type="gramStart"/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B.T. ,</w:t>
            </w:r>
            <w:proofErr w:type="gramEnd"/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et al. </w:t>
            </w:r>
          </w:p>
        </w:tc>
        <w:tc>
          <w:tcPr>
            <w:tcW w:w="7229" w:type="dxa"/>
            <w:noWrap/>
            <w:hideMark/>
          </w:tcPr>
          <w:p w14:paraId="22DAE432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Framework for inves</w:t>
            </w:r>
            <w:bookmarkStart w:id="0" w:name="_GoBack"/>
            <w:bookmarkEnd w:id="0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tigating the sustainability of ARV provision</w:t>
            </w:r>
          </w:p>
        </w:tc>
        <w:tc>
          <w:tcPr>
            <w:tcW w:w="1276" w:type="dxa"/>
            <w:noWrap/>
            <w:hideMark/>
          </w:tcPr>
          <w:p w14:paraId="42710BC9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5DDEBA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2DA5F9AD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41AF4BD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DE3E1D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Blackford, J. &amp; Street, A.</w:t>
            </w:r>
          </w:p>
        </w:tc>
        <w:tc>
          <w:tcPr>
            <w:tcW w:w="7229" w:type="dxa"/>
            <w:noWrap/>
            <w:hideMark/>
          </w:tcPr>
          <w:p w14:paraId="0A5C0C2A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Advance Care Planning-Service Evaluation Tool (ACP-SET)</w:t>
            </w:r>
          </w:p>
        </w:tc>
        <w:tc>
          <w:tcPr>
            <w:tcW w:w="1276" w:type="dxa"/>
            <w:noWrap/>
            <w:hideMark/>
          </w:tcPr>
          <w:p w14:paraId="084B61E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EF8A38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33A74BFD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8905A01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92BC99C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Blanchet, K. &amp; Girois, S.</w:t>
            </w:r>
          </w:p>
        </w:tc>
        <w:tc>
          <w:tcPr>
            <w:tcW w:w="7229" w:type="dxa"/>
            <w:noWrap/>
            <w:hideMark/>
          </w:tcPr>
          <w:p w14:paraId="6FE21C11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Sustainability Analysis Process (SAP)</w:t>
            </w:r>
          </w:p>
        </w:tc>
        <w:tc>
          <w:tcPr>
            <w:tcW w:w="1276" w:type="dxa"/>
            <w:noWrap/>
            <w:hideMark/>
          </w:tcPr>
          <w:p w14:paraId="505BB36F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8FF7B8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2C32811F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07FE2277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4D9A6B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Bray, P. et al. </w:t>
            </w:r>
          </w:p>
        </w:tc>
        <w:tc>
          <w:tcPr>
            <w:tcW w:w="7229" w:type="dxa"/>
            <w:noWrap/>
            <w:hideMark/>
          </w:tcPr>
          <w:p w14:paraId="6CDE7A59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Sustainability Pyramid Model</w:t>
            </w:r>
          </w:p>
        </w:tc>
        <w:tc>
          <w:tcPr>
            <w:tcW w:w="1276" w:type="dxa"/>
            <w:noWrap/>
            <w:hideMark/>
          </w:tcPr>
          <w:p w14:paraId="2E08926F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19E6679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3720FFB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FC45754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B7CD7B1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Brinkenhoff &amp; Goldsmith</w:t>
            </w:r>
          </w:p>
        </w:tc>
        <w:tc>
          <w:tcPr>
            <w:tcW w:w="7229" w:type="dxa"/>
            <w:noWrap/>
            <w:hideMark/>
          </w:tcPr>
          <w:p w14:paraId="3F6B7E70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analytical framework for Institutional sustainability</w:t>
            </w:r>
          </w:p>
        </w:tc>
        <w:tc>
          <w:tcPr>
            <w:tcW w:w="1276" w:type="dxa"/>
            <w:noWrap/>
            <w:hideMark/>
          </w:tcPr>
          <w:p w14:paraId="19DE601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0318035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B448C3A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4E718126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A56FC3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Chambers, D. et al.</w:t>
            </w:r>
          </w:p>
        </w:tc>
        <w:tc>
          <w:tcPr>
            <w:tcW w:w="7229" w:type="dxa"/>
            <w:noWrap/>
            <w:hideMark/>
          </w:tcPr>
          <w:p w14:paraId="0616CDDC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Dynamic Sustainability Framework</w:t>
            </w:r>
          </w:p>
        </w:tc>
        <w:tc>
          <w:tcPr>
            <w:tcW w:w="1276" w:type="dxa"/>
            <w:noWrap/>
            <w:hideMark/>
          </w:tcPr>
          <w:p w14:paraId="33E41869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172</w:t>
            </w:r>
          </w:p>
        </w:tc>
        <w:tc>
          <w:tcPr>
            <w:tcW w:w="1134" w:type="dxa"/>
            <w:noWrap/>
            <w:hideMark/>
          </w:tcPr>
          <w:p w14:paraId="5089436B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3CEC407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A3B7ED2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37474EE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Dauphinee, W. &amp; Reznick, R.</w:t>
            </w:r>
          </w:p>
        </w:tc>
        <w:tc>
          <w:tcPr>
            <w:tcW w:w="7229" w:type="dxa"/>
            <w:noWrap/>
            <w:hideMark/>
          </w:tcPr>
          <w:p w14:paraId="55B6BE67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Framework for guiding change and managing and monitoring a successful </w:t>
            </w:r>
            <w:proofErr w:type="spell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multicentered</w:t>
            </w:r>
            <w:proofErr w:type="spell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network.</w:t>
            </w:r>
          </w:p>
        </w:tc>
        <w:tc>
          <w:tcPr>
            <w:tcW w:w="1276" w:type="dxa"/>
            <w:noWrap/>
            <w:hideMark/>
          </w:tcPr>
          <w:p w14:paraId="5EB35DA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21C4FD2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332EECB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52EA9341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77D186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Dominick, G.M. et al.</w:t>
            </w:r>
          </w:p>
        </w:tc>
        <w:tc>
          <w:tcPr>
            <w:tcW w:w="7229" w:type="dxa"/>
            <w:noWrap/>
            <w:hideMark/>
          </w:tcPr>
          <w:p w14:paraId="251EFB25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ENRICH Sustainability Survey</w:t>
            </w:r>
          </w:p>
        </w:tc>
        <w:tc>
          <w:tcPr>
            <w:tcW w:w="1276" w:type="dxa"/>
            <w:noWrap/>
            <w:hideMark/>
          </w:tcPr>
          <w:p w14:paraId="30958359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2DCBD0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94DA61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754B8B2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C2013F6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Dorsey, S. et al. </w:t>
            </w:r>
          </w:p>
        </w:tc>
        <w:tc>
          <w:tcPr>
            <w:tcW w:w="7229" w:type="dxa"/>
            <w:noWrap/>
            <w:hideMark/>
          </w:tcPr>
          <w:p w14:paraId="45AA74B2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NINR Logic Model for </w:t>
            </w:r>
            <w:proofErr w:type="spell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Center</w:t>
            </w:r>
            <w:proofErr w:type="spell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Sustainability</w:t>
            </w:r>
          </w:p>
        </w:tc>
        <w:tc>
          <w:tcPr>
            <w:tcW w:w="1276" w:type="dxa"/>
            <w:noWrap/>
            <w:hideMark/>
          </w:tcPr>
          <w:p w14:paraId="374BB09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DC1BE0F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3CA52A4E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5A99B0C2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83E4DA4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Edwards, J. C. et al.</w:t>
            </w:r>
          </w:p>
        </w:tc>
        <w:tc>
          <w:tcPr>
            <w:tcW w:w="7229" w:type="dxa"/>
            <w:noWrap/>
            <w:hideMark/>
          </w:tcPr>
          <w:p w14:paraId="093589A3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Catholic Healthcare partners HF-GAP Sustainability Assessment (AHRQ)</w:t>
            </w:r>
          </w:p>
        </w:tc>
        <w:tc>
          <w:tcPr>
            <w:tcW w:w="1276" w:type="dxa"/>
            <w:noWrap/>
            <w:hideMark/>
          </w:tcPr>
          <w:p w14:paraId="65EDEBD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737D3E5D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26CE7CE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77FD33E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51EE754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Feldstein, A.C. &amp; Glasgow, R.E.</w:t>
            </w:r>
          </w:p>
        </w:tc>
        <w:tc>
          <w:tcPr>
            <w:tcW w:w="7229" w:type="dxa"/>
            <w:noWrap/>
            <w:hideMark/>
          </w:tcPr>
          <w:p w14:paraId="1D9D6E17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Practical, Robust Implementation and Sustainability Model (PRISM)</w:t>
            </w:r>
          </w:p>
        </w:tc>
        <w:tc>
          <w:tcPr>
            <w:tcW w:w="1276" w:type="dxa"/>
            <w:noWrap/>
            <w:hideMark/>
          </w:tcPr>
          <w:p w14:paraId="3B95236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245</w:t>
            </w:r>
          </w:p>
        </w:tc>
        <w:tc>
          <w:tcPr>
            <w:tcW w:w="1134" w:type="dxa"/>
            <w:noWrap/>
            <w:hideMark/>
          </w:tcPr>
          <w:p w14:paraId="637BDEFD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22266F12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3120FB2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DD7B2D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Finch, T.L. et al.</w:t>
            </w:r>
          </w:p>
        </w:tc>
        <w:tc>
          <w:tcPr>
            <w:tcW w:w="7229" w:type="dxa"/>
            <w:noWrap/>
            <w:hideMark/>
          </w:tcPr>
          <w:p w14:paraId="16F58AC0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Technology Adoption Readiness Scale (TARS)</w:t>
            </w:r>
          </w:p>
        </w:tc>
        <w:tc>
          <w:tcPr>
            <w:tcW w:w="1276" w:type="dxa"/>
            <w:noWrap/>
            <w:hideMark/>
          </w:tcPr>
          <w:p w14:paraId="64D89FA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65716A1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B00A6F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59F45EC8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6F101D3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Fleiszer et al. </w:t>
            </w:r>
          </w:p>
        </w:tc>
        <w:tc>
          <w:tcPr>
            <w:tcW w:w="7229" w:type="dxa"/>
            <w:noWrap/>
            <w:hideMark/>
          </w:tcPr>
          <w:p w14:paraId="36DFAD55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Framework for the sustainability of healthcare innovations</w:t>
            </w:r>
          </w:p>
        </w:tc>
        <w:tc>
          <w:tcPr>
            <w:tcW w:w="1276" w:type="dxa"/>
            <w:noWrap/>
            <w:hideMark/>
          </w:tcPr>
          <w:p w14:paraId="3E0959C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07C57D69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3E68EA6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17661A3A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EE50CCE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Ford, J.H. et al. </w:t>
            </w:r>
          </w:p>
        </w:tc>
        <w:tc>
          <w:tcPr>
            <w:tcW w:w="7229" w:type="dxa"/>
            <w:noWrap/>
            <w:hideMark/>
          </w:tcPr>
          <w:p w14:paraId="0428EEC4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Strategies to Sustain Use of A-CHESS</w:t>
            </w:r>
          </w:p>
        </w:tc>
        <w:tc>
          <w:tcPr>
            <w:tcW w:w="1276" w:type="dxa"/>
            <w:noWrap/>
            <w:hideMark/>
          </w:tcPr>
          <w:p w14:paraId="315C83F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53F350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24E2446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06570FB1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308E682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Fox, A. et al. </w:t>
            </w:r>
          </w:p>
        </w:tc>
        <w:tc>
          <w:tcPr>
            <w:tcW w:w="7229" w:type="dxa"/>
            <w:noWrap/>
            <w:hideMark/>
          </w:tcPr>
          <w:p w14:paraId="477FCEFC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sustainability of innovation theoretical framework</w:t>
            </w:r>
          </w:p>
        </w:tc>
        <w:tc>
          <w:tcPr>
            <w:tcW w:w="1276" w:type="dxa"/>
            <w:noWrap/>
            <w:hideMark/>
          </w:tcPr>
          <w:p w14:paraId="0D34778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0D9878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2430FC98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03F7622B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5019CD1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Goodman et al. </w:t>
            </w:r>
          </w:p>
        </w:tc>
        <w:tc>
          <w:tcPr>
            <w:tcW w:w="7229" w:type="dxa"/>
            <w:noWrap/>
            <w:hideMark/>
          </w:tcPr>
          <w:p w14:paraId="39E9DB83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Level of Institutionalisation (LoIn) Scale</w:t>
            </w:r>
          </w:p>
        </w:tc>
        <w:tc>
          <w:tcPr>
            <w:tcW w:w="1276" w:type="dxa"/>
            <w:noWrap/>
            <w:hideMark/>
          </w:tcPr>
          <w:p w14:paraId="5B97056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1134" w:type="dxa"/>
            <w:noWrap/>
            <w:hideMark/>
          </w:tcPr>
          <w:p w14:paraId="4BB7584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772" w:type="dxa"/>
            <w:noWrap/>
            <w:hideMark/>
          </w:tcPr>
          <w:p w14:paraId="53C33C9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233E69" w:rsidRPr="00F77219" w14:paraId="75C33888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47DB6C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Goodman, R. &amp; Steckler, A.</w:t>
            </w:r>
          </w:p>
        </w:tc>
        <w:tc>
          <w:tcPr>
            <w:tcW w:w="7229" w:type="dxa"/>
            <w:noWrap/>
            <w:hideMark/>
          </w:tcPr>
          <w:p w14:paraId="25D9E21C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Model for Program Institutionalisation</w:t>
            </w:r>
          </w:p>
        </w:tc>
        <w:tc>
          <w:tcPr>
            <w:tcW w:w="1276" w:type="dxa"/>
            <w:noWrap/>
            <w:hideMark/>
          </w:tcPr>
          <w:p w14:paraId="32C422A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275</w:t>
            </w:r>
          </w:p>
        </w:tc>
        <w:tc>
          <w:tcPr>
            <w:tcW w:w="1134" w:type="dxa"/>
            <w:noWrap/>
            <w:hideMark/>
          </w:tcPr>
          <w:p w14:paraId="2971B89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0AC2FF27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D7674FC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D5CB08A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 xml:space="preserve">Gruen, R.L. et al </w:t>
            </w:r>
          </w:p>
        </w:tc>
        <w:tc>
          <w:tcPr>
            <w:tcW w:w="7229" w:type="dxa"/>
            <w:noWrap/>
            <w:hideMark/>
          </w:tcPr>
          <w:p w14:paraId="47ED9724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Model of health-programme sustainability</w:t>
            </w:r>
          </w:p>
        </w:tc>
        <w:tc>
          <w:tcPr>
            <w:tcW w:w="1276" w:type="dxa"/>
            <w:noWrap/>
            <w:hideMark/>
          </w:tcPr>
          <w:p w14:paraId="00CC275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119</w:t>
            </w:r>
          </w:p>
        </w:tc>
        <w:tc>
          <w:tcPr>
            <w:tcW w:w="1134" w:type="dxa"/>
            <w:noWrap/>
            <w:hideMark/>
          </w:tcPr>
          <w:p w14:paraId="330DA6E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2DC86FD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047520EB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472D7C1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Hanson, D. et al. </w:t>
            </w:r>
          </w:p>
        </w:tc>
        <w:tc>
          <w:tcPr>
            <w:tcW w:w="7229" w:type="dxa"/>
            <w:noWrap/>
            <w:hideMark/>
          </w:tcPr>
          <w:p w14:paraId="04CBCE13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systematic ecological framework to design sustainable interventions</w:t>
            </w:r>
          </w:p>
        </w:tc>
        <w:tc>
          <w:tcPr>
            <w:tcW w:w="1276" w:type="dxa"/>
            <w:noWrap/>
            <w:hideMark/>
          </w:tcPr>
          <w:p w14:paraId="19AD62E8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2BB81402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FE44D4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411E8D5E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C7C8A7A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Hodge L.M. &amp; Turner, K.M.T.</w:t>
            </w:r>
          </w:p>
        </w:tc>
        <w:tc>
          <w:tcPr>
            <w:tcW w:w="7229" w:type="dxa"/>
            <w:noWrap/>
            <w:hideMark/>
          </w:tcPr>
          <w:p w14:paraId="70D91926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Conceptual Framework of Supporting Factors</w:t>
            </w:r>
          </w:p>
        </w:tc>
        <w:tc>
          <w:tcPr>
            <w:tcW w:w="1276" w:type="dxa"/>
            <w:noWrap/>
            <w:hideMark/>
          </w:tcPr>
          <w:p w14:paraId="53A6B4C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3D72E8D3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7C5AC40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0C159BC7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C2226B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Isabalija, S.R. et al. </w:t>
            </w:r>
          </w:p>
        </w:tc>
        <w:tc>
          <w:tcPr>
            <w:tcW w:w="7229" w:type="dxa"/>
            <w:noWrap/>
            <w:hideMark/>
          </w:tcPr>
          <w:p w14:paraId="55350776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Framework for e-medicine sustainability</w:t>
            </w:r>
          </w:p>
        </w:tc>
        <w:tc>
          <w:tcPr>
            <w:tcW w:w="1276" w:type="dxa"/>
            <w:noWrap/>
            <w:hideMark/>
          </w:tcPr>
          <w:p w14:paraId="6E6C1BCC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44734A7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5FC535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68F8093E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405E81A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Iwelunmor, Jet al. </w:t>
            </w:r>
          </w:p>
        </w:tc>
        <w:tc>
          <w:tcPr>
            <w:tcW w:w="7229" w:type="dxa"/>
            <w:noWrap/>
            <w:hideMark/>
          </w:tcPr>
          <w:p w14:paraId="61A5F9DF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A conceptual framework </w:t>
            </w:r>
          </w:p>
        </w:tc>
        <w:tc>
          <w:tcPr>
            <w:tcW w:w="1276" w:type="dxa"/>
            <w:noWrap/>
            <w:hideMark/>
          </w:tcPr>
          <w:p w14:paraId="376FC457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55CC1FC3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2EB53B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E3F3DDA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E878756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Johnson et al </w:t>
            </w:r>
          </w:p>
        </w:tc>
        <w:tc>
          <w:tcPr>
            <w:tcW w:w="7229" w:type="dxa"/>
            <w:noWrap/>
            <w:hideMark/>
          </w:tcPr>
          <w:p w14:paraId="005FB2BB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Sustainability Planning Model</w:t>
            </w:r>
          </w:p>
        </w:tc>
        <w:tc>
          <w:tcPr>
            <w:tcW w:w="1276" w:type="dxa"/>
            <w:noWrap/>
            <w:hideMark/>
          </w:tcPr>
          <w:p w14:paraId="72586428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177</w:t>
            </w:r>
          </w:p>
        </w:tc>
        <w:tc>
          <w:tcPr>
            <w:tcW w:w="1134" w:type="dxa"/>
            <w:noWrap/>
            <w:hideMark/>
          </w:tcPr>
          <w:p w14:paraId="4407438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65B6509B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65E7E4EF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B348B1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Knight, T. et al</w:t>
            </w:r>
          </w:p>
        </w:tc>
        <w:tc>
          <w:tcPr>
            <w:tcW w:w="7229" w:type="dxa"/>
            <w:noWrap/>
            <w:hideMark/>
          </w:tcPr>
          <w:p w14:paraId="29C9DD35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framework for evaluating the sustainability of collaborative working</w:t>
            </w:r>
          </w:p>
        </w:tc>
        <w:tc>
          <w:tcPr>
            <w:tcW w:w="1276" w:type="dxa"/>
            <w:noWrap/>
            <w:hideMark/>
          </w:tcPr>
          <w:p w14:paraId="403815E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42ACAB49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7533F917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9118FCD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C468F27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Leffers, J. &amp; Mitchell, E.</w:t>
            </w:r>
          </w:p>
        </w:tc>
        <w:tc>
          <w:tcPr>
            <w:tcW w:w="7229" w:type="dxa"/>
            <w:noWrap/>
            <w:hideMark/>
          </w:tcPr>
          <w:p w14:paraId="09EE74FB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Conceptual Framework for Partnership and Sustainability in Global Health Nursing.</w:t>
            </w:r>
          </w:p>
        </w:tc>
        <w:tc>
          <w:tcPr>
            <w:tcW w:w="1276" w:type="dxa"/>
            <w:noWrap/>
            <w:hideMark/>
          </w:tcPr>
          <w:p w14:paraId="1C0A824C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5A357187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772" w:type="dxa"/>
            <w:noWrap/>
            <w:hideMark/>
          </w:tcPr>
          <w:p w14:paraId="4F5132AA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233E69" w:rsidRPr="00F77219" w14:paraId="3C64D917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1C6A8D4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Lennox, L. et al. </w:t>
            </w:r>
          </w:p>
        </w:tc>
        <w:tc>
          <w:tcPr>
            <w:tcW w:w="7229" w:type="dxa"/>
            <w:noWrap/>
            <w:hideMark/>
          </w:tcPr>
          <w:p w14:paraId="2D47A283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The </w:t>
            </w:r>
            <w:proofErr w:type="gram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Long Term</w:t>
            </w:r>
            <w:proofErr w:type="gram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Success Tool</w:t>
            </w:r>
          </w:p>
        </w:tc>
        <w:tc>
          <w:tcPr>
            <w:tcW w:w="1276" w:type="dxa"/>
            <w:noWrap/>
            <w:hideMark/>
          </w:tcPr>
          <w:p w14:paraId="303238B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1B7402B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3E256A1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FCE714E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3E9192E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Luke, D.A.</w:t>
            </w:r>
          </w:p>
        </w:tc>
        <w:tc>
          <w:tcPr>
            <w:tcW w:w="7229" w:type="dxa"/>
            <w:noWrap/>
            <w:hideMark/>
          </w:tcPr>
          <w:p w14:paraId="2077BAAD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Program Sustainability Assessment Tool (PSAT)</w:t>
            </w:r>
          </w:p>
        </w:tc>
        <w:tc>
          <w:tcPr>
            <w:tcW w:w="1276" w:type="dxa"/>
            <w:noWrap/>
            <w:hideMark/>
          </w:tcPr>
          <w:p w14:paraId="2C4144D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5EFA6BE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772" w:type="dxa"/>
            <w:noWrap/>
            <w:hideMark/>
          </w:tcPr>
          <w:p w14:paraId="48098209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233E69" w:rsidRPr="00F77219" w14:paraId="7BB8842A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DDD959B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Maher, L. et al.</w:t>
            </w:r>
          </w:p>
        </w:tc>
        <w:tc>
          <w:tcPr>
            <w:tcW w:w="7229" w:type="dxa"/>
            <w:noWrap/>
            <w:hideMark/>
          </w:tcPr>
          <w:p w14:paraId="58C10DBC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NHS III Sustainability Model</w:t>
            </w:r>
          </w:p>
        </w:tc>
        <w:tc>
          <w:tcPr>
            <w:tcW w:w="1276" w:type="dxa"/>
            <w:noWrap/>
            <w:hideMark/>
          </w:tcPr>
          <w:p w14:paraId="0138C88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A70C33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772" w:type="dxa"/>
            <w:noWrap/>
            <w:hideMark/>
          </w:tcPr>
          <w:p w14:paraId="52FE2AB0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233E69" w:rsidRPr="00F77219" w14:paraId="716DDEEB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0B3447A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Mancini, J.A. &amp; Marek, L.I. </w:t>
            </w:r>
          </w:p>
        </w:tc>
        <w:tc>
          <w:tcPr>
            <w:tcW w:w="7229" w:type="dxa"/>
            <w:noWrap/>
            <w:hideMark/>
          </w:tcPr>
          <w:p w14:paraId="2856FB07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Model of community-based program sustainability/Program Sustainability Index (PSI)</w:t>
            </w:r>
          </w:p>
        </w:tc>
        <w:tc>
          <w:tcPr>
            <w:tcW w:w="1276" w:type="dxa"/>
            <w:noWrap/>
            <w:hideMark/>
          </w:tcPr>
          <w:p w14:paraId="2BE8F50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53</w:t>
            </w:r>
          </w:p>
        </w:tc>
        <w:tc>
          <w:tcPr>
            <w:tcW w:w="1134" w:type="dxa"/>
            <w:noWrap/>
            <w:hideMark/>
          </w:tcPr>
          <w:p w14:paraId="230C5A2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772" w:type="dxa"/>
            <w:noWrap/>
            <w:hideMark/>
          </w:tcPr>
          <w:p w14:paraId="2BEB000E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</w:tr>
      <w:tr w:rsidR="00233E69" w:rsidRPr="00F77219" w14:paraId="2A9A934D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F0DC24D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May, C. &amp; Finch, T. </w:t>
            </w:r>
          </w:p>
        </w:tc>
        <w:tc>
          <w:tcPr>
            <w:tcW w:w="7229" w:type="dxa"/>
            <w:noWrap/>
            <w:hideMark/>
          </w:tcPr>
          <w:p w14:paraId="6DE3D139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Normalization Process Theory</w:t>
            </w:r>
          </w:p>
        </w:tc>
        <w:tc>
          <w:tcPr>
            <w:tcW w:w="1276" w:type="dxa"/>
            <w:noWrap/>
            <w:hideMark/>
          </w:tcPr>
          <w:p w14:paraId="57DE5BF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354</w:t>
            </w:r>
          </w:p>
        </w:tc>
        <w:tc>
          <w:tcPr>
            <w:tcW w:w="1134" w:type="dxa"/>
            <w:noWrap/>
            <w:hideMark/>
          </w:tcPr>
          <w:p w14:paraId="087AC7B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772" w:type="dxa"/>
            <w:noWrap/>
            <w:hideMark/>
          </w:tcPr>
          <w:p w14:paraId="694C2E5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</w:tr>
      <w:tr w:rsidR="00233E69" w:rsidRPr="00F77219" w14:paraId="152D17B7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711C6B2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May, C. et al  </w:t>
            </w:r>
          </w:p>
        </w:tc>
        <w:tc>
          <w:tcPr>
            <w:tcW w:w="7229" w:type="dxa"/>
            <w:noWrap/>
            <w:hideMark/>
          </w:tcPr>
          <w:p w14:paraId="50004659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Normalisation process Model</w:t>
            </w:r>
          </w:p>
        </w:tc>
        <w:tc>
          <w:tcPr>
            <w:tcW w:w="1276" w:type="dxa"/>
            <w:noWrap/>
            <w:hideMark/>
          </w:tcPr>
          <w:p w14:paraId="35979A3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169</w:t>
            </w:r>
          </w:p>
        </w:tc>
        <w:tc>
          <w:tcPr>
            <w:tcW w:w="1134" w:type="dxa"/>
            <w:noWrap/>
            <w:hideMark/>
          </w:tcPr>
          <w:p w14:paraId="1403768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1772" w:type="dxa"/>
            <w:noWrap/>
            <w:hideMark/>
          </w:tcPr>
          <w:p w14:paraId="63E64D37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233E69" w:rsidRPr="00F77219" w14:paraId="2EBFAB2B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DF38E0F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Melnyk &amp; Fineout-Overholt</w:t>
            </w:r>
          </w:p>
        </w:tc>
        <w:tc>
          <w:tcPr>
            <w:tcW w:w="7229" w:type="dxa"/>
            <w:noWrap/>
            <w:hideMark/>
          </w:tcPr>
          <w:p w14:paraId="039DD9B4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ARCC (Advancing Research and Clinical practice through close Collaboration) model</w:t>
            </w:r>
          </w:p>
        </w:tc>
        <w:tc>
          <w:tcPr>
            <w:tcW w:w="1276" w:type="dxa"/>
            <w:noWrap/>
            <w:hideMark/>
          </w:tcPr>
          <w:p w14:paraId="59B5726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20F3CDF7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772" w:type="dxa"/>
            <w:noWrap/>
            <w:hideMark/>
          </w:tcPr>
          <w:p w14:paraId="443134B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233E69" w:rsidRPr="00F77219" w14:paraId="4F060424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A1658EE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Nelson, D.E. et at.</w:t>
            </w:r>
          </w:p>
        </w:tc>
        <w:tc>
          <w:tcPr>
            <w:tcW w:w="7229" w:type="dxa"/>
            <w:noWrap/>
            <w:hideMark/>
          </w:tcPr>
          <w:p w14:paraId="165E60CE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The five basic elements of program sustainability </w:t>
            </w:r>
          </w:p>
        </w:tc>
        <w:tc>
          <w:tcPr>
            <w:tcW w:w="1276" w:type="dxa"/>
            <w:noWrap/>
            <w:hideMark/>
          </w:tcPr>
          <w:p w14:paraId="3DB4771C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4F4A307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C31D6B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5F7CC42A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4D9A9A1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Nystrom, M.E. et al</w:t>
            </w:r>
          </w:p>
        </w:tc>
        <w:tc>
          <w:tcPr>
            <w:tcW w:w="7229" w:type="dxa"/>
            <w:noWrap/>
            <w:hideMark/>
          </w:tcPr>
          <w:p w14:paraId="1D4D4315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Strategies to facilitate implementation and sustainability of large system transformations</w:t>
            </w:r>
          </w:p>
        </w:tc>
        <w:tc>
          <w:tcPr>
            <w:tcW w:w="1276" w:type="dxa"/>
            <w:noWrap/>
            <w:hideMark/>
          </w:tcPr>
          <w:p w14:paraId="38133BF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4EF790C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02039BCD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1005342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07E5E0B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Okeibunor, J. et al.</w:t>
            </w:r>
          </w:p>
        </w:tc>
        <w:tc>
          <w:tcPr>
            <w:tcW w:w="7229" w:type="dxa"/>
            <w:noWrap/>
            <w:hideMark/>
          </w:tcPr>
          <w:p w14:paraId="1AEAB439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model for evaluating the sustainability of community-directed treatment with ivermectin</w:t>
            </w:r>
          </w:p>
        </w:tc>
        <w:tc>
          <w:tcPr>
            <w:tcW w:w="1276" w:type="dxa"/>
            <w:noWrap/>
            <w:hideMark/>
          </w:tcPr>
          <w:p w14:paraId="3910BB9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51F92AE7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5EEFCFB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6B73CCC0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486D22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Olsen, I. T.</w:t>
            </w:r>
          </w:p>
        </w:tc>
        <w:tc>
          <w:tcPr>
            <w:tcW w:w="7229" w:type="dxa"/>
            <w:noWrap/>
            <w:hideMark/>
          </w:tcPr>
          <w:p w14:paraId="733937CC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Sustainability of health care: A framework for analysis</w:t>
            </w:r>
          </w:p>
        </w:tc>
        <w:tc>
          <w:tcPr>
            <w:tcW w:w="1276" w:type="dxa"/>
            <w:noWrap/>
            <w:hideMark/>
          </w:tcPr>
          <w:p w14:paraId="751E834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2E9ED92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EFD0349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056416FF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482DBA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Parand, A.</w:t>
            </w:r>
          </w:p>
        </w:tc>
        <w:tc>
          <w:tcPr>
            <w:tcW w:w="7229" w:type="dxa"/>
            <w:noWrap/>
            <w:hideMark/>
          </w:tcPr>
          <w:p w14:paraId="3B31AA40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Strategies to sustain Safer Patient </w:t>
            </w:r>
            <w:proofErr w:type="spell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Initative</w:t>
            </w:r>
            <w:proofErr w:type="spell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(SPI)</w:t>
            </w:r>
          </w:p>
        </w:tc>
        <w:tc>
          <w:tcPr>
            <w:tcW w:w="1276" w:type="dxa"/>
            <w:noWrap/>
            <w:hideMark/>
          </w:tcPr>
          <w:p w14:paraId="7B5D3A8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29A5E39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371D982F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2E10F0C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6BD2F8E5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Persaud, D </w:t>
            </w:r>
          </w:p>
        </w:tc>
        <w:tc>
          <w:tcPr>
            <w:tcW w:w="7229" w:type="dxa"/>
            <w:noWrap/>
            <w:hideMark/>
          </w:tcPr>
          <w:p w14:paraId="17A3553E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ELIAS (Enhancing Learning, Innovation, Adaptation, and Sustainability) Performance Management Framework</w:t>
            </w:r>
          </w:p>
        </w:tc>
        <w:tc>
          <w:tcPr>
            <w:tcW w:w="1276" w:type="dxa"/>
            <w:noWrap/>
            <w:hideMark/>
          </w:tcPr>
          <w:p w14:paraId="7009DC4D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5555954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7650BFF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05B5639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F0AE85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Racine, D.P. </w:t>
            </w:r>
          </w:p>
        </w:tc>
        <w:tc>
          <w:tcPr>
            <w:tcW w:w="7229" w:type="dxa"/>
            <w:noWrap/>
            <w:hideMark/>
          </w:tcPr>
          <w:p w14:paraId="40805F85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Model of sustaining innovations in their effectiveness</w:t>
            </w:r>
          </w:p>
        </w:tc>
        <w:tc>
          <w:tcPr>
            <w:tcW w:w="1276" w:type="dxa"/>
            <w:noWrap/>
            <w:hideMark/>
          </w:tcPr>
          <w:p w14:paraId="17DD4C3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1FC14D6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55C2E1C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08EB59B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3B078985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Rasschaert et al.</w:t>
            </w:r>
          </w:p>
        </w:tc>
        <w:tc>
          <w:tcPr>
            <w:tcW w:w="7229" w:type="dxa"/>
            <w:noWrap/>
            <w:hideMark/>
          </w:tcPr>
          <w:p w14:paraId="2B3391BA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Conceptual framework on sustainability of community-based programmes</w:t>
            </w:r>
          </w:p>
        </w:tc>
        <w:tc>
          <w:tcPr>
            <w:tcW w:w="1276" w:type="dxa"/>
            <w:noWrap/>
            <w:hideMark/>
          </w:tcPr>
          <w:p w14:paraId="746A6150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3024249D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759D59E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045DDAE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6DD9C842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Roy et el. </w:t>
            </w:r>
          </w:p>
        </w:tc>
        <w:tc>
          <w:tcPr>
            <w:tcW w:w="7229" w:type="dxa"/>
            <w:noWrap/>
            <w:hideMark/>
          </w:tcPr>
          <w:p w14:paraId="56E47AB8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Framework for Sustained Retention</w:t>
            </w:r>
          </w:p>
        </w:tc>
        <w:tc>
          <w:tcPr>
            <w:tcW w:w="1276" w:type="dxa"/>
            <w:noWrap/>
            <w:hideMark/>
          </w:tcPr>
          <w:p w14:paraId="1644D0AB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6905F23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2429BD0A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F5CE198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3564D21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Rudd, R. E. et al.</w:t>
            </w:r>
          </w:p>
        </w:tc>
        <w:tc>
          <w:tcPr>
            <w:tcW w:w="7229" w:type="dxa"/>
            <w:noWrap/>
            <w:hideMark/>
          </w:tcPr>
          <w:p w14:paraId="60D9BAA3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five-stage model for sustaining a community campaign</w:t>
            </w:r>
          </w:p>
        </w:tc>
        <w:tc>
          <w:tcPr>
            <w:tcW w:w="1276" w:type="dxa"/>
            <w:noWrap/>
            <w:hideMark/>
          </w:tcPr>
          <w:p w14:paraId="1BD9DC47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FE45A33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665182A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6265D8D3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94751FF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Sarriot, E.G. et al. </w:t>
            </w:r>
          </w:p>
        </w:tc>
        <w:tc>
          <w:tcPr>
            <w:tcW w:w="7229" w:type="dxa"/>
            <w:noWrap/>
            <w:hideMark/>
          </w:tcPr>
          <w:p w14:paraId="60216BF1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Child Survival Sustainability Assessment (CSSA) framework and process</w:t>
            </w:r>
          </w:p>
        </w:tc>
        <w:tc>
          <w:tcPr>
            <w:tcW w:w="1276" w:type="dxa"/>
            <w:noWrap/>
            <w:hideMark/>
          </w:tcPr>
          <w:p w14:paraId="7D36E14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3D6C594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772" w:type="dxa"/>
            <w:noWrap/>
            <w:hideMark/>
          </w:tcPr>
          <w:p w14:paraId="00A8AF9D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A77E919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83BF8BB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Sarriot, E.G. et al. Manual</w:t>
            </w:r>
          </w:p>
        </w:tc>
        <w:tc>
          <w:tcPr>
            <w:tcW w:w="7229" w:type="dxa"/>
            <w:noWrap/>
            <w:hideMark/>
          </w:tcPr>
          <w:p w14:paraId="2FC220AF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Sustainability Framework</w:t>
            </w:r>
          </w:p>
        </w:tc>
        <w:tc>
          <w:tcPr>
            <w:tcW w:w="1276" w:type="dxa"/>
            <w:noWrap/>
            <w:hideMark/>
          </w:tcPr>
          <w:p w14:paraId="456CB21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5F7FD8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5C53B1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3673F07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25362978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Saunders, R.P.</w:t>
            </w:r>
          </w:p>
        </w:tc>
        <w:tc>
          <w:tcPr>
            <w:tcW w:w="7229" w:type="dxa"/>
            <w:noWrap/>
            <w:hideMark/>
          </w:tcPr>
          <w:p w14:paraId="29E19BB7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LEAP Sustainability Assessment</w:t>
            </w:r>
          </w:p>
        </w:tc>
        <w:tc>
          <w:tcPr>
            <w:tcW w:w="1276" w:type="dxa"/>
            <w:noWrap/>
            <w:hideMark/>
          </w:tcPr>
          <w:p w14:paraId="4F1F7B0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5BF49DC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68124A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0DB92D9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AE9EA20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Savaya, R. </w:t>
            </w:r>
          </w:p>
        </w:tc>
        <w:tc>
          <w:tcPr>
            <w:tcW w:w="7229" w:type="dxa"/>
            <w:noWrap/>
            <w:hideMark/>
          </w:tcPr>
          <w:p w14:paraId="5AC7ADC2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Projected Likelihood of Project’s Continuation</w:t>
            </w:r>
          </w:p>
        </w:tc>
        <w:tc>
          <w:tcPr>
            <w:tcW w:w="1276" w:type="dxa"/>
            <w:noWrap/>
            <w:hideMark/>
          </w:tcPr>
          <w:p w14:paraId="3961C70A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771DA31F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4707C9F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8FE2428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29D5650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Schalock, R. et al. </w:t>
            </w:r>
          </w:p>
        </w:tc>
        <w:tc>
          <w:tcPr>
            <w:tcW w:w="7229" w:type="dxa"/>
            <w:noWrap/>
            <w:hideMark/>
          </w:tcPr>
          <w:p w14:paraId="79051FD7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Sustainability model</w:t>
            </w:r>
          </w:p>
        </w:tc>
        <w:tc>
          <w:tcPr>
            <w:tcW w:w="1276" w:type="dxa"/>
            <w:noWrap/>
            <w:hideMark/>
          </w:tcPr>
          <w:p w14:paraId="54A360B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1AC1E549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B85D9B8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800E57B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48BE1B33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Scheirer and Dearing</w:t>
            </w:r>
          </w:p>
        </w:tc>
        <w:tc>
          <w:tcPr>
            <w:tcW w:w="7229" w:type="dxa"/>
            <w:noWrap/>
            <w:hideMark/>
          </w:tcPr>
          <w:p w14:paraId="4026595B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Conceptual framework for sustainability of public health programs</w:t>
            </w:r>
          </w:p>
        </w:tc>
        <w:tc>
          <w:tcPr>
            <w:tcW w:w="1276" w:type="dxa"/>
            <w:noWrap/>
            <w:hideMark/>
          </w:tcPr>
          <w:p w14:paraId="1A3ECC2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152</w:t>
            </w:r>
          </w:p>
        </w:tc>
        <w:tc>
          <w:tcPr>
            <w:tcW w:w="1134" w:type="dxa"/>
            <w:noWrap/>
            <w:hideMark/>
          </w:tcPr>
          <w:p w14:paraId="7629E02E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772" w:type="dxa"/>
            <w:noWrap/>
            <w:hideMark/>
          </w:tcPr>
          <w:p w14:paraId="3F8A4EE1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29B0E160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5706E10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Schell, S.F. et al. </w:t>
            </w:r>
          </w:p>
        </w:tc>
        <w:tc>
          <w:tcPr>
            <w:tcW w:w="7229" w:type="dxa"/>
            <w:noWrap/>
            <w:hideMark/>
          </w:tcPr>
          <w:p w14:paraId="153B0F24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Capacity for sustainability framework</w:t>
            </w:r>
          </w:p>
        </w:tc>
        <w:tc>
          <w:tcPr>
            <w:tcW w:w="1276" w:type="dxa"/>
            <w:noWrap/>
            <w:hideMark/>
          </w:tcPr>
          <w:p w14:paraId="15C09BD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94</w:t>
            </w:r>
          </w:p>
        </w:tc>
        <w:tc>
          <w:tcPr>
            <w:tcW w:w="1134" w:type="dxa"/>
            <w:noWrap/>
            <w:hideMark/>
          </w:tcPr>
          <w:p w14:paraId="19265C32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6FABB7A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33E69" w:rsidRPr="00F77219" w14:paraId="53C05B84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1C2EEC7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Shediac-Rizkallah &amp; Bone</w:t>
            </w:r>
          </w:p>
        </w:tc>
        <w:tc>
          <w:tcPr>
            <w:tcW w:w="7229" w:type="dxa"/>
            <w:noWrap/>
            <w:hideMark/>
          </w:tcPr>
          <w:p w14:paraId="2E4F0609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Conceptual framework for planning for sustainability of </w:t>
            </w:r>
            <w:proofErr w:type="gram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community based</w:t>
            </w:r>
            <w:proofErr w:type="gram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health programs</w:t>
            </w:r>
          </w:p>
        </w:tc>
        <w:tc>
          <w:tcPr>
            <w:tcW w:w="1276" w:type="dxa"/>
            <w:noWrap/>
            <w:hideMark/>
          </w:tcPr>
          <w:p w14:paraId="28A7548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369</w:t>
            </w:r>
          </w:p>
        </w:tc>
        <w:tc>
          <w:tcPr>
            <w:tcW w:w="1134" w:type="dxa"/>
            <w:noWrap/>
            <w:hideMark/>
          </w:tcPr>
          <w:p w14:paraId="36626D93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772" w:type="dxa"/>
            <w:noWrap/>
            <w:hideMark/>
          </w:tcPr>
          <w:p w14:paraId="7912728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233E69" w:rsidRPr="00F77219" w14:paraId="0C8B7036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583B2E5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Shigayeva, A. &amp; Coker, R. </w:t>
            </w:r>
          </w:p>
        </w:tc>
        <w:tc>
          <w:tcPr>
            <w:tcW w:w="7229" w:type="dxa"/>
            <w:noWrap/>
            <w:hideMark/>
          </w:tcPr>
          <w:p w14:paraId="7872A9CB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Conceptual framework to support analyses of sustainability of communicable disease programmes</w:t>
            </w:r>
          </w:p>
        </w:tc>
        <w:tc>
          <w:tcPr>
            <w:tcW w:w="1276" w:type="dxa"/>
            <w:noWrap/>
            <w:hideMark/>
          </w:tcPr>
          <w:p w14:paraId="61E8D033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B880D5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D73BFA1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EBACF46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C5C90AC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Sivaram, S. &amp; Celentano, D.D.</w:t>
            </w:r>
          </w:p>
        </w:tc>
        <w:tc>
          <w:tcPr>
            <w:tcW w:w="7229" w:type="dxa"/>
            <w:noWrap/>
            <w:hideMark/>
          </w:tcPr>
          <w:p w14:paraId="6626F425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Conceptual framework to develop a strategy that will facilitate sustainability </w:t>
            </w:r>
          </w:p>
        </w:tc>
        <w:tc>
          <w:tcPr>
            <w:tcW w:w="1276" w:type="dxa"/>
            <w:noWrap/>
            <w:hideMark/>
          </w:tcPr>
          <w:p w14:paraId="7F710B3A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EC89D78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14DBF90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4DE3891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FAEBA12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Slaghuis, S.S. et al. </w:t>
            </w:r>
          </w:p>
        </w:tc>
        <w:tc>
          <w:tcPr>
            <w:tcW w:w="7229" w:type="dxa"/>
            <w:noWrap/>
            <w:hideMark/>
          </w:tcPr>
          <w:p w14:paraId="4D25384E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 framework and a measurement instrument for sustainability of work practices in long-term care</w:t>
            </w:r>
          </w:p>
        </w:tc>
        <w:tc>
          <w:tcPr>
            <w:tcW w:w="1276" w:type="dxa"/>
            <w:noWrap/>
            <w:hideMark/>
          </w:tcPr>
          <w:p w14:paraId="27EDD42A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69F1223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772" w:type="dxa"/>
            <w:noWrap/>
            <w:hideMark/>
          </w:tcPr>
          <w:p w14:paraId="62BA01A6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233E69" w:rsidRPr="00F77219" w14:paraId="18B11FC0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2C2CBE6F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Song, B. et al. </w:t>
            </w:r>
          </w:p>
        </w:tc>
        <w:tc>
          <w:tcPr>
            <w:tcW w:w="7229" w:type="dxa"/>
            <w:noWrap/>
            <w:hideMark/>
          </w:tcPr>
          <w:p w14:paraId="4B928529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The framework for sustainability evaluation of Community based LTC programmes</w:t>
            </w:r>
          </w:p>
        </w:tc>
        <w:tc>
          <w:tcPr>
            <w:tcW w:w="1276" w:type="dxa"/>
            <w:noWrap/>
            <w:hideMark/>
          </w:tcPr>
          <w:p w14:paraId="4F0B51C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04C4D7B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0A451E89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7BA18087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5E1BD085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Sridharan, S. et al. </w:t>
            </w:r>
          </w:p>
        </w:tc>
        <w:tc>
          <w:tcPr>
            <w:tcW w:w="7229" w:type="dxa"/>
            <w:noWrap/>
            <w:hideMark/>
          </w:tcPr>
          <w:p w14:paraId="6C1B6FB8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Analysis of strategic plans to assess planning for sustainability of comprehensive community initiatives</w:t>
            </w:r>
          </w:p>
        </w:tc>
        <w:tc>
          <w:tcPr>
            <w:tcW w:w="1276" w:type="dxa"/>
            <w:noWrap/>
            <w:hideMark/>
          </w:tcPr>
          <w:p w14:paraId="7399CF7D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EB9F31B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6EB04705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38210097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7DCCA2AA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Stefanini, A. &amp; Ruck, N. </w:t>
            </w:r>
          </w:p>
        </w:tc>
        <w:tc>
          <w:tcPr>
            <w:tcW w:w="7229" w:type="dxa"/>
            <w:noWrap/>
            <w:hideMark/>
          </w:tcPr>
          <w:p w14:paraId="2E895C0E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Conceptual framework to monitor the performance of </w:t>
            </w:r>
            <w:proofErr w:type="gram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externally-assisted</w:t>
            </w:r>
            <w:proofErr w:type="gram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health projects</w:t>
            </w:r>
          </w:p>
        </w:tc>
        <w:tc>
          <w:tcPr>
            <w:tcW w:w="1276" w:type="dxa"/>
            <w:noWrap/>
            <w:hideMark/>
          </w:tcPr>
          <w:p w14:paraId="669D482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3AE5A31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6AE4F32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2F3E95E0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65206902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Story et al.</w:t>
            </w:r>
          </w:p>
        </w:tc>
        <w:tc>
          <w:tcPr>
            <w:tcW w:w="7229" w:type="dxa"/>
            <w:noWrap/>
            <w:hideMark/>
          </w:tcPr>
          <w:p w14:paraId="27696EDC" w14:textId="77777777" w:rsidR="00F77219" w:rsidRPr="00A42920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Conceptual framework for the institutionalization of community-focused maternal, </w:t>
            </w:r>
            <w:proofErr w:type="spellStart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newborn</w:t>
            </w:r>
            <w:proofErr w:type="spellEnd"/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and child health strategies into government health systems</w:t>
            </w:r>
          </w:p>
        </w:tc>
        <w:tc>
          <w:tcPr>
            <w:tcW w:w="1276" w:type="dxa"/>
            <w:noWrap/>
            <w:hideMark/>
          </w:tcPr>
          <w:p w14:paraId="12CEAE7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E06C13A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042F8CF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1E1EAE34" w14:textId="77777777" w:rsidTr="00E004B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0F087F2E" w14:textId="77777777" w:rsidR="00F77219" w:rsidRPr="00E004B4" w:rsidRDefault="00F77219" w:rsidP="00E004B4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004B4">
              <w:rPr>
                <w:rFonts w:ascii="Calibri" w:eastAsia="Times New Roman" w:hAnsi="Calibri" w:cs="Times New Roman"/>
                <w:color w:val="000000"/>
                <w:lang w:eastAsia="en-GB"/>
              </w:rPr>
              <w:t>Tuyet Hanh, T.T. et al.</w:t>
            </w:r>
          </w:p>
        </w:tc>
        <w:tc>
          <w:tcPr>
            <w:tcW w:w="7229" w:type="dxa"/>
            <w:noWrap/>
            <w:hideMark/>
          </w:tcPr>
          <w:p w14:paraId="5403C227" w14:textId="77777777" w:rsidR="00F77219" w:rsidRPr="00A42920" w:rsidRDefault="00F77219" w:rsidP="00F77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A42920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Framework for Evaluating the Sustainability of Community-based Dengue Control Projects</w:t>
            </w:r>
          </w:p>
        </w:tc>
        <w:tc>
          <w:tcPr>
            <w:tcW w:w="1276" w:type="dxa"/>
            <w:noWrap/>
            <w:hideMark/>
          </w:tcPr>
          <w:p w14:paraId="2F3C461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36596D65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72" w:type="dxa"/>
            <w:noWrap/>
            <w:hideMark/>
          </w:tcPr>
          <w:p w14:paraId="1FC68666" w14:textId="77777777" w:rsidR="00F77219" w:rsidRPr="00F77219" w:rsidRDefault="00F77219" w:rsidP="00F772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33E69" w:rsidRPr="00F77219" w14:paraId="0F00F719" w14:textId="77777777" w:rsidTr="00E00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hideMark/>
          </w:tcPr>
          <w:p w14:paraId="1A0DCEBE" w14:textId="77777777" w:rsidR="00F77219" w:rsidRPr="00F77219" w:rsidRDefault="00A42920" w:rsidP="00F77219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Total </w:t>
            </w:r>
          </w:p>
        </w:tc>
        <w:tc>
          <w:tcPr>
            <w:tcW w:w="7229" w:type="dxa"/>
            <w:noWrap/>
            <w:hideMark/>
          </w:tcPr>
          <w:p w14:paraId="1EC11E4D" w14:textId="77777777" w:rsidR="00F77219" w:rsidRPr="00F77219" w:rsidRDefault="00F77219" w:rsidP="00F77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noWrap/>
            <w:hideMark/>
          </w:tcPr>
          <w:p w14:paraId="71B42A3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3119</w:t>
            </w:r>
          </w:p>
        </w:tc>
        <w:tc>
          <w:tcPr>
            <w:tcW w:w="1134" w:type="dxa"/>
            <w:noWrap/>
            <w:hideMark/>
          </w:tcPr>
          <w:p w14:paraId="27C378D0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109</w:t>
            </w:r>
          </w:p>
        </w:tc>
        <w:tc>
          <w:tcPr>
            <w:tcW w:w="1772" w:type="dxa"/>
            <w:noWrap/>
            <w:hideMark/>
          </w:tcPr>
          <w:p w14:paraId="10FE8354" w14:textId="77777777" w:rsidR="00F77219" w:rsidRPr="00F77219" w:rsidRDefault="00F77219" w:rsidP="00F7721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77219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</w:tr>
    </w:tbl>
    <w:p w14:paraId="33143BCC" w14:textId="77777777" w:rsidR="00F77219" w:rsidRDefault="00F77219"/>
    <w:sectPr w:rsidR="00F77219" w:rsidSect="00233E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D52CA"/>
    <w:multiLevelType w:val="hybridMultilevel"/>
    <w:tmpl w:val="BB9021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219"/>
    <w:rsid w:val="00014F4D"/>
    <w:rsid w:val="00233E69"/>
    <w:rsid w:val="005C7A3C"/>
    <w:rsid w:val="00625E1B"/>
    <w:rsid w:val="007954BC"/>
    <w:rsid w:val="008C688E"/>
    <w:rsid w:val="008F5A8D"/>
    <w:rsid w:val="00A42920"/>
    <w:rsid w:val="00AB1EEC"/>
    <w:rsid w:val="00D44528"/>
    <w:rsid w:val="00E004B4"/>
    <w:rsid w:val="00EE6074"/>
    <w:rsid w:val="00F27ACC"/>
    <w:rsid w:val="00F7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7C60"/>
  <w15:chartTrackingRefBased/>
  <w15:docId w15:val="{9633B62D-F651-4219-9992-099E08C2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A4292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E00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Lennox, Laura</dc:creator>
  <cp:keywords/>
  <dc:description/>
  <cp:lastModifiedBy>Lennox, Laura</cp:lastModifiedBy>
  <cp:revision>6</cp:revision>
  <dcterms:created xsi:type="dcterms:W3CDTF">2019-09-06T15:31:00Z</dcterms:created>
  <dcterms:modified xsi:type="dcterms:W3CDTF">2020-05-27T14:38:00Z</dcterms:modified>
</cp:coreProperties>
</file>