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E43" w:rsidRDefault="00374D03" w:rsidP="00374D03">
      <w:pPr>
        <w:pStyle w:val="Caption"/>
        <w:keepNext/>
      </w:pPr>
      <w:bookmarkStart w:id="0" w:name="_Hlk27730988"/>
      <w:bookmarkStart w:id="1" w:name="_GoBack"/>
      <w:bookmarkEnd w:id="1"/>
      <w:r>
        <w:t xml:space="preserve">Additional </w:t>
      </w:r>
      <w:r>
        <w:t>File</w:t>
      </w:r>
      <w:r w:rsidR="007E4E43">
        <w:t xml:space="preserve"> </w:t>
      </w:r>
      <w:r w:rsidR="007E4E43">
        <w:rPr>
          <w:noProof/>
        </w:rPr>
        <w:fldChar w:fldCharType="begin"/>
      </w:r>
      <w:r w:rsidR="007E4E43">
        <w:rPr>
          <w:noProof/>
        </w:rPr>
        <w:instrText xml:space="preserve"> SEQ Table \* ARABIC </w:instrText>
      </w:r>
      <w:r w:rsidR="007E4E43">
        <w:rPr>
          <w:noProof/>
        </w:rPr>
        <w:fldChar w:fldCharType="separate"/>
      </w:r>
      <w:r w:rsidR="007E4E43">
        <w:rPr>
          <w:noProof/>
        </w:rPr>
        <w:t>1</w:t>
      </w:r>
      <w:r w:rsidR="007E4E43">
        <w:rPr>
          <w:noProof/>
        </w:rPr>
        <w:fldChar w:fldCharType="end"/>
      </w:r>
      <w:r w:rsidR="007E4E43">
        <w:t xml:space="preserve"> </w:t>
      </w:r>
      <w:r w:rsidR="007E4E43" w:rsidRPr="000E7CD3">
        <w:t xml:space="preserve">Guideline </w:t>
      </w:r>
      <w:r w:rsidR="007E4E43">
        <w:t xml:space="preserve">development manuals and procedures that describe methods for developing key clinical questions for guidelines. </w:t>
      </w:r>
    </w:p>
    <w:tbl>
      <w:tblPr>
        <w:tblStyle w:val="TableGrid"/>
        <w:tblW w:w="14170" w:type="dxa"/>
        <w:tblLook w:val="04A0" w:firstRow="1" w:lastRow="0" w:firstColumn="1" w:lastColumn="0" w:noHBand="0" w:noVBand="1"/>
      </w:tblPr>
      <w:tblGrid>
        <w:gridCol w:w="1884"/>
        <w:gridCol w:w="1088"/>
        <w:gridCol w:w="11198"/>
      </w:tblGrid>
      <w:tr w:rsidR="007E4E43" w:rsidRPr="0001323E" w:rsidTr="007E4E43">
        <w:trPr>
          <w:trHeight w:val="526"/>
          <w:tblHeader/>
        </w:trPr>
        <w:tc>
          <w:tcPr>
            <w:tcW w:w="1884" w:type="dxa"/>
          </w:tcPr>
          <w:p w:rsidR="007E4E43" w:rsidRPr="00100E77" w:rsidRDefault="007E4E43" w:rsidP="007E4E43">
            <w:pPr>
              <w:pStyle w:val="ListParagraph"/>
              <w:numPr>
                <w:ilvl w:val="0"/>
                <w:numId w:val="2"/>
              </w:numPr>
              <w:spacing w:after="0"/>
              <w:ind w:left="0"/>
              <w:rPr>
                <w:rFonts w:cs="Arial"/>
                <w:b/>
                <w:bCs/>
                <w:sz w:val="18"/>
                <w:szCs w:val="18"/>
              </w:rPr>
            </w:pPr>
            <w:r w:rsidRPr="00100E77">
              <w:rPr>
                <w:rFonts w:cs="Arial"/>
                <w:b/>
                <w:bCs/>
                <w:sz w:val="18"/>
                <w:szCs w:val="18"/>
              </w:rPr>
              <w:t xml:space="preserve">Guideline </w:t>
            </w:r>
            <w:r w:rsidRPr="00100E77" w:rsidDel="0005343F">
              <w:rPr>
                <w:rFonts w:cs="Arial"/>
                <w:b/>
                <w:bCs/>
                <w:sz w:val="18"/>
                <w:szCs w:val="18"/>
              </w:rPr>
              <w:t>manual</w:t>
            </w:r>
            <w:r w:rsidRPr="00100E77">
              <w:rPr>
                <w:rFonts w:cs="Arial"/>
                <w:b/>
                <w:bCs/>
                <w:sz w:val="18"/>
                <w:szCs w:val="18"/>
              </w:rPr>
              <w:t xml:space="preserve"> producer</w:t>
            </w:r>
          </w:p>
        </w:tc>
        <w:tc>
          <w:tcPr>
            <w:tcW w:w="1088" w:type="dxa"/>
          </w:tcPr>
          <w:p w:rsidR="007E4E43" w:rsidRPr="00100E77" w:rsidRDefault="007E4E43" w:rsidP="007E4E43">
            <w:pPr>
              <w:pStyle w:val="ListParagraph"/>
              <w:numPr>
                <w:ilvl w:val="0"/>
                <w:numId w:val="2"/>
              </w:numPr>
              <w:spacing w:after="0"/>
              <w:ind w:left="0"/>
              <w:rPr>
                <w:rFonts w:cs="Arial"/>
                <w:b/>
                <w:bCs/>
                <w:sz w:val="18"/>
                <w:szCs w:val="18"/>
              </w:rPr>
            </w:pPr>
            <w:r w:rsidRPr="00100E77">
              <w:rPr>
                <w:rFonts w:cs="Arial"/>
                <w:b/>
                <w:bCs/>
                <w:sz w:val="18"/>
                <w:szCs w:val="18"/>
              </w:rPr>
              <w:t>Year published</w:t>
            </w:r>
          </w:p>
        </w:tc>
        <w:tc>
          <w:tcPr>
            <w:tcW w:w="11198" w:type="dxa"/>
          </w:tcPr>
          <w:p w:rsidR="007E4E43" w:rsidRPr="00100E77" w:rsidRDefault="007E4E43" w:rsidP="007E4E43">
            <w:pPr>
              <w:pStyle w:val="ListParagraph"/>
              <w:numPr>
                <w:ilvl w:val="0"/>
                <w:numId w:val="2"/>
              </w:numPr>
              <w:spacing w:after="0"/>
              <w:ind w:left="0"/>
              <w:rPr>
                <w:rFonts w:cs="Arial"/>
                <w:b/>
                <w:bCs/>
                <w:sz w:val="18"/>
                <w:szCs w:val="18"/>
              </w:rPr>
            </w:pPr>
            <w:r>
              <w:rPr>
                <w:rFonts w:cs="Arial"/>
                <w:b/>
                <w:bCs/>
                <w:sz w:val="18"/>
                <w:szCs w:val="18"/>
              </w:rPr>
              <w:t>Overview</w:t>
            </w:r>
            <w:r w:rsidRPr="00100E77">
              <w:rPr>
                <w:rFonts w:cs="Arial"/>
                <w:b/>
                <w:bCs/>
                <w:sz w:val="18"/>
                <w:szCs w:val="18"/>
              </w:rPr>
              <w:t xml:space="preserve"> of </w:t>
            </w:r>
            <w:r>
              <w:rPr>
                <w:rFonts w:cs="Arial"/>
                <w:b/>
                <w:bCs/>
                <w:sz w:val="18"/>
                <w:szCs w:val="18"/>
              </w:rPr>
              <w:t>advice provided for</w:t>
            </w:r>
            <w:r w:rsidRPr="00100E77">
              <w:rPr>
                <w:rFonts w:cs="Arial"/>
                <w:b/>
                <w:bCs/>
                <w:sz w:val="18"/>
                <w:szCs w:val="18"/>
              </w:rPr>
              <w:t xml:space="preserve"> developing guideline key clinical questions</w:t>
            </w:r>
          </w:p>
        </w:tc>
      </w:tr>
      <w:tr w:rsidR="007E4E43" w:rsidRPr="0001323E" w:rsidTr="0000123C">
        <w:trPr>
          <w:trHeight w:val="431"/>
        </w:trPr>
        <w:tc>
          <w:tcPr>
            <w:tcW w:w="1884" w:type="dxa"/>
          </w:tcPr>
          <w:p w:rsidR="007E4E43" w:rsidRPr="00100E77" w:rsidRDefault="007E4E43" w:rsidP="0000123C">
            <w:pPr>
              <w:spacing w:line="240" w:lineRule="auto"/>
              <w:rPr>
                <w:rFonts w:cs="Arial"/>
                <w:bCs/>
                <w:sz w:val="18"/>
                <w:szCs w:val="18"/>
              </w:rPr>
            </w:pPr>
            <w:r w:rsidRPr="00100E77">
              <w:rPr>
                <w:rFonts w:cs="Arial"/>
                <w:bCs/>
                <w:sz w:val="18"/>
                <w:szCs w:val="18"/>
              </w:rPr>
              <w:t>American Academy of Otolaryngology—Head and Neck Surgery Foundation (AAO-HNSF)</w:t>
            </w:r>
            <w:r>
              <w:rPr>
                <w:rFonts w:cs="Arial"/>
                <w:bCs/>
                <w:sz w:val="18"/>
                <w:szCs w:val="18"/>
              </w:rPr>
              <w:fldChar w:fldCharType="begin"/>
            </w:r>
            <w:r>
              <w:rPr>
                <w:rFonts w:cs="Arial"/>
                <w:bCs/>
                <w:sz w:val="18"/>
                <w:szCs w:val="18"/>
              </w:rPr>
              <w:instrText xml:space="preserve"> ADDIN EN.CITE &lt;EndNote&gt;&lt;Cite&gt;&lt;Author&gt;Rosenfeld&lt;/Author&gt;&lt;Year&gt;2012&lt;/Year&gt;&lt;RecNum&gt;213&lt;/RecNum&gt;&lt;DisplayText&gt;[23]&lt;/DisplayText&gt;&lt;record&gt;&lt;rec-number&gt;213&lt;/rec-number&gt;&lt;foreign-keys&gt;&lt;key app="EN" db-id="wzr22sa0t2f0emedx2lvx524aeta5vxdtte9" timestamp="1568027336"&gt;213&lt;/key&gt;&lt;/foreign-keys&gt;&lt;ref-type name="Journal Article"&gt;17&lt;/ref-type&gt;&lt;contributors&gt;&lt;authors&gt;&lt;author&gt;Rosenfeld, Richard M.&lt;/author&gt;&lt;author&gt;Shiffman, Richard N.&lt;/author&gt;&lt;author&gt;Robertson, Peter&lt;/author&gt;&lt;/authors&gt;&lt;/contributors&gt;&lt;titles&gt;&lt;title&gt;Clinical Practice Guideline Development Manual, Third Edition: A Quality-Driven Approach for Translating Evidence into Action&lt;/title&gt;&lt;secondary-title&gt;Otolaryngology–Head and Neck Surgery&lt;/secondary-title&gt;&lt;/titles&gt;&lt;periodical&gt;&lt;full-title&gt;Otolaryngology–Head and Neck Surgery&lt;/full-title&gt;&lt;/periodical&gt;&lt;pages&gt;S1-S55&lt;/pages&gt;&lt;volume&gt;148&lt;/volume&gt;&lt;number&gt;1_suppl&lt;/number&gt;&lt;dates&gt;&lt;year&gt;2012&lt;/year&gt;&lt;pub-dates&gt;&lt;date&gt;2013/01/01&lt;/date&gt;&lt;/pub-dates&gt;&lt;/dates&gt;&lt;publisher&gt;SAGE Publications Inc&lt;/publisher&gt;&lt;isbn&gt;0194-5998&lt;/isbn&gt;&lt;urls&gt;&lt;related-urls&gt;&lt;url&gt;https://doi.org/10.1177/0194599812467004&lt;/url&gt;&lt;/related-urls&gt;&lt;/urls&gt;&lt;electronic-resource-num&gt;10.1177/0194599812467004&lt;/electronic-resource-num&gt;&lt;access-date&gt;2019/09/09&lt;/access-date&gt;&lt;/record&gt;&lt;/Cite&gt;&lt;/EndNote&gt;</w:instrText>
            </w:r>
            <w:r>
              <w:rPr>
                <w:rFonts w:cs="Arial"/>
                <w:bCs/>
                <w:sz w:val="18"/>
                <w:szCs w:val="18"/>
              </w:rPr>
              <w:fldChar w:fldCharType="separate"/>
            </w:r>
            <w:r>
              <w:rPr>
                <w:rFonts w:cs="Arial"/>
                <w:bCs/>
                <w:noProof/>
                <w:sz w:val="18"/>
                <w:szCs w:val="18"/>
              </w:rPr>
              <w:t>[23]</w:t>
            </w:r>
            <w:r>
              <w:rPr>
                <w:rFonts w:cs="Arial"/>
                <w:bCs/>
                <w:sz w:val="18"/>
                <w:szCs w:val="18"/>
              </w:rPr>
              <w:fldChar w:fldCharType="end"/>
            </w:r>
          </w:p>
        </w:tc>
        <w:tc>
          <w:tcPr>
            <w:tcW w:w="1088" w:type="dxa"/>
          </w:tcPr>
          <w:p w:rsidR="007E4E43" w:rsidRPr="00100E77" w:rsidRDefault="007E4E43" w:rsidP="0000123C">
            <w:pPr>
              <w:spacing w:line="240" w:lineRule="auto"/>
              <w:rPr>
                <w:rFonts w:cs="Arial"/>
                <w:bCs/>
                <w:sz w:val="18"/>
                <w:szCs w:val="18"/>
              </w:rPr>
            </w:pPr>
            <w:r w:rsidRPr="00100E77">
              <w:rPr>
                <w:rFonts w:cs="Arial"/>
                <w:bCs/>
                <w:sz w:val="18"/>
                <w:szCs w:val="18"/>
              </w:rPr>
              <w:t>2012</w:t>
            </w:r>
          </w:p>
        </w:tc>
        <w:tc>
          <w:tcPr>
            <w:tcW w:w="11198" w:type="dxa"/>
          </w:tcPr>
          <w:p w:rsidR="007E4E43" w:rsidRPr="00100E77" w:rsidRDefault="007E4E43" w:rsidP="0000123C">
            <w:pPr>
              <w:spacing w:line="240" w:lineRule="auto"/>
              <w:rPr>
                <w:rFonts w:cs="Arial"/>
                <w:bCs/>
                <w:sz w:val="18"/>
                <w:szCs w:val="18"/>
              </w:rPr>
            </w:pPr>
            <w:r w:rsidRPr="00100E77">
              <w:rPr>
                <w:rFonts w:cs="Arial"/>
                <w:bCs/>
                <w:sz w:val="18"/>
                <w:szCs w:val="18"/>
              </w:rPr>
              <w:t xml:space="preserve">Step 1. Guideline development group defines the scope, preliminary topics and search criteria. </w:t>
            </w:r>
          </w:p>
          <w:p w:rsidR="007E4E43" w:rsidRPr="00100E77" w:rsidRDefault="007E4E43" w:rsidP="0000123C">
            <w:pPr>
              <w:spacing w:line="240" w:lineRule="auto"/>
              <w:rPr>
                <w:rFonts w:cs="Arial"/>
                <w:bCs/>
                <w:sz w:val="18"/>
                <w:szCs w:val="18"/>
              </w:rPr>
            </w:pPr>
            <w:r w:rsidRPr="00100E77">
              <w:rPr>
                <w:rFonts w:cs="Arial"/>
                <w:bCs/>
                <w:sz w:val="18"/>
                <w:szCs w:val="18"/>
              </w:rPr>
              <w:t>Step 2. Undertake a literature search to assess the quantity and scope of randomized controlled trials to support guideline development.</w:t>
            </w:r>
          </w:p>
          <w:p w:rsidR="007E4E43" w:rsidRPr="00100E77" w:rsidRDefault="007E4E43" w:rsidP="0000123C">
            <w:pPr>
              <w:spacing w:line="240" w:lineRule="auto"/>
              <w:rPr>
                <w:rFonts w:cs="Arial"/>
                <w:bCs/>
                <w:sz w:val="18"/>
                <w:szCs w:val="18"/>
              </w:rPr>
            </w:pPr>
            <w:r w:rsidRPr="00100E77">
              <w:rPr>
                <w:rFonts w:cs="Arial"/>
                <w:bCs/>
                <w:sz w:val="18"/>
                <w:szCs w:val="18"/>
              </w:rPr>
              <w:t xml:space="preserve">Step 3. The guideline development group refines the scope in consideration of: </w:t>
            </w:r>
          </w:p>
          <w:p w:rsidR="007E4E43" w:rsidRPr="00100E77" w:rsidRDefault="007E4E43" w:rsidP="007E4E43">
            <w:pPr>
              <w:pStyle w:val="ListParagraph"/>
              <w:numPr>
                <w:ilvl w:val="0"/>
                <w:numId w:val="3"/>
              </w:numPr>
              <w:rPr>
                <w:rFonts w:cs="Arial"/>
                <w:sz w:val="18"/>
                <w:szCs w:val="18"/>
              </w:rPr>
            </w:pPr>
            <w:r w:rsidRPr="00100E77">
              <w:rPr>
                <w:rFonts w:cs="Arial"/>
                <w:sz w:val="18"/>
                <w:szCs w:val="18"/>
              </w:rPr>
              <w:t>Promoting appropriate care</w:t>
            </w:r>
          </w:p>
          <w:p w:rsidR="007E4E43" w:rsidRPr="00100E77" w:rsidRDefault="007E4E43" w:rsidP="007E4E43">
            <w:pPr>
              <w:pStyle w:val="ListParagraph"/>
              <w:numPr>
                <w:ilvl w:val="0"/>
                <w:numId w:val="3"/>
              </w:numPr>
              <w:rPr>
                <w:rFonts w:cs="Arial"/>
                <w:sz w:val="18"/>
                <w:szCs w:val="18"/>
              </w:rPr>
            </w:pPr>
            <w:r w:rsidRPr="00100E77">
              <w:rPr>
                <w:rFonts w:cs="Arial"/>
                <w:sz w:val="18"/>
                <w:szCs w:val="18"/>
              </w:rPr>
              <w:t>Reducing inappropriate or harmful care</w:t>
            </w:r>
          </w:p>
          <w:p w:rsidR="007E4E43" w:rsidRPr="00100E77" w:rsidRDefault="007E4E43" w:rsidP="007E4E43">
            <w:pPr>
              <w:pStyle w:val="ListParagraph"/>
              <w:numPr>
                <w:ilvl w:val="0"/>
                <w:numId w:val="3"/>
              </w:numPr>
              <w:rPr>
                <w:rFonts w:cs="Arial"/>
                <w:sz w:val="18"/>
                <w:szCs w:val="18"/>
              </w:rPr>
            </w:pPr>
            <w:r w:rsidRPr="00100E77">
              <w:rPr>
                <w:rFonts w:cs="Arial"/>
                <w:sz w:val="18"/>
                <w:szCs w:val="18"/>
              </w:rPr>
              <w:t>Reducing regional variations in delivery of care</w:t>
            </w:r>
          </w:p>
          <w:p w:rsidR="007E4E43" w:rsidRPr="00100E77" w:rsidRDefault="007E4E43" w:rsidP="007E4E43">
            <w:pPr>
              <w:pStyle w:val="ListParagraph"/>
              <w:numPr>
                <w:ilvl w:val="0"/>
                <w:numId w:val="3"/>
              </w:numPr>
              <w:rPr>
                <w:rFonts w:cs="Arial"/>
                <w:sz w:val="18"/>
                <w:szCs w:val="18"/>
              </w:rPr>
            </w:pPr>
            <w:r w:rsidRPr="00100E77">
              <w:rPr>
                <w:rFonts w:cs="Arial"/>
                <w:sz w:val="18"/>
                <w:szCs w:val="18"/>
              </w:rPr>
              <w:t>Improving access to care</w:t>
            </w:r>
          </w:p>
          <w:p w:rsidR="007E4E43" w:rsidRPr="00100E77" w:rsidRDefault="007E4E43" w:rsidP="007E4E43">
            <w:pPr>
              <w:pStyle w:val="ListParagraph"/>
              <w:numPr>
                <w:ilvl w:val="0"/>
                <w:numId w:val="3"/>
              </w:numPr>
              <w:rPr>
                <w:rFonts w:cs="Arial"/>
                <w:sz w:val="18"/>
                <w:szCs w:val="18"/>
              </w:rPr>
            </w:pPr>
            <w:r w:rsidRPr="00100E77">
              <w:rPr>
                <w:rFonts w:cs="Arial"/>
                <w:sz w:val="18"/>
                <w:szCs w:val="18"/>
              </w:rPr>
              <w:t>Educating and empowering clinicians and patients</w:t>
            </w:r>
          </w:p>
          <w:p w:rsidR="007E4E43" w:rsidRPr="00100E77" w:rsidRDefault="007E4E43" w:rsidP="007E4E43">
            <w:pPr>
              <w:pStyle w:val="ListParagraph"/>
              <w:numPr>
                <w:ilvl w:val="0"/>
                <w:numId w:val="3"/>
              </w:numPr>
              <w:rPr>
                <w:rFonts w:cs="Arial"/>
                <w:sz w:val="18"/>
                <w:szCs w:val="18"/>
              </w:rPr>
            </w:pPr>
            <w:r w:rsidRPr="00100E77">
              <w:rPr>
                <w:rFonts w:cs="Arial"/>
                <w:sz w:val="18"/>
                <w:szCs w:val="18"/>
              </w:rPr>
              <w:t>Facilitating coordination and continuity of care</w:t>
            </w:r>
          </w:p>
          <w:p w:rsidR="007E4E43" w:rsidRPr="00100E77" w:rsidRDefault="007E4E43" w:rsidP="007E4E43">
            <w:pPr>
              <w:pStyle w:val="ListParagraph"/>
              <w:numPr>
                <w:ilvl w:val="0"/>
                <w:numId w:val="3"/>
              </w:numPr>
              <w:rPr>
                <w:rFonts w:cs="Arial"/>
                <w:sz w:val="18"/>
                <w:szCs w:val="18"/>
              </w:rPr>
            </w:pPr>
            <w:r w:rsidRPr="00100E77">
              <w:rPr>
                <w:rFonts w:cs="Arial"/>
                <w:sz w:val="18"/>
                <w:szCs w:val="18"/>
              </w:rPr>
              <w:t>Facilitating ethical care</w:t>
            </w:r>
          </w:p>
          <w:p w:rsidR="007E4E43" w:rsidRPr="00100E77" w:rsidRDefault="007E4E43" w:rsidP="0000123C">
            <w:pPr>
              <w:spacing w:line="240" w:lineRule="auto"/>
              <w:rPr>
                <w:rFonts w:cs="Arial"/>
                <w:sz w:val="18"/>
                <w:szCs w:val="18"/>
                <w:shd w:val="clear" w:color="auto" w:fill="FFFFFF"/>
              </w:rPr>
            </w:pPr>
            <w:r w:rsidRPr="00100E77">
              <w:rPr>
                <w:rFonts w:cs="Arial"/>
                <w:sz w:val="18"/>
                <w:szCs w:val="18"/>
              </w:rPr>
              <w:t xml:space="preserve">A preliminary topic list is developed using the PICO or PICOTS (to include </w:t>
            </w:r>
            <w:r w:rsidRPr="00100E77">
              <w:rPr>
                <w:rFonts w:cs="Arial"/>
                <w:b/>
                <w:sz w:val="18"/>
                <w:szCs w:val="18"/>
              </w:rPr>
              <w:t>ti</w:t>
            </w:r>
            <w:r w:rsidRPr="00100E77">
              <w:rPr>
                <w:rFonts w:cs="Arial"/>
                <w:sz w:val="18"/>
                <w:szCs w:val="18"/>
              </w:rPr>
              <w:t xml:space="preserve">me frame and </w:t>
            </w:r>
            <w:r w:rsidRPr="00100E77">
              <w:rPr>
                <w:rFonts w:cs="Arial"/>
                <w:b/>
                <w:sz w:val="18"/>
                <w:szCs w:val="18"/>
              </w:rPr>
              <w:t>s</w:t>
            </w:r>
            <w:r w:rsidRPr="00100E77">
              <w:rPr>
                <w:rFonts w:cs="Arial"/>
                <w:sz w:val="18"/>
                <w:szCs w:val="18"/>
              </w:rPr>
              <w:t xml:space="preserve">etting) </w:t>
            </w:r>
            <w:r w:rsidRPr="00100E77">
              <w:rPr>
                <w:rFonts w:cs="Arial"/>
                <w:sz w:val="18"/>
                <w:szCs w:val="18"/>
                <w:shd w:val="clear" w:color="auto" w:fill="FFFFFF"/>
              </w:rPr>
              <w:t xml:space="preserve">The topics are ranked. </w:t>
            </w:r>
          </w:p>
          <w:p w:rsidR="007E4E43" w:rsidRPr="00100E77" w:rsidRDefault="007E4E43" w:rsidP="0000123C">
            <w:pPr>
              <w:spacing w:line="240" w:lineRule="auto"/>
              <w:rPr>
                <w:rFonts w:cs="Arial"/>
                <w:sz w:val="18"/>
                <w:szCs w:val="18"/>
              </w:rPr>
            </w:pPr>
            <w:r w:rsidRPr="00100E77">
              <w:rPr>
                <w:rFonts w:cs="Arial"/>
                <w:sz w:val="18"/>
                <w:szCs w:val="18"/>
                <w:shd w:val="clear" w:color="auto" w:fill="FFFFFF"/>
              </w:rPr>
              <w:t>There may be additional consultation with peer-reviewers, board of directors, board of governors, the general public, and relevant consumer or advocacy groups.</w:t>
            </w:r>
          </w:p>
        </w:tc>
      </w:tr>
      <w:tr w:rsidR="007E4E43" w:rsidRPr="0001323E" w:rsidTr="0000123C">
        <w:trPr>
          <w:trHeight w:val="431"/>
        </w:trPr>
        <w:tc>
          <w:tcPr>
            <w:tcW w:w="1884" w:type="dxa"/>
          </w:tcPr>
          <w:p w:rsidR="007E4E43" w:rsidRPr="00100E77" w:rsidRDefault="007E4E43" w:rsidP="0000123C">
            <w:pPr>
              <w:spacing w:line="240" w:lineRule="auto"/>
              <w:rPr>
                <w:rFonts w:cs="Arial"/>
                <w:sz w:val="18"/>
                <w:szCs w:val="18"/>
              </w:rPr>
            </w:pPr>
            <w:r w:rsidRPr="00100E77">
              <w:rPr>
                <w:rFonts w:cs="Arial"/>
                <w:bCs/>
                <w:sz w:val="18"/>
                <w:szCs w:val="18"/>
              </w:rPr>
              <w:t>American College of Cardiology Foundation and American Heart Association, Inc.</w:t>
            </w:r>
            <w:r w:rsidRPr="00100E77">
              <w:rPr>
                <w:rFonts w:cs="Arial"/>
                <w:sz w:val="18"/>
                <w:szCs w:val="18"/>
              </w:rPr>
              <w:t xml:space="preserve"> (ACC/AHA)</w:t>
            </w:r>
            <w:r>
              <w:rPr>
                <w:rFonts w:cs="Arial"/>
                <w:sz w:val="18"/>
                <w:szCs w:val="18"/>
              </w:rPr>
              <w:fldChar w:fldCharType="begin"/>
            </w:r>
            <w:r>
              <w:rPr>
                <w:rFonts w:cs="Arial"/>
                <w:sz w:val="18"/>
                <w:szCs w:val="18"/>
              </w:rPr>
              <w:instrText xml:space="preserve"> ADDIN EN.CITE &lt;EndNote&gt;&lt;Cite&gt;&lt;Author&gt;American College of Cardiology Foundation and American Heart Association&lt;/Author&gt;&lt;Year&gt;2010&lt;/Year&gt;&lt;RecNum&gt;95&lt;/RecNum&gt;&lt;DisplayText&gt;[21]&lt;/DisplayText&gt;&lt;record&gt;&lt;rec-number&gt;95&lt;/rec-number&gt;&lt;foreign-keys&gt;&lt;key app="EN" db-id="wzr22sa0t2f0emedx2lvx524aeta5vxdtte9" timestamp="1497838319"&gt;95&lt;/key&gt;&lt;/foreign-keys&gt;&lt;ref-type name="Generic"&gt;13&lt;/ref-type&gt;&lt;contributors&gt;&lt;authors&gt;&lt;author&gt;American College of Cardiology Foundation and American Heart Association, Inc.&lt;/author&gt;&lt;/authors&gt;&lt;/contributors&gt;&lt;titles&gt;&lt;title&gt;Methodology Manual and Policies From the ACCF/AHA Task Force on Practice Guidelines&lt;/title&gt;&lt;/titles&gt;&lt;dates&gt;&lt;year&gt;2010&lt;/year&gt;&lt;/dates&gt;&lt;publisher&gt;American College of Cardiology Foundation and American Heart Association, Inc&lt;/publisher&gt;&lt;urls&gt;&lt;/urls&gt;&lt;/record&gt;&lt;/Cite&gt;&lt;/EndNote&gt;</w:instrText>
            </w:r>
            <w:r>
              <w:rPr>
                <w:rFonts w:cs="Arial"/>
                <w:sz w:val="18"/>
                <w:szCs w:val="18"/>
              </w:rPr>
              <w:fldChar w:fldCharType="separate"/>
            </w:r>
            <w:r>
              <w:rPr>
                <w:rFonts w:cs="Arial"/>
                <w:noProof/>
                <w:sz w:val="18"/>
                <w:szCs w:val="18"/>
              </w:rPr>
              <w:t>[21]</w:t>
            </w:r>
            <w:r>
              <w:rPr>
                <w:rFonts w:cs="Arial"/>
                <w:sz w:val="18"/>
                <w:szCs w:val="18"/>
              </w:rPr>
              <w:fldChar w:fldCharType="end"/>
            </w:r>
          </w:p>
        </w:tc>
        <w:tc>
          <w:tcPr>
            <w:tcW w:w="1088" w:type="dxa"/>
          </w:tcPr>
          <w:p w:rsidR="007E4E43" w:rsidRPr="00100E77" w:rsidRDefault="007E4E43" w:rsidP="0000123C">
            <w:pPr>
              <w:spacing w:line="240" w:lineRule="auto"/>
              <w:rPr>
                <w:rFonts w:cs="Arial"/>
                <w:bCs/>
                <w:sz w:val="18"/>
                <w:szCs w:val="18"/>
              </w:rPr>
            </w:pPr>
            <w:r w:rsidRPr="00100E77">
              <w:rPr>
                <w:rFonts w:cs="Arial"/>
                <w:bCs/>
                <w:sz w:val="18"/>
                <w:szCs w:val="18"/>
              </w:rPr>
              <w:t>2010</w:t>
            </w:r>
          </w:p>
        </w:tc>
        <w:tc>
          <w:tcPr>
            <w:tcW w:w="11198" w:type="dxa"/>
          </w:tcPr>
          <w:p w:rsidR="007E4E43" w:rsidRPr="00100E77" w:rsidRDefault="007E4E43" w:rsidP="0000123C">
            <w:pPr>
              <w:spacing w:line="240" w:lineRule="auto"/>
              <w:rPr>
                <w:rFonts w:cs="Arial"/>
                <w:bCs/>
                <w:sz w:val="18"/>
                <w:szCs w:val="18"/>
              </w:rPr>
            </w:pPr>
            <w:r w:rsidRPr="00100E77">
              <w:rPr>
                <w:rFonts w:cs="Arial"/>
                <w:bCs/>
                <w:sz w:val="18"/>
                <w:szCs w:val="18"/>
              </w:rPr>
              <w:t>A checklist comprising two key themes: Questions related to the guideline overall and questions related to the guideline’s clinical objectives.  Specific questions related to the guideline’s clinical objectives include:</w:t>
            </w:r>
          </w:p>
          <w:p w:rsidR="007E4E43" w:rsidRPr="00100E77" w:rsidRDefault="007E4E43" w:rsidP="0000123C">
            <w:pPr>
              <w:spacing w:line="240" w:lineRule="auto"/>
              <w:rPr>
                <w:rFonts w:cs="Arial"/>
                <w:bCs/>
                <w:sz w:val="18"/>
                <w:szCs w:val="18"/>
              </w:rPr>
            </w:pPr>
            <w:r w:rsidRPr="00100E77">
              <w:rPr>
                <w:rFonts w:cs="Arial"/>
                <w:bCs/>
                <w:sz w:val="18"/>
                <w:szCs w:val="18"/>
              </w:rPr>
              <w:t>What are the important clinical objectives related to the guideline topic?</w:t>
            </w:r>
          </w:p>
          <w:p w:rsidR="007E4E43" w:rsidRPr="00100E77" w:rsidRDefault="007E4E43" w:rsidP="0000123C">
            <w:pPr>
              <w:spacing w:line="240" w:lineRule="auto"/>
              <w:rPr>
                <w:rFonts w:cs="Arial"/>
                <w:bCs/>
                <w:sz w:val="18"/>
                <w:szCs w:val="18"/>
              </w:rPr>
            </w:pPr>
            <w:r w:rsidRPr="00100E77">
              <w:rPr>
                <w:rFonts w:cs="Arial"/>
                <w:bCs/>
                <w:sz w:val="18"/>
                <w:szCs w:val="18"/>
              </w:rPr>
              <w:t>What subtopics and related topics must be included in the guideline? Are the subtopics and related topics already covered by another organization? What comorbidities are being covered or should be covered by the topic area/guideline?</w:t>
            </w:r>
          </w:p>
          <w:p w:rsidR="007E4E43" w:rsidRPr="00100E77" w:rsidRDefault="007E4E43" w:rsidP="0000123C">
            <w:pPr>
              <w:spacing w:line="240" w:lineRule="auto"/>
              <w:rPr>
                <w:rFonts w:cs="Arial"/>
                <w:bCs/>
                <w:sz w:val="18"/>
                <w:szCs w:val="18"/>
              </w:rPr>
            </w:pPr>
            <w:r w:rsidRPr="00100E77">
              <w:rPr>
                <w:rFonts w:cs="Arial"/>
                <w:bCs/>
                <w:sz w:val="18"/>
                <w:szCs w:val="18"/>
              </w:rPr>
              <w:t>Are flow diagrams appropriate to these subtopics and related topics?</w:t>
            </w:r>
          </w:p>
          <w:p w:rsidR="007E4E43" w:rsidRPr="00100E77" w:rsidRDefault="007E4E43" w:rsidP="0000123C">
            <w:pPr>
              <w:spacing w:line="240" w:lineRule="auto"/>
              <w:rPr>
                <w:rFonts w:cs="Arial"/>
                <w:bCs/>
                <w:sz w:val="18"/>
                <w:szCs w:val="18"/>
              </w:rPr>
            </w:pPr>
            <w:r w:rsidRPr="00100E77">
              <w:rPr>
                <w:rFonts w:cs="Arial"/>
                <w:bCs/>
                <w:sz w:val="18"/>
                <w:szCs w:val="18"/>
              </w:rPr>
              <w:t>What are the potential benefits and risks for individual patients associated with an intervention or procedure?</w:t>
            </w:r>
          </w:p>
          <w:p w:rsidR="007E4E43" w:rsidRPr="00100E77" w:rsidRDefault="007E4E43" w:rsidP="0000123C">
            <w:pPr>
              <w:spacing w:line="240" w:lineRule="auto"/>
              <w:rPr>
                <w:rFonts w:cs="Arial"/>
                <w:bCs/>
                <w:sz w:val="18"/>
                <w:szCs w:val="18"/>
              </w:rPr>
            </w:pPr>
            <w:r w:rsidRPr="00100E77">
              <w:rPr>
                <w:rFonts w:cs="Arial"/>
                <w:bCs/>
                <w:sz w:val="18"/>
                <w:szCs w:val="18"/>
              </w:rPr>
              <w:t>What amount of clinical flexibility is appropriate for the topic area?</w:t>
            </w:r>
          </w:p>
          <w:p w:rsidR="007E4E43" w:rsidRPr="00100E77" w:rsidRDefault="007E4E43" w:rsidP="0000123C">
            <w:pPr>
              <w:spacing w:line="240" w:lineRule="auto"/>
              <w:rPr>
                <w:rFonts w:cs="Arial"/>
                <w:bCs/>
                <w:sz w:val="18"/>
                <w:szCs w:val="18"/>
              </w:rPr>
            </w:pPr>
            <w:r w:rsidRPr="00100E77">
              <w:rPr>
                <w:rFonts w:cs="Arial"/>
                <w:bCs/>
                <w:sz w:val="18"/>
                <w:szCs w:val="18"/>
              </w:rPr>
              <w:t>What clinical options are available?</w:t>
            </w:r>
          </w:p>
          <w:p w:rsidR="007E4E43" w:rsidRPr="00100E77" w:rsidRDefault="007E4E43" w:rsidP="0000123C">
            <w:pPr>
              <w:spacing w:line="240" w:lineRule="auto"/>
              <w:rPr>
                <w:rFonts w:cs="Arial"/>
                <w:bCs/>
                <w:sz w:val="18"/>
                <w:szCs w:val="18"/>
              </w:rPr>
            </w:pPr>
            <w:r w:rsidRPr="00100E77">
              <w:rPr>
                <w:rFonts w:cs="Arial"/>
                <w:bCs/>
                <w:sz w:val="18"/>
                <w:szCs w:val="18"/>
              </w:rPr>
              <w:t>What topics have already been covered in existing ACC/AHA Guidelines?</w:t>
            </w:r>
          </w:p>
        </w:tc>
      </w:tr>
      <w:tr w:rsidR="007E4E43" w:rsidRPr="0001323E" w:rsidTr="0000123C">
        <w:trPr>
          <w:trHeight w:val="283"/>
        </w:trPr>
        <w:tc>
          <w:tcPr>
            <w:tcW w:w="1884" w:type="dxa"/>
          </w:tcPr>
          <w:p w:rsidR="007E4E43" w:rsidRPr="00100E77" w:rsidRDefault="007E4E43" w:rsidP="0000123C">
            <w:pPr>
              <w:spacing w:line="240" w:lineRule="auto"/>
              <w:rPr>
                <w:rFonts w:cs="Arial"/>
                <w:sz w:val="18"/>
                <w:szCs w:val="18"/>
              </w:rPr>
            </w:pPr>
            <w:r w:rsidRPr="00100E77">
              <w:rPr>
                <w:rFonts w:cs="Arial"/>
                <w:sz w:val="18"/>
                <w:szCs w:val="18"/>
              </w:rPr>
              <w:t>American College of Physicians (ACP)</w:t>
            </w:r>
            <w:r>
              <w:rPr>
                <w:rFonts w:cs="Arial"/>
                <w:sz w:val="18"/>
                <w:szCs w:val="18"/>
              </w:rPr>
              <w:fldChar w:fldCharType="begin">
                <w:fldData xml:space="preserve">PEVuZE5vdGU+PENpdGU+PEF1dGhvcj5RYXNlZW08L0F1dGhvcj48WWVhcj4yMDEwPC9ZZWFyPjxS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</w:fldData>
              </w:fldChar>
            </w:r>
            <w:r>
              <w:rPr>
                <w:rFonts w:cs="Arial"/>
                <w:sz w:val="18"/>
                <w:szCs w:val="18"/>
              </w:rPr>
              <w:instrText xml:space="preserve"> ADDIN EN.CITE </w:instrText>
            </w:r>
            <w:r>
              <w:rPr>
                <w:rFonts w:cs="Arial"/>
                <w:sz w:val="18"/>
                <w:szCs w:val="18"/>
              </w:rPr>
              <w:fldChar w:fldCharType="begin">
                <w:fldData xml:space="preserve">PEVuZE5vdGU+PENpdGU+PEF1dGhvcj5RYXNlZW08L0F1dGhvcj48WWVhcj4yMDEwPC9ZZWFyPjxS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</w:fldData>
              </w:fldChar>
            </w:r>
            <w:r>
              <w:rPr>
                <w:rFonts w:cs="Arial"/>
                <w:sz w:val="18"/>
                <w:szCs w:val="18"/>
              </w:rPr>
              <w:instrText xml:space="preserve"> ADDIN EN.CITE.DATA </w:instrText>
            </w:r>
            <w:r>
              <w:rPr>
                <w:rFonts w:cs="Arial"/>
                <w:sz w:val="18"/>
                <w:szCs w:val="18"/>
              </w:rPr>
            </w:r>
            <w:r>
              <w:rPr>
                <w:rFonts w:cs="Arial"/>
                <w:sz w:val="18"/>
                <w:szCs w:val="18"/>
              </w:rPr>
              <w:fldChar w:fldCharType="end"/>
            </w:r>
            <w:r>
              <w:rPr>
                <w:rFonts w:cs="Arial"/>
                <w:sz w:val="18"/>
                <w:szCs w:val="18"/>
              </w:rPr>
            </w:r>
            <w:r>
              <w:rPr>
                <w:rFonts w:cs="Arial"/>
                <w:sz w:val="18"/>
                <w:szCs w:val="18"/>
              </w:rPr>
              <w:fldChar w:fldCharType="separate"/>
            </w:r>
            <w:r>
              <w:rPr>
                <w:rFonts w:cs="Arial"/>
                <w:noProof/>
                <w:sz w:val="18"/>
                <w:szCs w:val="18"/>
              </w:rPr>
              <w:t>[3]</w:t>
            </w:r>
            <w:r>
              <w:rPr>
                <w:rFonts w:cs="Arial"/>
                <w:sz w:val="18"/>
                <w:szCs w:val="18"/>
              </w:rPr>
              <w:fldChar w:fldCharType="end"/>
            </w:r>
          </w:p>
        </w:tc>
        <w:tc>
          <w:tcPr>
            <w:tcW w:w="1088" w:type="dxa"/>
          </w:tcPr>
          <w:p w:rsidR="007E4E43" w:rsidRPr="00100E77" w:rsidRDefault="007E4E43" w:rsidP="0000123C">
            <w:pPr>
              <w:spacing w:line="240" w:lineRule="auto"/>
              <w:rPr>
                <w:rFonts w:cs="Arial"/>
                <w:sz w:val="18"/>
                <w:szCs w:val="18"/>
              </w:rPr>
            </w:pPr>
            <w:r w:rsidRPr="00100E77">
              <w:rPr>
                <w:rFonts w:cs="Arial"/>
                <w:sz w:val="18"/>
                <w:szCs w:val="18"/>
              </w:rPr>
              <w:t>2010</w:t>
            </w:r>
          </w:p>
        </w:tc>
        <w:tc>
          <w:tcPr>
            <w:tcW w:w="11198" w:type="dxa"/>
          </w:tcPr>
          <w:p w:rsidR="007E4E43" w:rsidRPr="00100E77" w:rsidRDefault="007E4E43" w:rsidP="0000123C">
            <w:pPr>
              <w:spacing w:line="240" w:lineRule="auto"/>
              <w:rPr>
                <w:rFonts w:cs="Arial"/>
                <w:sz w:val="18"/>
                <w:szCs w:val="18"/>
              </w:rPr>
            </w:pPr>
            <w:r w:rsidRPr="00100E77">
              <w:rPr>
                <w:rFonts w:cs="Arial"/>
                <w:sz w:val="18"/>
                <w:szCs w:val="18"/>
                <w:lang w:val="en"/>
              </w:rPr>
              <w:t>A high-level description is available as follows:</w:t>
            </w:r>
            <w:r w:rsidRPr="00100E77">
              <w:rPr>
                <w:rFonts w:cs="Arial"/>
                <w:sz w:val="18"/>
                <w:szCs w:val="18"/>
              </w:rPr>
              <w:t xml:space="preserve"> Choosing a topic for a clinical practice guideline is the first step in the guideline development process. Candidate topics come from surveys of ACP members, other clinicians, the Clinical Guidelines Committee members, and other committees and governance of the ACP. In selecting a topic, the Clinical Guidelines Committee considers the following criteria: effect of the condition on morbidity and mortality, prevalence of the condition, whether effective health care is available, areas of uncertainty and evidence that current performance does not meet best practices, cost of the condition, relevance to internal medicine, and the likelihood that evidence is available to develop recommendations.</w:t>
            </w:r>
          </w:p>
        </w:tc>
      </w:tr>
      <w:tr w:rsidR="007E4E43" w:rsidRPr="0001323E" w:rsidTr="0000123C">
        <w:trPr>
          <w:trHeight w:val="407"/>
        </w:trPr>
        <w:tc>
          <w:tcPr>
            <w:tcW w:w="1884" w:type="dxa"/>
          </w:tcPr>
          <w:p w:rsidR="007E4E43" w:rsidRPr="00100E77" w:rsidRDefault="007E4E43" w:rsidP="0000123C">
            <w:pPr>
              <w:spacing w:line="240" w:lineRule="auto"/>
              <w:rPr>
                <w:rFonts w:cs="Arial"/>
                <w:sz w:val="18"/>
                <w:szCs w:val="18"/>
              </w:rPr>
            </w:pPr>
            <w:r w:rsidRPr="00100E77">
              <w:rPr>
                <w:rFonts w:cs="Arial"/>
                <w:sz w:val="18"/>
                <w:szCs w:val="18"/>
              </w:rPr>
              <w:lastRenderedPageBreak/>
              <w:t>Institute of Medicine</w:t>
            </w:r>
            <w:r>
              <w:rPr>
                <w:rFonts w:cs="Arial"/>
                <w:sz w:val="18"/>
                <w:szCs w:val="18"/>
              </w:rPr>
              <w:t xml:space="preserve"> </w:t>
            </w:r>
            <w:r>
              <w:rPr>
                <w:rFonts w:cs="Arial"/>
                <w:sz w:val="18"/>
                <w:szCs w:val="18"/>
              </w:rPr>
              <w:fldChar w:fldCharType="begin"/>
            </w:r>
            <w:r>
              <w:rPr>
                <w:rFonts w:cs="Arial"/>
                <w:sz w:val="18"/>
                <w:szCs w:val="18"/>
              </w:rPr>
              <w:instrText xml:space="preserve"> ADDIN EN.CITE &lt;EndNote&gt;&lt;Cite&gt;&lt;Author&gt;Institute of Medicine&lt;/Author&gt;&lt;Year&gt;2011&lt;/Year&gt;&lt;RecNum&gt;93&lt;/RecNum&gt;&lt;DisplayText&gt;[2]&lt;/DisplayText&gt;&lt;record&gt;&lt;rec-number&gt;93&lt;/rec-number&gt;&lt;foreign-keys&gt;&lt;key app="EN" db-id="wzr22sa0t2f0emedx2lvx524aeta5vxdtte9" timestamp="1497837911"&gt;93&lt;/key&gt;&lt;/foreign-keys&gt;&lt;ref-type name="Book"&gt;6&lt;/ref-type&gt;&lt;contributors&gt;&lt;authors&gt;&lt;author&gt;Institute of Medicine,&lt;/author&gt;&lt;/authors&gt;&lt;/contributors&gt;&lt;titles&gt;&lt;title&gt;Clinical Practice Guidelines We Can Trust&lt;/title&gt;&lt;secondary-title&gt;Clinical Practice Guidelines We Can Trust&lt;/secondary-title&gt;&lt;/titles&gt;&lt;periodical&gt;&lt;full-title&gt;Clinical Practice Guidelines We Can Trust&lt;/full-title&gt;&lt;/periodical&gt;&lt;pages&gt;1-197&lt;/pages&gt;&lt;dates&gt;&lt;year&gt;2011&lt;/year&gt;&lt;/dates&gt;&lt;pub-location&gt;Washington (DC)&lt;/pub-location&gt;&lt;publisher&gt;National Academies Press (US)&lt;/publisher&gt;&lt;accession-num&gt;WOS:000352904500010&lt;/accession-num&gt;&lt;urls&gt;&lt;related-urls&gt;&lt;url&gt;&amp;lt;Go to ISI&amp;gt;://WOS:000352904500010&lt;/url&gt;&lt;/related-urls&gt;&lt;/urls&gt;&lt;language&gt;English&lt;/language&gt;&lt;/record&gt;&lt;/Cite&gt;&lt;/EndNote&gt;</w:instrText>
            </w:r>
            <w:r>
              <w:rPr>
                <w:rFonts w:cs="Arial"/>
                <w:sz w:val="18"/>
                <w:szCs w:val="18"/>
              </w:rPr>
              <w:fldChar w:fldCharType="separate"/>
            </w:r>
            <w:r>
              <w:rPr>
                <w:rFonts w:cs="Arial"/>
                <w:noProof/>
                <w:sz w:val="18"/>
                <w:szCs w:val="18"/>
              </w:rPr>
              <w:t>[2]</w:t>
            </w:r>
            <w:r>
              <w:rPr>
                <w:rFonts w:cs="Arial"/>
                <w:sz w:val="18"/>
                <w:szCs w:val="18"/>
              </w:rPr>
              <w:fldChar w:fldCharType="end"/>
            </w:r>
          </w:p>
        </w:tc>
        <w:tc>
          <w:tcPr>
            <w:tcW w:w="1088" w:type="dxa"/>
          </w:tcPr>
          <w:p w:rsidR="007E4E43" w:rsidRPr="00100E77" w:rsidRDefault="007E4E43" w:rsidP="0000123C">
            <w:pPr>
              <w:spacing w:line="240" w:lineRule="auto"/>
              <w:rPr>
                <w:rFonts w:cs="Arial"/>
                <w:sz w:val="18"/>
                <w:szCs w:val="18"/>
              </w:rPr>
            </w:pPr>
            <w:r w:rsidRPr="00100E77">
              <w:rPr>
                <w:rFonts w:cs="Arial"/>
                <w:sz w:val="18"/>
                <w:szCs w:val="18"/>
              </w:rPr>
              <w:t>2011</w:t>
            </w:r>
          </w:p>
        </w:tc>
        <w:tc>
          <w:tcPr>
            <w:tcW w:w="11198" w:type="dxa"/>
          </w:tcPr>
          <w:p w:rsidR="007E4E43" w:rsidRPr="00100E77" w:rsidRDefault="007E4E43" w:rsidP="0000123C">
            <w:pPr>
              <w:shd w:val="clear" w:color="auto" w:fill="FFFFFF"/>
              <w:spacing w:before="75" w:after="75" w:line="240" w:lineRule="auto"/>
              <w:jc w:val="both"/>
              <w:rPr>
                <w:rFonts w:cs="Arial"/>
                <w:sz w:val="18"/>
                <w:szCs w:val="18"/>
                <w:lang w:val="en"/>
              </w:rPr>
            </w:pPr>
            <w:r w:rsidRPr="00100E77">
              <w:rPr>
                <w:rFonts w:cs="Arial"/>
                <w:sz w:val="18"/>
                <w:szCs w:val="18"/>
              </w:rPr>
              <w:t xml:space="preserve">Guideline topics are prioritised using seven criteria. </w:t>
            </w:r>
          </w:p>
          <w:p w:rsidR="007E4E43" w:rsidRPr="00100E77" w:rsidRDefault="007E4E43" w:rsidP="007E4E43">
            <w:pPr>
              <w:numPr>
                <w:ilvl w:val="0"/>
                <w:numId w:val="1"/>
              </w:numPr>
              <w:shd w:val="clear" w:color="auto" w:fill="FFFFFF"/>
              <w:spacing w:before="75" w:after="75" w:line="240" w:lineRule="auto"/>
              <w:ind w:left="612"/>
              <w:jc w:val="both"/>
              <w:rPr>
                <w:rFonts w:cs="Arial"/>
                <w:sz w:val="18"/>
                <w:szCs w:val="18"/>
                <w:lang w:val="en"/>
              </w:rPr>
            </w:pPr>
            <w:r w:rsidRPr="00100E77">
              <w:rPr>
                <w:rStyle w:val="Emphasis"/>
                <w:rFonts w:cs="Arial"/>
                <w:sz w:val="18"/>
                <w:szCs w:val="18"/>
                <w:lang w:val="en"/>
              </w:rPr>
              <w:t>Disease burden</w:t>
            </w:r>
            <w:r w:rsidRPr="00100E77">
              <w:rPr>
                <w:rFonts w:cs="Arial"/>
                <w:sz w:val="18"/>
                <w:szCs w:val="18"/>
                <w:lang w:val="en"/>
              </w:rPr>
              <w:t xml:space="preserve">. Extent of disability, morbidity, or mortality imposed by a condition, including effects on patients, families, communities, and society overall. </w:t>
            </w:r>
          </w:p>
          <w:p w:rsidR="007E4E43" w:rsidRPr="00100E77" w:rsidRDefault="007E4E43" w:rsidP="007E4E43">
            <w:pPr>
              <w:numPr>
                <w:ilvl w:val="0"/>
                <w:numId w:val="1"/>
              </w:numPr>
              <w:shd w:val="clear" w:color="auto" w:fill="FFFFFF"/>
              <w:spacing w:before="75" w:after="75" w:line="240" w:lineRule="auto"/>
              <w:ind w:left="612"/>
              <w:jc w:val="both"/>
              <w:rPr>
                <w:rFonts w:cs="Arial"/>
                <w:sz w:val="18"/>
                <w:szCs w:val="18"/>
                <w:lang w:val="en"/>
              </w:rPr>
            </w:pPr>
            <w:r w:rsidRPr="00100E77">
              <w:rPr>
                <w:rStyle w:val="Emphasis"/>
                <w:rFonts w:cs="Arial"/>
                <w:sz w:val="18"/>
                <w:szCs w:val="18"/>
                <w:lang w:val="en"/>
              </w:rPr>
              <w:t>Controversy</w:t>
            </w:r>
            <w:r w:rsidRPr="00100E77">
              <w:rPr>
                <w:rFonts w:cs="Arial"/>
                <w:sz w:val="18"/>
                <w:szCs w:val="18"/>
                <w:lang w:val="en"/>
              </w:rPr>
              <w:t xml:space="preserve">. Controversy or uncertainty around the topic and supporting data. </w:t>
            </w:r>
          </w:p>
          <w:p w:rsidR="007E4E43" w:rsidRPr="00100E77" w:rsidRDefault="007E4E43" w:rsidP="007E4E43">
            <w:pPr>
              <w:numPr>
                <w:ilvl w:val="0"/>
                <w:numId w:val="1"/>
              </w:numPr>
              <w:shd w:val="clear" w:color="auto" w:fill="FFFFFF"/>
              <w:spacing w:before="75" w:after="75" w:line="240" w:lineRule="auto"/>
              <w:ind w:left="612"/>
              <w:jc w:val="both"/>
              <w:rPr>
                <w:rFonts w:cs="Arial"/>
                <w:sz w:val="18"/>
                <w:szCs w:val="18"/>
                <w:lang w:val="en"/>
              </w:rPr>
            </w:pPr>
            <w:r w:rsidRPr="00100E77">
              <w:rPr>
                <w:rStyle w:val="Emphasis"/>
                <w:rFonts w:cs="Arial"/>
                <w:sz w:val="18"/>
                <w:szCs w:val="18"/>
                <w:lang w:val="en"/>
              </w:rPr>
              <w:t>Cost</w:t>
            </w:r>
            <w:r w:rsidRPr="00100E77">
              <w:rPr>
                <w:rFonts w:cs="Arial"/>
                <w:sz w:val="18"/>
                <w:szCs w:val="18"/>
                <w:lang w:val="en"/>
              </w:rPr>
              <w:t xml:space="preserve">. Economic cost associated with the condition, procedure, treatment, or technology related to the number of people needing care, unit cost of care, or indirect costs. </w:t>
            </w:r>
          </w:p>
          <w:p w:rsidR="007E4E43" w:rsidRPr="00100E77" w:rsidRDefault="007E4E43" w:rsidP="007E4E43">
            <w:pPr>
              <w:numPr>
                <w:ilvl w:val="0"/>
                <w:numId w:val="1"/>
              </w:numPr>
              <w:shd w:val="clear" w:color="auto" w:fill="FFFFFF"/>
              <w:spacing w:before="75" w:after="75" w:line="240" w:lineRule="auto"/>
              <w:ind w:left="612"/>
              <w:jc w:val="both"/>
              <w:rPr>
                <w:rFonts w:cs="Arial"/>
                <w:sz w:val="18"/>
                <w:szCs w:val="18"/>
                <w:lang w:val="en"/>
              </w:rPr>
            </w:pPr>
            <w:r w:rsidRPr="00100E77">
              <w:rPr>
                <w:rStyle w:val="Emphasis"/>
                <w:rFonts w:cs="Arial"/>
                <w:sz w:val="18"/>
                <w:szCs w:val="18"/>
                <w:lang w:val="en"/>
              </w:rPr>
              <w:t>New evidence</w:t>
            </w:r>
            <w:r w:rsidRPr="00100E77">
              <w:rPr>
                <w:rFonts w:cs="Arial"/>
                <w:sz w:val="18"/>
                <w:szCs w:val="18"/>
                <w:lang w:val="en"/>
              </w:rPr>
              <w:t xml:space="preserve">. New evidence with the potential to change conclusions from prior assessments. </w:t>
            </w:r>
          </w:p>
          <w:p w:rsidR="007E4E43" w:rsidRPr="00100E77" w:rsidRDefault="007E4E43" w:rsidP="007E4E43">
            <w:pPr>
              <w:numPr>
                <w:ilvl w:val="0"/>
                <w:numId w:val="1"/>
              </w:numPr>
              <w:shd w:val="clear" w:color="auto" w:fill="FFFFFF"/>
              <w:spacing w:before="75" w:after="75" w:line="240" w:lineRule="auto"/>
              <w:ind w:left="612"/>
              <w:jc w:val="both"/>
              <w:rPr>
                <w:rFonts w:cs="Arial"/>
                <w:sz w:val="18"/>
                <w:szCs w:val="18"/>
                <w:lang w:val="en"/>
              </w:rPr>
            </w:pPr>
            <w:r w:rsidRPr="00100E77">
              <w:rPr>
                <w:rStyle w:val="Emphasis"/>
                <w:rFonts w:cs="Arial"/>
                <w:sz w:val="18"/>
                <w:szCs w:val="18"/>
                <w:lang w:val="en"/>
              </w:rPr>
              <w:t>Potential impact</w:t>
            </w:r>
            <w:r w:rsidRPr="00100E77">
              <w:rPr>
                <w:rFonts w:cs="Arial"/>
                <w:sz w:val="18"/>
                <w:szCs w:val="18"/>
                <w:lang w:val="en"/>
              </w:rPr>
              <w:t xml:space="preserve">. Potential to improve health outcomes and quality of life; improve decision making for patient or provider </w:t>
            </w:r>
          </w:p>
          <w:p w:rsidR="007E4E43" w:rsidRPr="00100E77" w:rsidRDefault="007E4E43" w:rsidP="007E4E43">
            <w:pPr>
              <w:numPr>
                <w:ilvl w:val="0"/>
                <w:numId w:val="1"/>
              </w:numPr>
              <w:shd w:val="clear" w:color="auto" w:fill="FFFFFF"/>
              <w:spacing w:before="75" w:after="75" w:line="240" w:lineRule="auto"/>
              <w:ind w:left="612"/>
              <w:jc w:val="both"/>
              <w:rPr>
                <w:rFonts w:cs="Arial"/>
                <w:sz w:val="18"/>
                <w:szCs w:val="18"/>
              </w:rPr>
            </w:pPr>
            <w:r w:rsidRPr="00100E77">
              <w:rPr>
                <w:rStyle w:val="Emphasis"/>
                <w:rFonts w:cs="Arial"/>
                <w:sz w:val="18"/>
                <w:szCs w:val="18"/>
                <w:lang w:val="en"/>
              </w:rPr>
              <w:t>Public or provider interest</w:t>
            </w:r>
            <w:r w:rsidRPr="00100E77">
              <w:rPr>
                <w:rFonts w:cs="Arial"/>
                <w:sz w:val="18"/>
                <w:szCs w:val="18"/>
                <w:lang w:val="en"/>
              </w:rPr>
              <w:t xml:space="preserve">. Consumers, patients, clinicians, payers, and others want an assessment to inform decision making. </w:t>
            </w:r>
          </w:p>
          <w:p w:rsidR="007E4E43" w:rsidRPr="00100E77" w:rsidRDefault="007E4E43" w:rsidP="007E4E43">
            <w:pPr>
              <w:numPr>
                <w:ilvl w:val="0"/>
                <w:numId w:val="1"/>
              </w:numPr>
              <w:shd w:val="clear" w:color="auto" w:fill="FFFFFF"/>
              <w:spacing w:before="75" w:after="75" w:line="240" w:lineRule="auto"/>
              <w:ind w:left="612"/>
              <w:jc w:val="both"/>
              <w:rPr>
                <w:rFonts w:cs="Arial"/>
                <w:sz w:val="18"/>
                <w:szCs w:val="18"/>
              </w:rPr>
            </w:pPr>
            <w:r w:rsidRPr="00100E77">
              <w:rPr>
                <w:rStyle w:val="Emphasis"/>
                <w:rFonts w:cs="Arial"/>
                <w:sz w:val="18"/>
                <w:szCs w:val="18"/>
                <w:lang w:val="en"/>
              </w:rPr>
              <w:t>Variations in care</w:t>
            </w:r>
            <w:r w:rsidRPr="00100E77">
              <w:rPr>
                <w:rFonts w:cs="Arial"/>
                <w:sz w:val="18"/>
                <w:szCs w:val="18"/>
                <w:lang w:val="en"/>
              </w:rPr>
              <w:t>. Potential to reduce unexplained variations in prevention, diagnosis, or treatment; the current use is outside the parameters of clinical evidence.</w:t>
            </w:r>
          </w:p>
          <w:p w:rsidR="007E4E43" w:rsidRPr="00100E77" w:rsidRDefault="007E4E43" w:rsidP="0000123C">
            <w:pPr>
              <w:spacing w:line="240" w:lineRule="auto"/>
              <w:rPr>
                <w:rFonts w:cs="Arial"/>
                <w:sz w:val="18"/>
                <w:szCs w:val="18"/>
              </w:rPr>
            </w:pPr>
            <w:r w:rsidRPr="00100E77">
              <w:rPr>
                <w:rFonts w:cs="Arial"/>
                <w:sz w:val="18"/>
                <w:szCs w:val="18"/>
              </w:rPr>
              <w:t>No specific instruction for developing key clinical questions.</w:t>
            </w:r>
          </w:p>
        </w:tc>
      </w:tr>
      <w:tr w:rsidR="007E4E43" w:rsidRPr="0001323E" w:rsidTr="0000123C">
        <w:trPr>
          <w:trHeight w:val="419"/>
        </w:trPr>
        <w:tc>
          <w:tcPr>
            <w:tcW w:w="1884" w:type="dxa"/>
          </w:tcPr>
          <w:p w:rsidR="007E4E43" w:rsidRPr="00100E77" w:rsidRDefault="007E4E43" w:rsidP="0000123C">
            <w:pPr>
              <w:spacing w:line="240" w:lineRule="auto"/>
              <w:rPr>
                <w:rFonts w:cs="Arial"/>
                <w:sz w:val="18"/>
                <w:szCs w:val="18"/>
              </w:rPr>
            </w:pPr>
            <w:r w:rsidRPr="00100E77">
              <w:rPr>
                <w:rFonts w:cs="Arial"/>
                <w:sz w:val="18"/>
                <w:szCs w:val="18"/>
              </w:rPr>
              <w:t xml:space="preserve">Kaiser Permanente </w:t>
            </w:r>
            <w:r w:rsidRPr="00100E77" w:rsidDel="00B13AAD">
              <w:rPr>
                <w:rFonts w:cs="Arial"/>
                <w:sz w:val="18"/>
                <w:szCs w:val="18"/>
              </w:rPr>
              <w:fldChar w:fldCharType="begin"/>
            </w:r>
            <w:r>
              <w:rPr>
                <w:rFonts w:cs="Arial"/>
                <w:sz w:val="18"/>
                <w:szCs w:val="18"/>
              </w:rPr>
              <w:instrText xml:space="preserve"> ADDIN EN.CITE &lt;EndNote&gt;&lt;Cite&gt;&lt;Author&gt;Davino-Ramaya&lt;/Author&gt;&lt;Year&gt;2012&lt;/Year&gt;&lt;RecNum&gt;94&lt;/RecNum&gt;&lt;DisplayText&gt;[24]&lt;/DisplayText&gt;&lt;record&gt;&lt;rec-number&gt;94&lt;/rec-number&gt;&lt;foreign-keys&gt;&lt;key app="EN" db-id="wzr22sa0t2f0emedx2lvx524aeta5vxdtte9" timestamp="1497838158"&gt;94&lt;/key&gt;&lt;/foreign-keys&gt;&lt;ref-type name="Journal Article"&gt;17&lt;/ref-type&gt;&lt;contributors&gt;&lt;authors&gt;&lt;author&gt;Davino-Ramaya, C.&lt;/author&gt;&lt;author&gt;Krause, L. K.&lt;/author&gt;&lt;author&gt;Robbins, C. W.&lt;/author&gt;&lt;author&gt;Harris, J. S.&lt;/author&gt;&lt;author&gt;Koster, M.&lt;/author&gt;&lt;author&gt;Chan, W.&lt;/author&gt;&lt;author&gt;Tom, G. I.&lt;/author&gt;&lt;/authors&gt;&lt;/contributors&gt;&lt;auth-address&gt;Quality Management and Systems Department, Northwest Permanente, Portland, OR, USA. carrie.m.davino@kp.org&lt;/auth-address&gt;&lt;titles&gt;&lt;title&gt;Transparency matters: Kaiser Permanente&amp;apos;s National Guideline Program methodological processes&lt;/title&gt;&lt;secondary-title&gt;Perm J&lt;/secondary-title&gt;&lt;alt-title&gt;The Permanente journal&lt;/alt-title&gt;&lt;/titles&gt;&lt;periodical&gt;&lt;full-title&gt;Perm J&lt;/full-title&gt;&lt;abbr-1&gt;The Permanente journal&lt;/abbr-1&gt;&lt;/periodical&gt;&lt;alt-periodical&gt;&lt;full-title&gt;Perm J&lt;/full-title&gt;&lt;abbr-1&gt;The Permanente journal&lt;/abbr-1&gt;&lt;/alt-periodical&gt;&lt;pages&gt;55-62&lt;/pages&gt;&lt;volume&gt;16&lt;/volume&gt;&lt;number&gt;1&lt;/number&gt;&lt;keywords&gt;&lt;keyword&gt;Evidence-Based Medicine&lt;/keyword&gt;&lt;keyword&gt;Health Maintenance Organizations/organization &amp;amp; administration/*standards&lt;/keyword&gt;&lt;keyword&gt;Humans&lt;/keyword&gt;&lt;keyword&gt;*Practice Guidelines as Topic&lt;/keyword&gt;&lt;keyword&gt;United States&lt;/keyword&gt;&lt;/keywords&gt;&lt;dates&gt;&lt;year&gt;2012&lt;/year&gt;&lt;pub-dates&gt;&lt;date&gt;Winter&lt;/date&gt;&lt;/pub-dates&gt;&lt;/dates&gt;&lt;isbn&gt;1552-5775 (Electronic)&amp;#xD;1552-5767 (Linking)&lt;/isbn&gt;&lt;accession-num&gt;22529761&lt;/accession-num&gt;&lt;urls&gt;&lt;related-urls&gt;&lt;url&gt;http://www.ncbi.nlm.nih.gov/pubmed/22529761&lt;/url&gt;&lt;/related-urls&gt;&lt;/urls&gt;&lt;custom2&gt;3327114&lt;/custom2&gt;&lt;/record&gt;&lt;/Cite&gt;&lt;/EndNote&gt;</w:instrText>
            </w:r>
            <w:r w:rsidRPr="00100E77" w:rsidDel="00B13AAD">
              <w:rPr>
                <w:rFonts w:cs="Arial"/>
                <w:sz w:val="18"/>
                <w:szCs w:val="18"/>
              </w:rPr>
              <w:fldChar w:fldCharType="separate"/>
            </w:r>
            <w:r>
              <w:rPr>
                <w:rFonts w:cs="Arial"/>
                <w:noProof/>
                <w:sz w:val="18"/>
                <w:szCs w:val="18"/>
              </w:rPr>
              <w:t>[24]</w:t>
            </w:r>
            <w:r w:rsidRPr="00100E77" w:rsidDel="00B13AAD">
              <w:rPr>
                <w:rFonts w:cs="Arial"/>
                <w:sz w:val="18"/>
                <w:szCs w:val="18"/>
              </w:rPr>
              <w:fldChar w:fldCharType="end"/>
            </w:r>
          </w:p>
        </w:tc>
        <w:tc>
          <w:tcPr>
            <w:tcW w:w="1088" w:type="dxa"/>
          </w:tcPr>
          <w:p w:rsidR="007E4E43" w:rsidRPr="00100E77" w:rsidRDefault="007E4E43" w:rsidP="0000123C">
            <w:pPr>
              <w:spacing w:line="240" w:lineRule="auto"/>
              <w:rPr>
                <w:rFonts w:cs="Arial"/>
                <w:sz w:val="18"/>
                <w:szCs w:val="18"/>
              </w:rPr>
            </w:pPr>
            <w:r w:rsidRPr="00100E77">
              <w:rPr>
                <w:rFonts w:cs="Arial"/>
                <w:sz w:val="18"/>
                <w:szCs w:val="18"/>
              </w:rPr>
              <w:t>2012</w:t>
            </w:r>
          </w:p>
        </w:tc>
        <w:tc>
          <w:tcPr>
            <w:tcW w:w="11198" w:type="dxa"/>
          </w:tcPr>
          <w:p w:rsidR="007E4E43" w:rsidRPr="00100E77" w:rsidRDefault="007E4E43" w:rsidP="0000123C">
            <w:pPr>
              <w:pStyle w:val="p"/>
              <w:rPr>
                <w:rFonts w:ascii="Arial" w:hAnsi="Arial" w:cs="Arial"/>
                <w:sz w:val="18"/>
                <w:szCs w:val="18"/>
                <w:lang w:val="en"/>
              </w:rPr>
            </w:pPr>
            <w:r w:rsidRPr="00100E77">
              <w:rPr>
                <w:rFonts w:ascii="Arial" w:hAnsi="Arial" w:cs="Arial"/>
                <w:sz w:val="18"/>
                <w:szCs w:val="18"/>
                <w:lang w:val="en"/>
              </w:rPr>
              <w:t>A high-level description is available as follows: “Once a topic has been identified, a GDT is assembled; this team helps specify the scope of the guideline, including target populations, comparative interventions, important outcomes, and other clinical issues. This process provides direction for framing specific clinical questions, which commonly address issues of risk, diagnosis, prognosis, therapy, and harm.”</w:t>
            </w:r>
          </w:p>
        </w:tc>
      </w:tr>
      <w:tr w:rsidR="007E4E43" w:rsidRPr="0001323E" w:rsidTr="0000123C">
        <w:trPr>
          <w:trHeight w:val="71"/>
        </w:trPr>
        <w:tc>
          <w:tcPr>
            <w:tcW w:w="1884" w:type="dxa"/>
          </w:tcPr>
          <w:p w:rsidR="007E4E43" w:rsidRPr="00100E77" w:rsidRDefault="007E4E43" w:rsidP="0000123C">
            <w:pPr>
              <w:spacing w:line="240" w:lineRule="auto"/>
              <w:rPr>
                <w:rFonts w:cs="Arial"/>
                <w:sz w:val="18"/>
                <w:szCs w:val="18"/>
              </w:rPr>
            </w:pPr>
            <w:r w:rsidRPr="00100E77">
              <w:rPr>
                <w:rFonts w:cs="Arial"/>
                <w:sz w:val="18"/>
                <w:szCs w:val="18"/>
              </w:rPr>
              <w:t>National Health and Medical Research Council (NHMRC)</w:t>
            </w:r>
            <w:r w:rsidRPr="00152431">
              <w:rPr>
                <w:rFonts w:cs="Arial"/>
                <w:sz w:val="18"/>
                <w:szCs w:val="18"/>
              </w:rPr>
              <w:t xml:space="preserve"> </w:t>
            </w:r>
            <w:r w:rsidRPr="00100E77">
              <w:rPr>
                <w:noProof/>
                <w:sz w:val="18"/>
                <w:szCs w:val="18"/>
              </w:rPr>
              <w:t>Procedures and requirements for meeting the 2011 NHMRC standard for clinical practice guideline</w:t>
            </w:r>
            <w:r>
              <w:rPr>
                <w:rFonts w:cs="Arial"/>
                <w:sz w:val="18"/>
                <w:szCs w:val="18"/>
              </w:rPr>
              <w:t xml:space="preserve"> </w:t>
            </w:r>
            <w:r w:rsidRPr="00100E77">
              <w:rPr>
                <w:rFonts w:cs="Arial"/>
                <w:sz w:val="18"/>
                <w:szCs w:val="18"/>
              </w:rPr>
              <w:fldChar w:fldCharType="begin"/>
            </w:r>
            <w:r>
              <w:rPr>
                <w:rFonts w:cs="Arial"/>
                <w:sz w:val="18"/>
                <w:szCs w:val="18"/>
              </w:rPr>
              <w:instrText xml:space="preserve"> ADDIN EN.CITE &lt;EndNote&gt;&lt;Cite&gt;&lt;Author&gt;National Health and Medical Research Council.&lt;/Author&gt;&lt;Year&gt;2011&lt;/Year&gt;&lt;RecNum&gt;78&lt;/RecNum&gt;&lt;DisplayText&gt;[7]&lt;/DisplayText&gt;&lt;record&gt;&lt;rec-number&gt;78&lt;/rec-number&gt;&lt;foreign-keys&gt;&lt;key app="EN" db-id="wzr22sa0t2f0emedx2lvx524aeta5vxdtte9" timestamp="1497328538"&gt;78&lt;/key&gt;&lt;/foreign-keys&gt;&lt;ref-type name="Report"&gt;27&lt;/ref-type&gt;&lt;contributors&gt;&lt;authors&gt;&lt;author&gt;National Health and Medical Research Council., &lt;/author&gt;&lt;/authors&gt;&lt;tertiary-authors&gt;&lt;author&gt;National Health and Medical Research Council&lt;/author&gt;&lt;/tertiary-authors&gt;&lt;/contributors&gt;&lt;titles&gt;&lt;title&gt;Procedures and requirements for meeting the 2011 NHMRC standard for clinical practice guidelines.&lt;/title&gt;&lt;/titles&gt;&lt;dates&gt;&lt;year&gt;2011&lt;/year&gt;&lt;/dates&gt;&lt;pub-location&gt;Melbourne&lt;/pub-location&gt;&lt;urls&gt;&lt;/urls&gt;&lt;/record&gt;&lt;/Cite&gt;&lt;/EndNote&gt;</w:instrText>
            </w:r>
            <w:r w:rsidRPr="00100E77">
              <w:rPr>
                <w:rFonts w:cs="Arial"/>
                <w:sz w:val="18"/>
                <w:szCs w:val="18"/>
              </w:rPr>
              <w:fldChar w:fldCharType="separate"/>
            </w:r>
            <w:r>
              <w:rPr>
                <w:rFonts w:cs="Arial"/>
                <w:noProof/>
                <w:sz w:val="18"/>
                <w:szCs w:val="18"/>
              </w:rPr>
              <w:t>[7]</w:t>
            </w:r>
            <w:r w:rsidRPr="00100E77">
              <w:rPr>
                <w:rFonts w:cs="Arial"/>
                <w:sz w:val="18"/>
                <w:szCs w:val="18"/>
              </w:rPr>
              <w:fldChar w:fldCharType="end"/>
            </w:r>
            <w:r w:rsidRPr="00100E77">
              <w:rPr>
                <w:rFonts w:cs="Arial"/>
                <w:sz w:val="18"/>
                <w:szCs w:val="18"/>
              </w:rPr>
              <w:t xml:space="preserve"> </w:t>
            </w:r>
          </w:p>
        </w:tc>
        <w:tc>
          <w:tcPr>
            <w:tcW w:w="1088" w:type="dxa"/>
          </w:tcPr>
          <w:p w:rsidR="007E4E43" w:rsidRPr="00100E77" w:rsidRDefault="007E4E43" w:rsidP="0000123C">
            <w:pPr>
              <w:spacing w:line="240" w:lineRule="auto"/>
              <w:rPr>
                <w:rFonts w:cs="Arial"/>
                <w:sz w:val="18"/>
                <w:szCs w:val="18"/>
              </w:rPr>
            </w:pPr>
            <w:r w:rsidRPr="00100E77">
              <w:rPr>
                <w:rFonts w:cs="Arial"/>
                <w:sz w:val="18"/>
                <w:szCs w:val="18"/>
              </w:rPr>
              <w:t>2011</w:t>
            </w:r>
          </w:p>
        </w:tc>
        <w:tc>
          <w:tcPr>
            <w:tcW w:w="11198" w:type="dxa"/>
          </w:tcPr>
          <w:p w:rsidR="007E4E43" w:rsidRPr="00100E77" w:rsidRDefault="007E4E43" w:rsidP="0000123C">
            <w:pPr>
              <w:spacing w:line="240" w:lineRule="auto"/>
              <w:rPr>
                <w:rFonts w:cs="Arial"/>
                <w:sz w:val="18"/>
                <w:szCs w:val="18"/>
              </w:rPr>
            </w:pPr>
            <w:r>
              <w:rPr>
                <w:rFonts w:cs="Arial"/>
                <w:sz w:val="18"/>
                <w:szCs w:val="18"/>
              </w:rPr>
              <w:t xml:space="preserve">High-level guidance is provided as follows: </w:t>
            </w:r>
            <w:r w:rsidRPr="00100E77">
              <w:rPr>
                <w:rFonts w:cs="Arial"/>
                <w:sz w:val="18"/>
                <w:szCs w:val="18"/>
              </w:rPr>
              <w:t>To be focused on health and related outcomes guidelines will:</w:t>
            </w:r>
          </w:p>
          <w:p w:rsidR="007E4E43" w:rsidRPr="00100E77" w:rsidRDefault="007E4E43" w:rsidP="0000123C">
            <w:pPr>
              <w:spacing w:line="240" w:lineRule="auto"/>
              <w:rPr>
                <w:rFonts w:cs="Arial"/>
                <w:sz w:val="18"/>
                <w:szCs w:val="18"/>
              </w:rPr>
            </w:pPr>
            <w:r>
              <w:rPr>
                <w:rFonts w:cs="Arial"/>
                <w:sz w:val="18"/>
                <w:szCs w:val="18"/>
              </w:rPr>
              <w:t>1.</w:t>
            </w:r>
            <w:r w:rsidRPr="00100E77">
              <w:rPr>
                <w:rFonts w:cs="Arial"/>
                <w:sz w:val="18"/>
                <w:szCs w:val="18"/>
              </w:rPr>
              <w:t xml:space="preserve"> Be developed around explicitly defined clinical or public health questions</w:t>
            </w:r>
          </w:p>
          <w:p w:rsidR="007E4E43" w:rsidRPr="00100E77" w:rsidRDefault="007E4E43" w:rsidP="0000123C">
            <w:pPr>
              <w:spacing w:line="240" w:lineRule="auto"/>
              <w:rPr>
                <w:rFonts w:cs="Arial"/>
                <w:sz w:val="18"/>
                <w:szCs w:val="18"/>
              </w:rPr>
            </w:pPr>
            <w:r>
              <w:rPr>
                <w:rFonts w:cs="Arial"/>
                <w:sz w:val="18"/>
                <w:szCs w:val="18"/>
              </w:rPr>
              <w:t>2.</w:t>
            </w:r>
            <w:r w:rsidRPr="00100E77">
              <w:rPr>
                <w:rFonts w:cs="Arial"/>
                <w:sz w:val="18"/>
                <w:szCs w:val="18"/>
              </w:rPr>
              <w:t xml:space="preserve"> Address outcomes that are relevant to the guideline’s expected end users</w:t>
            </w:r>
          </w:p>
          <w:p w:rsidR="007E4E43" w:rsidRPr="00100E77" w:rsidRDefault="007E4E43" w:rsidP="0000123C">
            <w:pPr>
              <w:spacing w:line="240" w:lineRule="auto"/>
              <w:rPr>
                <w:rFonts w:cs="Arial"/>
                <w:sz w:val="18"/>
                <w:szCs w:val="18"/>
              </w:rPr>
            </w:pPr>
            <w:r>
              <w:rPr>
                <w:rFonts w:cs="Arial"/>
                <w:sz w:val="18"/>
                <w:szCs w:val="18"/>
              </w:rPr>
              <w:t>3.</w:t>
            </w:r>
            <w:r w:rsidRPr="00100E77">
              <w:rPr>
                <w:rFonts w:cs="Arial"/>
                <w:sz w:val="18"/>
                <w:szCs w:val="18"/>
              </w:rPr>
              <w:t xml:space="preserve"> Clearly define the outcomes considered to be important to the person/s who will be affected by the decision, and prioritise these outcomes.</w:t>
            </w:r>
          </w:p>
        </w:tc>
      </w:tr>
      <w:tr w:rsidR="007E4E43" w:rsidRPr="0001323E" w:rsidTr="0000123C">
        <w:trPr>
          <w:trHeight w:val="71"/>
        </w:trPr>
        <w:tc>
          <w:tcPr>
            <w:tcW w:w="1884" w:type="dxa"/>
          </w:tcPr>
          <w:p w:rsidR="007E4E43" w:rsidRPr="00100E77" w:rsidRDefault="007E4E43" w:rsidP="0000123C">
            <w:pPr>
              <w:spacing w:after="0" w:line="240" w:lineRule="auto"/>
              <w:rPr>
                <w:rFonts w:cs="Arial"/>
                <w:sz w:val="18"/>
                <w:szCs w:val="18"/>
              </w:rPr>
            </w:pPr>
            <w:r w:rsidRPr="00100E77">
              <w:rPr>
                <w:rFonts w:cs="Arial"/>
                <w:sz w:val="18"/>
                <w:szCs w:val="18"/>
              </w:rPr>
              <w:t>National Institute for Health and Care Excellence (NICE)</w:t>
            </w:r>
            <w:r>
              <w:rPr>
                <w:rFonts w:cs="Arial"/>
                <w:sz w:val="18"/>
                <w:szCs w:val="18"/>
              </w:rPr>
              <w:t xml:space="preserve"> </w:t>
            </w:r>
            <w:r>
              <w:rPr>
                <w:rFonts w:cs="Arial"/>
                <w:sz w:val="18"/>
                <w:szCs w:val="18"/>
              </w:rPr>
              <w:fldChar w:fldCharType="begin"/>
            </w:r>
            <w:r>
              <w:rPr>
                <w:rFonts w:cs="Arial"/>
                <w:sz w:val="18"/>
                <w:szCs w:val="18"/>
              </w:rPr>
              <w:instrText xml:space="preserve"> ADDIN EN.CITE &lt;EndNote&gt;&lt;Cite&gt;&lt;Author&gt;National Institute for Health and Clinical Excellence&lt;/Author&gt;&lt;Year&gt;2014&lt;/Year&gt;&lt;RecNum&gt;98&lt;/RecNum&gt;&lt;DisplayText&gt;[6]&lt;/DisplayText&gt;&lt;record&gt;&lt;rec-number&gt;98&lt;/rec-number&gt;&lt;foreign-keys&gt;&lt;key app="EN" db-id="wzr22sa0t2f0emedx2lvx524aeta5vxdtte9" timestamp="1497842106"&gt;98&lt;/key&gt;&lt;/foreign-keys&gt;&lt;ref-type name="Generic"&gt;13&lt;/ref-type&gt;&lt;contributors&gt;&lt;authors&gt;&lt;author&gt;National Institute for Health and Clinical Excellence,&lt;/author&gt;&lt;/authors&gt;&lt;/contributors&gt;&lt;titles&gt;&lt;title&gt;Developing NICE guidelines: the manual&lt;/title&gt;&lt;/titles&gt;&lt;dates&gt;&lt;year&gt;2014&lt;/year&gt;&lt;/dates&gt;&lt;pub-location&gt;UK&lt;/pub-location&gt;&lt;publisher&gt;National Institute for Health and Clinical Excellence&lt;/publisher&gt;&lt;urls&gt;&lt;/urls&gt;&lt;/record&gt;&lt;/Cite&gt;&lt;/EndNote&gt;</w:instrText>
            </w:r>
            <w:r>
              <w:rPr>
                <w:rFonts w:cs="Arial"/>
                <w:sz w:val="18"/>
                <w:szCs w:val="18"/>
              </w:rPr>
              <w:fldChar w:fldCharType="separate"/>
            </w:r>
            <w:r>
              <w:rPr>
                <w:rFonts w:cs="Arial"/>
                <w:noProof/>
                <w:sz w:val="18"/>
                <w:szCs w:val="18"/>
              </w:rPr>
              <w:t>[6]</w:t>
            </w:r>
            <w:r>
              <w:rPr>
                <w:rFonts w:cs="Arial"/>
                <w:sz w:val="18"/>
                <w:szCs w:val="18"/>
              </w:rPr>
              <w:fldChar w:fldCharType="end"/>
            </w:r>
          </w:p>
        </w:tc>
        <w:tc>
          <w:tcPr>
            <w:tcW w:w="1088" w:type="dxa"/>
          </w:tcPr>
          <w:p w:rsidR="007E4E43" w:rsidRPr="00100E77" w:rsidRDefault="007E4E43" w:rsidP="0000123C">
            <w:pPr>
              <w:spacing w:after="0" w:line="240" w:lineRule="auto"/>
              <w:jc w:val="both"/>
              <w:rPr>
                <w:rFonts w:cs="Arial"/>
                <w:sz w:val="18"/>
                <w:szCs w:val="18"/>
              </w:rPr>
            </w:pPr>
            <w:r w:rsidRPr="00100E77">
              <w:rPr>
                <w:rFonts w:cs="Arial"/>
                <w:sz w:val="18"/>
                <w:szCs w:val="18"/>
              </w:rPr>
              <w:t>2014</w:t>
            </w:r>
          </w:p>
        </w:tc>
        <w:tc>
          <w:tcPr>
            <w:tcW w:w="11198" w:type="dxa"/>
          </w:tcPr>
          <w:p w:rsidR="007E4E43" w:rsidRPr="00100E77" w:rsidRDefault="007E4E43" w:rsidP="0000123C">
            <w:pPr>
              <w:spacing w:after="0" w:line="240" w:lineRule="auto"/>
              <w:jc w:val="both"/>
              <w:rPr>
                <w:rFonts w:cs="Arial"/>
                <w:sz w:val="18"/>
                <w:szCs w:val="18"/>
              </w:rPr>
            </w:pPr>
            <w:r w:rsidRPr="00100E77">
              <w:rPr>
                <w:rFonts w:cs="Arial"/>
                <w:sz w:val="18"/>
                <w:szCs w:val="18"/>
              </w:rPr>
              <w:t xml:space="preserve">The scope and questions are developed over seven stages, which are described in detail. </w:t>
            </w:r>
          </w:p>
          <w:p w:rsidR="007E4E43" w:rsidRPr="00100E77" w:rsidRDefault="007E4E43" w:rsidP="0000123C">
            <w:pPr>
              <w:spacing w:before="180" w:after="0" w:line="240" w:lineRule="auto"/>
              <w:jc w:val="both"/>
              <w:outlineLvl w:val="3"/>
              <w:rPr>
                <w:rFonts w:eastAsia="Times New Roman" w:cs="Arial"/>
                <w:b/>
                <w:bCs/>
                <w:sz w:val="18"/>
                <w:szCs w:val="18"/>
                <w:lang w:val="en-GB"/>
              </w:rPr>
            </w:pPr>
            <w:r w:rsidRPr="00100E77">
              <w:rPr>
                <w:rFonts w:eastAsia="Times New Roman" w:cs="Arial"/>
                <w:b/>
                <w:bCs/>
                <w:sz w:val="18"/>
                <w:szCs w:val="18"/>
                <w:lang w:val="en-GB"/>
              </w:rPr>
              <w:t>Stage 1: the scoping searc</w:t>
            </w:r>
            <w:r>
              <w:rPr>
                <w:rFonts w:eastAsia="Times New Roman" w:cs="Arial"/>
                <w:b/>
                <w:bCs/>
                <w:sz w:val="18"/>
                <w:szCs w:val="18"/>
                <w:lang w:val="en-GB"/>
              </w:rPr>
              <w:t xml:space="preserve">h: </w:t>
            </w:r>
            <w:r w:rsidRPr="00100E77">
              <w:rPr>
                <w:rFonts w:eastAsia="Times New Roman" w:cs="Arial"/>
                <w:bCs/>
                <w:sz w:val="18"/>
                <w:szCs w:val="18"/>
                <w:lang w:val="en-GB"/>
              </w:rPr>
              <w:t>A scoping search is undertaken by an information specialist and through a scoping workshop.</w:t>
            </w:r>
          </w:p>
          <w:p w:rsidR="007E4E43" w:rsidRPr="00100E77" w:rsidRDefault="007E4E43" w:rsidP="0000123C">
            <w:pPr>
              <w:spacing w:before="180" w:after="0" w:line="240" w:lineRule="auto"/>
              <w:jc w:val="both"/>
              <w:outlineLvl w:val="3"/>
              <w:rPr>
                <w:rFonts w:eastAsia="Times New Roman" w:cs="Arial"/>
                <w:bCs/>
                <w:sz w:val="18"/>
                <w:szCs w:val="18"/>
                <w:lang w:val="en-GB"/>
              </w:rPr>
            </w:pPr>
            <w:r w:rsidRPr="00100E77">
              <w:rPr>
                <w:rFonts w:eastAsia="Times New Roman" w:cs="Arial"/>
                <w:b/>
                <w:bCs/>
                <w:sz w:val="18"/>
                <w:szCs w:val="18"/>
                <w:lang w:val="en-GB"/>
              </w:rPr>
              <w:t>Stage 2: understanding the context</w:t>
            </w:r>
            <w:r>
              <w:rPr>
                <w:rFonts w:eastAsia="Times New Roman" w:cs="Arial"/>
                <w:b/>
                <w:bCs/>
                <w:sz w:val="18"/>
                <w:szCs w:val="18"/>
                <w:lang w:val="en-GB"/>
              </w:rPr>
              <w:t xml:space="preserve">: </w:t>
            </w:r>
            <w:r w:rsidRPr="00100E77">
              <w:rPr>
                <w:rFonts w:eastAsia="Times New Roman" w:cs="Arial"/>
                <w:bCs/>
                <w:sz w:val="18"/>
                <w:szCs w:val="18"/>
                <w:lang w:val="en-GB"/>
              </w:rPr>
              <w:t>The clinical, policy and societal context is described in detail.</w:t>
            </w:r>
          </w:p>
          <w:p w:rsidR="007E4E43" w:rsidRPr="00100E77" w:rsidRDefault="007E4E43" w:rsidP="0000123C">
            <w:pPr>
              <w:spacing w:before="180" w:after="0" w:line="240" w:lineRule="auto"/>
              <w:jc w:val="both"/>
              <w:outlineLvl w:val="3"/>
              <w:rPr>
                <w:rFonts w:eastAsia="Times New Roman" w:cs="Arial"/>
                <w:b/>
                <w:bCs/>
                <w:sz w:val="18"/>
                <w:szCs w:val="18"/>
                <w:lang w:val="en-GB"/>
              </w:rPr>
            </w:pPr>
            <w:r w:rsidRPr="00100E77">
              <w:rPr>
                <w:rFonts w:eastAsia="Times New Roman" w:cs="Arial"/>
                <w:b/>
                <w:bCs/>
                <w:sz w:val="18"/>
                <w:szCs w:val="18"/>
                <w:lang w:val="en-GB"/>
              </w:rPr>
              <w:t>Stage 3: identifying the population and key issues</w:t>
            </w:r>
            <w:r>
              <w:rPr>
                <w:rFonts w:eastAsia="Times New Roman" w:cs="Arial"/>
                <w:b/>
                <w:bCs/>
                <w:sz w:val="18"/>
                <w:szCs w:val="18"/>
                <w:lang w:val="en-GB"/>
              </w:rPr>
              <w:t>:</w:t>
            </w:r>
            <w:r w:rsidRPr="00100E77">
              <w:rPr>
                <w:rFonts w:eastAsia="Times New Roman" w:cs="Arial"/>
                <w:bCs/>
                <w:sz w:val="18"/>
                <w:szCs w:val="18"/>
                <w:lang w:val="en-GB"/>
              </w:rPr>
              <w:t xml:space="preserve"> Focus on identifying areas in which providers and commissioners of care or services most need advice. A broad review process is suggested to ensure that a range of care or services </w:t>
            </w:r>
            <w:r>
              <w:rPr>
                <w:rFonts w:eastAsia="Times New Roman" w:cs="Arial"/>
                <w:bCs/>
                <w:sz w:val="18"/>
                <w:szCs w:val="18"/>
                <w:lang w:val="en-GB"/>
              </w:rPr>
              <w:t>are</w:t>
            </w:r>
            <w:r w:rsidRPr="00100E77">
              <w:rPr>
                <w:rFonts w:eastAsia="Times New Roman" w:cs="Arial"/>
                <w:bCs/>
                <w:sz w:val="18"/>
                <w:szCs w:val="18"/>
                <w:lang w:val="en-GB"/>
              </w:rPr>
              <w:t xml:space="preserve"> considered.</w:t>
            </w:r>
          </w:p>
          <w:p w:rsidR="007E4E43" w:rsidRPr="00100E77" w:rsidRDefault="007E4E43" w:rsidP="0000123C">
            <w:pPr>
              <w:spacing w:before="180" w:after="0" w:line="240" w:lineRule="auto"/>
              <w:jc w:val="both"/>
              <w:outlineLvl w:val="3"/>
              <w:rPr>
                <w:rFonts w:eastAsia="Times New Roman" w:cs="Arial"/>
                <w:bCs/>
                <w:sz w:val="18"/>
                <w:szCs w:val="18"/>
                <w:lang w:val="en-GB"/>
              </w:rPr>
            </w:pPr>
            <w:r w:rsidRPr="00100E77">
              <w:rPr>
                <w:rFonts w:eastAsia="Times New Roman" w:cs="Arial"/>
                <w:b/>
                <w:bCs/>
                <w:sz w:val="18"/>
                <w:szCs w:val="18"/>
                <w:lang w:val="en-GB"/>
              </w:rPr>
              <w:t>Stage 4: planning the NICE Pathway</w:t>
            </w:r>
            <w:r>
              <w:rPr>
                <w:rFonts w:eastAsia="Times New Roman" w:cs="Arial"/>
                <w:b/>
                <w:bCs/>
                <w:sz w:val="18"/>
                <w:szCs w:val="18"/>
                <w:lang w:val="en-GB"/>
              </w:rPr>
              <w:t xml:space="preserve">: </w:t>
            </w:r>
            <w:r w:rsidRPr="00100E77">
              <w:rPr>
                <w:rFonts w:eastAsia="Times New Roman" w:cs="Arial"/>
                <w:bCs/>
                <w:sz w:val="18"/>
                <w:szCs w:val="18"/>
                <w:lang w:val="en-GB"/>
              </w:rPr>
              <w:t xml:space="preserve">Review published guidance and guidance in development to understand how the guideline recommendations </w:t>
            </w:r>
            <w:r w:rsidRPr="00100E77">
              <w:rPr>
                <w:rFonts w:eastAsia="Times New Roman" w:cs="Times New Roman"/>
                <w:sz w:val="18"/>
                <w:szCs w:val="18"/>
                <w:lang w:val="en-GB"/>
              </w:rPr>
              <w:t xml:space="preserve">are likely to relate to existing recommendations in other guidance and where they may fit into </w:t>
            </w:r>
            <w:hyperlink r:id="rId7" w:tgtFrame="_top" w:history="1">
              <w:r w:rsidRPr="00100E77">
                <w:rPr>
                  <w:rFonts w:eastAsia="Times New Roman" w:cs="Times New Roman"/>
                  <w:sz w:val="18"/>
                  <w:szCs w:val="18"/>
                  <w:lang w:val="en-GB"/>
                </w:rPr>
                <w:t>NICE Pathways</w:t>
              </w:r>
            </w:hyperlink>
            <w:r w:rsidRPr="00100E77">
              <w:rPr>
                <w:rFonts w:eastAsia="Times New Roman" w:cs="Times New Roman"/>
                <w:sz w:val="18"/>
                <w:szCs w:val="18"/>
                <w:lang w:val="en-GB"/>
              </w:rPr>
              <w:t>.</w:t>
            </w:r>
          </w:p>
          <w:p w:rsidR="007E4E43" w:rsidRPr="00100E77" w:rsidRDefault="007E4E43" w:rsidP="0000123C">
            <w:pPr>
              <w:spacing w:before="180" w:after="0" w:line="240" w:lineRule="auto"/>
              <w:jc w:val="both"/>
              <w:outlineLvl w:val="3"/>
              <w:rPr>
                <w:rFonts w:eastAsia="Times New Roman" w:cs="Times New Roman"/>
                <w:sz w:val="18"/>
                <w:szCs w:val="18"/>
                <w:lang w:val="en-GB"/>
              </w:rPr>
            </w:pPr>
            <w:r w:rsidRPr="00100E77">
              <w:rPr>
                <w:rFonts w:eastAsia="Times New Roman" w:cs="Arial"/>
                <w:b/>
                <w:bCs/>
                <w:sz w:val="18"/>
                <w:szCs w:val="18"/>
                <w:lang w:val="en-GB"/>
              </w:rPr>
              <w:lastRenderedPageBreak/>
              <w:t>Stage 5: checking the population and selected key issues with stakeholders</w:t>
            </w:r>
            <w:r>
              <w:rPr>
                <w:rFonts w:eastAsia="Times New Roman" w:cs="Arial"/>
                <w:b/>
                <w:bCs/>
                <w:sz w:val="18"/>
                <w:szCs w:val="18"/>
                <w:lang w:val="en-GB"/>
              </w:rPr>
              <w:t xml:space="preserve">: </w:t>
            </w:r>
            <w:r w:rsidRPr="00100E77">
              <w:rPr>
                <w:rFonts w:eastAsia="Times New Roman" w:cs="Arial"/>
                <w:bCs/>
                <w:sz w:val="18"/>
                <w:szCs w:val="18"/>
                <w:lang w:val="en-GB"/>
              </w:rPr>
              <w:t xml:space="preserve">Seek the views of stakeholders </w:t>
            </w:r>
            <w:r w:rsidRPr="00100E77">
              <w:rPr>
                <w:rFonts w:eastAsia="Times New Roman" w:cs="Times New Roman"/>
                <w:sz w:val="18"/>
                <w:szCs w:val="18"/>
                <w:lang w:val="en-GB"/>
              </w:rPr>
              <w:t>to confirm that the population group(s) and key issues identified by the Developer are relevant and appropriate. This may include inviting registered stakeholders to a scoping workshop.</w:t>
            </w:r>
          </w:p>
          <w:p w:rsidR="007E4E43" w:rsidRPr="00100E77" w:rsidRDefault="007E4E43" w:rsidP="0000123C">
            <w:pPr>
              <w:spacing w:before="180" w:after="0" w:line="240" w:lineRule="auto"/>
              <w:jc w:val="both"/>
              <w:outlineLvl w:val="3"/>
              <w:rPr>
                <w:rFonts w:eastAsia="Times New Roman" w:cs="Times New Roman"/>
                <w:sz w:val="18"/>
                <w:szCs w:val="18"/>
                <w:lang w:val="en-GB"/>
              </w:rPr>
            </w:pPr>
            <w:r w:rsidRPr="00100E77">
              <w:rPr>
                <w:rFonts w:eastAsia="Times New Roman" w:cs="Arial"/>
                <w:b/>
                <w:bCs/>
                <w:sz w:val="18"/>
                <w:szCs w:val="18"/>
                <w:lang w:val="en-GB"/>
              </w:rPr>
              <w:t>Stage 6: consulting on the draft scope</w:t>
            </w:r>
            <w:r>
              <w:rPr>
                <w:rFonts w:eastAsia="Times New Roman" w:cs="Arial"/>
                <w:b/>
                <w:bCs/>
                <w:sz w:val="18"/>
                <w:szCs w:val="18"/>
                <w:lang w:val="en-GB"/>
              </w:rPr>
              <w:t xml:space="preserve">: The draft scope is made available </w:t>
            </w:r>
            <w:r w:rsidRPr="00100E77">
              <w:rPr>
                <w:rFonts w:eastAsia="Times New Roman" w:cs="Times New Roman"/>
                <w:sz w:val="18"/>
                <w:szCs w:val="18"/>
                <w:lang w:val="en-GB"/>
              </w:rPr>
              <w:t>on the NICE website for a 4</w:t>
            </w:r>
            <w:r w:rsidRPr="00100E77">
              <w:rPr>
                <w:rFonts w:eastAsia="Times New Roman" w:cs="Times New Roman"/>
                <w:sz w:val="18"/>
                <w:szCs w:val="18"/>
                <w:lang w:val="en-GB"/>
              </w:rPr>
              <w:noBreakHyphen/>
              <w:t>week consultation, and registered stakeholders and respondents are notified. The purpose of these prompts is to seek their views on key issues (such as whether the identified outcome measures are complementary to locally defined measures) and to ask what should be included or excluded. NICE asks stakeholders to suggest areas where cost savings could be achieved.</w:t>
            </w:r>
          </w:p>
          <w:p w:rsidR="007E4E43" w:rsidRPr="00100E77" w:rsidRDefault="007E4E43" w:rsidP="0000123C">
            <w:pPr>
              <w:spacing w:after="0" w:line="240" w:lineRule="auto"/>
              <w:jc w:val="both"/>
              <w:outlineLvl w:val="3"/>
              <w:rPr>
                <w:rFonts w:eastAsia="Times New Roman" w:cs="Times New Roman"/>
                <w:sz w:val="18"/>
                <w:szCs w:val="18"/>
                <w:lang w:val="en-GB"/>
              </w:rPr>
            </w:pPr>
            <w:r w:rsidRPr="00100E77">
              <w:rPr>
                <w:rFonts w:eastAsia="Times New Roman" w:cs="Arial"/>
                <w:b/>
                <w:bCs/>
                <w:sz w:val="18"/>
                <w:szCs w:val="18"/>
                <w:lang w:val="en-GB"/>
              </w:rPr>
              <w:t>Stage 7: finalising the scope after consultation</w:t>
            </w:r>
            <w:r>
              <w:rPr>
                <w:rFonts w:eastAsia="Times New Roman" w:cs="Arial"/>
                <w:b/>
                <w:bCs/>
                <w:sz w:val="18"/>
                <w:szCs w:val="18"/>
                <w:lang w:val="en-GB"/>
              </w:rPr>
              <w:t xml:space="preserve">: </w:t>
            </w:r>
            <w:r w:rsidRPr="00100E77">
              <w:rPr>
                <w:rFonts w:eastAsia="Times New Roman" w:cs="Times New Roman"/>
                <w:sz w:val="18"/>
                <w:szCs w:val="18"/>
                <w:lang w:val="en-GB"/>
              </w:rPr>
              <w:t xml:space="preserve">The final scope is signed off by a senior member of NICE staff with responsibility for quality assurance. Once the final scope has been published no changes should be made to it except in exceptional circumstances. </w:t>
            </w:r>
          </w:p>
          <w:p w:rsidR="007E4E43" w:rsidRPr="00100E77" w:rsidRDefault="007E4E43" w:rsidP="0000123C">
            <w:pPr>
              <w:rPr>
                <w:rFonts w:cs="Arial"/>
                <w:sz w:val="18"/>
                <w:szCs w:val="18"/>
              </w:rPr>
            </w:pPr>
            <w:r>
              <w:rPr>
                <w:rFonts w:cs="Arial"/>
                <w:sz w:val="18"/>
                <w:szCs w:val="18"/>
              </w:rPr>
              <w:t>I</w:t>
            </w:r>
            <w:r w:rsidRPr="00100E77">
              <w:rPr>
                <w:rFonts w:cs="Arial"/>
                <w:sz w:val="18"/>
                <w:szCs w:val="18"/>
              </w:rPr>
              <w:t>t is important that the total number of questions</w:t>
            </w:r>
            <w:r>
              <w:rPr>
                <w:rFonts w:cs="Arial"/>
                <w:sz w:val="18"/>
                <w:szCs w:val="18"/>
              </w:rPr>
              <w:t xml:space="preserve"> </w:t>
            </w:r>
            <w:r w:rsidRPr="00100E77">
              <w:rPr>
                <w:rFonts w:cs="Arial"/>
                <w:sz w:val="18"/>
                <w:szCs w:val="18"/>
              </w:rPr>
              <w:t>is manageable; can be covered in the time and with the resources available</w:t>
            </w:r>
            <w:r>
              <w:rPr>
                <w:rFonts w:cs="Arial"/>
                <w:sz w:val="18"/>
                <w:szCs w:val="18"/>
              </w:rPr>
              <w:t xml:space="preserve">; </w:t>
            </w:r>
            <w:r w:rsidRPr="00100E77">
              <w:rPr>
                <w:rFonts w:cs="Arial"/>
                <w:sz w:val="18"/>
                <w:szCs w:val="18"/>
              </w:rPr>
              <w:t>provides sufficient focus for the guideline, and covers all areas outlined in the scope.</w:t>
            </w:r>
          </w:p>
        </w:tc>
      </w:tr>
      <w:tr w:rsidR="007E4E43" w:rsidRPr="0001323E" w:rsidTr="0000123C">
        <w:trPr>
          <w:trHeight w:val="358"/>
        </w:trPr>
        <w:tc>
          <w:tcPr>
            <w:tcW w:w="1884" w:type="dxa"/>
          </w:tcPr>
          <w:p w:rsidR="007E4E43" w:rsidRPr="00100E77" w:rsidRDefault="007E4E43" w:rsidP="0000123C">
            <w:pPr>
              <w:spacing w:line="240" w:lineRule="auto"/>
              <w:rPr>
                <w:rFonts w:cs="Arial"/>
                <w:sz w:val="18"/>
                <w:szCs w:val="18"/>
              </w:rPr>
            </w:pPr>
            <w:r w:rsidRPr="00100E77">
              <w:rPr>
                <w:rFonts w:cs="Arial"/>
                <w:sz w:val="18"/>
                <w:szCs w:val="18"/>
              </w:rPr>
              <w:lastRenderedPageBreak/>
              <w:t>Scottish Intercollegiate Guidelines Network (SIGN)</w:t>
            </w:r>
            <w:r>
              <w:rPr>
                <w:rFonts w:cs="Arial"/>
                <w:sz w:val="18"/>
                <w:szCs w:val="18"/>
              </w:rPr>
              <w:t xml:space="preserve"> </w:t>
            </w:r>
            <w:r>
              <w:rPr>
                <w:rFonts w:cs="Arial"/>
                <w:sz w:val="18"/>
                <w:szCs w:val="18"/>
              </w:rPr>
              <w:fldChar w:fldCharType="begin"/>
            </w:r>
            <w:r>
              <w:rPr>
                <w:rFonts w:cs="Arial"/>
                <w:sz w:val="18"/>
                <w:szCs w:val="18"/>
              </w:rPr>
              <w:instrText xml:space="preserve"> ADDIN EN.CITE &lt;EndNote&gt;&lt;Cite&gt;&lt;Author&gt;Scottish Intercollegiate Guidelines Network&lt;/Author&gt;&lt;Year&gt;2015&lt;/Year&gt;&lt;RecNum&gt;91&lt;/RecNum&gt;&lt;DisplayText&gt;[13]&lt;/DisplayText&gt;&lt;record&gt;&lt;rec-number&gt;91&lt;/rec-number&gt;&lt;foreign-keys&gt;&lt;key app="EN" db-id="wzr22sa0t2f0emedx2lvx524aeta5vxdtte9" timestamp="1497835895"&gt;91&lt;/key&gt;&lt;/foreign-keys&gt;&lt;ref-type name="Generic"&gt;13&lt;/ref-type&gt;&lt;contributors&gt;&lt;authors&gt;&lt;author&gt;Scottish Intercollegiate Guidelines Network,&lt;/author&gt;&lt;/authors&gt;&lt;/contributors&gt;&lt;titles&gt;&lt;title&gt;SIGN 50: a guideline developer’s handbook&lt;/title&gt;&lt;/titles&gt;&lt;dates&gt;&lt;year&gt;2015&lt;/year&gt;&lt;/dates&gt;&lt;pub-location&gt; Edinburgh&lt;/pub-location&gt;&lt;publisher&gt;SIGN&lt;/publisher&gt;&lt;urls&gt;&lt;/urls&gt;&lt;/record&gt;&lt;/Cite&gt;&lt;/EndNote&gt;</w:instrText>
            </w:r>
            <w:r>
              <w:rPr>
                <w:rFonts w:cs="Arial"/>
                <w:sz w:val="18"/>
                <w:szCs w:val="18"/>
              </w:rPr>
              <w:fldChar w:fldCharType="separate"/>
            </w:r>
            <w:r>
              <w:rPr>
                <w:rFonts w:cs="Arial"/>
                <w:noProof/>
                <w:sz w:val="18"/>
                <w:szCs w:val="18"/>
              </w:rPr>
              <w:t>[13]</w:t>
            </w:r>
            <w:r>
              <w:rPr>
                <w:rFonts w:cs="Arial"/>
                <w:sz w:val="18"/>
                <w:szCs w:val="18"/>
              </w:rPr>
              <w:fldChar w:fldCharType="end"/>
            </w:r>
          </w:p>
        </w:tc>
        <w:tc>
          <w:tcPr>
            <w:tcW w:w="1088" w:type="dxa"/>
          </w:tcPr>
          <w:p w:rsidR="007E4E43" w:rsidRPr="00100E77" w:rsidRDefault="007E4E43" w:rsidP="0000123C">
            <w:pPr>
              <w:spacing w:line="240" w:lineRule="auto"/>
              <w:rPr>
                <w:rFonts w:cs="Arial"/>
                <w:sz w:val="18"/>
                <w:szCs w:val="18"/>
              </w:rPr>
            </w:pPr>
            <w:r w:rsidRPr="00100E77">
              <w:rPr>
                <w:rFonts w:cs="Arial"/>
                <w:sz w:val="18"/>
                <w:szCs w:val="18"/>
              </w:rPr>
              <w:t>2015</w:t>
            </w:r>
          </w:p>
        </w:tc>
        <w:tc>
          <w:tcPr>
            <w:tcW w:w="11198" w:type="dxa"/>
          </w:tcPr>
          <w:p w:rsidR="007E4E43" w:rsidRPr="00100E77" w:rsidRDefault="007E4E43" w:rsidP="0000123C">
            <w:pPr>
              <w:autoSpaceDE w:val="0"/>
              <w:autoSpaceDN w:val="0"/>
              <w:adjustRightInd w:val="0"/>
              <w:spacing w:line="240" w:lineRule="auto"/>
              <w:rPr>
                <w:rFonts w:cs="Arial"/>
                <w:color w:val="000000"/>
                <w:sz w:val="18"/>
                <w:szCs w:val="18"/>
              </w:rPr>
            </w:pPr>
            <w:r w:rsidRPr="00100E77">
              <w:rPr>
                <w:rFonts w:cs="Arial"/>
                <w:color w:val="000000"/>
                <w:sz w:val="18"/>
                <w:szCs w:val="18"/>
              </w:rPr>
              <w:t>Guideline topics selected for inclusion in the SIGN programme are chosen on the basis of the burden of disease, the existence of variation in practice, and the potential to improve outcome. The following criteria are considered by SIGN in selecting and prioritising topics for guideline development:</w:t>
            </w:r>
          </w:p>
          <w:p w:rsidR="007E4E43" w:rsidRPr="00100E77" w:rsidRDefault="007E4E43" w:rsidP="007E4E43">
            <w:pPr>
              <w:pStyle w:val="ListParagraph"/>
              <w:numPr>
                <w:ilvl w:val="0"/>
                <w:numId w:val="4"/>
              </w:numPr>
              <w:autoSpaceDE w:val="0"/>
              <w:autoSpaceDN w:val="0"/>
              <w:adjustRightInd w:val="0"/>
              <w:spacing w:after="0"/>
              <w:rPr>
                <w:rFonts w:cs="Arial"/>
                <w:color w:val="000000"/>
                <w:sz w:val="18"/>
                <w:szCs w:val="18"/>
              </w:rPr>
            </w:pPr>
            <w:r w:rsidRPr="00100E77">
              <w:rPr>
                <w:rFonts w:cs="Arial"/>
                <w:color w:val="000000"/>
                <w:sz w:val="18"/>
                <w:szCs w:val="18"/>
              </w:rPr>
              <w:t>Areas of clinical uncertainty as evidenced by wide variation in practice or outcomes.</w:t>
            </w:r>
          </w:p>
          <w:p w:rsidR="007E4E43" w:rsidRPr="00100E77" w:rsidRDefault="007E4E43" w:rsidP="007E4E43">
            <w:pPr>
              <w:pStyle w:val="ListParagraph"/>
              <w:numPr>
                <w:ilvl w:val="0"/>
                <w:numId w:val="4"/>
              </w:numPr>
              <w:autoSpaceDE w:val="0"/>
              <w:autoSpaceDN w:val="0"/>
              <w:adjustRightInd w:val="0"/>
              <w:spacing w:after="0"/>
              <w:rPr>
                <w:rFonts w:cs="Arial"/>
                <w:color w:val="000000"/>
                <w:sz w:val="18"/>
                <w:szCs w:val="18"/>
              </w:rPr>
            </w:pPr>
            <w:r w:rsidRPr="00100E77">
              <w:rPr>
                <w:rFonts w:cs="Arial"/>
                <w:color w:val="000000"/>
                <w:sz w:val="18"/>
                <w:szCs w:val="18"/>
              </w:rPr>
              <w:t>Conditions where effective treatment is proven and where mortality or morbidity can be reduced.</w:t>
            </w:r>
          </w:p>
          <w:p w:rsidR="007E4E43" w:rsidRPr="00100E77" w:rsidRDefault="007E4E43" w:rsidP="007E4E43">
            <w:pPr>
              <w:pStyle w:val="ListParagraph"/>
              <w:numPr>
                <w:ilvl w:val="0"/>
                <w:numId w:val="4"/>
              </w:numPr>
              <w:autoSpaceDE w:val="0"/>
              <w:autoSpaceDN w:val="0"/>
              <w:adjustRightInd w:val="0"/>
              <w:spacing w:after="0"/>
              <w:rPr>
                <w:rFonts w:cs="Arial"/>
                <w:color w:val="000000"/>
                <w:sz w:val="18"/>
                <w:szCs w:val="18"/>
              </w:rPr>
            </w:pPr>
            <w:r w:rsidRPr="00100E77">
              <w:rPr>
                <w:rFonts w:cs="Arial"/>
                <w:color w:val="000000"/>
                <w:sz w:val="18"/>
                <w:szCs w:val="18"/>
              </w:rPr>
              <w:t>Iatrogenic diseases or interventions carrying significant risks.</w:t>
            </w:r>
          </w:p>
          <w:p w:rsidR="007E4E43" w:rsidRPr="00100E77" w:rsidRDefault="007E4E43" w:rsidP="007E4E43">
            <w:pPr>
              <w:pStyle w:val="ListParagraph"/>
              <w:numPr>
                <w:ilvl w:val="0"/>
                <w:numId w:val="4"/>
              </w:numPr>
              <w:autoSpaceDE w:val="0"/>
              <w:autoSpaceDN w:val="0"/>
              <w:adjustRightInd w:val="0"/>
              <w:spacing w:after="0"/>
              <w:rPr>
                <w:rFonts w:cs="Arial"/>
                <w:color w:val="000000"/>
                <w:sz w:val="18"/>
                <w:szCs w:val="18"/>
              </w:rPr>
            </w:pPr>
            <w:r w:rsidRPr="00100E77">
              <w:rPr>
                <w:rFonts w:cs="Arial"/>
                <w:color w:val="000000"/>
                <w:sz w:val="18"/>
                <w:szCs w:val="18"/>
              </w:rPr>
              <w:t>Clinical priority areas for the National Health Service Scotland.</w:t>
            </w:r>
          </w:p>
          <w:p w:rsidR="007E4E43" w:rsidRPr="00100E77" w:rsidRDefault="007E4E43" w:rsidP="007E4E43">
            <w:pPr>
              <w:pStyle w:val="ListParagraph"/>
              <w:numPr>
                <w:ilvl w:val="0"/>
                <w:numId w:val="4"/>
              </w:numPr>
              <w:autoSpaceDE w:val="0"/>
              <w:autoSpaceDN w:val="0"/>
              <w:adjustRightInd w:val="0"/>
              <w:spacing w:after="0"/>
              <w:rPr>
                <w:rFonts w:cs="Arial"/>
                <w:color w:val="000000"/>
                <w:sz w:val="18"/>
                <w:szCs w:val="18"/>
              </w:rPr>
            </w:pPr>
            <w:r w:rsidRPr="00100E77">
              <w:rPr>
                <w:rFonts w:cs="Arial"/>
                <w:color w:val="000000"/>
                <w:sz w:val="18"/>
                <w:szCs w:val="18"/>
              </w:rPr>
              <w:t>The perceived need for the guideline, as indicated by a network of relevant stakeholders.</w:t>
            </w:r>
          </w:p>
          <w:p w:rsidR="007E4E43" w:rsidRPr="00100E77" w:rsidRDefault="007E4E43" w:rsidP="0000123C">
            <w:pPr>
              <w:autoSpaceDE w:val="0"/>
              <w:autoSpaceDN w:val="0"/>
              <w:adjustRightInd w:val="0"/>
              <w:spacing w:line="240" w:lineRule="auto"/>
              <w:rPr>
                <w:rFonts w:cs="Arial"/>
                <w:color w:val="000000"/>
                <w:sz w:val="18"/>
                <w:szCs w:val="18"/>
              </w:rPr>
            </w:pPr>
            <w:r w:rsidRPr="00100E77">
              <w:rPr>
                <w:rFonts w:cs="Arial"/>
                <w:color w:val="000000"/>
                <w:sz w:val="18"/>
                <w:szCs w:val="18"/>
              </w:rPr>
              <w:t xml:space="preserve">The </w:t>
            </w:r>
            <w:r>
              <w:rPr>
                <w:rFonts w:cs="Arial"/>
                <w:color w:val="000000"/>
                <w:sz w:val="18"/>
                <w:szCs w:val="18"/>
              </w:rPr>
              <w:t>G</w:t>
            </w:r>
            <w:r w:rsidRPr="00100E77">
              <w:rPr>
                <w:rFonts w:cs="Arial"/>
                <w:color w:val="000000"/>
                <w:sz w:val="18"/>
                <w:szCs w:val="18"/>
              </w:rPr>
              <w:t xml:space="preserve">uideline </w:t>
            </w:r>
            <w:r>
              <w:rPr>
                <w:rFonts w:cs="Arial"/>
                <w:color w:val="000000"/>
                <w:sz w:val="18"/>
                <w:szCs w:val="18"/>
              </w:rPr>
              <w:t>P</w:t>
            </w:r>
            <w:r w:rsidRPr="00100E77">
              <w:rPr>
                <w:rFonts w:cs="Arial"/>
                <w:color w:val="000000"/>
                <w:sz w:val="18"/>
                <w:szCs w:val="18"/>
              </w:rPr>
              <w:t xml:space="preserve">rogram </w:t>
            </w:r>
            <w:r>
              <w:rPr>
                <w:rFonts w:cs="Arial"/>
                <w:color w:val="000000"/>
                <w:sz w:val="18"/>
                <w:szCs w:val="18"/>
              </w:rPr>
              <w:t>A</w:t>
            </w:r>
            <w:r w:rsidRPr="00100E77">
              <w:rPr>
                <w:rFonts w:cs="Arial"/>
                <w:color w:val="000000"/>
                <w:sz w:val="18"/>
                <w:szCs w:val="18"/>
              </w:rPr>
              <w:t xml:space="preserve">dvisory </w:t>
            </w:r>
            <w:r>
              <w:rPr>
                <w:rFonts w:cs="Arial"/>
                <w:color w:val="000000"/>
                <w:sz w:val="18"/>
                <w:szCs w:val="18"/>
              </w:rPr>
              <w:t>G</w:t>
            </w:r>
            <w:r w:rsidRPr="00100E77">
              <w:rPr>
                <w:rFonts w:cs="Arial"/>
                <w:color w:val="000000"/>
                <w:sz w:val="18"/>
                <w:szCs w:val="18"/>
              </w:rPr>
              <w:t>roup makes an assessment of the extent of evidence on which to base the guideline and considers whether the benefits that were likely to accrue from successful implementation of the guideline recommendations would outweigh the efforts required to develop it.</w:t>
            </w:r>
          </w:p>
        </w:tc>
      </w:tr>
      <w:tr w:rsidR="007E4E43" w:rsidRPr="0001323E" w:rsidTr="0000123C">
        <w:trPr>
          <w:trHeight w:val="413"/>
        </w:trPr>
        <w:tc>
          <w:tcPr>
            <w:tcW w:w="1884" w:type="dxa"/>
          </w:tcPr>
          <w:p w:rsidR="007E4E43" w:rsidRPr="00100E77" w:rsidRDefault="007E4E43" w:rsidP="0000123C">
            <w:pPr>
              <w:spacing w:line="240" w:lineRule="auto"/>
              <w:rPr>
                <w:rFonts w:cs="Arial"/>
                <w:b/>
                <w:sz w:val="18"/>
                <w:szCs w:val="18"/>
              </w:rPr>
            </w:pPr>
            <w:r w:rsidRPr="00100E77">
              <w:rPr>
                <w:rFonts w:cs="Arial"/>
                <w:sz w:val="18"/>
                <w:szCs w:val="18"/>
              </w:rPr>
              <w:t>US Preventive Services Task Force Procedure Manua</w:t>
            </w:r>
            <w:r w:rsidRPr="00100E77" w:rsidDel="00906C22">
              <w:rPr>
                <w:rFonts w:cs="Arial"/>
                <w:sz w:val="18"/>
                <w:szCs w:val="18"/>
              </w:rPr>
              <w:t xml:space="preserve">l, </w:t>
            </w:r>
            <w:r>
              <w:rPr>
                <w:rFonts w:cs="Arial"/>
                <w:sz w:val="18"/>
                <w:szCs w:val="18"/>
              </w:rPr>
              <w:t xml:space="preserve">2015 </w:t>
            </w:r>
            <w:r>
              <w:rPr>
                <w:rFonts w:cs="Arial"/>
                <w:sz w:val="18"/>
                <w:szCs w:val="18"/>
              </w:rPr>
              <w:fldChar w:fldCharType="begin"/>
            </w:r>
            <w:r>
              <w:rPr>
                <w:rFonts w:cs="Arial"/>
                <w:sz w:val="18"/>
                <w:szCs w:val="18"/>
              </w:rPr>
              <w:instrText xml:space="preserve"> ADDIN EN.CITE &lt;EndNote&gt;&lt;Cite&gt;&lt;Author&gt;US Preventive Services Taskforce&lt;/Author&gt;&lt;Year&gt;2015&lt;/Year&gt;&lt;RecNum&gt;216&lt;/RecNum&gt;&lt;DisplayText&gt;[22]&lt;/DisplayText&gt;&lt;record&gt;&lt;rec-number&gt;216&lt;/rec-number&gt;&lt;foreign-keys&gt;&lt;key app="EN" db-id="wzr22sa0t2f0emedx2lvx524aeta5vxdtte9" timestamp="1568028979"&gt;216&lt;/key&gt;&lt;/foreign-keys&gt;&lt;ref-type name="Report"&gt;27&lt;/ref-type&gt;&lt;contributors&gt;&lt;authors&gt;&lt;author&gt;US Preventive Services Taskforce,&lt;/author&gt;&lt;/authors&gt;&lt;tertiary-authors&gt;&lt;author&gt;US Preventive Services Taskforce&lt;/author&gt;&lt;/tertiary-authors&gt;&lt;/contributors&gt;&lt;titles&gt;&lt;title&gt;Procedure Manual&lt;/title&gt;&lt;/titles&gt;&lt;dates&gt;&lt;year&gt;2015&lt;/year&gt;&lt;/dates&gt;&lt;pub-location&gt;USA&lt;/pub-location&gt;&lt;urls&gt;&lt;related-urls&gt;&lt;url&gt;https://www.uspreventiveservicestaskforce.org/Page/Name/procedure-manual&lt;/url&gt;&lt;/related-urls&gt;&lt;/urls&gt;&lt;access-date&gt;December 2019&lt;/access-date&gt;&lt;/record&gt;&lt;/Cite&gt;&lt;/EndNote&gt;</w:instrText>
            </w:r>
            <w:r>
              <w:rPr>
                <w:rFonts w:cs="Arial"/>
                <w:sz w:val="18"/>
                <w:szCs w:val="18"/>
              </w:rPr>
              <w:fldChar w:fldCharType="separate"/>
            </w:r>
            <w:r>
              <w:rPr>
                <w:rFonts w:cs="Arial"/>
                <w:noProof/>
                <w:sz w:val="18"/>
                <w:szCs w:val="18"/>
              </w:rPr>
              <w:t>[22]</w:t>
            </w:r>
            <w:r>
              <w:rPr>
                <w:rFonts w:cs="Arial"/>
                <w:sz w:val="18"/>
                <w:szCs w:val="18"/>
              </w:rPr>
              <w:fldChar w:fldCharType="end"/>
            </w:r>
            <w:r>
              <w:rPr>
                <w:rFonts w:cs="Arial"/>
                <w:sz w:val="18"/>
                <w:szCs w:val="18"/>
              </w:rPr>
              <w:t xml:space="preserve"> </w:t>
            </w:r>
          </w:p>
        </w:tc>
        <w:tc>
          <w:tcPr>
            <w:tcW w:w="1088" w:type="dxa"/>
          </w:tcPr>
          <w:p w:rsidR="007E4E43" w:rsidRPr="00100E77" w:rsidRDefault="007E4E43" w:rsidP="0000123C">
            <w:pPr>
              <w:spacing w:line="240" w:lineRule="auto"/>
              <w:rPr>
                <w:rFonts w:cs="Arial"/>
                <w:sz w:val="18"/>
                <w:szCs w:val="18"/>
              </w:rPr>
            </w:pPr>
            <w:r w:rsidRPr="00100E77">
              <w:rPr>
                <w:rFonts w:cs="Arial"/>
                <w:sz w:val="18"/>
                <w:szCs w:val="18"/>
              </w:rPr>
              <w:t>2015</w:t>
            </w:r>
          </w:p>
        </w:tc>
        <w:tc>
          <w:tcPr>
            <w:tcW w:w="11198" w:type="dxa"/>
          </w:tcPr>
          <w:p w:rsidR="007E4E43" w:rsidRPr="00100E77" w:rsidRDefault="007E4E43" w:rsidP="0000123C">
            <w:pPr>
              <w:spacing w:line="240" w:lineRule="auto"/>
              <w:rPr>
                <w:rFonts w:cs="Arial"/>
                <w:sz w:val="18"/>
                <w:szCs w:val="18"/>
              </w:rPr>
            </w:pPr>
            <w:r>
              <w:rPr>
                <w:rFonts w:cs="Arial"/>
                <w:sz w:val="18"/>
                <w:szCs w:val="18"/>
              </w:rPr>
              <w:t>Detailed description of the activities undertaken by a T</w:t>
            </w:r>
            <w:r>
              <w:rPr>
                <w:rFonts w:cs="Arial"/>
                <w:color w:val="000000"/>
                <w:sz w:val="18"/>
                <w:szCs w:val="18"/>
                <w:shd w:val="clear" w:color="auto" w:fill="FFFFFF"/>
              </w:rPr>
              <w:t>opic Prioritization Workgroup are described</w:t>
            </w:r>
            <w:r>
              <w:rPr>
                <w:rFonts w:cs="Arial"/>
                <w:sz w:val="18"/>
                <w:szCs w:val="18"/>
              </w:rPr>
              <w:t xml:space="preserve">. This includes first determining if a topic is of interest and importance. Then an active prioritisation process includes the following: 1) a Background paper of the issue; 2) Review by the Topic Prioritization Workgroup; 3) Feedback from Task Force members and other organisations; 4) Review by the Topic Prioritization Workgroup; 5) Final vote by the Task Force membership. A number of criteria for topics are considered. These include: </w:t>
            </w:r>
            <w:r w:rsidRPr="00100E77">
              <w:rPr>
                <w:rFonts w:cs="Arial"/>
                <w:sz w:val="18"/>
                <w:szCs w:val="18"/>
              </w:rPr>
              <w:t>What factors in current practice, or in the context of the culture, are important in understanding this clinical preventive service? Have major changes or controversies about this clinical preventive service emerged since the last recommendation was issued? If current practice issues seem important, consider whether background questions about current clinical practice need to be addressed here.</w:t>
            </w:r>
          </w:p>
        </w:tc>
      </w:tr>
      <w:tr w:rsidR="007E4E43" w:rsidRPr="0001323E" w:rsidTr="0000123C">
        <w:trPr>
          <w:trHeight w:val="466"/>
        </w:trPr>
        <w:tc>
          <w:tcPr>
            <w:tcW w:w="1884" w:type="dxa"/>
          </w:tcPr>
          <w:p w:rsidR="007E4E43" w:rsidRPr="00100E77" w:rsidRDefault="007E4E43" w:rsidP="0000123C">
            <w:pPr>
              <w:spacing w:line="240" w:lineRule="auto"/>
              <w:rPr>
                <w:rFonts w:cs="Arial"/>
                <w:sz w:val="18"/>
                <w:szCs w:val="18"/>
              </w:rPr>
            </w:pPr>
            <w:r w:rsidRPr="00100E77">
              <w:rPr>
                <w:rFonts w:cs="Arial"/>
                <w:sz w:val="18"/>
                <w:szCs w:val="18"/>
              </w:rPr>
              <w:t>World Health Organization 2</w:t>
            </w:r>
            <w:r w:rsidRPr="00100E77">
              <w:rPr>
                <w:rFonts w:cs="Arial"/>
                <w:sz w:val="18"/>
                <w:szCs w:val="18"/>
                <w:vertAlign w:val="superscript"/>
              </w:rPr>
              <w:t>nd</w:t>
            </w:r>
            <w:r w:rsidRPr="00100E77">
              <w:rPr>
                <w:rFonts w:cs="Arial"/>
                <w:sz w:val="18"/>
                <w:szCs w:val="18"/>
              </w:rPr>
              <w:t xml:space="preserve"> edition</w:t>
            </w:r>
            <w:r>
              <w:rPr>
                <w:rFonts w:cs="Arial"/>
                <w:sz w:val="18"/>
                <w:szCs w:val="18"/>
              </w:rPr>
              <w:t xml:space="preserve"> </w:t>
            </w:r>
            <w:r>
              <w:rPr>
                <w:rFonts w:cs="Arial"/>
                <w:sz w:val="18"/>
                <w:szCs w:val="18"/>
              </w:rPr>
              <w:fldChar w:fldCharType="begin"/>
            </w:r>
            <w:r>
              <w:rPr>
                <w:rFonts w:cs="Arial"/>
                <w:sz w:val="18"/>
                <w:szCs w:val="18"/>
              </w:rPr>
              <w:instrText xml:space="preserve"> ADDIN EN.CITE &lt;EndNote&gt;&lt;Cite&gt;&lt;Author&gt;World Health Organization&lt;/Author&gt;&lt;Year&gt;2014&lt;/Year&gt;&lt;RecNum&gt;101&lt;/RecNum&gt;&lt;DisplayText&gt;[8]&lt;/DisplayText&gt;&lt;record&gt;&lt;rec-number&gt;101&lt;/rec-number&gt;&lt;foreign-keys&gt;&lt;key app="EN" db-id="wzr22sa0t2f0emedx2lvx524aeta5vxdtte9" timestamp="1497848333"&gt;101&lt;/key&gt;&lt;/foreign-keys&gt;&lt;ref-type name="Generic"&gt;13&lt;/ref-type&gt;&lt;contributors&gt;&lt;authors&gt;&lt;author&gt;World Health Organization,&lt;/author&gt;&lt;/authors&gt;&lt;/contributors&gt;&lt;titles&gt;&lt;title&gt;WHO Handbook for Guideline Development 2nd Edition&lt;/title&gt;&lt;/titles&gt;&lt;dates&gt;&lt;year&gt;2014&lt;/year&gt;&lt;/dates&gt;&lt;pub-location&gt;Geneva&lt;/pub-location&gt;&lt;publisher&gt;World Health Organization&lt;/publisher&gt;&lt;urls&gt;&lt;/urls&gt;&lt;/record&gt;&lt;/Cite&gt;&lt;/EndNote&gt;</w:instrText>
            </w:r>
            <w:r>
              <w:rPr>
                <w:rFonts w:cs="Arial"/>
                <w:sz w:val="18"/>
                <w:szCs w:val="18"/>
              </w:rPr>
              <w:fldChar w:fldCharType="separate"/>
            </w:r>
            <w:r>
              <w:rPr>
                <w:rFonts w:cs="Arial"/>
                <w:noProof/>
                <w:sz w:val="18"/>
                <w:szCs w:val="18"/>
              </w:rPr>
              <w:t>[8]</w:t>
            </w:r>
            <w:r>
              <w:rPr>
                <w:rFonts w:cs="Arial"/>
                <w:sz w:val="18"/>
                <w:szCs w:val="18"/>
              </w:rPr>
              <w:fldChar w:fldCharType="end"/>
            </w:r>
          </w:p>
        </w:tc>
        <w:tc>
          <w:tcPr>
            <w:tcW w:w="1088" w:type="dxa"/>
          </w:tcPr>
          <w:p w:rsidR="007E4E43" w:rsidRPr="00100E77" w:rsidRDefault="007E4E43" w:rsidP="0000123C">
            <w:pPr>
              <w:spacing w:line="240" w:lineRule="auto"/>
              <w:rPr>
                <w:rFonts w:cs="Arial"/>
                <w:sz w:val="18"/>
                <w:szCs w:val="18"/>
              </w:rPr>
            </w:pPr>
            <w:r w:rsidRPr="00100E77">
              <w:rPr>
                <w:rFonts w:cs="Arial"/>
                <w:sz w:val="18"/>
                <w:szCs w:val="18"/>
              </w:rPr>
              <w:t>2014</w:t>
            </w:r>
          </w:p>
        </w:tc>
        <w:tc>
          <w:tcPr>
            <w:tcW w:w="11198" w:type="dxa"/>
          </w:tcPr>
          <w:p w:rsidR="007E4E43" w:rsidRPr="00100E77" w:rsidRDefault="007E4E43" w:rsidP="0000123C">
            <w:pPr>
              <w:spacing w:line="240" w:lineRule="auto"/>
              <w:rPr>
                <w:rFonts w:cs="Arial"/>
                <w:sz w:val="18"/>
                <w:szCs w:val="18"/>
              </w:rPr>
            </w:pPr>
            <w:r w:rsidRPr="00100E77">
              <w:rPr>
                <w:rFonts w:cs="Arial"/>
                <w:sz w:val="18"/>
                <w:szCs w:val="18"/>
              </w:rPr>
              <w:t>A six step approach as follows:</w:t>
            </w:r>
          </w:p>
          <w:p w:rsidR="007E4E43" w:rsidRPr="00100E77" w:rsidRDefault="007E4E43" w:rsidP="0000123C">
            <w:pPr>
              <w:spacing w:line="240" w:lineRule="auto"/>
              <w:rPr>
                <w:rFonts w:cs="Arial"/>
                <w:sz w:val="18"/>
                <w:szCs w:val="18"/>
              </w:rPr>
            </w:pPr>
            <w:r w:rsidRPr="00100E77">
              <w:rPr>
                <w:rFonts w:cs="Arial"/>
                <w:sz w:val="18"/>
                <w:szCs w:val="18"/>
              </w:rPr>
              <w:t>Step 1: generate an initial list of questions. The steering group develops an initial list of potential questions based on the agreed-upon scope of the guideline. These are then divided into background and foreground questions.</w:t>
            </w:r>
          </w:p>
          <w:p w:rsidR="007E4E43" w:rsidRPr="00100E77" w:rsidRDefault="007E4E43" w:rsidP="0000123C">
            <w:pPr>
              <w:spacing w:line="240" w:lineRule="auto"/>
              <w:rPr>
                <w:rFonts w:cs="Arial"/>
                <w:sz w:val="18"/>
                <w:szCs w:val="18"/>
              </w:rPr>
            </w:pPr>
            <w:r w:rsidRPr="00100E77">
              <w:rPr>
                <w:rFonts w:cs="Arial"/>
                <w:sz w:val="18"/>
                <w:szCs w:val="18"/>
              </w:rPr>
              <w:lastRenderedPageBreak/>
              <w:t>Step 2: draft the key questions in PICO format. The steering group, with input from the guideline development group, the systematic review team and the guideline methodologist, applies the PICO framework to the foreground questions.</w:t>
            </w:r>
          </w:p>
          <w:p w:rsidR="007E4E43" w:rsidRPr="00100E77" w:rsidRDefault="007E4E43" w:rsidP="0000123C">
            <w:pPr>
              <w:spacing w:line="240" w:lineRule="auto"/>
              <w:rPr>
                <w:rFonts w:cs="Arial"/>
                <w:sz w:val="18"/>
                <w:szCs w:val="18"/>
              </w:rPr>
            </w:pPr>
            <w:r w:rsidRPr="00100E77">
              <w:rPr>
                <w:rFonts w:cs="Arial"/>
                <w:sz w:val="18"/>
                <w:szCs w:val="18"/>
              </w:rPr>
              <w:t>Step 3: list relevant outcomes. The steering group should list relevant outcomes, including both the potential benefits and harms of the intervention or exposure. The guideline development group then reviews this list and may add additional outcomes considered important.</w:t>
            </w:r>
          </w:p>
          <w:p w:rsidR="007E4E43" w:rsidRPr="00100E77" w:rsidRDefault="007E4E43" w:rsidP="0000123C">
            <w:pPr>
              <w:spacing w:line="240" w:lineRule="auto"/>
              <w:rPr>
                <w:rFonts w:cs="Arial"/>
                <w:sz w:val="18"/>
                <w:szCs w:val="18"/>
              </w:rPr>
            </w:pPr>
            <w:r w:rsidRPr="00100E77">
              <w:rPr>
                <w:rFonts w:cs="Arial"/>
                <w:sz w:val="18"/>
                <w:szCs w:val="18"/>
              </w:rPr>
              <w:t xml:space="preserve">Step 4: review and revise. The list of questions and outcomes of interest should be sent by the steering group to the </w:t>
            </w:r>
            <w:r>
              <w:rPr>
                <w:rFonts w:cs="Arial"/>
                <w:sz w:val="18"/>
                <w:szCs w:val="18"/>
              </w:rPr>
              <w:t>guideline development group</w:t>
            </w:r>
            <w:r w:rsidRPr="00100E77">
              <w:rPr>
                <w:rFonts w:cs="Arial"/>
                <w:sz w:val="18"/>
                <w:szCs w:val="18"/>
              </w:rPr>
              <w:t xml:space="preserve"> and possibly to other stakeholders for review and comment. </w:t>
            </w:r>
          </w:p>
          <w:p w:rsidR="007E4E43" w:rsidRPr="00100E77" w:rsidRDefault="007E4E43" w:rsidP="0000123C">
            <w:pPr>
              <w:spacing w:line="240" w:lineRule="auto"/>
              <w:rPr>
                <w:rFonts w:cs="Arial"/>
                <w:sz w:val="18"/>
                <w:szCs w:val="18"/>
              </w:rPr>
            </w:pPr>
            <w:r w:rsidRPr="00100E77">
              <w:rPr>
                <w:rFonts w:cs="Arial"/>
                <w:sz w:val="18"/>
                <w:szCs w:val="18"/>
              </w:rPr>
              <w:t>Step 5: prioritize the key questions. The steering group, with input from the guideline development group, the systematic review team and the methodologist, finalizes the list of background and foreground questions and ranks them in order of priority. Determining which foreground questions need systematic reviews follows next.</w:t>
            </w:r>
          </w:p>
          <w:p w:rsidR="007E4E43" w:rsidRPr="00100E77" w:rsidRDefault="007E4E43" w:rsidP="0000123C">
            <w:pPr>
              <w:spacing w:line="240" w:lineRule="auto"/>
              <w:rPr>
                <w:rFonts w:cs="Arial"/>
                <w:sz w:val="18"/>
                <w:szCs w:val="18"/>
              </w:rPr>
            </w:pPr>
            <w:r w:rsidRPr="00100E77">
              <w:rPr>
                <w:rFonts w:cs="Arial"/>
                <w:sz w:val="18"/>
                <w:szCs w:val="18"/>
              </w:rPr>
              <w:t>Step 6: rate the outcomes. The guideline development group and/or other stakeholders, such as service users and others directly affected by the recommendations, then rate or rank the listed outcomes using a formal process, such as that described above.</w:t>
            </w:r>
          </w:p>
          <w:p w:rsidR="007E4E43" w:rsidRPr="00100E77" w:rsidRDefault="007E4E43" w:rsidP="0000123C">
            <w:pPr>
              <w:spacing w:line="240" w:lineRule="auto"/>
              <w:rPr>
                <w:rFonts w:cs="Arial"/>
                <w:sz w:val="18"/>
                <w:szCs w:val="18"/>
              </w:rPr>
            </w:pPr>
            <w:r w:rsidRPr="00100E77">
              <w:rPr>
                <w:rFonts w:cs="Arial"/>
                <w:sz w:val="18"/>
                <w:szCs w:val="18"/>
              </w:rPr>
              <w:t>Step 7: finalize the key questions and the important and critical outcomes. The steering group should list the high-priority key questions and the outcomes which the guideline development group will use to formulate recommendations.</w:t>
            </w:r>
          </w:p>
        </w:tc>
      </w:tr>
      <w:bookmarkEnd w:id="0"/>
    </w:tbl>
    <w:p w:rsidR="00231025" w:rsidRPr="007E4E43" w:rsidRDefault="00374D03" w:rsidP="007E4E43"/>
    <w:sectPr w:rsidR="00231025" w:rsidRPr="007E4E43" w:rsidSect="00D45411">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5411" w:rsidRDefault="00D45411" w:rsidP="00D45411">
      <w:pPr>
        <w:spacing w:after="0" w:line="240" w:lineRule="auto"/>
      </w:pPr>
      <w:r>
        <w:separator/>
      </w:r>
    </w:p>
  </w:endnote>
  <w:endnote w:type="continuationSeparator" w:id="0">
    <w:p w:rsidR="00D45411" w:rsidRDefault="00D45411" w:rsidP="00D45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MyriadPro-Regular">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3339138"/>
      <w:docPartObj>
        <w:docPartGallery w:val="Page Numbers (Bottom of Page)"/>
        <w:docPartUnique/>
      </w:docPartObj>
    </w:sdtPr>
    <w:sdtEndPr>
      <w:rPr>
        <w:noProof/>
      </w:rPr>
    </w:sdtEndPr>
    <w:sdtContent>
      <w:p w:rsidR="00D45411" w:rsidRDefault="00D45411">
        <w:pPr>
          <w:pStyle w:val="Footer"/>
          <w:jc w:val="right"/>
        </w:pPr>
        <w:r>
          <w:fldChar w:fldCharType="begin"/>
        </w:r>
        <w:r>
          <w:instrText xml:space="preserve"> PAGE   \* MERGEFORMAT </w:instrText>
        </w:r>
        <w:r>
          <w:fldChar w:fldCharType="separate"/>
        </w:r>
        <w:r w:rsidR="00374D03">
          <w:rPr>
            <w:noProof/>
          </w:rPr>
          <w:t>1</w:t>
        </w:r>
        <w:r>
          <w:rPr>
            <w:noProof/>
          </w:rPr>
          <w:fldChar w:fldCharType="end"/>
        </w:r>
      </w:p>
    </w:sdtContent>
  </w:sdt>
  <w:p w:rsidR="00D45411" w:rsidRDefault="00D454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5411" w:rsidRDefault="00D45411" w:rsidP="00D45411">
      <w:pPr>
        <w:spacing w:after="0" w:line="240" w:lineRule="auto"/>
      </w:pPr>
      <w:r>
        <w:separator/>
      </w:r>
    </w:p>
  </w:footnote>
  <w:footnote w:type="continuationSeparator" w:id="0">
    <w:p w:rsidR="00D45411" w:rsidRDefault="00D45411" w:rsidP="00D454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6058B"/>
    <w:multiLevelType w:val="multilevel"/>
    <w:tmpl w:val="AAF4C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DC2097"/>
    <w:multiLevelType w:val="hybridMultilevel"/>
    <w:tmpl w:val="CC905616"/>
    <w:lvl w:ilvl="0" w:tplc="7D384A0A">
      <w:start w:val="3"/>
      <w:numFmt w:val="bullet"/>
      <w:lvlText w:val=""/>
      <w:lvlJc w:val="left"/>
      <w:pPr>
        <w:ind w:left="720" w:hanging="360"/>
      </w:pPr>
      <w:rPr>
        <w:rFonts w:ascii="Symbol" w:eastAsiaTheme="minorEastAsia" w:hAnsi="Symbol" w:cs="MyriadPro-Regular"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3E6273DF"/>
    <w:multiLevelType w:val="hybridMultilevel"/>
    <w:tmpl w:val="EFBEE1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7C603178"/>
    <w:multiLevelType w:val="hybridMultilevel"/>
    <w:tmpl w:val="2D7A0FE0"/>
    <w:lvl w:ilvl="0" w:tplc="671028E0">
      <w:start w:val="1"/>
      <w:numFmt w:val="bullet"/>
      <w:lvlText w:val=""/>
      <w:lvlJc w:val="left"/>
      <w:pPr>
        <w:ind w:left="700" w:hanging="340"/>
      </w:pPr>
      <w:rPr>
        <w:rFonts w:ascii="Wingdings" w:hAnsi="Wingdings" w:hint="default"/>
        <w:color w:val="AA9E40"/>
      </w:rPr>
    </w:lvl>
    <w:lvl w:ilvl="1" w:tplc="B4E8AA4C">
      <w:start w:val="1"/>
      <w:numFmt w:val="bullet"/>
      <w:lvlText w:val=""/>
      <w:lvlJc w:val="left"/>
      <w:pPr>
        <w:ind w:left="1069" w:hanging="340"/>
      </w:pPr>
      <w:rPr>
        <w:rFonts w:ascii="Symbol" w:hAnsi="Symbol" w:hint="default"/>
        <w:color w:val="AA9E4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411"/>
    <w:rsid w:val="00374D03"/>
    <w:rsid w:val="005B6354"/>
    <w:rsid w:val="007E4E43"/>
    <w:rsid w:val="00D45411"/>
    <w:rsid w:val="00F3327A"/>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F181D"/>
  <w15:chartTrackingRefBased/>
  <w15:docId w15:val="{EE31987C-A8AD-47B9-9E39-C0FB5EEA9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5411"/>
    <w:pPr>
      <w:spacing w:after="120" w:line="360" w:lineRule="auto"/>
    </w:pPr>
    <w:rPr>
      <w:rFonts w:ascii="Arial" w:eastAsiaTheme="minorEastAsia" w:hAnsi="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45411"/>
    <w:pPr>
      <w:spacing w:after="160" w:line="240" w:lineRule="auto"/>
      <w:contextualSpacing/>
    </w:pPr>
    <w:rPr>
      <w:lang w:eastAsia="zh-CN"/>
    </w:rPr>
  </w:style>
  <w:style w:type="table" w:styleId="TableGrid">
    <w:name w:val="Table Grid"/>
    <w:basedOn w:val="TableNormal"/>
    <w:uiPriority w:val="39"/>
    <w:rsid w:val="00D45411"/>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45411"/>
    <w:pPr>
      <w:spacing w:line="240" w:lineRule="auto"/>
    </w:pPr>
    <w:rPr>
      <w:i/>
      <w:iCs/>
      <w:color w:val="44546A" w:themeColor="text2"/>
      <w:sz w:val="18"/>
      <w:szCs w:val="18"/>
    </w:rPr>
  </w:style>
  <w:style w:type="character" w:styleId="Emphasis">
    <w:name w:val="Emphasis"/>
    <w:basedOn w:val="DefaultParagraphFont"/>
    <w:uiPriority w:val="20"/>
    <w:qFormat/>
    <w:rsid w:val="00D45411"/>
    <w:rPr>
      <w:i/>
      <w:iCs/>
    </w:rPr>
  </w:style>
  <w:style w:type="character" w:customStyle="1" w:styleId="ListParagraphChar">
    <w:name w:val="List Paragraph Char"/>
    <w:basedOn w:val="DefaultParagraphFont"/>
    <w:link w:val="ListParagraph"/>
    <w:uiPriority w:val="34"/>
    <w:rsid w:val="00D45411"/>
    <w:rPr>
      <w:rFonts w:ascii="Arial" w:eastAsiaTheme="minorEastAsia" w:hAnsi="Arial"/>
      <w:sz w:val="20"/>
      <w:lang w:eastAsia="zh-CN"/>
    </w:rPr>
  </w:style>
  <w:style w:type="paragraph" w:customStyle="1" w:styleId="p">
    <w:name w:val="p"/>
    <w:basedOn w:val="Normal"/>
    <w:rsid w:val="00D45411"/>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Header">
    <w:name w:val="header"/>
    <w:basedOn w:val="Normal"/>
    <w:link w:val="HeaderChar"/>
    <w:uiPriority w:val="99"/>
    <w:unhideWhenUsed/>
    <w:rsid w:val="00D454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5411"/>
    <w:rPr>
      <w:rFonts w:ascii="Arial" w:eastAsiaTheme="minorEastAsia" w:hAnsi="Arial"/>
      <w:sz w:val="20"/>
    </w:rPr>
  </w:style>
  <w:style w:type="paragraph" w:styleId="Footer">
    <w:name w:val="footer"/>
    <w:basedOn w:val="Normal"/>
    <w:link w:val="FooterChar"/>
    <w:uiPriority w:val="99"/>
    <w:unhideWhenUsed/>
    <w:rsid w:val="00D454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5411"/>
    <w:rPr>
      <w:rFonts w:ascii="Arial" w:eastAsiaTheme="minorEastAsia"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pathways.nic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2943</Words>
  <Characters>16776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Monash University</Company>
  <LinksUpToDate>false</LinksUpToDate>
  <CharactersWithSpaces>19680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Chakraborty</dc:creator>
  <cp:keywords/>
  <dc:description/>
  <cp:lastModifiedBy>Vera Camoes Soares Da Costa</cp:lastModifiedBy>
  <cp:revision>2</cp:revision>
  <dcterms:created xsi:type="dcterms:W3CDTF">2020-07-16T04:17:00Z</dcterms:created>
  <dcterms:modified xsi:type="dcterms:W3CDTF">2020-07-16T04:17:00Z</dcterms:modified>
</cp:coreProperties>
</file>