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74DFD" w14:textId="10592B0B" w:rsidR="008775F4" w:rsidRPr="008775F4" w:rsidRDefault="00603F41" w:rsidP="008775F4">
      <w:pPr>
        <w:spacing w:line="360" w:lineRule="auto"/>
        <w:jc w:val="both"/>
        <w:rPr>
          <w:rFonts w:cstheme="minorHAnsi"/>
          <w:b/>
          <w:sz w:val="28"/>
        </w:rPr>
      </w:pPr>
      <w:r w:rsidRPr="00603F41">
        <w:rPr>
          <w:rFonts w:cstheme="minorHAnsi"/>
          <w:b/>
          <w:sz w:val="28"/>
        </w:rPr>
        <w:t xml:space="preserve">Additional file </w:t>
      </w:r>
      <w:bookmarkStart w:id="0" w:name="_GoBack"/>
      <w:bookmarkEnd w:id="0"/>
      <w:r w:rsidR="008775F4" w:rsidRPr="008775F4">
        <w:rPr>
          <w:rFonts w:cstheme="minorHAnsi"/>
          <w:b/>
          <w:sz w:val="28"/>
        </w:rPr>
        <w:t>1: EVITA 2.0 categories</w:t>
      </w:r>
    </w:p>
    <w:p w14:paraId="6197D985" w14:textId="77777777" w:rsidR="008775F4" w:rsidRDefault="008775F4" w:rsidP="008775F4">
      <w:pPr>
        <w:spacing w:line="360" w:lineRule="auto"/>
        <w:jc w:val="both"/>
        <w:rPr>
          <w:rFonts w:cstheme="minorHAnsi"/>
        </w:rPr>
      </w:pPr>
    </w:p>
    <w:p w14:paraId="1980B1C3" w14:textId="77777777" w:rsidR="008775F4" w:rsidRDefault="008775F4" w:rsidP="008775F4">
      <w:pPr>
        <w:spacing w:line="360" w:lineRule="auto"/>
        <w:jc w:val="both"/>
        <w:rPr>
          <w:rFonts w:cstheme="minorHAnsi"/>
        </w:rPr>
      </w:pPr>
      <w:r w:rsidRPr="00DF3D5A">
        <w:rPr>
          <w:rFonts w:cstheme="minorHAnsi"/>
        </w:rPr>
        <w:t>EVITA’s elements</w:t>
      </w:r>
      <w:r>
        <w:rPr>
          <w:rFonts w:cstheme="minorHAnsi"/>
        </w:rPr>
        <w:t xml:space="preserve"> (former components and mechanisms) are now</w:t>
      </w:r>
      <w:r w:rsidRPr="00DF3D5A">
        <w:rPr>
          <w:rFonts w:cstheme="minorHAnsi"/>
        </w:rPr>
        <w:t xml:space="preserve"> grouped in</w:t>
      </w:r>
      <w:r>
        <w:rPr>
          <w:rFonts w:cstheme="minorHAnsi"/>
        </w:rPr>
        <w:t>to</w:t>
      </w:r>
      <w:r w:rsidRPr="00DF3D5A">
        <w:rPr>
          <w:rFonts w:cstheme="minorHAnsi"/>
        </w:rPr>
        <w:t xml:space="preserve"> four </w:t>
      </w:r>
      <w:r>
        <w:rPr>
          <w:rFonts w:cstheme="minorHAnsi"/>
        </w:rPr>
        <w:t xml:space="preserve">categories. </w:t>
      </w:r>
    </w:p>
    <w:p w14:paraId="793055A3" w14:textId="77777777" w:rsidR="008775F4" w:rsidRDefault="008775F4" w:rsidP="008775F4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This table illustrates the details for a clearer understanding of EVITA 2.0.</w:t>
      </w:r>
    </w:p>
    <w:p w14:paraId="4E523936" w14:textId="77777777" w:rsidR="008775F4" w:rsidRDefault="008775F4" w:rsidP="008775F4">
      <w:pPr>
        <w:spacing w:line="360" w:lineRule="auto"/>
        <w:jc w:val="both"/>
        <w:rPr>
          <w:rFonts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0"/>
        <w:gridCol w:w="1794"/>
        <w:gridCol w:w="1636"/>
        <w:gridCol w:w="4176"/>
      </w:tblGrid>
      <w:tr w:rsidR="008775F4" w:rsidRPr="008F7BA8" w14:paraId="3FD32B8A" w14:textId="77777777" w:rsidTr="00896736">
        <w:tc>
          <w:tcPr>
            <w:tcW w:w="1410" w:type="dxa"/>
            <w:tcBorders>
              <w:bottom w:val="single" w:sz="4" w:space="0" w:color="auto"/>
            </w:tcBorders>
          </w:tcPr>
          <w:p w14:paraId="4369B524" w14:textId="77777777" w:rsidR="008775F4" w:rsidRPr="008F7BA8" w:rsidRDefault="008775F4" w:rsidP="00896736">
            <w:pPr>
              <w:spacing w:line="360" w:lineRule="auto"/>
              <w:rPr>
                <w:rFonts w:cstheme="minorHAnsi"/>
                <w:b/>
              </w:rPr>
            </w:pPr>
            <w:r w:rsidRPr="008F7BA8">
              <w:rPr>
                <w:rFonts w:cstheme="minorHAnsi"/>
                <w:b/>
              </w:rPr>
              <w:t>Category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49570ED4" w14:textId="77777777" w:rsidR="008775F4" w:rsidRPr="008F7BA8" w:rsidRDefault="008775F4" w:rsidP="00896736">
            <w:pPr>
              <w:spacing w:line="360" w:lineRule="auto"/>
              <w:rPr>
                <w:rFonts w:cstheme="minorHAnsi"/>
                <w:b/>
              </w:rPr>
            </w:pPr>
            <w:r w:rsidRPr="008F7BA8">
              <w:rPr>
                <w:rFonts w:cstheme="minorHAnsi"/>
                <w:b/>
              </w:rPr>
              <w:t>Description</w:t>
            </w:r>
          </w:p>
        </w:tc>
        <w:tc>
          <w:tcPr>
            <w:tcW w:w="1636" w:type="dxa"/>
            <w:tcBorders>
              <w:bottom w:val="single" w:sz="4" w:space="0" w:color="auto"/>
            </w:tcBorders>
          </w:tcPr>
          <w:p w14:paraId="2BE0B24F" w14:textId="77777777" w:rsidR="008775F4" w:rsidRPr="008F7BA8" w:rsidRDefault="008775F4" w:rsidP="00896736">
            <w:pPr>
              <w:spacing w:line="360" w:lineRule="auto"/>
              <w:rPr>
                <w:rFonts w:cstheme="minorHAnsi"/>
                <w:b/>
              </w:rPr>
            </w:pPr>
            <w:r w:rsidRPr="008F7BA8">
              <w:rPr>
                <w:rFonts w:cstheme="minorHAnsi"/>
                <w:b/>
              </w:rPr>
              <w:t xml:space="preserve">Element </w:t>
            </w:r>
          </w:p>
        </w:tc>
        <w:tc>
          <w:tcPr>
            <w:tcW w:w="4176" w:type="dxa"/>
            <w:tcBorders>
              <w:bottom w:val="single" w:sz="4" w:space="0" w:color="auto"/>
            </w:tcBorders>
          </w:tcPr>
          <w:p w14:paraId="66254BA0" w14:textId="77777777" w:rsidR="008775F4" w:rsidRPr="008F7BA8" w:rsidRDefault="008775F4" w:rsidP="00896736">
            <w:pPr>
              <w:spacing w:line="360" w:lineRule="auto"/>
              <w:rPr>
                <w:rFonts w:cstheme="minorHAnsi"/>
                <w:b/>
              </w:rPr>
            </w:pPr>
            <w:r w:rsidRPr="008F7BA8">
              <w:rPr>
                <w:rFonts w:cstheme="minorHAnsi"/>
                <w:b/>
              </w:rPr>
              <w:t xml:space="preserve">Key features </w:t>
            </w:r>
          </w:p>
        </w:tc>
      </w:tr>
      <w:tr w:rsidR="008775F4" w:rsidRPr="008F7BA8" w14:paraId="5399A10F" w14:textId="77777777" w:rsidTr="00896736">
        <w:tc>
          <w:tcPr>
            <w:tcW w:w="1410" w:type="dxa"/>
            <w:vMerge w:val="restart"/>
            <w:tcBorders>
              <w:top w:val="single" w:sz="4" w:space="0" w:color="auto"/>
            </w:tcBorders>
          </w:tcPr>
          <w:p w14:paraId="233A34FC" w14:textId="77777777" w:rsidR="008775F4" w:rsidRPr="008F7BA8" w:rsidRDefault="008775F4" w:rsidP="00896736">
            <w:pPr>
              <w:spacing w:line="276" w:lineRule="auto"/>
              <w:rPr>
                <w:rFonts w:cstheme="minorHAnsi"/>
                <w:b/>
              </w:rPr>
            </w:pPr>
            <w:r w:rsidRPr="008F7BA8">
              <w:rPr>
                <w:rFonts w:cstheme="minorHAnsi"/>
                <w:b/>
              </w:rPr>
              <w:t>Stakeholders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</w:tcBorders>
          </w:tcPr>
          <w:p w14:paraId="0B0F77F3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  <w:r w:rsidRPr="008F7BA8">
              <w:rPr>
                <w:rFonts w:cstheme="minorHAnsi"/>
              </w:rPr>
              <w:t xml:space="preserve">They are the actors within the research-policy </w:t>
            </w:r>
            <w:r>
              <w:rPr>
                <w:rFonts w:cstheme="minorHAnsi"/>
              </w:rPr>
              <w:t>inter-relationship</w:t>
            </w:r>
            <w:r w:rsidRPr="008F7BA8">
              <w:rPr>
                <w:rFonts w:cstheme="minorHAnsi"/>
              </w:rPr>
              <w:t>s</w:t>
            </w: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6B7954EE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  <w:r w:rsidRPr="008F7BA8">
              <w:rPr>
                <w:rFonts w:cstheme="minorHAnsi"/>
              </w:rPr>
              <w:t>Key individuals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28BC1C62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  <w:r w:rsidRPr="008F7BA8">
              <w:rPr>
                <w:rFonts w:cstheme="minorHAnsi"/>
              </w:rPr>
              <w:t>Policymakers, researchers, and other relevant people leading the efforts for mental health policy agenda-setting; they are often fluidly moving into roles of intermediaries</w:t>
            </w:r>
          </w:p>
        </w:tc>
      </w:tr>
      <w:tr w:rsidR="008775F4" w:rsidRPr="008F7BA8" w14:paraId="3B0ED411" w14:textId="77777777" w:rsidTr="00896736">
        <w:tc>
          <w:tcPr>
            <w:tcW w:w="1410" w:type="dxa"/>
            <w:vMerge/>
          </w:tcPr>
          <w:p w14:paraId="47C4A4E6" w14:textId="77777777" w:rsidR="008775F4" w:rsidRPr="008F7BA8" w:rsidRDefault="008775F4" w:rsidP="00896736">
            <w:pPr>
              <w:spacing w:line="276" w:lineRule="auto"/>
              <w:rPr>
                <w:rFonts w:cstheme="minorHAnsi"/>
                <w:b/>
              </w:rPr>
            </w:pPr>
          </w:p>
        </w:tc>
        <w:tc>
          <w:tcPr>
            <w:tcW w:w="1794" w:type="dxa"/>
            <w:vMerge/>
          </w:tcPr>
          <w:p w14:paraId="5DF6ED56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64FBD7A7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  <w:r w:rsidRPr="008F7BA8">
              <w:rPr>
                <w:rFonts w:cstheme="minorHAnsi"/>
              </w:rPr>
              <w:t>Enactors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2C8D1296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  <w:r w:rsidRPr="008F7BA8">
              <w:rPr>
                <w:rFonts w:cstheme="minorHAnsi"/>
              </w:rPr>
              <w:t>Implementers of the research, and those directly involved in the implementation, such as service users/groups, carer/family organisations, doctors, NGOs, nurses, service providers, other experts</w:t>
            </w:r>
          </w:p>
        </w:tc>
      </w:tr>
      <w:tr w:rsidR="008775F4" w:rsidRPr="008F7BA8" w14:paraId="69726783" w14:textId="77777777" w:rsidTr="00896736">
        <w:tc>
          <w:tcPr>
            <w:tcW w:w="1410" w:type="dxa"/>
            <w:vMerge/>
          </w:tcPr>
          <w:p w14:paraId="42EA6645" w14:textId="77777777" w:rsidR="008775F4" w:rsidRPr="008F7BA8" w:rsidRDefault="008775F4" w:rsidP="00896736">
            <w:pPr>
              <w:spacing w:line="276" w:lineRule="auto"/>
              <w:rPr>
                <w:rFonts w:cstheme="minorHAnsi"/>
                <w:b/>
              </w:rPr>
            </w:pPr>
          </w:p>
        </w:tc>
        <w:tc>
          <w:tcPr>
            <w:tcW w:w="1794" w:type="dxa"/>
            <w:vMerge/>
          </w:tcPr>
          <w:p w14:paraId="35623398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13620F7C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  <w:r w:rsidRPr="008F7BA8">
              <w:rPr>
                <w:rFonts w:cstheme="minorHAnsi"/>
              </w:rPr>
              <w:t>Intermediaries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33F8C38A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  <w:r w:rsidRPr="008F7BA8">
              <w:rPr>
                <w:rFonts w:cstheme="minorHAnsi"/>
              </w:rPr>
              <w:t>Individuals or organisations acting as key linkages/ knowledge brokers between research, policy and/or practice; They have high capacity and engagement, they are often fluidly moving between the spheres</w:t>
            </w:r>
          </w:p>
        </w:tc>
      </w:tr>
      <w:tr w:rsidR="008775F4" w:rsidRPr="008F7BA8" w14:paraId="7DC488DB" w14:textId="77777777" w:rsidTr="00896736">
        <w:tc>
          <w:tcPr>
            <w:tcW w:w="1410" w:type="dxa"/>
            <w:vMerge/>
            <w:tcBorders>
              <w:bottom w:val="single" w:sz="4" w:space="0" w:color="auto"/>
            </w:tcBorders>
            <w:vAlign w:val="center"/>
          </w:tcPr>
          <w:p w14:paraId="64F9F962" w14:textId="77777777" w:rsidR="008775F4" w:rsidRPr="008F7BA8" w:rsidRDefault="008775F4" w:rsidP="00896736">
            <w:pPr>
              <w:spacing w:line="276" w:lineRule="auto"/>
              <w:rPr>
                <w:rFonts w:cstheme="minorHAnsi"/>
                <w:b/>
              </w:rPr>
            </w:pPr>
          </w:p>
        </w:tc>
        <w:tc>
          <w:tcPr>
            <w:tcW w:w="1794" w:type="dxa"/>
            <w:vMerge/>
            <w:tcBorders>
              <w:bottom w:val="single" w:sz="4" w:space="0" w:color="auto"/>
            </w:tcBorders>
          </w:tcPr>
          <w:p w14:paraId="64E11AE9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2AD25595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External stakeholders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6229EF0C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 xml:space="preserve">International organisations such as the UN, WHO, Worldbank, EU; the media; donours and funders; religious leaders, faith groups; trade unions </w:t>
            </w:r>
          </w:p>
        </w:tc>
      </w:tr>
      <w:tr w:rsidR="008775F4" w:rsidRPr="008F7BA8" w14:paraId="75FAF6C2" w14:textId="77777777" w:rsidTr="00896736">
        <w:tc>
          <w:tcPr>
            <w:tcW w:w="1410" w:type="dxa"/>
            <w:vMerge w:val="restart"/>
            <w:tcBorders>
              <w:top w:val="single" w:sz="4" w:space="0" w:color="auto"/>
            </w:tcBorders>
          </w:tcPr>
          <w:p w14:paraId="77C3302B" w14:textId="77777777" w:rsidR="008775F4" w:rsidRPr="008F7BA8" w:rsidRDefault="008775F4" w:rsidP="00896736">
            <w:pPr>
              <w:spacing w:line="276" w:lineRule="auto"/>
              <w:rPr>
                <w:rFonts w:cstheme="minorHAnsi"/>
                <w:b/>
              </w:rPr>
            </w:pPr>
            <w:r w:rsidRPr="008F7BA8">
              <w:rPr>
                <w:rFonts w:cstheme="minorHAnsi"/>
                <w:b/>
              </w:rPr>
              <w:t>Influences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</w:tcBorders>
          </w:tcPr>
          <w:p w14:paraId="161BD025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Influences which occur and can usually not/ hardly be actively be directed</w:t>
            </w: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440CCBEC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External influences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39F7E437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socio-economic environment, health care context, cultural and ideological setting and beliefs; global policies, frameworks and priorities</w:t>
            </w:r>
          </w:p>
        </w:tc>
      </w:tr>
      <w:tr w:rsidR="008775F4" w:rsidRPr="008F7BA8" w14:paraId="40E4A6C2" w14:textId="77777777" w:rsidTr="00896736">
        <w:tc>
          <w:tcPr>
            <w:tcW w:w="1410" w:type="dxa"/>
            <w:vMerge/>
            <w:tcBorders>
              <w:bottom w:val="single" w:sz="4" w:space="0" w:color="auto"/>
            </w:tcBorders>
          </w:tcPr>
          <w:p w14:paraId="37D95615" w14:textId="77777777" w:rsidR="008775F4" w:rsidRPr="008F7BA8" w:rsidRDefault="008775F4" w:rsidP="00896736">
            <w:pPr>
              <w:spacing w:line="276" w:lineRule="auto"/>
              <w:rPr>
                <w:rFonts w:cstheme="minorHAnsi"/>
                <w:b/>
              </w:rPr>
            </w:pPr>
          </w:p>
        </w:tc>
        <w:tc>
          <w:tcPr>
            <w:tcW w:w="1794" w:type="dxa"/>
            <w:vMerge/>
            <w:tcBorders>
              <w:bottom w:val="single" w:sz="4" w:space="0" w:color="auto"/>
            </w:tcBorders>
          </w:tcPr>
          <w:p w14:paraId="27C822CC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43EBA44E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Catalysts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420B2704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Usually unforeseen events, changes, which trigger/increase the uptake of research on the policy agenda</w:t>
            </w:r>
          </w:p>
        </w:tc>
      </w:tr>
      <w:tr w:rsidR="008775F4" w:rsidRPr="008F7BA8" w14:paraId="6C5F1CDD" w14:textId="77777777" w:rsidTr="00896736">
        <w:tc>
          <w:tcPr>
            <w:tcW w:w="1410" w:type="dxa"/>
            <w:vMerge w:val="restart"/>
            <w:tcBorders>
              <w:top w:val="single" w:sz="4" w:space="0" w:color="auto"/>
            </w:tcBorders>
          </w:tcPr>
          <w:p w14:paraId="1EDE464E" w14:textId="77777777" w:rsidR="008775F4" w:rsidRPr="008F7BA8" w:rsidRDefault="008775F4" w:rsidP="00896736">
            <w:pPr>
              <w:spacing w:line="276" w:lineRule="auto"/>
              <w:rPr>
                <w:rFonts w:cstheme="minorHAnsi"/>
                <w:b/>
              </w:rPr>
            </w:pPr>
            <w:r w:rsidRPr="008F7BA8">
              <w:rPr>
                <w:rFonts w:cstheme="minorHAnsi"/>
                <w:b/>
              </w:rPr>
              <w:t>Capacity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</w:tcBorders>
          </w:tcPr>
          <w:p w14:paraId="503BF268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  <w:r w:rsidRPr="008F7BA8">
              <w:rPr>
                <w:rFonts w:cstheme="minorHAnsi"/>
              </w:rPr>
              <w:t>Capabilities and qualities which enable ideal conditions for research-policy agenda translation</w:t>
            </w: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26CF51FB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  <w:r w:rsidRPr="008F7BA8">
              <w:rPr>
                <w:rFonts w:cstheme="minorHAnsi"/>
              </w:rPr>
              <w:t>Experience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7A88C79F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Acquired practical and theoretical knowledge</w:t>
            </w:r>
          </w:p>
        </w:tc>
      </w:tr>
      <w:tr w:rsidR="008775F4" w:rsidRPr="008F7BA8" w14:paraId="6DC8D9F0" w14:textId="77777777" w:rsidTr="00896736">
        <w:tc>
          <w:tcPr>
            <w:tcW w:w="1410" w:type="dxa"/>
            <w:vMerge/>
          </w:tcPr>
          <w:p w14:paraId="17E33F1A" w14:textId="77777777" w:rsidR="008775F4" w:rsidRPr="008F7BA8" w:rsidRDefault="008775F4" w:rsidP="00896736">
            <w:pPr>
              <w:spacing w:line="276" w:lineRule="auto"/>
              <w:rPr>
                <w:rFonts w:cstheme="minorHAnsi"/>
                <w:b/>
              </w:rPr>
            </w:pPr>
          </w:p>
        </w:tc>
        <w:tc>
          <w:tcPr>
            <w:tcW w:w="1794" w:type="dxa"/>
            <w:vMerge/>
          </w:tcPr>
          <w:p w14:paraId="03F882D2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6FBF5281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  <w:r w:rsidRPr="008F7BA8">
              <w:rPr>
                <w:rFonts w:cstheme="minorHAnsi"/>
              </w:rPr>
              <w:t>Comprehension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19CD231D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Understanding of political- and policymaking context and implementation context; recognising key individuals (policymakers, intermediaries, enactors) and their priorities, motivations and opportunities, and of windows of opportunity</w:t>
            </w:r>
          </w:p>
        </w:tc>
      </w:tr>
      <w:tr w:rsidR="008775F4" w:rsidRPr="008F7BA8" w14:paraId="48B4AC27" w14:textId="77777777" w:rsidTr="00896736">
        <w:tc>
          <w:tcPr>
            <w:tcW w:w="1410" w:type="dxa"/>
            <w:vMerge/>
          </w:tcPr>
          <w:p w14:paraId="4D5DB430" w14:textId="77777777" w:rsidR="008775F4" w:rsidRPr="008F7BA8" w:rsidRDefault="008775F4" w:rsidP="00896736">
            <w:pPr>
              <w:spacing w:line="276" w:lineRule="auto"/>
              <w:rPr>
                <w:rFonts w:cstheme="minorHAnsi"/>
                <w:b/>
              </w:rPr>
            </w:pPr>
          </w:p>
        </w:tc>
        <w:tc>
          <w:tcPr>
            <w:tcW w:w="1794" w:type="dxa"/>
            <w:vMerge/>
          </w:tcPr>
          <w:p w14:paraId="1ED673C6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242440B5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  <w:r w:rsidRPr="008F7BA8">
              <w:rPr>
                <w:rFonts w:cstheme="minorHAnsi"/>
              </w:rPr>
              <w:t>Qualities of the researcher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1DD32810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credible, renowned in the field and policy, trustworthy and reliable</w:t>
            </w:r>
          </w:p>
        </w:tc>
      </w:tr>
      <w:tr w:rsidR="008775F4" w:rsidRPr="008F7BA8" w14:paraId="3F3F83F2" w14:textId="77777777" w:rsidTr="00896736">
        <w:tc>
          <w:tcPr>
            <w:tcW w:w="1410" w:type="dxa"/>
            <w:vMerge/>
            <w:tcBorders>
              <w:bottom w:val="single" w:sz="4" w:space="0" w:color="auto"/>
            </w:tcBorders>
          </w:tcPr>
          <w:p w14:paraId="563D32CD" w14:textId="77777777" w:rsidR="008775F4" w:rsidRPr="008F7BA8" w:rsidRDefault="008775F4" w:rsidP="00896736">
            <w:pPr>
              <w:spacing w:line="276" w:lineRule="auto"/>
              <w:rPr>
                <w:rFonts w:cstheme="minorHAnsi"/>
                <w:b/>
              </w:rPr>
            </w:pPr>
          </w:p>
        </w:tc>
        <w:tc>
          <w:tcPr>
            <w:tcW w:w="1794" w:type="dxa"/>
            <w:vMerge/>
            <w:tcBorders>
              <w:bottom w:val="single" w:sz="4" w:space="0" w:color="auto"/>
            </w:tcBorders>
          </w:tcPr>
          <w:p w14:paraId="04D2CC20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25ED9F73" w14:textId="77777777" w:rsidR="008775F4" w:rsidRPr="008F7BA8" w:rsidRDefault="008775F4" w:rsidP="00896736">
            <w:pPr>
              <w:spacing w:line="276" w:lineRule="auto"/>
              <w:rPr>
                <w:rFonts w:cstheme="minorHAnsi"/>
              </w:rPr>
            </w:pPr>
            <w:r w:rsidRPr="008F7BA8">
              <w:rPr>
                <w:rFonts w:cstheme="minorHAnsi"/>
              </w:rPr>
              <w:t>Qualities of the evidence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280ABE9E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clear, understandable, accessible, good quality, rigorous, up to date, timely and relevant</w:t>
            </w:r>
          </w:p>
        </w:tc>
      </w:tr>
      <w:tr w:rsidR="008775F4" w:rsidRPr="008F7BA8" w14:paraId="054A9261" w14:textId="77777777" w:rsidTr="00896736">
        <w:trPr>
          <w:trHeight w:val="494"/>
        </w:trPr>
        <w:tc>
          <w:tcPr>
            <w:tcW w:w="1410" w:type="dxa"/>
            <w:vMerge w:val="restart"/>
            <w:tcBorders>
              <w:top w:val="single" w:sz="4" w:space="0" w:color="auto"/>
            </w:tcBorders>
          </w:tcPr>
          <w:p w14:paraId="02B5BEDF" w14:textId="77777777" w:rsidR="008775F4" w:rsidRPr="008F7BA8" w:rsidRDefault="008775F4" w:rsidP="00896736">
            <w:pPr>
              <w:spacing w:line="276" w:lineRule="auto"/>
              <w:rPr>
                <w:rFonts w:cstheme="minorHAnsi"/>
                <w:b/>
              </w:rPr>
            </w:pPr>
            <w:r w:rsidRPr="008F7BA8">
              <w:rPr>
                <w:rFonts w:cstheme="minorHAnsi"/>
                <w:b/>
              </w:rPr>
              <w:t>Mechanisms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</w:tcBorders>
          </w:tcPr>
          <w:p w14:paraId="11683054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Mechanisms with which research translation and uptake on the policy agenda can be actively be stimulated</w:t>
            </w: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6512CCA6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 xml:space="preserve">Alignment 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1D41EDC0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Identifying current (health) policy(makers’) priorities and aligning mental health research to these</w:t>
            </w:r>
          </w:p>
        </w:tc>
      </w:tr>
      <w:tr w:rsidR="008775F4" w:rsidRPr="008F7BA8" w14:paraId="35007297" w14:textId="77777777" w:rsidTr="00896736">
        <w:tc>
          <w:tcPr>
            <w:tcW w:w="1410" w:type="dxa"/>
            <w:vMerge/>
          </w:tcPr>
          <w:p w14:paraId="18DE4C7C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1794" w:type="dxa"/>
            <w:vMerge/>
          </w:tcPr>
          <w:p w14:paraId="23290232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77460723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Advocacy coalitions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548CB4C9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Coalitions based on co-production, with a joint unified ask to the policy agenda</w:t>
            </w:r>
          </w:p>
        </w:tc>
      </w:tr>
      <w:tr w:rsidR="008775F4" w:rsidRPr="008F7BA8" w14:paraId="1E89B170" w14:textId="77777777" w:rsidTr="00896736">
        <w:tc>
          <w:tcPr>
            <w:tcW w:w="1410" w:type="dxa"/>
            <w:vMerge/>
          </w:tcPr>
          <w:p w14:paraId="6D38D016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1794" w:type="dxa"/>
            <w:vMerge/>
          </w:tcPr>
          <w:p w14:paraId="3793D5E7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3D81C6C6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 xml:space="preserve">Capacity building  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36B37B30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Training to increase knowledge, qualities and mutual understanding of context, research, policy and practice</w:t>
            </w:r>
          </w:p>
        </w:tc>
      </w:tr>
      <w:tr w:rsidR="008775F4" w:rsidRPr="008F7BA8" w14:paraId="0BC8B5C7" w14:textId="77777777" w:rsidTr="00896736">
        <w:tc>
          <w:tcPr>
            <w:tcW w:w="1410" w:type="dxa"/>
            <w:vMerge/>
          </w:tcPr>
          <w:p w14:paraId="2368D6BA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1794" w:type="dxa"/>
            <w:vMerge/>
          </w:tcPr>
          <w:p w14:paraId="08026A87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5FBD5F0F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Behavioural incentives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7EF4AE1E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A set of (non-coercive) tools to influence behaviour, which may have the potential to improve research uptake on the policy agenda</w:t>
            </w:r>
          </w:p>
        </w:tc>
      </w:tr>
      <w:tr w:rsidR="008775F4" w:rsidRPr="008F7BA8" w14:paraId="686F103B" w14:textId="77777777" w:rsidTr="00896736">
        <w:tc>
          <w:tcPr>
            <w:tcW w:w="1410" w:type="dxa"/>
            <w:vMerge/>
          </w:tcPr>
          <w:p w14:paraId="2DF256F4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1794" w:type="dxa"/>
            <w:vMerge/>
          </w:tcPr>
          <w:p w14:paraId="44FEA94E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78B1E6EE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Framing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5BF5313E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Adaptation of research to the specific context, time, stakeholders, relevance, health and other policy priorities</w:t>
            </w:r>
          </w:p>
        </w:tc>
      </w:tr>
      <w:tr w:rsidR="008775F4" w:rsidRPr="008F7BA8" w14:paraId="341B618F" w14:textId="77777777" w:rsidTr="00896736">
        <w:tc>
          <w:tcPr>
            <w:tcW w:w="1410" w:type="dxa"/>
            <w:vMerge/>
            <w:tcBorders>
              <w:bottom w:val="single" w:sz="4" w:space="0" w:color="auto"/>
            </w:tcBorders>
          </w:tcPr>
          <w:p w14:paraId="07CE992E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1794" w:type="dxa"/>
            <w:vMerge/>
            <w:tcBorders>
              <w:bottom w:val="single" w:sz="4" w:space="0" w:color="auto"/>
            </w:tcBorders>
          </w:tcPr>
          <w:p w14:paraId="1BD722D9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</w:tcPr>
          <w:p w14:paraId="2760ADF5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>Engagement &amp; relationships</w:t>
            </w:r>
          </w:p>
        </w:tc>
        <w:tc>
          <w:tcPr>
            <w:tcW w:w="4176" w:type="dxa"/>
            <w:tcBorders>
              <w:top w:val="single" w:sz="4" w:space="0" w:color="auto"/>
              <w:bottom w:val="single" w:sz="4" w:space="0" w:color="auto"/>
            </w:tcBorders>
          </w:tcPr>
          <w:p w14:paraId="42FE62A6" w14:textId="77777777" w:rsidR="008775F4" w:rsidRPr="008F7BA8" w:rsidRDefault="008775F4" w:rsidP="00896736">
            <w:pPr>
              <w:spacing w:line="276" w:lineRule="auto"/>
              <w:jc w:val="both"/>
              <w:rPr>
                <w:rFonts w:cstheme="minorHAnsi"/>
              </w:rPr>
            </w:pPr>
            <w:r w:rsidRPr="008F7BA8">
              <w:rPr>
                <w:rFonts w:cstheme="minorHAnsi"/>
              </w:rPr>
              <w:t xml:space="preserve">Engagement includes general engagement, communication, relationship and partnership building, collaborations </w:t>
            </w:r>
          </w:p>
        </w:tc>
      </w:tr>
    </w:tbl>
    <w:p w14:paraId="197A69F7" w14:textId="77777777" w:rsidR="008775F4" w:rsidRDefault="008775F4" w:rsidP="008775F4">
      <w:pPr>
        <w:spacing w:line="360" w:lineRule="auto"/>
        <w:jc w:val="both"/>
        <w:rPr>
          <w:rFonts w:cstheme="minorHAnsi"/>
        </w:rPr>
      </w:pPr>
    </w:p>
    <w:p w14:paraId="083FF95B" w14:textId="77777777" w:rsidR="008775F4" w:rsidRDefault="008775F4" w:rsidP="008775F4">
      <w:pPr>
        <w:spacing w:line="360" w:lineRule="auto"/>
        <w:jc w:val="both"/>
        <w:rPr>
          <w:rFonts w:cstheme="minorHAnsi"/>
        </w:rPr>
      </w:pPr>
    </w:p>
    <w:p w14:paraId="194DDC9F" w14:textId="77777777" w:rsidR="006E5989" w:rsidRDefault="00603F41"/>
    <w:sectPr w:rsidR="006E59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5F4"/>
    <w:rsid w:val="005B69BA"/>
    <w:rsid w:val="005F12D2"/>
    <w:rsid w:val="00603F41"/>
    <w:rsid w:val="008775F4"/>
    <w:rsid w:val="00A526A6"/>
    <w:rsid w:val="00C70896"/>
    <w:rsid w:val="00C75A11"/>
    <w:rsid w:val="00D34069"/>
    <w:rsid w:val="00F6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ACF82"/>
  <w15:chartTrackingRefBased/>
  <w15:docId w15:val="{03666DAE-2880-4586-924D-884C43B2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5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8775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5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5F4"/>
    <w:rPr>
      <w:sz w:val="20"/>
      <w:szCs w:val="20"/>
    </w:rPr>
  </w:style>
  <w:style w:type="table" w:styleId="TableGrid">
    <w:name w:val="Table Grid"/>
    <w:basedOn w:val="TableNormal"/>
    <w:uiPriority w:val="39"/>
    <w:rsid w:val="00877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7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Votruba, Nicole</cp:lastModifiedBy>
  <cp:revision>3</cp:revision>
  <dcterms:created xsi:type="dcterms:W3CDTF">2020-06-09T15:38:00Z</dcterms:created>
  <dcterms:modified xsi:type="dcterms:W3CDTF">2020-12-23T17:40:00Z</dcterms:modified>
</cp:coreProperties>
</file>