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Ex2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Ex3.xml" ContentType="application/vnd.ms-office.chartex+xml"/>
  <Override PartName="/word/charts/style3.xml" ContentType="application/vnd.ms-office.chartstyle+xml"/>
  <Override PartName="/word/charts/colors3.xml" ContentType="application/vnd.ms-office.chartcolorstyle+xml"/>
  <Override PartName="/word/charts/chartEx4.xml" ContentType="application/vnd.ms-office.chartex+xml"/>
  <Override PartName="/word/charts/style4.xml" ContentType="application/vnd.ms-office.chartstyle+xml"/>
  <Override PartName="/word/charts/colors4.xml" ContentType="application/vnd.ms-office.chartcolorstyle+xml"/>
  <Override PartName="/word/charts/chartEx5.xml" ContentType="application/vnd.ms-office.chartex+xml"/>
  <Override PartName="/word/charts/style5.xml" ContentType="application/vnd.ms-office.chartstyle+xml"/>
  <Override PartName="/word/charts/colors5.xml" ContentType="application/vnd.ms-office.chartcolorstyle+xml"/>
  <Override PartName="/word/charts/chartEx6.xml" ContentType="application/vnd.ms-office.chartex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32722" w:rsidRDefault="00B46D3D">
      <w:r>
        <w:rPr>
          <w:noProof/>
        </w:rPr>
        <mc:AlternateContent>
          <mc:Choice Requires="cx1">
            <w:drawing>
              <wp:inline distT="0" distB="0" distL="0" distR="0" wp14:anchorId="5EA24E85" wp14:editId="7DFD3FF6">
                <wp:extent cx="9144000" cy="5207000"/>
                <wp:effectExtent l="0" t="0" r="0" b="12700"/>
                <wp:docPr id="1" name="Chart 1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4"/>
                  </a:graphicData>
                </a:graphic>
              </wp:inline>
            </w:drawing>
          </mc:Choice>
          <mc:Fallback>
            <w:drawing>
              <wp:inline distT="0" distB="0" distL="0" distR="0" wp14:anchorId="5EA24E85" wp14:editId="7DFD3FF6">
                <wp:extent cx="9144000" cy="5207000"/>
                <wp:effectExtent l="0" t="0" r="0" b="12700"/>
                <wp:docPr id="1" name="Chart 1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hart 1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0" cy="5207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B46D3D" w:rsidRDefault="00B46D3D"/>
    <w:p w:rsidR="00B46D3D" w:rsidRDefault="00B46D3D"/>
    <w:p w:rsidR="00B46D3D" w:rsidRDefault="00B46D3D"/>
    <w:p w:rsidR="00B46D3D" w:rsidRDefault="00B46D3D"/>
    <w:p w:rsidR="00B46D3D" w:rsidRDefault="00B46D3D"/>
    <w:p w:rsidR="00B46D3D" w:rsidRDefault="00B46D3D">
      <w:r>
        <w:rPr>
          <w:noProof/>
        </w:rPr>
        <w:lastRenderedPageBreak/>
        <mc:AlternateContent>
          <mc:Choice Requires="cx1">
            <w:drawing>
              <wp:inline distT="0" distB="0" distL="0" distR="0" wp14:anchorId="705F4893" wp14:editId="72471CDA">
                <wp:extent cx="9120188" cy="5114926"/>
                <wp:effectExtent l="0" t="0" r="5080" b="9525"/>
                <wp:docPr id="2" name="Chart 2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6"/>
                  </a:graphicData>
                </a:graphic>
              </wp:inline>
            </w:drawing>
          </mc:Choice>
          <mc:Fallback>
            <w:drawing>
              <wp:inline distT="0" distB="0" distL="0" distR="0" wp14:anchorId="705F4893" wp14:editId="72471CDA">
                <wp:extent cx="9120188" cy="5114926"/>
                <wp:effectExtent l="0" t="0" r="5080" b="9525"/>
                <wp:docPr id="2" name="Chart 2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hart 2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9870" cy="5114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B46D3D" w:rsidRDefault="00B46D3D"/>
    <w:p w:rsidR="00B46D3D" w:rsidRDefault="00B46D3D"/>
    <w:p w:rsidR="00B46D3D" w:rsidRDefault="00B46D3D"/>
    <w:p w:rsidR="00B46D3D" w:rsidRDefault="00B46D3D"/>
    <w:p w:rsidR="00B46D3D" w:rsidRDefault="00B46D3D"/>
    <w:p w:rsidR="00B46D3D" w:rsidRDefault="00B46D3D"/>
    <w:p w:rsidR="00B46D3D" w:rsidRDefault="00B46D3D">
      <w:r>
        <w:rPr>
          <w:noProof/>
        </w:rPr>
        <w:lastRenderedPageBreak/>
        <mc:AlternateContent>
          <mc:Choice Requires="cx1">
            <w:drawing>
              <wp:inline distT="0" distB="0" distL="0" distR="0" wp14:anchorId="10CE4FE6" wp14:editId="55DBDB1B">
                <wp:extent cx="9124950" cy="5124450"/>
                <wp:effectExtent l="0" t="0" r="0" b="0"/>
                <wp:docPr id="3" name="Chart 3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10CE4FE6" wp14:editId="55DBDB1B">
                <wp:extent cx="9124950" cy="5124450"/>
                <wp:effectExtent l="0" t="0" r="0" b="0"/>
                <wp:docPr id="3" name="Chart 3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hart 3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24950" cy="512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BB6D69" w:rsidRDefault="00BB6D69"/>
    <w:p w:rsidR="00BB6D69" w:rsidRDefault="00BB6D69"/>
    <w:p w:rsidR="00BB6D69" w:rsidRDefault="00BB6D69"/>
    <w:p w:rsidR="00BB6D69" w:rsidRDefault="00BB6D69"/>
    <w:p w:rsidR="00BB6D69" w:rsidRDefault="00BB6D69"/>
    <w:p w:rsidR="00BB6D69" w:rsidRDefault="00BB6D69"/>
    <w:p w:rsidR="00BB6D69" w:rsidRDefault="00BB6D69">
      <w:r>
        <w:rPr>
          <w:noProof/>
        </w:rPr>
        <w:lastRenderedPageBreak/>
        <mc:AlternateContent>
          <mc:Choice Requires="cx1">
            <w:drawing>
              <wp:inline distT="0" distB="0" distL="0" distR="0" wp14:anchorId="682F1C3A" wp14:editId="725ACBF6">
                <wp:extent cx="9124950" cy="5124450"/>
                <wp:effectExtent l="0" t="0" r="0" b="0"/>
                <wp:docPr id="4" name="Chart 4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0"/>
                  </a:graphicData>
                </a:graphic>
              </wp:inline>
            </w:drawing>
          </mc:Choice>
          <mc:Fallback>
            <w:drawing>
              <wp:inline distT="0" distB="0" distL="0" distR="0" wp14:anchorId="682F1C3A" wp14:editId="725ACBF6">
                <wp:extent cx="9124950" cy="5124450"/>
                <wp:effectExtent l="0" t="0" r="0" b="0"/>
                <wp:docPr id="4" name="Chart 4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hart 4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24950" cy="512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BB6D69" w:rsidRDefault="00BB6D69"/>
    <w:p w:rsidR="00BB6D69" w:rsidRDefault="00BB6D69"/>
    <w:p w:rsidR="00BB6D69" w:rsidRDefault="00BB6D69"/>
    <w:p w:rsidR="00BB6D69" w:rsidRDefault="00BB6D69"/>
    <w:p w:rsidR="00BB6D69" w:rsidRDefault="00BB6D69"/>
    <w:p w:rsidR="00BB6D69" w:rsidRDefault="00BB6D69"/>
    <w:p w:rsidR="00BB6D69" w:rsidRDefault="00BB6D69">
      <w:r>
        <w:rPr>
          <w:noProof/>
        </w:rPr>
        <w:lastRenderedPageBreak/>
        <mc:AlternateContent>
          <mc:Choice Requires="cx1">
            <w:drawing>
              <wp:inline distT="0" distB="0" distL="0" distR="0" wp14:anchorId="5A6E327F" wp14:editId="509427A0">
                <wp:extent cx="9124950" cy="5124450"/>
                <wp:effectExtent l="0" t="0" r="0" b="0"/>
                <wp:docPr id="5" name="Chart 5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2"/>
                  </a:graphicData>
                </a:graphic>
              </wp:inline>
            </w:drawing>
          </mc:Choice>
          <mc:Fallback>
            <w:drawing>
              <wp:inline distT="0" distB="0" distL="0" distR="0" wp14:anchorId="5A6E327F" wp14:editId="509427A0">
                <wp:extent cx="9124950" cy="5124450"/>
                <wp:effectExtent l="0" t="0" r="0" b="0"/>
                <wp:docPr id="5" name="Chart 5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hart 5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24950" cy="512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BB6D69" w:rsidRDefault="00BB6D69"/>
    <w:p w:rsidR="00BB6D69" w:rsidRDefault="00BB6D69"/>
    <w:p w:rsidR="00BB6D69" w:rsidRDefault="00BB6D69"/>
    <w:p w:rsidR="00BB6D69" w:rsidRDefault="00BB6D69"/>
    <w:p w:rsidR="00BB6D69" w:rsidRDefault="00BB6D69"/>
    <w:p w:rsidR="00BB6D69" w:rsidRDefault="00BB6D69"/>
    <w:p w:rsidR="00BB6D69" w:rsidRDefault="00BB6D69">
      <w:r>
        <w:rPr>
          <w:noProof/>
        </w:rPr>
        <w:lastRenderedPageBreak/>
        <mc:AlternateContent>
          <mc:Choice Requires="cx1">
            <w:drawing>
              <wp:inline distT="0" distB="0" distL="0" distR="0" wp14:anchorId="741A1AF5" wp14:editId="288913EE">
                <wp:extent cx="9124950" cy="5124450"/>
                <wp:effectExtent l="0" t="0" r="0" b="0"/>
                <wp:docPr id="6" name="Chart 6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4"/>
                  </a:graphicData>
                </a:graphic>
              </wp:inline>
            </w:drawing>
          </mc:Choice>
          <mc:Fallback>
            <w:drawing>
              <wp:inline distT="0" distB="0" distL="0" distR="0" wp14:anchorId="741A1AF5" wp14:editId="288913EE">
                <wp:extent cx="9124950" cy="5124450"/>
                <wp:effectExtent l="0" t="0" r="0" b="0"/>
                <wp:docPr id="6" name="Chart 6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hart 6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24950" cy="512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sectPr w:rsidR="00BB6D69" w:rsidSect="00B46D3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3D"/>
    <w:rsid w:val="0003512D"/>
    <w:rsid w:val="00432722"/>
    <w:rsid w:val="00B46D3D"/>
    <w:rsid w:val="00BB6D69"/>
    <w:rsid w:val="00CB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478F7C-9CFB-4920-9103-0D309A33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4/relationships/chartEx" Target="charts/chartEx3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14/relationships/chartEx" Target="charts/chartEx5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14/relationships/chartEx" Target="charts/chartEx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microsoft.com/office/2014/relationships/chartEx" Target="charts/chartEx4.xml"/><Relationship Id="rId4" Type="http://schemas.microsoft.com/office/2014/relationships/chartEx" Target="charts/chartEx1.xml"/><Relationship Id="rId9" Type="http://schemas.openxmlformats.org/officeDocument/2006/relationships/image" Target="media/image3.png"/><Relationship Id="rId14" Type="http://schemas.microsoft.com/office/2014/relationships/chartEx" Target="charts/chartEx6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etsaia\Dropbox\WashU%20Postdoc\Mis-Implementation%20Project\Collab%20Paper\v3%20Table%20of%20all%20instutitions%20by%20program%20area.xlsx" TargetMode="External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etsaia\Dropbox\WashU%20Postdoc\Mis-Implementation%20Project\Collab%20Paper\v3%20Table%20of%20all%20instutitions%20by%20program%20area.xlsx" TargetMode="External"/></Relationships>
</file>

<file path=word/charts/_rels/chartEx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Users\etsaia\Dropbox\WashU%20Postdoc\Mis-Implementation%20Project\Collab%20Paper\v3%20Table%20of%20all%20instutitions%20by%20program%20area.xlsx" TargetMode="External"/></Relationships>
</file>

<file path=word/charts/_rels/chartEx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etsaia\Dropbox\WashU%20Postdoc\Mis-Implementation%20Project\Collab%20Paper\v4%20Table%20of%20all%20instutitions%20by%20program%20area.xlsx" TargetMode="External"/></Relationships>
</file>

<file path=word/charts/_rels/chartEx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file:///C:\Users\etsaia\Dropbox\WashU%20Postdoc\Mis-Implementation%20Project\Collab%20Paper\v4%20Table%20of%20all%20instutitions%20by%20program%20area.xlsx" TargetMode="External"/></Relationships>
</file>

<file path=word/charts/_rels/chartEx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oleObject" Target="file:///C:\Users\etsaia\Dropbox\WashU%20Postdoc\Mis-Implementation%20Project\Collab%20Paper\v4%20Table%20of%20all%20instutitions%20by%20program%20area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Sheet2!$A$2:$A$27</cx:f>
        <cx:lvl ptCount="26">
          <cx:pt idx="0">LHD</cx:pt>
          <cx:pt idx="1">O/ SHD</cx:pt>
          <cx:pt idx="2">FQHC</cx:pt>
          <cx:pt idx="3">Hospital</cx:pt>
          <cx:pt idx="4">University</cx:pt>
          <cx:pt idx="5">Indian HS</cx:pt>
          <cx:pt idx="6">Tribal HO</cx:pt>
          <cx:pt idx="7">Medicaid</cx:pt>
          <cx:pt idx="8">SMA</cx:pt>
          <cx:pt idx="9">Health NP</cx:pt>
          <cx:pt idx="10">H/ Insurance</cx:pt>
          <cx:pt idx="11">Mental HS</cx:pt>
          <cx:pt idx="12">Foundations</cx:pt>
          <cx:pt idx="13">NonHealth Uni</cx:pt>
          <cx:pt idx="14">Schools</cx:pt>
          <cx:pt idx="15">Media</cx:pt>
          <cx:pt idx="16">Comm Dev</cx:pt>
          <cx:pt idx="17">Social Serv</cx:pt>
          <cx:pt idx="18">Business</cx:pt>
          <cx:pt idx="19">Parks &amp; Rec</cx:pt>
          <cx:pt idx="20">Housing</cx:pt>
          <cx:pt idx="21">Plan &amp; Transpo</cx:pt>
          <cx:pt idx="22">Justice</cx:pt>
          <cx:pt idx="23">Counc/Commi</cx:pt>
          <cx:pt idx="24">Tribal Agenc</cx:pt>
          <cx:pt idx="25">State Agenc</cx:pt>
        </cx:lvl>
      </cx:strDim>
      <cx:numDim type="val">
        <cx:f>Sheet2!$B$2:$B$27</cx:f>
        <cx:lvl ptCount="26" formatCode="General">
          <cx:pt idx="0">34</cx:pt>
          <cx:pt idx="1">23</cx:pt>
          <cx:pt idx="2">37</cx:pt>
          <cx:pt idx="3">37</cx:pt>
          <cx:pt idx="4">33</cx:pt>
          <cx:pt idx="5">19</cx:pt>
          <cx:pt idx="6">19</cx:pt>
          <cx:pt idx="7">30</cx:pt>
          <cx:pt idx="8">25</cx:pt>
          <cx:pt idx="9">38</cx:pt>
          <cx:pt idx="10">27</cx:pt>
          <cx:pt idx="11">14</cx:pt>
          <cx:pt idx="12">19</cx:pt>
          <cx:pt idx="13">8</cx:pt>
          <cx:pt idx="14">18</cx:pt>
          <cx:pt idx="15">25</cx:pt>
          <cx:pt idx="16">21</cx:pt>
          <cx:pt idx="17">18</cx:pt>
          <cx:pt idx="18">19</cx:pt>
          <cx:pt idx="19">19</cx:pt>
          <cx:pt idx="20">14</cx:pt>
          <cx:pt idx="21">10</cx:pt>
          <cx:pt idx="22">1</cx:pt>
          <cx:pt idx="23">10</cx:pt>
          <cx:pt idx="24">18</cx:pt>
          <cx:pt idx="25">20</cx:pt>
        </cx:lvl>
      </cx:numDim>
    </cx:data>
  </cx:chartData>
  <cx:chart>
    <cx:title pos="t" align="ctr" overlay="0">
      <cx:tx>
        <cx:rich>
          <a:bodyPr rot="0" spcFirstLastPara="1" vertOverflow="ellipsis" vert="horz" wrap="square" lIns="38100" tIns="19050" rIns="38100" bIns="19050" anchor="ctr" anchorCtr="1" compatLnSpc="0"/>
          <a:lstStyle/>
          <a:p>
            <a:pPr algn="ctr" rtl="0"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kumimoji="0" lang="en-US" sz="1400" b="0" i="0" u="none" strike="noStrike" kern="1200" cap="none" spc="0" normalizeH="0" baseline="0" noProof="0">
                <a:ln>
                  <a:noFill/>
                </a:ln>
                <a:solidFill>
                  <a:sysClr val="windowText" lastClr="000000">
                    <a:lumMod val="65000"/>
                    <a:lumOff val="35000"/>
                  </a:sysClr>
                </a:solidFill>
                <a:effectLst/>
                <a:uLnTx/>
                <a:uFillTx/>
                <a:latin typeface="Calibri" panose="020F0502020204030204"/>
              </a:rPr>
              <a:t>Collaborations in Cancer Program Area</a:t>
            </a:r>
          </a:p>
        </cx:rich>
      </cx:tx>
    </cx:title>
    <cx:plotArea>
      <cx:plotAreaRegion>
        <cx:series layoutId="clusteredColumn" uniqueId="{7C61B275-AAD2-4641-8177-B16E42D8AE50}">
          <cx:tx>
            <cx:txData>
              <cx:f>Sheet2!$B$1</cx:f>
              <cx:v>Cancer</cx:v>
            </cx:txData>
          </cx:tx>
          <cx:spPr>
            <a:solidFill>
              <a:schemeClr val="accent6"/>
            </a:solidFill>
          </cx:spPr>
          <cx:dataPt idx="6">
            <cx:spPr>
              <a:solidFill>
                <a:schemeClr val="accent6"/>
              </a:solidFill>
            </cx:spPr>
          </cx:dataPt>
          <cx:dataPt idx="8">
            <cx:spPr>
              <a:solidFill>
                <a:schemeClr val="accent1"/>
              </a:solidFill>
            </cx:spPr>
          </cx:dataPt>
          <cx:dataPt idx="9">
            <cx:spPr>
              <a:solidFill>
                <a:schemeClr val="accent6"/>
              </a:solidFill>
            </cx:spPr>
          </cx:dataPt>
          <cx:dataPt idx="10">
            <cx:spPr>
              <a:solidFill>
                <a:schemeClr val="accent1"/>
              </a:solidFill>
            </cx:spPr>
          </cx:dataPt>
          <cx:dataPt idx="11">
            <cx:spPr>
              <a:solidFill>
                <a:schemeClr val="accent1"/>
              </a:solidFill>
            </cx:spPr>
          </cx:dataPt>
          <cx:dataPt idx="13">
            <cx:spPr>
              <a:solidFill>
                <a:schemeClr val="accent6"/>
              </a:solidFill>
            </cx:spPr>
          </cx:dataPt>
          <cx:dataPt idx="15">
            <cx:spPr>
              <a:solidFill>
                <a:schemeClr val="accent1"/>
              </a:solidFill>
            </cx:spPr>
          </cx:dataPt>
          <cx:dataPt idx="16">
            <cx:spPr>
              <a:solidFill>
                <a:schemeClr val="accent1"/>
              </a:solidFill>
            </cx:spPr>
          </cx:dataPt>
          <cx:dataPt idx="17">
            <cx:spPr>
              <a:solidFill>
                <a:schemeClr val="accent1"/>
              </a:solidFill>
            </cx:spPr>
          </cx:dataPt>
          <cx:dataPt idx="18">
            <cx:spPr>
              <a:solidFill>
                <a:schemeClr val="accent1"/>
              </a:solidFill>
            </cx:spPr>
          </cx:dataPt>
          <cx:dataPt idx="19">
            <cx:spPr>
              <a:solidFill>
                <a:schemeClr val="accent1"/>
              </a:solidFill>
            </cx:spPr>
          </cx:dataPt>
          <cx:dataPt idx="20">
            <cx:spPr>
              <a:solidFill>
                <a:schemeClr val="accent6"/>
              </a:solidFill>
            </cx:spPr>
          </cx:dataPt>
          <cx:dataPt idx="21">
            <cx:spPr>
              <a:solidFill>
                <a:schemeClr val="accent1"/>
              </a:solidFill>
            </cx:spPr>
          </cx:dataPt>
          <cx:dataPt idx="22">
            <cx:spPr>
              <a:solidFill>
                <a:schemeClr val="accent1"/>
              </a:solidFill>
            </cx:spPr>
          </cx:dataPt>
          <cx:dataPt idx="23">
            <cx:spPr>
              <a:solidFill>
                <a:schemeClr val="accent1"/>
              </a:solidFill>
            </cx:spPr>
          </cx:dataPt>
          <cx:dataPt idx="24">
            <cx:spPr>
              <a:solidFill>
                <a:schemeClr val="accent1"/>
              </a:solidFill>
            </cx:spPr>
          </cx:dataPt>
          <cx:dataPt idx="25">
            <cx:spPr>
              <a:solidFill>
                <a:schemeClr val="accent1"/>
              </a:solidFill>
            </cx:spPr>
          </cx:dataPt>
          <cx:dataLabels>
            <cx:visibility seriesName="0" categoryName="0" value="1"/>
          </cx:dataLabels>
          <cx:dataId val="0"/>
          <cx:layoutPr>
            <cx:aggregation/>
          </cx:layoutPr>
          <cx:axisId val="1"/>
        </cx:series>
        <cx:series layoutId="paretoLine" ownerIdx="0" uniqueId="{7478FFFC-83E0-48AF-9377-7D6A8A965615}">
          <cx:spPr>
            <a:ln>
              <a:noFill/>
            </a:ln>
          </cx:spPr>
          <cx:axisId val="2"/>
        </cx:series>
      </cx:plotAreaRegion>
      <cx:axis id="0">
        <cx:catScaling gapWidth="0"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marL="0" marR="0" lvl="0" indent="0" algn="ctr" defTabSz="91440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/>
                </a:pPr>
                <a:r>
                  <a:rPr lang="en-US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effectLst/>
                    <a:latin typeface="Calibri" panose="020F0502020204030204"/>
                  </a:rPr>
                  <a:t>Type of Institution (green=health sector + blue=non-health sector)</a:t>
                </a:r>
                <a:endParaRPr lang="en-US">
                  <a:effectLst/>
                </a:endParaRPr>
              </a:p>
              <a:p>
                <a:pPr marL="0" marR="0" lvl="0" indent="0" algn="ctr" defTabSz="91440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/>
                </a:pPr>
                <a:endParaRPr lang="en-US"/>
              </a:p>
            </cx:rich>
          </cx:tx>
        </cx:title>
        <cx:tickLabels/>
      </cx:axis>
      <cx:axis id="1">
        <cx:valScaling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algn="ctr">
                  <a:defRPr/>
                </a:pPr>
                <a:r>
                  <a:rPr lang="en-US"/>
                  <a:t>Number of Collaborations (out of 39)</a:t>
                </a:r>
              </a:p>
            </cx:rich>
          </cx:tx>
        </cx:title>
        <cx:majorGridlines/>
        <cx:tickLabels/>
        <cx:txPr>
          <a:bodyPr spcFirstLastPara="1" vertOverflow="ellipsis" wrap="square" lIns="0" tIns="0" rIns="0" bIns="0" anchor="ctr" anchorCtr="1"/>
          <a:lstStyle/>
          <a:p>
            <a:pPr>
              <a:defRPr/>
            </a:pPr>
            <a:endParaRPr lang="en-US"/>
          </a:p>
        </cx:txPr>
      </cx:axis>
      <cx:axis id="2" hidden="1">
        <cx:valScaling max="1" min="0"/>
        <cx:units unit="percentage"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Sheet3!$A$2:$A$27</cx:f>
        <cx:lvl ptCount="26">
          <cx:pt idx="0">LHD</cx:pt>
          <cx:pt idx="1">O/ SHD</cx:pt>
          <cx:pt idx="2">FQHC</cx:pt>
          <cx:pt idx="3">Hospital</cx:pt>
          <cx:pt idx="4">University</cx:pt>
          <cx:pt idx="5">Indian HS</cx:pt>
          <cx:pt idx="6">Tribal HO</cx:pt>
          <cx:pt idx="7">Medicaid</cx:pt>
          <cx:pt idx="8">SMA</cx:pt>
          <cx:pt idx="9">Health NP</cx:pt>
          <cx:pt idx="10">H/ Insurance</cx:pt>
          <cx:pt idx="11">Mental HS</cx:pt>
          <cx:pt idx="12">Foundations</cx:pt>
          <cx:pt idx="13">NonHealth Uni</cx:pt>
          <cx:pt idx="14">Schools</cx:pt>
          <cx:pt idx="15">Media</cx:pt>
          <cx:pt idx="16">Comm Dev</cx:pt>
          <cx:pt idx="17">Social Serv</cx:pt>
          <cx:pt idx="18">Business</cx:pt>
          <cx:pt idx="19">Parks &amp; Rec</cx:pt>
          <cx:pt idx="20">Housing</cx:pt>
          <cx:pt idx="21">Plan &amp; Transpo</cx:pt>
          <cx:pt idx="22">Justice</cx:pt>
          <cx:pt idx="23">Counc/Commi</cx:pt>
          <cx:pt idx="24">Tribal Agenc</cx:pt>
          <cx:pt idx="25">State Agenc</cx:pt>
        </cx:lvl>
      </cx:strDim>
      <cx:numDim type="val">
        <cx:f>Sheet3!$B$2:$B$27</cx:f>
        <cx:lvl ptCount="26" formatCode="General">
          <cx:pt idx="0">38</cx:pt>
          <cx:pt idx="1">20</cx:pt>
          <cx:pt idx="2">32</cx:pt>
          <cx:pt idx="3">34</cx:pt>
          <cx:pt idx="4">34</cx:pt>
          <cx:pt idx="5">7</cx:pt>
          <cx:pt idx="6">16</cx:pt>
          <cx:pt idx="7">23</cx:pt>
          <cx:pt idx="8">21</cx:pt>
          <cx:pt idx="9">37</cx:pt>
          <cx:pt idx="10">20</cx:pt>
          <cx:pt idx="11">11</cx:pt>
          <cx:pt idx="12">25</cx:pt>
          <cx:pt idx="13">24</cx:pt>
          <cx:pt idx="14">35</cx:pt>
          <cx:pt idx="15">27</cx:pt>
          <cx:pt idx="16">28</cx:pt>
          <cx:pt idx="17">17</cx:pt>
          <cx:pt idx="18">21</cx:pt>
          <cx:pt idx="19">33</cx:pt>
          <cx:pt idx="20">17</cx:pt>
          <cx:pt idx="21">34</cx:pt>
          <cx:pt idx="22">3</cx:pt>
          <cx:pt idx="23">18</cx:pt>
          <cx:pt idx="24">13</cx:pt>
          <cx:pt idx="25">33</cx:pt>
        </cx:lvl>
      </cx:numDim>
    </cx:data>
  </cx:chartData>
  <cx:chart>
    <cx:title pos="t" align="ctr" overlay="0">
      <cx:tx>
        <cx:rich>
          <a:bodyPr spcFirstLastPara="1" vertOverflow="ellipsis" wrap="square" lIns="0" tIns="0" rIns="0" bIns="0" anchor="ctr" anchorCtr="1"/>
          <a:lstStyle/>
          <a:p>
            <a:pPr algn="ctr">
              <a:defRPr/>
            </a:pPr>
            <a:r>
              <a:rPr lang="en-US"/>
              <a:t>Collaborations in Obesity Program Area</a:t>
            </a:r>
          </a:p>
        </cx:rich>
      </cx:tx>
    </cx:title>
    <cx:plotArea>
      <cx:plotAreaRegion>
        <cx:series layoutId="clusteredColumn" uniqueId="{1F5B7FFA-B96B-4BD2-A028-4A91C39A45AF}">
          <cx:tx>
            <cx:txData>
              <cx:f>Sheet3!$B$1</cx:f>
              <cx:v>Obesity</cx:v>
            </cx:txData>
          </cx:tx>
          <cx:spPr>
            <a:solidFill>
              <a:schemeClr val="accent6"/>
            </a:solidFill>
          </cx:spPr>
          <cx:dataPt idx="0"/>
          <cx:dataPt idx="2">
            <cx:spPr>
              <a:solidFill>
                <a:schemeClr val="accent1"/>
              </a:solidFill>
            </cx:spPr>
          </cx:dataPt>
          <cx:dataPt idx="3">
            <cx:spPr>
              <a:solidFill>
                <a:schemeClr val="accent6"/>
              </a:solidFill>
            </cx:spPr>
          </cx:dataPt>
          <cx:dataPt idx="5">
            <cx:spPr>
              <a:solidFill>
                <a:schemeClr val="accent1"/>
              </a:solidFill>
            </cx:spPr>
          </cx:dataPt>
          <cx:dataPt idx="6">
            <cx:spPr>
              <a:solidFill>
                <a:schemeClr val="accent1"/>
              </a:solidFill>
            </cx:spPr>
          </cx:dataPt>
          <cx:dataPt idx="7">
            <cx:spPr>
              <a:solidFill>
                <a:schemeClr val="accent1"/>
              </a:solidFill>
            </cx:spPr>
          </cx:dataPt>
          <cx:dataPt idx="8">
            <cx:spPr>
              <a:solidFill>
                <a:schemeClr val="accent6"/>
              </a:solidFill>
            </cx:spPr>
          </cx:dataPt>
          <cx:dataPt idx="9">
            <cx:spPr>
              <a:solidFill>
                <a:schemeClr val="accent1"/>
              </a:solidFill>
            </cx:spPr>
          </cx:dataPt>
          <cx:dataPt idx="10">
            <cx:spPr>
              <a:solidFill>
                <a:schemeClr val="accent1"/>
              </a:solidFill>
            </cx:spPr>
          </cx:dataPt>
          <cx:dataPt idx="11">
            <cx:spPr>
              <a:solidFill>
                <a:schemeClr val="accent6"/>
              </a:solidFill>
            </cx:spPr>
          </cx:dataPt>
          <cx:dataPt idx="12">
            <cx:spPr>
              <a:solidFill>
                <a:schemeClr val="accent1"/>
              </a:solidFill>
            </cx:spPr>
          </cx:dataPt>
          <cx:dataPt idx="15">
            <cx:spPr>
              <a:solidFill>
                <a:schemeClr val="accent1"/>
              </a:solidFill>
            </cx:spPr>
          </cx:dataPt>
          <cx:dataPt idx="17">
            <cx:spPr>
              <a:solidFill>
                <a:schemeClr val="accent6"/>
              </a:solidFill>
            </cx:spPr>
          </cx:dataPt>
          <cx:dataPt idx="18">
            <cx:spPr>
              <a:solidFill>
                <a:schemeClr val="accent1"/>
              </a:solidFill>
            </cx:spPr>
          </cx:dataPt>
          <cx:dataPt idx="19">
            <cx:spPr>
              <a:solidFill>
                <a:schemeClr val="accent1"/>
              </a:solidFill>
            </cx:spPr>
          </cx:dataPt>
          <cx:dataPt idx="20">
            <cx:spPr>
              <a:solidFill>
                <a:schemeClr val="accent1"/>
              </a:solidFill>
            </cx:spPr>
          </cx:dataPt>
          <cx:dataPt idx="21">
            <cx:spPr>
              <a:solidFill>
                <a:schemeClr val="accent6"/>
              </a:solidFill>
            </cx:spPr>
          </cx:dataPt>
          <cx:dataPt idx="22">
            <cx:spPr>
              <a:solidFill>
                <a:schemeClr val="accent1"/>
              </a:solidFill>
            </cx:spPr>
          </cx:dataPt>
          <cx:dataPt idx="25">
            <cx:spPr>
              <a:solidFill>
                <a:schemeClr val="accent1"/>
              </a:solidFill>
            </cx:spPr>
          </cx:dataPt>
          <cx:dataLabels>
            <cx:visibility seriesName="0" categoryName="0" value="1"/>
          </cx:dataLabels>
          <cx:dataId val="0"/>
          <cx:layoutPr>
            <cx:aggregation/>
          </cx:layoutPr>
          <cx:axisId val="1"/>
        </cx:series>
        <cx:series layoutId="paretoLine" ownerIdx="0" uniqueId="{4AD3D680-6BA4-44F3-A18B-BA270FF1C12F}">
          <cx:spPr>
            <a:ln>
              <a:noFill/>
            </a:ln>
          </cx:spPr>
          <cx:axisId val="2"/>
        </cx:series>
      </cx:plotAreaRegion>
      <cx:axis id="0">
        <cx:catScaling gapWidth="0"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algn="ctr">
                  <a:defRPr/>
                </a:pPr>
                <a:r>
                  <a:rPr lang="en-US"/>
                  <a:t>Type of Institution (green=health sector + blue=non-health sector)</a:t>
                </a:r>
              </a:p>
            </cx:rich>
          </cx:tx>
        </cx:title>
        <cx:tickLabels/>
      </cx:axis>
      <cx:axis id="1">
        <cx:valScaling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algn="ctr">
                  <a:defRPr/>
                </a:pPr>
                <a:r>
                  <a:rPr lang="en-US"/>
                  <a:t>Number of Collaborations (out of 40)</a:t>
                </a:r>
              </a:p>
            </cx:rich>
          </cx:tx>
        </cx:title>
        <cx:majorGridlines/>
        <cx:tickLabels/>
      </cx:axis>
      <cx:axis id="2" hidden="1">
        <cx:valScaling max="1" min="0"/>
        <cx:units unit="percentage"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3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Sheet4!$A$2:$A$27</cx:f>
        <cx:lvl ptCount="26">
          <cx:pt idx="0">LHD</cx:pt>
          <cx:pt idx="1">O/ SHD</cx:pt>
          <cx:pt idx="2">FQHC</cx:pt>
          <cx:pt idx="3">Hospital</cx:pt>
          <cx:pt idx="4">University</cx:pt>
          <cx:pt idx="5">Indian HS</cx:pt>
          <cx:pt idx="6">Tribal HO</cx:pt>
          <cx:pt idx="7">Medicaid</cx:pt>
          <cx:pt idx="8">SMA</cx:pt>
          <cx:pt idx="9">Health NP</cx:pt>
          <cx:pt idx="10">H/ Insurance</cx:pt>
          <cx:pt idx="11">Mental HS</cx:pt>
          <cx:pt idx="12">Foundations</cx:pt>
          <cx:pt idx="13">NonHealth Uni</cx:pt>
          <cx:pt idx="14">Schools</cx:pt>
          <cx:pt idx="15">Media</cx:pt>
          <cx:pt idx="16">Comm Dev</cx:pt>
          <cx:pt idx="17">Social Serv</cx:pt>
          <cx:pt idx="18">Business</cx:pt>
          <cx:pt idx="19">Parks &amp; Rec</cx:pt>
          <cx:pt idx="20">Housing</cx:pt>
          <cx:pt idx="21">Plan &amp; Transpo</cx:pt>
          <cx:pt idx="22">Justice</cx:pt>
          <cx:pt idx="23">Counc/Commi</cx:pt>
          <cx:pt idx="24">Tribal Agenc</cx:pt>
          <cx:pt idx="25">State Agenc</cx:pt>
        </cx:lvl>
      </cx:strDim>
      <cx:numDim type="val">
        <cx:f>Sheet4!$B$2:$B$27</cx:f>
        <cx:lvl ptCount="26" formatCode="General">
          <cx:pt idx="0">35</cx:pt>
          <cx:pt idx="1">24</cx:pt>
          <cx:pt idx="2">33</cx:pt>
          <cx:pt idx="3">31</cx:pt>
          <cx:pt idx="4">31</cx:pt>
          <cx:pt idx="5">9</cx:pt>
          <cx:pt idx="6">15</cx:pt>
          <cx:pt idx="7">29</cx:pt>
          <cx:pt idx="8">26</cx:pt>
          <cx:pt idx="9">34</cx:pt>
          <cx:pt idx="10">22</cx:pt>
          <cx:pt idx="11">31</cx:pt>
          <cx:pt idx="12">21</cx:pt>
          <cx:pt idx="13">14</cx:pt>
          <cx:pt idx="14">32</cx:pt>
          <cx:pt idx="15">32</cx:pt>
          <cx:pt idx="16">17</cx:pt>
          <cx:pt idx="17">15</cx:pt>
          <cx:pt idx="18">19</cx:pt>
          <cx:pt idx="19">24</cx:pt>
          <cx:pt idx="20">33</cx:pt>
          <cx:pt idx="21">12</cx:pt>
          <cx:pt idx="22">11</cx:pt>
          <cx:pt idx="23">9</cx:pt>
          <cx:pt idx="24">11</cx:pt>
          <cx:pt idx="25">29</cx:pt>
        </cx:lvl>
      </cx:numDim>
    </cx:data>
  </cx:chartData>
  <cx:chart>
    <cx:title pos="t" align="ctr" overlay="0">
      <cx:tx>
        <cx:rich>
          <a:bodyPr spcFirstLastPara="1" vertOverflow="ellipsis" wrap="square" lIns="0" tIns="0" rIns="0" bIns="0" anchor="ctr" anchorCtr="1"/>
          <a:lstStyle/>
          <a:p>
            <a:pPr algn="ctr">
              <a:defRPr/>
            </a:pPr>
            <a:r>
              <a:rPr lang="en-US"/>
              <a:t>Collaborations in Tobacco Program Area</a:t>
            </a:r>
          </a:p>
        </cx:rich>
      </cx:tx>
    </cx:title>
    <cx:plotArea>
      <cx:plotAreaRegion>
        <cx:series layoutId="clusteredColumn" uniqueId="{76CB6931-3DED-48EE-8164-1744146E8155}">
          <cx:tx>
            <cx:txData>
              <cx:f>Sheet4!$B$1</cx:f>
              <cx:v>Tobacco</cx:v>
            </cx:txData>
          </cx:tx>
          <cx:spPr>
            <a:solidFill>
              <a:schemeClr val="accent6"/>
            </a:solidFill>
          </cx:spPr>
          <cx:dataPt idx="2">
            <cx:spPr>
              <a:solidFill>
                <a:schemeClr val="accent6"/>
              </a:solidFill>
            </cx:spPr>
          </cx:dataPt>
          <cx:dataPt idx="3">
            <cx:spPr>
              <a:solidFill>
                <a:schemeClr val="accent1"/>
              </a:solidFill>
            </cx:spPr>
          </cx:dataPt>
          <cx:dataPt idx="4">
            <cx:spPr>
              <a:solidFill>
                <a:schemeClr val="accent1"/>
              </a:solidFill>
            </cx:spPr>
          </cx:dataPt>
          <cx:dataPt idx="5">
            <cx:spPr>
              <a:solidFill>
                <a:schemeClr val="accent1"/>
              </a:solidFill>
            </cx:spPr>
          </cx:dataPt>
          <cx:dataPt idx="7">
            <cx:spPr>
              <a:solidFill>
                <a:schemeClr val="accent6"/>
              </a:solidFill>
            </cx:spPr>
          </cx:dataPt>
          <cx:dataPt idx="9">
            <cx:spPr>
              <a:solidFill>
                <a:schemeClr val="accent6"/>
              </a:solidFill>
            </cx:spPr>
          </cx:dataPt>
          <cx:dataPt idx="10">
            <cx:spPr>
              <a:solidFill>
                <a:schemeClr val="accent1"/>
              </a:solidFill>
            </cx:spPr>
          </cx:dataPt>
          <cx:dataPt idx="13">
            <cx:spPr>
              <a:solidFill>
                <a:schemeClr val="accent1"/>
              </a:solidFill>
            </cx:spPr>
          </cx:dataPt>
          <cx:dataPt idx="14">
            <cx:spPr>
              <a:solidFill>
                <a:schemeClr val="accent6"/>
              </a:solidFill>
            </cx:spPr>
          </cx:dataPt>
          <cx:dataPt idx="16">
            <cx:spPr>
              <a:solidFill>
                <a:schemeClr val="accent1"/>
              </a:solidFill>
            </cx:spPr>
          </cx:dataPt>
          <cx:dataPt idx="17">
            <cx:spPr>
              <a:solidFill>
                <a:schemeClr val="accent1"/>
              </a:solidFill>
            </cx:spPr>
          </cx:dataPt>
          <cx:dataPt idx="18">
            <cx:spPr>
              <a:solidFill>
                <a:schemeClr val="accent6"/>
              </a:solidFill>
            </cx:spPr>
          </cx:dataPt>
          <cx:dataPt idx="19">
            <cx:spPr>
              <a:solidFill>
                <a:schemeClr val="accent1"/>
              </a:solidFill>
            </cx:spPr>
          </cx:dataPt>
          <cx:dataPt idx="20">
            <cx:spPr>
              <a:solidFill>
                <a:schemeClr val="accent1"/>
              </a:solidFill>
            </cx:spPr>
          </cx:dataPt>
          <cx:dataPt idx="21">
            <cx:spPr>
              <a:solidFill>
                <a:schemeClr val="accent1"/>
              </a:solidFill>
            </cx:spPr>
          </cx:dataPt>
          <cx:dataPt idx="22">
            <cx:spPr>
              <a:solidFill>
                <a:schemeClr val="accent1"/>
              </a:solidFill>
            </cx:spPr>
          </cx:dataPt>
          <cx:dataPt idx="23">
            <cx:spPr>
              <a:solidFill>
                <a:schemeClr val="accent1"/>
              </a:solidFill>
            </cx:spPr>
          </cx:dataPt>
          <cx:dataPt idx="24">
            <cx:spPr>
              <a:solidFill>
                <a:schemeClr val="accent6"/>
              </a:solidFill>
            </cx:spPr>
          </cx:dataPt>
          <cx:dataPt idx="25">
            <cx:spPr>
              <a:solidFill>
                <a:schemeClr val="accent1"/>
              </a:solidFill>
            </cx:spPr>
          </cx:dataPt>
          <cx:dataLabels>
            <cx:visibility seriesName="0" categoryName="0" value="1"/>
          </cx:dataLabels>
          <cx:dataId val="0"/>
          <cx:layoutPr>
            <cx:aggregation/>
          </cx:layoutPr>
          <cx:axisId val="1"/>
        </cx:series>
        <cx:series layoutId="paretoLine" ownerIdx="0" uniqueId="{8AC9A7F5-A0E7-4C42-B396-AC06538D0E5C}">
          <cx:spPr>
            <a:ln>
              <a:noFill/>
            </a:ln>
          </cx:spPr>
          <cx:axisId val="2"/>
        </cx:series>
      </cx:plotAreaRegion>
      <cx:axis id="0">
        <cx:catScaling gapWidth="0"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marL="0" marR="0" lvl="0" indent="0" algn="ctr" defTabSz="91440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/>
                </a:pPr>
                <a:r>
                  <a:rPr lang="en-US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effectLst/>
                    <a:latin typeface="Calibri" panose="020F0502020204030204"/>
                  </a:rPr>
                  <a:t>Type of Institution (green=health sector + blue=non-health sector)</a:t>
                </a:r>
                <a:endParaRPr lang="en-US">
                  <a:effectLst/>
                </a:endParaRPr>
              </a:p>
              <a:p>
                <a:pPr marL="0" marR="0" lvl="0" indent="0" algn="ctr" defTabSz="91440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/>
                </a:pPr>
                <a:endParaRPr lang="en-US"/>
              </a:p>
            </cx:rich>
          </cx:tx>
        </cx:title>
        <cx:tickLabels/>
      </cx:axis>
      <cx:axis id="1">
        <cx:valScaling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algn="ctr">
                  <a:defRPr/>
                </a:pPr>
                <a:r>
                  <a:rPr lang="en-US"/>
                  <a:t>Number of Collaborations (out of 36)</a:t>
                </a:r>
              </a:p>
            </cx:rich>
          </cx:tx>
        </cx:title>
        <cx:majorGridlines/>
        <cx:tickLabels/>
      </cx:axis>
      <cx:axis id="2" hidden="1">
        <cx:valScaling max="1" min="0"/>
        <cx:units unit="percentage"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4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'Sheet4 (2)'!$A$2:$A$27</cx:f>
        <cx:lvl ptCount="26">
          <cx:pt idx="0">LHD</cx:pt>
          <cx:pt idx="1">O/ SHD</cx:pt>
          <cx:pt idx="2">FQHC</cx:pt>
          <cx:pt idx="3">Hospital</cx:pt>
          <cx:pt idx="4">University</cx:pt>
          <cx:pt idx="5">Indian HS</cx:pt>
          <cx:pt idx="6">Tribal HO</cx:pt>
          <cx:pt idx="7">Medicaid</cx:pt>
          <cx:pt idx="8">SMA</cx:pt>
          <cx:pt idx="9">Health NP</cx:pt>
          <cx:pt idx="10">H/ Insurance</cx:pt>
          <cx:pt idx="11">Mental HS</cx:pt>
          <cx:pt idx="12">Foundations</cx:pt>
          <cx:pt idx="13">NonHealth Uni</cx:pt>
          <cx:pt idx="14">Schools</cx:pt>
          <cx:pt idx="15">Media</cx:pt>
          <cx:pt idx="16">Comm Dev</cx:pt>
          <cx:pt idx="17">Social Serv</cx:pt>
          <cx:pt idx="18">Business</cx:pt>
          <cx:pt idx="19">Parks &amp; Rec</cx:pt>
          <cx:pt idx="20">Housing</cx:pt>
          <cx:pt idx="21">Plan &amp; Transpo</cx:pt>
          <cx:pt idx="22">Justice</cx:pt>
          <cx:pt idx="23">Counc/Commi</cx:pt>
          <cx:pt idx="24">Tribal Agenc</cx:pt>
          <cx:pt idx="25">State Agenc</cx:pt>
        </cx:lvl>
      </cx:strDim>
      <cx:numDim type="val">
        <cx:f>'Sheet4 (2)'!$B$2:$B$27</cx:f>
        <cx:lvl ptCount="26" formatCode="General">
          <cx:pt idx="0">19</cx:pt>
          <cx:pt idx="1">12</cx:pt>
          <cx:pt idx="2">23</cx:pt>
          <cx:pt idx="3">21</cx:pt>
          <cx:pt idx="4">23</cx:pt>
          <cx:pt idx="5">8</cx:pt>
          <cx:pt idx="6">11</cx:pt>
          <cx:pt idx="7">22</cx:pt>
          <cx:pt idx="8">17</cx:pt>
          <cx:pt idx="9">23</cx:pt>
          <cx:pt idx="10">19</cx:pt>
          <cx:pt idx="11">9</cx:pt>
          <cx:pt idx="12">17</cx:pt>
          <cx:pt idx="13">5</cx:pt>
          <cx:pt idx="14">15</cx:pt>
          <cx:pt idx="15">14</cx:pt>
          <cx:pt idx="16">15</cx:pt>
          <cx:pt idx="17">6</cx:pt>
          <cx:pt idx="18">13</cx:pt>
          <cx:pt idx="19">8</cx:pt>
          <cx:pt idx="20">7</cx:pt>
          <cx:pt idx="21">10</cx:pt>
          <cx:pt idx="22">2</cx:pt>
          <cx:pt idx="23">4</cx:pt>
          <cx:pt idx="24">7</cx:pt>
          <cx:pt idx="25">16</cx:pt>
        </cx:lvl>
      </cx:numDim>
    </cx:data>
  </cx:chartData>
  <cx:chart>
    <cx:title pos="t" align="ctr" overlay="0">
      <cx:tx>
        <cx:rich>
          <a:bodyPr spcFirstLastPara="1" vertOverflow="ellipsis" wrap="square" lIns="0" tIns="0" rIns="0" bIns="0" anchor="ctr" anchorCtr="1"/>
          <a:lstStyle/>
          <a:p>
            <a:pPr algn="ctr">
              <a:defRPr/>
            </a:pPr>
            <a:r>
              <a:rPr lang="en-US"/>
              <a:t>Collaborations in Cardiovascular Program Area</a:t>
            </a:r>
          </a:p>
        </cx:rich>
      </cx:tx>
    </cx:title>
    <cx:plotArea>
      <cx:plotAreaRegion>
        <cx:series layoutId="clusteredColumn" uniqueId="{76CB6931-3DED-48EE-8164-1744146E8155}">
          <cx:tx>
            <cx:txData>
              <cx:f>'Sheet4 (2)'!$B$1</cx:f>
              <cx:v>Cardiov</cx:v>
            </cx:txData>
          </cx:tx>
          <cx:spPr>
            <a:solidFill>
              <a:schemeClr val="accent6"/>
            </a:solidFill>
          </cx:spPr>
          <cx:dataPt idx="3"/>
          <cx:dataPt idx="4"/>
          <cx:dataPt idx="5"/>
          <cx:dataPt idx="9">
            <cx:spPr>
              <a:solidFill>
                <a:schemeClr val="accent1"/>
              </a:solidFill>
            </cx:spPr>
          </cx:dataPt>
          <cx:dataPt idx="10">
            <cx:spPr>
              <a:solidFill>
                <a:schemeClr val="accent1"/>
              </a:solidFill>
            </cx:spPr>
          </cx:dataPt>
          <cx:dataPt idx="11">
            <cx:spPr>
              <a:solidFill>
                <a:schemeClr val="accent1"/>
              </a:solidFill>
            </cx:spPr>
          </cx:dataPt>
          <cx:dataPt idx="12">
            <cx:spPr>
              <a:solidFill>
                <a:schemeClr val="accent1"/>
              </a:solidFill>
            </cx:spPr>
          </cx:dataPt>
          <cx:dataPt idx="13">
            <cx:spPr>
              <a:solidFill>
                <a:schemeClr val="accent1"/>
              </a:solidFill>
            </cx:spPr>
          </cx:dataPt>
          <cx:dataPt idx="16">
            <cx:spPr>
              <a:solidFill>
                <a:schemeClr val="accent1"/>
              </a:solidFill>
            </cx:spPr>
          </cx:dataPt>
          <cx:dataPt idx="19">
            <cx:spPr>
              <a:solidFill>
                <a:schemeClr val="accent1"/>
              </a:solidFill>
            </cx:spPr>
          </cx:dataPt>
          <cx:dataPt idx="20">
            <cx:spPr>
              <a:solidFill>
                <a:schemeClr val="accent1"/>
              </a:solidFill>
            </cx:spPr>
          </cx:dataPt>
          <cx:dataPt idx="21">
            <cx:spPr>
              <a:solidFill>
                <a:schemeClr val="accent1"/>
              </a:solidFill>
            </cx:spPr>
          </cx:dataPt>
          <cx:dataPt idx="22">
            <cx:spPr>
              <a:solidFill>
                <a:schemeClr val="accent1"/>
              </a:solidFill>
              <a:ln>
                <a:noFill/>
              </a:ln>
            </cx:spPr>
          </cx:dataPt>
          <cx:dataPt idx="23">
            <cx:spPr>
              <a:solidFill>
                <a:schemeClr val="accent1"/>
              </a:solidFill>
            </cx:spPr>
          </cx:dataPt>
          <cx:dataPt idx="24">
            <cx:spPr>
              <a:solidFill>
                <a:schemeClr val="accent1"/>
              </a:solidFill>
            </cx:spPr>
          </cx:dataPt>
          <cx:dataPt idx="25">
            <cx:spPr>
              <a:solidFill>
                <a:schemeClr val="accent1"/>
              </a:solidFill>
            </cx:spPr>
          </cx:dataPt>
          <cx:dataLabels>
            <cx:visibility seriesName="0" categoryName="0" value="1"/>
          </cx:dataLabels>
          <cx:dataId val="0"/>
          <cx:layoutPr>
            <cx:aggregation/>
          </cx:layoutPr>
          <cx:axisId val="1"/>
        </cx:series>
        <cx:series layoutId="paretoLine" ownerIdx="0" uniqueId="{8AC9A7F5-A0E7-4C42-B396-AC06538D0E5C}">
          <cx:spPr>
            <a:ln>
              <a:noFill/>
            </a:ln>
          </cx:spPr>
          <cx:axisId val="2"/>
        </cx:series>
      </cx:plotAreaRegion>
      <cx:axis id="0">
        <cx:catScaling gapWidth="0"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marL="0" marR="0" lvl="0" indent="0" algn="ctr" defTabSz="91440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/>
                </a:pPr>
                <a:r>
                  <a:rPr lang="en-US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effectLst/>
                    <a:latin typeface="Calibri" panose="020F0502020204030204"/>
                  </a:rPr>
                  <a:t>Type of Institution (green=health sector + blue=non-health sector)</a:t>
                </a:r>
                <a:endParaRPr lang="en-US">
                  <a:effectLst/>
                </a:endParaRPr>
              </a:p>
              <a:p>
                <a:pPr marL="0" marR="0" lvl="0" indent="0" algn="ctr" defTabSz="91440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/>
                </a:pPr>
                <a:endParaRPr lang="en-US"/>
              </a:p>
            </cx:rich>
          </cx:tx>
        </cx:title>
        <cx:tickLabels/>
      </cx:axis>
      <cx:axis id="1">
        <cx:valScaling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algn="ctr">
                  <a:defRPr/>
                </a:pPr>
                <a:r>
                  <a:rPr lang="en-US"/>
                  <a:t>Number of Collaborations (out of 24)</a:t>
                </a:r>
              </a:p>
            </cx:rich>
          </cx:tx>
        </cx:title>
        <cx:majorGridlines/>
        <cx:tickLabels/>
      </cx:axis>
      <cx:axis id="2" hidden="1">
        <cx:valScaling max="1" min="0"/>
        <cx:units unit="percentage"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5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'Sheet4 (3)'!$A$2:$A$27</cx:f>
        <cx:lvl ptCount="26">
          <cx:pt idx="0">LHD</cx:pt>
          <cx:pt idx="1">O/ SHD</cx:pt>
          <cx:pt idx="2">FQHC</cx:pt>
          <cx:pt idx="3">Hospital</cx:pt>
          <cx:pt idx="4">University</cx:pt>
          <cx:pt idx="5">Indian HS</cx:pt>
          <cx:pt idx="6">Tribal HO</cx:pt>
          <cx:pt idx="7">Medicaid</cx:pt>
          <cx:pt idx="8">SMA</cx:pt>
          <cx:pt idx="9">Health NP</cx:pt>
          <cx:pt idx="10">H/ Insurance</cx:pt>
          <cx:pt idx="11">Mental HS</cx:pt>
          <cx:pt idx="12">Foundations</cx:pt>
          <cx:pt idx="13">NonHealth Uni</cx:pt>
          <cx:pt idx="14">Schools</cx:pt>
          <cx:pt idx="15">Media</cx:pt>
          <cx:pt idx="16">Comm Dev</cx:pt>
          <cx:pt idx="17">Social Serv</cx:pt>
          <cx:pt idx="18">Business</cx:pt>
          <cx:pt idx="19">Parks &amp; Rec</cx:pt>
          <cx:pt idx="20">Housing</cx:pt>
          <cx:pt idx="21">Plan &amp; Transpo</cx:pt>
          <cx:pt idx="22">Justice</cx:pt>
          <cx:pt idx="23">Counc/Commi</cx:pt>
          <cx:pt idx="24">Tribal Agenc</cx:pt>
          <cx:pt idx="25">State Agenc</cx:pt>
        </cx:lvl>
      </cx:strDim>
      <cx:numDim type="val">
        <cx:f>'Sheet4 (3)'!$B$2:$B$27</cx:f>
        <cx:lvl ptCount="26" formatCode="General">
          <cx:pt idx="0">25</cx:pt>
          <cx:pt idx="1">19</cx:pt>
          <cx:pt idx="2">28</cx:pt>
          <cx:pt idx="3">23</cx:pt>
          <cx:pt idx="4">26</cx:pt>
          <cx:pt idx="5">10</cx:pt>
          <cx:pt idx="6">11</cx:pt>
          <cx:pt idx="7">20</cx:pt>
          <cx:pt idx="8">22</cx:pt>
          <cx:pt idx="9">26</cx:pt>
          <cx:pt idx="10">23</cx:pt>
          <cx:pt idx="11">7</cx:pt>
          <cx:pt idx="12">16</cx:pt>
          <cx:pt idx="13">9</cx:pt>
          <cx:pt idx="14">15</cx:pt>
          <cx:pt idx="15">22</cx:pt>
          <cx:pt idx="16">13</cx:pt>
          <cx:pt idx="17">13</cx:pt>
          <cx:pt idx="18">11</cx:pt>
          <cx:pt idx="19">12</cx:pt>
          <cx:pt idx="20">7</cx:pt>
          <cx:pt idx="21">8</cx:pt>
          <cx:pt idx="22">3</cx:pt>
          <cx:pt idx="23">10</cx:pt>
          <cx:pt idx="24">10</cx:pt>
          <cx:pt idx="25">17</cx:pt>
        </cx:lvl>
      </cx:numDim>
    </cx:data>
  </cx:chartData>
  <cx:chart>
    <cx:title pos="t" align="ctr" overlay="0">
      <cx:tx>
        <cx:rich>
          <a:bodyPr spcFirstLastPara="1" vertOverflow="ellipsis" wrap="square" lIns="0" tIns="0" rIns="0" bIns="0" anchor="ctr" anchorCtr="1"/>
          <a:lstStyle/>
          <a:p>
            <a:pPr algn="ctr">
              <a:defRPr/>
            </a:pPr>
            <a:r>
              <a:rPr lang="en-US"/>
              <a:t>Collaborations in Diabetes Program Area</a:t>
            </a:r>
          </a:p>
        </cx:rich>
      </cx:tx>
    </cx:title>
    <cx:plotArea>
      <cx:plotAreaRegion>
        <cx:series layoutId="clusteredColumn" uniqueId="{76CB6931-3DED-48EE-8164-1744146E8155}">
          <cx:tx>
            <cx:txData>
              <cx:f>'Sheet4 (3)'!$B$1</cx:f>
              <cx:v>Diabetes</cx:v>
            </cx:txData>
          </cx:tx>
          <cx:spPr>
            <a:solidFill>
              <a:schemeClr val="accent6"/>
            </a:solidFill>
          </cx:spPr>
          <cx:dataPt idx="2">
            <cx:spPr>
              <a:solidFill>
                <a:schemeClr val="accent6"/>
              </a:solidFill>
            </cx:spPr>
          </cx:dataPt>
          <cx:dataPt idx="3">
            <cx:spPr>
              <a:solidFill>
                <a:schemeClr val="accent6"/>
              </a:solidFill>
            </cx:spPr>
          </cx:dataPt>
          <cx:dataPt idx="4">
            <cx:spPr>
              <a:solidFill>
                <a:schemeClr val="accent6"/>
              </a:solidFill>
            </cx:spPr>
          </cx:dataPt>
          <cx:dataPt idx="5">
            <cx:spPr>
              <a:solidFill>
                <a:schemeClr val="accent6"/>
              </a:solidFill>
            </cx:spPr>
          </cx:dataPt>
          <cx:dataPt idx="7">
            <cx:spPr>
              <a:solidFill>
                <a:schemeClr val="accent1"/>
              </a:solidFill>
            </cx:spPr>
          </cx:dataPt>
          <cx:dataPt idx="8">
            <cx:spPr>
              <a:solidFill>
                <a:schemeClr val="accent6"/>
              </a:solidFill>
            </cx:spPr>
          </cx:dataPt>
          <cx:dataPt idx="9">
            <cx:spPr>
              <a:solidFill>
                <a:schemeClr val="accent6"/>
              </a:solidFill>
            </cx:spPr>
          </cx:dataPt>
          <cx:dataPt idx="10">
            <cx:spPr>
              <a:solidFill>
                <a:schemeClr val="accent1"/>
              </a:solidFill>
            </cx:spPr>
          </cx:dataPt>
          <cx:dataPt idx="12">
            <cx:spPr>
              <a:solidFill>
                <a:schemeClr val="accent1"/>
              </a:solidFill>
            </cx:spPr>
          </cx:dataPt>
          <cx:dataPt idx="13">
            <cx:spPr>
              <a:solidFill>
                <a:schemeClr val="accent1"/>
              </a:solidFill>
            </cx:spPr>
          </cx:dataPt>
          <cx:dataPt idx="14">
            <cx:spPr>
              <a:solidFill>
                <a:schemeClr val="accent1"/>
              </a:solidFill>
            </cx:spPr>
          </cx:dataPt>
          <cx:dataPt idx="15">
            <cx:spPr>
              <a:solidFill>
                <a:schemeClr val="accent1"/>
              </a:solidFill>
            </cx:spPr>
          </cx:dataPt>
          <cx:dataPt idx="16">
            <cx:spPr>
              <a:solidFill>
                <a:schemeClr val="accent6"/>
              </a:solidFill>
            </cx:spPr>
          </cx:dataPt>
          <cx:dataPt idx="17">
            <cx:spPr>
              <a:solidFill>
                <a:schemeClr val="accent1"/>
              </a:solidFill>
            </cx:spPr>
          </cx:dataPt>
          <cx:dataPt idx="18">
            <cx:spPr>
              <a:solidFill>
                <a:schemeClr val="accent6"/>
              </a:solidFill>
            </cx:spPr>
          </cx:dataPt>
          <cx:dataPt idx="19">
            <cx:spPr>
              <a:solidFill>
                <a:schemeClr val="accent1"/>
              </a:solidFill>
            </cx:spPr>
          </cx:dataPt>
          <cx:dataPt idx="20">
            <cx:spPr>
              <a:solidFill>
                <a:schemeClr val="accent1"/>
              </a:solidFill>
            </cx:spPr>
          </cx:dataPt>
          <cx:dataPt idx="21">
            <cx:spPr>
              <a:solidFill>
                <a:schemeClr val="accent1"/>
              </a:solidFill>
            </cx:spPr>
          </cx:dataPt>
          <cx:dataPt idx="22">
            <cx:spPr>
              <a:solidFill>
                <a:schemeClr val="accent1"/>
              </a:solidFill>
            </cx:spPr>
          </cx:dataPt>
          <cx:dataPt idx="23">
            <cx:spPr>
              <a:solidFill>
                <a:schemeClr val="accent6"/>
              </a:solidFill>
            </cx:spPr>
          </cx:dataPt>
          <cx:dataPt idx="24">
            <cx:spPr>
              <a:solidFill>
                <a:schemeClr val="accent1"/>
              </a:solidFill>
            </cx:spPr>
          </cx:dataPt>
          <cx:dataPt idx="25">
            <cx:spPr>
              <a:solidFill>
                <a:schemeClr val="accent1"/>
              </a:solidFill>
            </cx:spPr>
          </cx:dataPt>
          <cx:dataLabels>
            <cx:visibility seriesName="0" categoryName="0" value="1"/>
          </cx:dataLabels>
          <cx:dataId val="0"/>
          <cx:layoutPr>
            <cx:aggregation/>
          </cx:layoutPr>
          <cx:axisId val="1"/>
        </cx:series>
        <cx:series layoutId="paretoLine" ownerIdx="0" uniqueId="{8AC9A7F5-A0E7-4C42-B396-AC06538D0E5C}">
          <cx:spPr>
            <a:ln>
              <a:noFill/>
            </a:ln>
          </cx:spPr>
          <cx:axisId val="2"/>
        </cx:series>
      </cx:plotAreaRegion>
      <cx:axis id="0">
        <cx:catScaling gapWidth="0"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marL="0" marR="0" lvl="0" indent="0" algn="ctr" defTabSz="91440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/>
                </a:pPr>
                <a:r>
                  <a:rPr lang="en-US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effectLst/>
                    <a:latin typeface="Calibri" panose="020F0502020204030204"/>
                  </a:rPr>
                  <a:t>Type of Institution (green=health sector + blue=non-health sector)</a:t>
                </a:r>
                <a:endParaRPr lang="en-US">
                  <a:effectLst/>
                </a:endParaRPr>
              </a:p>
              <a:p>
                <a:pPr marL="0" marR="0" lvl="0" indent="0" algn="ctr" defTabSz="91440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/>
                </a:pPr>
                <a:endParaRPr lang="en-US"/>
              </a:p>
            </cx:rich>
          </cx:tx>
        </cx:title>
        <cx:tickLabels/>
      </cx:axis>
      <cx:axis id="1">
        <cx:valScaling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algn="ctr">
                  <a:defRPr/>
                </a:pPr>
                <a:r>
                  <a:rPr lang="en-US"/>
                  <a:t>Number of Collaborations (out of 29)</a:t>
                </a:r>
              </a:p>
            </cx:rich>
          </cx:tx>
        </cx:title>
        <cx:majorGridlines/>
        <cx:tickLabels/>
      </cx:axis>
      <cx:axis id="2" hidden="1">
        <cx:valScaling max="1" min="0"/>
        <cx:units unit="percentage"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6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'Sheet4 (4)'!$A$2:$A$27</cx:f>
        <cx:lvl ptCount="26">
          <cx:pt idx="0">LHD</cx:pt>
          <cx:pt idx="1">O/ SHD</cx:pt>
          <cx:pt idx="2">FQHC</cx:pt>
          <cx:pt idx="3">Hospital</cx:pt>
          <cx:pt idx="4">University</cx:pt>
          <cx:pt idx="5">Indian HS</cx:pt>
          <cx:pt idx="6">Tribal HO</cx:pt>
          <cx:pt idx="7">Medicaid</cx:pt>
          <cx:pt idx="8">SMA</cx:pt>
          <cx:pt idx="9">Health NP</cx:pt>
          <cx:pt idx="10">H/ Insurance</cx:pt>
          <cx:pt idx="11">Mental HS</cx:pt>
          <cx:pt idx="12">Foundations</cx:pt>
          <cx:pt idx="13">NonHealth Uni</cx:pt>
          <cx:pt idx="14">Schools</cx:pt>
          <cx:pt idx="15">Media</cx:pt>
          <cx:pt idx="16">Comm Dev</cx:pt>
          <cx:pt idx="17">Social Serv</cx:pt>
          <cx:pt idx="18">Business</cx:pt>
          <cx:pt idx="19">Parks &amp; Rec</cx:pt>
          <cx:pt idx="20">Housing</cx:pt>
          <cx:pt idx="21">Plan &amp; Transpo</cx:pt>
          <cx:pt idx="22">Justice</cx:pt>
          <cx:pt idx="23">Counc/Commi</cx:pt>
          <cx:pt idx="24">Tribal Agenc</cx:pt>
          <cx:pt idx="25">State Agenc</cx:pt>
        </cx:lvl>
      </cx:strDim>
      <cx:numDim type="val">
        <cx:f>'Sheet4 (4)'!$B$2:$B$27</cx:f>
        <cx:lvl ptCount="26" formatCode="General">
          <cx:pt idx="0">43</cx:pt>
          <cx:pt idx="1">33</cx:pt>
          <cx:pt idx="2">44</cx:pt>
          <cx:pt idx="3">43</cx:pt>
          <cx:pt idx="4">45</cx:pt>
          <cx:pt idx="5">19</cx:pt>
          <cx:pt idx="6">25</cx:pt>
          <cx:pt idx="7">41</cx:pt>
          <cx:pt idx="8">40</cx:pt>
          <cx:pt idx="9">43</cx:pt>
          <cx:pt idx="10">38</cx:pt>
          <cx:pt idx="11">35</cx:pt>
          <cx:pt idx="12">37</cx:pt>
          <cx:pt idx="13">24</cx:pt>
          <cx:pt idx="14">42</cx:pt>
          <cx:pt idx="15">37</cx:pt>
          <cx:pt idx="16">36</cx:pt>
          <cx:pt idx="17">31</cx:pt>
          <cx:pt idx="18">30</cx:pt>
          <cx:pt idx="19">34</cx:pt>
          <cx:pt idx="20">32</cx:pt>
          <cx:pt idx="21">34</cx:pt>
          <cx:pt idx="22">20</cx:pt>
          <cx:pt idx="23">33</cx:pt>
          <cx:pt idx="24">21</cx:pt>
          <cx:pt idx="25">42</cx:pt>
        </cx:lvl>
      </cx:numDim>
    </cx:data>
  </cx:chartData>
  <cx:chart>
    <cx:title pos="t" align="ctr" overlay="0">
      <cx:tx>
        <cx:rich>
          <a:bodyPr spcFirstLastPara="1" vertOverflow="ellipsis" wrap="square" lIns="0" tIns="0" rIns="0" bIns="0" anchor="ctr" anchorCtr="1"/>
          <a:lstStyle/>
          <a:p>
            <a:pPr algn="ctr">
              <a:defRPr/>
            </a:pPr>
            <a:r>
              <a:rPr lang="en-US"/>
              <a:t>Collaborations for Working in Multiple Program Areas</a:t>
            </a:r>
          </a:p>
        </cx:rich>
      </cx:tx>
    </cx:title>
    <cx:plotArea>
      <cx:plotAreaRegion>
        <cx:series layoutId="clusteredColumn" uniqueId="{76CB6931-3DED-48EE-8164-1744146E8155}">
          <cx:tx>
            <cx:txData>
              <cx:f>'Sheet4 (4)'!$B$1</cx:f>
              <cx:v>Multiple</cx:v>
            </cx:txData>
          </cx:tx>
          <cx:spPr>
            <a:solidFill>
              <a:schemeClr val="accent6"/>
            </a:solidFill>
          </cx:spPr>
          <cx:dataPt idx="2">
            <cx:spPr>
              <a:solidFill>
                <a:schemeClr val="accent6"/>
              </a:solidFill>
            </cx:spPr>
          </cx:dataPt>
          <cx:dataPt idx="3">
            <cx:spPr>
              <a:solidFill>
                <a:schemeClr val="accent6"/>
              </a:solidFill>
            </cx:spPr>
          </cx:dataPt>
          <cx:dataPt idx="4">
            <cx:spPr>
              <a:solidFill>
                <a:schemeClr val="accent6"/>
              </a:solidFill>
            </cx:spPr>
          </cx:dataPt>
          <cx:dataPt idx="5">
            <cx:spPr>
              <a:solidFill>
                <a:schemeClr val="accent1"/>
              </a:solidFill>
            </cx:spPr>
          </cx:dataPt>
          <cx:dataPt idx="6">
            <cx:spPr>
              <a:solidFill>
                <a:schemeClr val="accent1"/>
              </a:solidFill>
            </cx:spPr>
          </cx:dataPt>
          <cx:dataPt idx="7">
            <cx:spPr>
              <a:solidFill>
                <a:schemeClr val="accent6"/>
              </a:solidFill>
            </cx:spPr>
          </cx:dataPt>
          <cx:dataPt idx="9">
            <cx:spPr>
              <a:solidFill>
                <a:schemeClr val="accent6"/>
              </a:solidFill>
            </cx:spPr>
          </cx:dataPt>
          <cx:dataPt idx="10">
            <cx:spPr>
              <a:solidFill>
                <a:schemeClr val="accent6"/>
              </a:solidFill>
            </cx:spPr>
          </cx:dataPt>
          <cx:dataPt idx="11">
            <cx:spPr>
              <a:solidFill>
                <a:schemeClr val="accent1"/>
              </a:solidFill>
            </cx:spPr>
          </cx:dataPt>
          <cx:dataPt idx="12">
            <cx:spPr>
              <a:solidFill>
                <a:schemeClr val="accent1"/>
              </a:solidFill>
            </cx:spPr>
          </cx:dataPt>
          <cx:dataPt idx="13">
            <cx:spPr>
              <a:solidFill>
                <a:schemeClr val="accent6"/>
              </a:solidFill>
            </cx:spPr>
          </cx:dataPt>
          <cx:dataPt idx="14">
            <cx:spPr>
              <a:solidFill>
                <a:schemeClr val="accent1"/>
              </a:solidFill>
            </cx:spPr>
          </cx:dataPt>
          <cx:dataPt idx="15">
            <cx:spPr>
              <a:solidFill>
                <a:schemeClr val="accent1"/>
              </a:solidFill>
            </cx:spPr>
          </cx:dataPt>
          <cx:dataPt idx="16">
            <cx:spPr>
              <a:solidFill>
                <a:schemeClr val="accent6"/>
              </a:solidFill>
            </cx:spPr>
          </cx:dataPt>
          <cx:dataPt idx="17">
            <cx:spPr>
              <a:solidFill>
                <a:schemeClr val="accent1"/>
              </a:solidFill>
            </cx:spPr>
          </cx:dataPt>
          <cx:dataPt idx="18">
            <cx:spPr>
              <a:solidFill>
                <a:schemeClr val="accent1"/>
              </a:solidFill>
            </cx:spPr>
          </cx:dataPt>
          <cx:dataPt idx="19">
            <cx:spPr>
              <a:solidFill>
                <a:schemeClr val="accent1"/>
              </a:solidFill>
            </cx:spPr>
          </cx:dataPt>
          <cx:dataPt idx="20">
            <cx:spPr>
              <a:solidFill>
                <a:schemeClr val="accent1"/>
              </a:solidFill>
            </cx:spPr>
          </cx:dataPt>
          <cx:dataPt idx="21">
            <cx:spPr>
              <a:solidFill>
                <a:schemeClr val="accent6"/>
              </a:solidFill>
            </cx:spPr>
          </cx:dataPt>
          <cx:dataPt idx="22">
            <cx:spPr>
              <a:solidFill>
                <a:schemeClr val="accent1"/>
              </a:solidFill>
            </cx:spPr>
          </cx:dataPt>
          <cx:dataPt idx="23">
            <cx:spPr>
              <a:solidFill>
                <a:schemeClr val="accent1"/>
              </a:solidFill>
            </cx:spPr>
          </cx:dataPt>
          <cx:dataPt idx="24">
            <cx:spPr>
              <a:solidFill>
                <a:schemeClr val="accent1"/>
              </a:solidFill>
            </cx:spPr>
          </cx:dataPt>
          <cx:dataPt idx="25">
            <cx:spPr>
              <a:solidFill>
                <a:schemeClr val="accent6"/>
              </a:solidFill>
            </cx:spPr>
          </cx:dataPt>
          <cx:dataLabels>
            <cx:visibility seriesName="0" categoryName="0" value="1"/>
          </cx:dataLabels>
          <cx:dataId val="0"/>
          <cx:layoutPr>
            <cx:aggregation/>
          </cx:layoutPr>
          <cx:axisId val="1"/>
        </cx:series>
        <cx:series layoutId="paretoLine" ownerIdx="0" uniqueId="{8AC9A7F5-A0E7-4C42-B396-AC06538D0E5C}">
          <cx:spPr>
            <a:ln>
              <a:noFill/>
            </a:ln>
          </cx:spPr>
          <cx:axisId val="2"/>
        </cx:series>
      </cx:plotAreaRegion>
      <cx:axis id="0">
        <cx:catScaling gapWidth="0"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marL="0" marR="0" lvl="0" indent="0" algn="ctr" defTabSz="91440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/>
                </a:pPr>
                <a:r>
                  <a:rPr lang="en-US" sz="900" b="0" i="0" u="none" strike="noStrike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effectLst/>
                    <a:latin typeface="Calibri" panose="020F0502020204030204"/>
                  </a:rPr>
                  <a:t>Type of Institution (green=health sector + blue=non-health sector)</a:t>
                </a:r>
                <a:endParaRPr lang="en-US">
                  <a:effectLst/>
                </a:endParaRPr>
              </a:p>
              <a:p>
                <a:pPr marL="0" marR="0" lvl="0" indent="0" algn="ctr" defTabSz="91440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/>
                </a:pPr>
                <a:endParaRPr lang="en-US"/>
              </a:p>
            </cx:rich>
          </cx:tx>
        </cx:title>
        <cx:tickLabels/>
      </cx:axis>
      <cx:axis id="1">
        <cx:valScaling/>
        <cx:title>
          <cx:tx>
            <cx:rich>
              <a:bodyPr spcFirstLastPara="1" vertOverflow="ellipsis" wrap="square" lIns="0" tIns="0" rIns="0" bIns="0" anchor="ctr" anchorCtr="1"/>
              <a:lstStyle/>
              <a:p>
                <a:pPr algn="ctr">
                  <a:defRPr/>
                </a:pPr>
                <a:r>
                  <a:rPr lang="en-US"/>
                  <a:t>Number of Collaborations (out of 46)</a:t>
                </a:r>
              </a:p>
            </cx:rich>
          </cx:tx>
        </cx:title>
        <cx:majorGridlines/>
        <cx:tickLabels/>
      </cx:axis>
      <cx:axis id="2" hidden="1">
        <cx:valScaling max="1" min="0"/>
        <cx:units unit="percentage"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/>
      </a:solidFill>
    </cs:spPr>
  </cs:downBar>
  <cs:dropLine>
    <cs:lnRef idx="0"/>
    <cs:fillRef idx="0"/>
    <cs:effectRef idx="0"/>
    <cs:fontRef idx="minor">
      <a:schemeClr val="tx1"/>
    </cs:fontRef>
  </cs:dropLine>
  <cs:errorBar>
    <cs:lnRef idx="0"/>
    <cs:fillRef idx="0"/>
    <cs:effectRef idx="0"/>
    <cs:fontRef idx="minor">
      <a:schemeClr val="tx1"/>
    </cs:fontRef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tx1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</cs:hiLoLine>
  <cs:leaderLine>
    <cs:lnRef idx="0"/>
    <cs:fillRef idx="0"/>
    <cs:effectRef idx="0"/>
    <cs:fontRef idx="minor">
      <a:schemeClr val="tx1"/>
    </cs:fontRef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Tsai, Edward</dc:creator>
  <cp:keywords/>
  <dc:description/>
  <cp:lastModifiedBy>Tsai, Edward</cp:lastModifiedBy>
  <cp:revision>2</cp:revision>
  <dcterms:created xsi:type="dcterms:W3CDTF">2020-09-30T10:57:00Z</dcterms:created>
  <dcterms:modified xsi:type="dcterms:W3CDTF">2020-09-30T10:57:00Z</dcterms:modified>
</cp:coreProperties>
</file>