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D6412" w14:textId="77777777" w:rsidR="00532956" w:rsidRPr="00417140" w:rsidRDefault="00532956" w:rsidP="000D0F27">
      <w:r w:rsidRPr="00417140">
        <w:rPr>
          <w:b/>
          <w:bCs/>
        </w:rPr>
        <w:t>Additional file 5:</w:t>
      </w:r>
      <w:r w:rsidRPr="00417140">
        <w:t xml:space="preserve">  List of excluded reports with reason for exclusion </w:t>
      </w:r>
    </w:p>
    <w:tbl>
      <w:tblPr>
        <w:tblStyle w:val="Grilledutableau"/>
        <w:tblW w:w="13178" w:type="dxa"/>
        <w:tblLook w:val="04A0" w:firstRow="1" w:lastRow="0" w:firstColumn="1" w:lastColumn="0" w:noHBand="0" w:noVBand="1"/>
      </w:tblPr>
      <w:tblGrid>
        <w:gridCol w:w="3347"/>
        <w:gridCol w:w="1375"/>
        <w:gridCol w:w="8456"/>
      </w:tblGrid>
      <w:tr w:rsidR="00074617" w:rsidRPr="00417140" w14:paraId="2EA3156F" w14:textId="77777777" w:rsidTr="001D3324">
        <w:trPr>
          <w:tblHeader/>
        </w:trPr>
        <w:tc>
          <w:tcPr>
            <w:tcW w:w="3347" w:type="dxa"/>
            <w:shd w:val="clear" w:color="auto" w:fill="D9D9D9" w:themeFill="background1" w:themeFillShade="D9"/>
            <w:vAlign w:val="center"/>
          </w:tcPr>
          <w:p w14:paraId="561EFFA1"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b/>
                <w:lang w:val="en-CA"/>
              </w:rPr>
              <w:t>Authors [Reference]</w:t>
            </w:r>
          </w:p>
        </w:tc>
        <w:tc>
          <w:tcPr>
            <w:tcW w:w="1375" w:type="dxa"/>
            <w:shd w:val="clear" w:color="auto" w:fill="D9D9D9" w:themeFill="background1" w:themeFillShade="D9"/>
            <w:vAlign w:val="center"/>
          </w:tcPr>
          <w:p w14:paraId="7E41B227"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b/>
                <w:lang w:val="en-CA"/>
              </w:rPr>
              <w:t>Year of publication</w:t>
            </w:r>
          </w:p>
        </w:tc>
        <w:tc>
          <w:tcPr>
            <w:tcW w:w="8456" w:type="dxa"/>
            <w:shd w:val="clear" w:color="auto" w:fill="D9D9D9" w:themeFill="background1" w:themeFillShade="D9"/>
            <w:vAlign w:val="center"/>
          </w:tcPr>
          <w:p w14:paraId="395C8D3C"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b/>
                <w:lang w:val="en-CA"/>
              </w:rPr>
              <w:t>Reason for exclusion</w:t>
            </w:r>
          </w:p>
        </w:tc>
      </w:tr>
      <w:tr w:rsidR="00074617" w:rsidRPr="00417140" w14:paraId="253C5064" w14:textId="77777777" w:rsidTr="001D3324">
        <w:tc>
          <w:tcPr>
            <w:tcW w:w="3347" w:type="dxa"/>
            <w:vAlign w:val="center"/>
          </w:tcPr>
          <w:p w14:paraId="417A069C" w14:textId="0E16FB1D"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Aamir et al. </w:t>
            </w:r>
            <w:r w:rsidRPr="00417140">
              <w:fldChar w:fldCharType="begin"/>
            </w:r>
            <w:r w:rsidR="00E400D1">
              <w:rPr>
                <w:rFonts w:ascii="Times New Roman" w:hAnsi="Times New Roman" w:cs="Times New Roman"/>
                <w:lang w:val="en-CA"/>
              </w:rPr>
              <w:instrText xml:space="preserve"> ADDIN ZOTERO_ITEM CSL_CITATION {"citationID":"5Y9Bn8Ag","properties":{"formattedCitation":"[81]","plainCitation":"[81]","noteIndex":0},"citationItems":[{"id":1505,"uris":["http://zotero.org/users/1694537/items/FFVNJIAJ"],"uri":["http://zotero.org/users/1694537/items/FFVNJIAJ"],"itemData":{"id":1505,"type":"article-journal","container-title":"Health Policy and Technology","DOI":"10.1016/j.hlpt.2017.11.005","ISSN":"22118837","issue":"1","note":"section: 88","page":"88-97","title":"Enablers and inhibitors: A review of the situation regarding mHealth adoption in low- and middle-income countries","volume":"7","author":[{"family":"Aamir","given":"Javariya"},{"family":"Ali","given":"Syed Mustafa"},{"family":"Kamel Boulos","given":"Maged N."},{"family":"Anjum","given":"Naveed"},{"family":"Ishaq","given":"Muhammad"}],"issued":{"date-parts":[["2018"]]}}}],"schema":"https://github.com/citation-style-language/schema/raw/master/csl-citation.json"} </w:instrText>
            </w:r>
            <w:r w:rsidRPr="00417140">
              <w:fldChar w:fldCharType="separate"/>
            </w:r>
            <w:r w:rsidR="00E400D1" w:rsidRPr="00E400D1">
              <w:rPr>
                <w:rFonts w:ascii="Times New Roman" w:hAnsi="Times New Roman" w:cs="Times New Roman"/>
              </w:rPr>
              <w:t>[81]</w:t>
            </w:r>
            <w:r w:rsidRPr="00417140">
              <w:fldChar w:fldCharType="end"/>
            </w:r>
          </w:p>
        </w:tc>
        <w:tc>
          <w:tcPr>
            <w:tcW w:w="1375" w:type="dxa"/>
            <w:vAlign w:val="center"/>
          </w:tcPr>
          <w:p w14:paraId="015C6CDC"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51C8F3C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6E222505" w14:textId="77777777" w:rsidTr="001D3324">
        <w:tc>
          <w:tcPr>
            <w:tcW w:w="3347" w:type="dxa"/>
            <w:vAlign w:val="center"/>
          </w:tcPr>
          <w:p w14:paraId="15E4D563" w14:textId="4BC39AFB"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Agbakoba</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RYJXBY60","properties":{"formattedCitation":"[85]","plainCitation":"[85]","noteIndex":0},"citationItems":[{"id":1504,"uris":["http://zotero.org/users/1694537/items/RVPZP9XF"],"uri":["http://zotero.org/users/1694537/items/RVPZP9XF"],"itemData":{"id":1504,"type":"article-journal","abstract":"Little is known about the factors which facilitate or impede the large-scale deployment of health and well-being consumer technologies. The Living-It-Up project is a large-scale digital intervention led by NHS 24, aiming to transform health and well-being services delivery throughout Scotland. We conducted a qualitative study of the factors affecting the implementation and deployment of the Living-It-Up services. We collected a range of data during the initial phase of deployment, including semi-structured interviews (N = 6); participant observation sessions (N = 5) and meetings with key stakeholders (N = 3). We used the Normalisation Process Theory as an explanatory framework to interpret the social processes at play during the initial phases of deployment.Initial findings illustrate that it is clear - and perhaps not surprising - that the size and diversity of the Living-It-Up consortium made implementation processes more complex within a 'multi-stakeholder' environment. To overcome these barriers, there is a need to clearly define roles, tasks and responsibilities among the consortium partners. Furthermore, varying levels of expectations and requirements, as well as diverse cultures and ways of working, must be effectively managed. Factors which facilitated implementation included extensive stakeholder engagement, such as co-design activities, which can contribute to an increased 'buy-in' from users in the long term. An important lesson from the Living-It-Up initiative is that attempting to co-design innovative digital services, but at the same time, recruiting large numbers of users is likely to generate conflicting implementation priorities which hinder - or at least substantially slow down - the effective rollout of services at scale.The deployment of Living-It-Up services is ongoing, but our results to date suggest that - in order to be successful - the roll-out of digital health and well-being technologies at scale requires a delicate and pragmatic trade-off between co-design activities, the development of innovative services and the efforts allocated to widespread marketing and recruitment initiatives.","archive_location":"26276795","container-title":"Health Informatics J","DOI":"10.1177/1460458215594651","ISSN":"1741-2811 (Electronic) 1460-4582 (Linking)","issue":"4","note":"edition: 2015/08/16","page":"867-877","title":"Implementation factors affecting the large-scale deployment of digital health and well-being technologies: A qualitative study of the initial phases of the 'Living-It-Up' programme","volume":"22","author":[{"family":"Agbakoba","given":"R."},{"family":"McGee-Lennon","given":"M."},{"family":"Bouamrane","given":"M. M."},{"family":"Watson","given":"N."},{"family":"Mair","given":"F. S."}],"issued":{"date-parts":[["2016",12]]}}}],"schema":"https://github.com/citation-style-language/schema/raw/master/csl-citation.json"} </w:instrText>
            </w:r>
            <w:r w:rsidRPr="00417140">
              <w:fldChar w:fldCharType="separate"/>
            </w:r>
            <w:r w:rsidR="00E400D1" w:rsidRPr="00D97E01">
              <w:rPr>
                <w:rFonts w:ascii="Cambria" w:hAnsi="Cambria"/>
              </w:rPr>
              <w:t>[85]</w:t>
            </w:r>
            <w:r w:rsidRPr="00417140">
              <w:fldChar w:fldCharType="end"/>
            </w:r>
          </w:p>
        </w:tc>
        <w:tc>
          <w:tcPr>
            <w:tcW w:w="1375" w:type="dxa"/>
            <w:vAlign w:val="center"/>
          </w:tcPr>
          <w:p w14:paraId="06DAEE44"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17F35C21"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01CD6F0E" w14:textId="77777777" w:rsidTr="001D3324">
        <w:tc>
          <w:tcPr>
            <w:tcW w:w="3347" w:type="dxa"/>
            <w:vAlign w:val="center"/>
          </w:tcPr>
          <w:p w14:paraId="2EF31226" w14:textId="2A3C7274"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Bacci</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Yphyfcou","properties":{"formattedCitation":"[104]","plainCitation":"[104]","noteIndex":0},"citationItems":[{"id":284,"uris":["http://zotero.org/users/1694537/items/XJTUZBJP"],"uri":["http://zotero.org/users/1694537/items/XJTUZBJP"],"itemData":{"id":284,"type":"article-journal","abstract":"OBJECTIVES: The objectives of this study were to describe (1) key factors affecting the implementation and scalability of collaborative practice agreements (CPAs) and (2) CPA implementation strategies that have been used by chain community pharmacy organizations.\nDESIGN: Qualitative analysis using a work system approach.\nSETTING: Eight chain community pharmacy organizations with at least one pharmacy location in New York, Ohio, Pennsylvania, or West Virginia from August 2014 to March 2015.\nPARTICIPANTS: Ten clinical pharmacist managers and 9 practicing community pharmacists.\nINTERVENTION: Semistructured interviews with study participants. Interview transcripts were thematically analyzed using the Systems Engineering Initiative for Patient Safety (SEIPS) 2.0 model of work system and patient safety.\nMAIN OUTCOME MEASURES: Clinical pharmacist managers' and community pharmacists' perceptions of key factors and strategies for implementing and scaling CPAs, tools, and resources that could facilitate the implementation of CPAs.\nRESULTS: Seven themes emerged as key factors for the implementation and scalability of CPAs within the person, organization, external environment, and task domains of the SEIPS model, which include the need for building relationships with physicians and other health care providers, optimizing pharmacists' education and training, addressing patient perceptions, ensuring consistent operations, developing a sustainable business model, advocating for permissive state and federal legislation, and structuring time and workload. Examples of specific strategies included using existing physician relationships, identifying pharmacy- and regional-level champions, and allocating staffing based on prescription volume and clinical services.\nCONCLUSION: A number of key factors were identified that, when addressed, can facilitate the implementation and scalability of patient care services and CPAs. Chain community pharmacies should use the specific strategies for addressing each key factor that match the needs of their organization.","container-title":"Journal of the American Pharmacists Association: JAPhA","DOI":"10.1016/j.japh.2016.02.014","ISSN":"1544-3450","issue":"3","journalAbbreviation":"J Am Pharm Assoc (2003)","language":"eng","note":"PMID: 27053276","page":"257-265.e2","source":"PubMed","title":"Strategies to facilitate the implementation of collaborative practice agreements in chain community pharmacies","volume":"56","author":[{"family":"Bacci","given":"Jennifer L."},{"family":"Coley","given":"Kim C."},{"family":"McGrath","given":"Kyle"},{"family":"Abraham","given":"Olufunmilola"},{"family":"Adams","given":"Alex J."},{"family":"McGivney","given":"Melissa Somma"}],"issued":{"date-parts":[["2016",6]]}}}],"schema":"https://github.com/citation-style-language/schema/raw/master/csl-citation.json"} </w:instrText>
            </w:r>
            <w:r w:rsidRPr="00417140">
              <w:fldChar w:fldCharType="separate"/>
            </w:r>
            <w:r w:rsidR="00E400D1" w:rsidRPr="00E400D1">
              <w:rPr>
                <w:rFonts w:ascii="Times New Roman" w:hAnsi="Times New Roman" w:cs="Times New Roman"/>
                <w:lang w:val="en-CA"/>
              </w:rPr>
              <w:t>[104]</w:t>
            </w:r>
            <w:r w:rsidRPr="00417140">
              <w:fldChar w:fldCharType="end"/>
            </w:r>
          </w:p>
        </w:tc>
        <w:tc>
          <w:tcPr>
            <w:tcW w:w="1375" w:type="dxa"/>
            <w:vAlign w:val="center"/>
          </w:tcPr>
          <w:p w14:paraId="3E0C13D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70622FB7"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441CFA27" w14:textId="77777777" w:rsidTr="001D3324">
        <w:tc>
          <w:tcPr>
            <w:tcW w:w="3347" w:type="dxa"/>
            <w:vAlign w:val="center"/>
          </w:tcPr>
          <w:p w14:paraId="412A0B08" w14:textId="2BB5E444"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Brink et al. </w:t>
            </w:r>
            <w:r w:rsidRPr="00417140">
              <w:fldChar w:fldCharType="begin"/>
            </w:r>
            <w:r w:rsidR="00E400D1">
              <w:rPr>
                <w:rFonts w:ascii="Times New Roman" w:hAnsi="Times New Roman" w:cs="Times New Roman"/>
                <w:lang w:val="en-CA"/>
              </w:rPr>
              <w:instrText xml:space="preserve"> ADDIN ZOTERO_ITEM CSL_CITATION {"citationID":"L8rRWKhE","properties":{"formattedCitation":"[80]","plainCitation":"[80]","noteIndex":0},"citationItems":[{"id":283,"uris":["http://zotero.org/users/1694537/items/VE33QECS"],"uri":["http://zotero.org/users/1694537/items/VE33QECS"],"itemData":{"id":283,"type":"article-journal","abstract":"Abstract.  As health promotion methods are proven effective, the diffusion and widespread implementation of successful programs can significantly reduce behavio","container-title":"Health Education Research","DOI":"10.1093/her/10.3.283","ISSN":"0268-1153","issue":"3","journalAbbreviation":"Health Educ Res","language":"en","note":"publisher: Oxford Academic","page":"283-295","source":"academic.oup.com","title":"Diffusion of an effective tobacco prevention program. Part I: evaluation of the dissemination phase","title-short":"Diffusion of an effective tobacco prevention program. Part I","volume":"10","author":[{"family":"Brink","given":"Susan G."},{"family":"Basen-Engquist","given":"Karen M."},{"family":"O'Hara-Tompkins","given":"Nancy M."},{"family":"Parcel","given":"Guy S."},{"family":"Gottlieb","given":"Nell H."},{"family":"Lovato","given":"Chris Y."}],"issued":{"date-parts":[["1995",9,1]]}}}],"schema":"https://github.com/citation-style-language/schema/raw/master/csl-citation.json"} </w:instrText>
            </w:r>
            <w:r w:rsidRPr="00417140">
              <w:fldChar w:fldCharType="separate"/>
            </w:r>
            <w:r w:rsidR="00E400D1" w:rsidRPr="00E400D1">
              <w:rPr>
                <w:rFonts w:ascii="Times New Roman" w:hAnsi="Times New Roman" w:cs="Times New Roman"/>
                <w:lang w:val="en-CA"/>
              </w:rPr>
              <w:t>[80]</w:t>
            </w:r>
            <w:r w:rsidRPr="00417140">
              <w:fldChar w:fldCharType="end"/>
            </w:r>
          </w:p>
        </w:tc>
        <w:tc>
          <w:tcPr>
            <w:tcW w:w="1375" w:type="dxa"/>
            <w:vAlign w:val="center"/>
          </w:tcPr>
          <w:p w14:paraId="04F60C6D"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1995</w:t>
            </w:r>
          </w:p>
        </w:tc>
        <w:tc>
          <w:tcPr>
            <w:tcW w:w="8456" w:type="dxa"/>
            <w:vAlign w:val="center"/>
          </w:tcPr>
          <w:p w14:paraId="6E4765E5"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0949ABC6" w14:textId="77777777" w:rsidTr="001D3324">
        <w:tc>
          <w:tcPr>
            <w:tcW w:w="3347" w:type="dxa"/>
            <w:vAlign w:val="center"/>
          </w:tcPr>
          <w:p w14:paraId="26B57CAA" w14:textId="72049E6D"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Carlfjord</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dMTA4GQ3","properties":{"formattedCitation":"[88]","plainCitation":"[88]","noteIndex":0},"citationItems":[{"id":282,"uris":["http://zotero.org/users/1694537/items/ICKKQVYH"],"uri":["http://zotero.org/users/1694537/items/ICKKQVYH"],"itemData":{"id":282,"type":"article-journal","abstract":"Background\nBridging the knowledge-to-practice gap in health care is an important issue that has gained interest in recent years. Implementing new methods, guidelines or tools into routine care, however, is a slow and unpredictable process, and the factors that play a role in the change process are not yet fully understood. There is a number of theories concerned with factors predicting successful implementation in various settings, however, this issue is insufficiently studied in primary health care (PHC). The objective of this article was to apply implementation theory to identify key factors influencing the adoption of an innovation being introduced in PHC in Sweden.\n\nMethods\nA qualitative study was carried out with staff at six PHC units in Sweden where a computer-based test for lifestyle intervention had been implemented. Two different implementation strategies, implicit or explicit, were used. Sixteen focus group interviews and two individual interviews were performed. In the analysis a theoretical framework based on studies of implementation in health service organizations, was applied to identify key factors influencing adoption.\n\nResults\nThe theoretical framework proved to be relevant for studies in PHC. Adoption was positively influenced by positive expectations at the unit, perceptions of the innovation being compatible with existing routines and perceived advantages. An explicit implementation strategy and positive opinions on change and innovation were also associated with adoption. Organizational changes and staff shortages coinciding with implementation seemed to be obstacles for the adoption process.\n\nConclusion\nWhen implementation theory obtained from studies in other areas was applied in PHC it proved to be relevant for this particular setting. Based on our results, factors to be taken into account in the planning of the implementation of a new tool in PHC should include assessment of staff expectations, assessment of the perceived need for the innovation to be implemented, and of its potential compatibility with existing routines. Regarding context, we suggest that implementation concurrent with other major organizational changes should be avoided. The choice of implementation strategy should be given thorough consideration.","container-title":"BMC Family Practice","DOI":"10.1186/1471-2296-11-60","ISSN":"1471-2296","journalAbbreviation":"BMC Fam Pract","note":"PMID: 20731817\nPMCID: PMC2933616","page":"60","source":"PubMed Central","title":"Key factors influencing adoption of an innovation in primary health care: a qualitative study based on implementation theory","title-short":"Key factors influencing adoption of an innovation in primary health care","volume":"11","author":[{"family":"Carlfjord","given":"Siw"},{"family":"Lindberg","given":"Malou"},{"family":"Bendtsen","given":"Preben"},{"family":"Nilsen","given":"Per"},{"family":"Andersson","given":"Agneta"}],"issued":{"date-parts":[["2010",8,23]]}}}],"schema":"https://github.com/citation-style-language/schema/raw/master/csl-citation.json"} </w:instrText>
            </w:r>
            <w:r w:rsidRPr="00417140">
              <w:fldChar w:fldCharType="separate"/>
            </w:r>
            <w:r w:rsidR="00E400D1" w:rsidRPr="00D97E01">
              <w:rPr>
                <w:rFonts w:ascii="Cambria" w:hAnsi="Cambria"/>
              </w:rPr>
              <w:t>[88]</w:t>
            </w:r>
            <w:r w:rsidRPr="00417140">
              <w:fldChar w:fldCharType="end"/>
            </w:r>
          </w:p>
        </w:tc>
        <w:tc>
          <w:tcPr>
            <w:tcW w:w="1375" w:type="dxa"/>
            <w:vAlign w:val="center"/>
          </w:tcPr>
          <w:p w14:paraId="1B7C5F1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2010</w:t>
            </w:r>
          </w:p>
        </w:tc>
        <w:tc>
          <w:tcPr>
            <w:tcW w:w="8456" w:type="dxa"/>
            <w:vAlign w:val="center"/>
          </w:tcPr>
          <w:p w14:paraId="0D58232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21906D1C" w14:textId="77777777" w:rsidTr="001D3324">
        <w:tc>
          <w:tcPr>
            <w:tcW w:w="3347" w:type="dxa"/>
            <w:vAlign w:val="center"/>
          </w:tcPr>
          <w:p w14:paraId="6A4F702B" w14:textId="6383F970"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Carr</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dGrQFN4h","properties":{"formattedCitation":"[77]","plainCitation":"[77]","noteIndex":0},"citationItems":[{"id":281,"uris":["http://zotero.org/users/1694537/items/XTWS4ELE"],"uri":["http://zotero.org/users/1694537/items/XTWS4ELE"],"itemData":{"id":281,"type":"article-journal","abstract":"Background\nRecruitment to research studies in primary care is challenging despite widespread implementation of electronic patient record (EPR) systems which potentially make it easier to identify eligible cases.\n\nMethods\nLiterature review and applying the learning from a European research readiness assessment tool, the TRANSFoRm International Research Readiness instrument (TIRRE), to the context of the English NHS in order to develop a model to assess a practice’s research readiness.\n\nResults\nSeven dimensions of research readiness were identified: (1) Data readiness: Is there good data quality in EPR systems; (2) Record readiness: Are EPR data able to identify eligible cases and other study data; (3) Organisational readiness: Are the health system and socio-cultural environment supportive; (4) Governance readiness: Does the study meet legal and local health system regulatory compliance; (5) Study-specific readiness; (6) Business process readiness: Are business processes tilted in favour of participation: including capacity and capability to take on extra work, financial incentives as well as intangibles such as social and intellectual capital; (7) Patient readiness: Are systems in place to recruit patients and obtain informed consent?\n\nConclusions\nThe model might enable the development of interventions to increase participation in primary care-based research and become a tool to measure the progress of practice networks towards the most advanced state of readiness.","container-title":"BMC Family Practice","DOI":"10.1186/s12875-014-0169-6","ISSN":"1471-2296","journalAbbreviation":"BMC Fam Pract","note":"PMID: 25425143\nPMCID: PMC4260213","source":"PubMed Central","title":"Defining dimensions of research readiness: a conceptual model for primary care research networks","title-short":"Defining dimensions of research readiness","URL":"https://www.ncbi.nlm.nih.gov/pmc/articles/PMC4260213/","volume":"15","author":[{"family":"Carr","given":"Helen"},{"family":"Lusignan","given":"Simon","non-dropping-particle":"de"},{"family":"Liyanage","given":"Harshana"},{"family":"Liaw","given":"Siaw-Teng"},{"family":"Terry","given":"Amanda"},{"family":"Rafi","given":"Imran"}],"accessed":{"date-parts":[["2020",8,21]]},"issued":{"date-parts":[["2014",11,26]]}}}],"schema":"https://github.com/citation-style-language/schema/raw/master/csl-citation.json"} </w:instrText>
            </w:r>
            <w:r w:rsidRPr="00417140">
              <w:fldChar w:fldCharType="separate"/>
            </w:r>
            <w:r w:rsidR="00E400D1" w:rsidRPr="00E400D1">
              <w:rPr>
                <w:rFonts w:ascii="Times New Roman" w:hAnsi="Times New Roman" w:cs="Times New Roman"/>
              </w:rPr>
              <w:t>[77]</w:t>
            </w:r>
            <w:r w:rsidRPr="00417140">
              <w:fldChar w:fldCharType="end"/>
            </w:r>
          </w:p>
        </w:tc>
        <w:tc>
          <w:tcPr>
            <w:tcW w:w="1375" w:type="dxa"/>
            <w:vAlign w:val="center"/>
          </w:tcPr>
          <w:p w14:paraId="048F0607"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2014</w:t>
            </w:r>
          </w:p>
        </w:tc>
        <w:tc>
          <w:tcPr>
            <w:tcW w:w="8456" w:type="dxa"/>
            <w:vAlign w:val="center"/>
          </w:tcPr>
          <w:p w14:paraId="7DE6FD4D"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476DECF4" w14:textId="77777777" w:rsidTr="001D3324">
        <w:tc>
          <w:tcPr>
            <w:tcW w:w="3347" w:type="dxa"/>
            <w:vAlign w:val="center"/>
          </w:tcPr>
          <w:p w14:paraId="3CB681A5" w14:textId="2492627A"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Davies et al. </w:t>
            </w:r>
            <w:r w:rsidRPr="00417140">
              <w:fldChar w:fldCharType="begin"/>
            </w:r>
            <w:r w:rsidR="00E400D1">
              <w:rPr>
                <w:rFonts w:ascii="Times New Roman" w:hAnsi="Times New Roman" w:cs="Times New Roman"/>
                <w:lang w:val="en-CA"/>
              </w:rPr>
              <w:instrText xml:space="preserve"> ADDIN ZOTERO_ITEM CSL_CITATION {"citationID":"GNydhYam","properties":{"formattedCitation":"[65]","plainCitation":"[65]","noteIndex":0},"citationItems":[{"id":280,"uris":["http://zotero.org/users/1694537/items/63QU9L56"],"uri":["http://zotero.org/users/1694537/items/63QU9L56"],"itemData":{"id":280,"type":"article-journal","abstract":"Cellular therapies, such as stem cell-based treatments, have been widely researched and numerous products and treatments have been developed. Despite this, there has been relatively limited use of these technologies in the healthcare sector. This study sought to investigate the perceived barriers to this more widespread adoption. An anonymous online questionnaire was developed, based on the findings of a pilot study. This was distributed to an audience of clinicians, researchers and commercial experts in 13 countries. The results were analysed for all respondents, and also sub-grouped by geographical region, and by profession of respondents. The results of the study showed that the most significant barrier was manufacturing, with other factors such as efficacy, regulation and cost-effectiveness being identified by the different groups. This study further demonstrates the need for these important issues to be addressed during the development of cellular therapies to enable more widespread adoption of these treatments.","container-title":"Journal of Tissue Engineering","DOI":"10.1177/2041731417724413","ISSN":"2041-7314","journalAbbreviation":"J Tissue Eng","language":"eng","note":"PMID: 28835816\nPMCID: PMC5557158","page":"2041731417724413","source":"PubMed","title":"A quantitative, multi-national and multi-stakeholder assessment of barriers to the adoption of cell therapies","volume":"8","author":[{"family":"Davies","given":"Benjamin M."},{"family":"Smith","given":"James"},{"family":"Rikabi","given":"Sarah"},{"family":"Wartolowska","given":"Karolina"},{"family":"Morrey","given":"Mark"},{"family":"French","given":"Anna"},{"family":"MacLaren","given":"Robert"},{"family":"Williams","given":"David"},{"family":"Bure","given":"Kim"},{"family":"Pinedo-Villanueva","given":"Rafael"},{"family":"Mathur","given":"Anthony"},{"family":"Birchall","given":"Martin"},{"family":"Snyder","given":"Evan"},{"family":"Atala","given":"Anthony"},{"family":"Reeve","given":"Brock"},{"family":"Brindley","given":"David"}],"issued":{"date-parts":[["2017",12]]}}}],"schema":"https://github.com/citation-style-language/schema/raw/master/csl-citation.json"} </w:instrText>
            </w:r>
            <w:r w:rsidRPr="00417140">
              <w:fldChar w:fldCharType="separate"/>
            </w:r>
            <w:r w:rsidR="00E400D1" w:rsidRPr="00E400D1">
              <w:rPr>
                <w:rFonts w:ascii="Times New Roman" w:hAnsi="Times New Roman" w:cs="Times New Roman"/>
              </w:rPr>
              <w:t>[65]</w:t>
            </w:r>
            <w:r w:rsidRPr="00417140">
              <w:fldChar w:fldCharType="end"/>
            </w:r>
          </w:p>
        </w:tc>
        <w:tc>
          <w:tcPr>
            <w:tcW w:w="1375" w:type="dxa"/>
            <w:vAlign w:val="center"/>
          </w:tcPr>
          <w:p w14:paraId="409872CE"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337916D6"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4970CFF2" w14:textId="77777777" w:rsidTr="001D3324">
        <w:tc>
          <w:tcPr>
            <w:tcW w:w="3347" w:type="dxa"/>
            <w:vAlign w:val="center"/>
          </w:tcPr>
          <w:p w14:paraId="5F2824FB" w14:textId="2FE83CF2"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Diwan </w:t>
            </w:r>
            <w:r w:rsidRPr="00417140">
              <w:fldChar w:fldCharType="begin"/>
            </w:r>
            <w:r w:rsidR="00E400D1">
              <w:rPr>
                <w:rFonts w:ascii="Times New Roman" w:hAnsi="Times New Roman" w:cs="Times New Roman"/>
                <w:lang w:val="en-CA"/>
              </w:rPr>
              <w:instrText xml:space="preserve"> ADDIN ZOTERO_ITEM CSL_CITATION {"citationID":"7NvbcjZ0","properties":{"formattedCitation":"[79]","plainCitation":"[79]","noteIndex":0},"citationItems":[{"id":279,"uris":["http://zotero.org/users/1694537/items/SV8WPI5J"],"uri":["http://zotero.org/users/1694537/items/SV8WPI5J"],"itemData":{"id":279,"type":"article-journal","abstract":"Differences in the scalability of formal and informal in-home care to elderly are examined. A Guttman scale showed that exclusive use of informal in-home care was hierarchically scalable, but not when services were provided by any formal sources. There was some clustering of formal services, for example, a large number of those who received meals also used homemaker services. However, a large number of those who received nursing did not receive personal care. There was no overall pattern to the use of formal services. Implications of these findings as related to service planning and delivery are discussed.","container-title":"Home Health Care Services Quarterly","DOI":"10.1300/J027v14n04_08","ISSN":"0162-1424","issue":"4","journalAbbreviation":"Home Health Care Serv Q","language":"eng","note":"PMID: 10134024","page":"105-116","source":"PubMed","title":"Differences in the scalability of formal and informal in-home care of urban elderly","volume":"14","author":[{"family":"Diwan","given":"S."}],"issued":{"date-parts":[["1994"]]}}}],"schema":"https://github.com/citation-style-language/schema/raw/master/csl-citation.json"} </w:instrText>
            </w:r>
            <w:r w:rsidRPr="00417140">
              <w:fldChar w:fldCharType="separate"/>
            </w:r>
            <w:r w:rsidR="00E400D1" w:rsidRPr="00E400D1">
              <w:rPr>
                <w:rFonts w:ascii="Times New Roman" w:hAnsi="Times New Roman" w:cs="Times New Roman"/>
              </w:rPr>
              <w:t>[79]</w:t>
            </w:r>
            <w:r w:rsidRPr="00417140">
              <w:fldChar w:fldCharType="end"/>
            </w:r>
          </w:p>
        </w:tc>
        <w:tc>
          <w:tcPr>
            <w:tcW w:w="1375" w:type="dxa"/>
            <w:vAlign w:val="center"/>
          </w:tcPr>
          <w:p w14:paraId="221F90F2"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1994</w:t>
            </w:r>
          </w:p>
        </w:tc>
        <w:tc>
          <w:tcPr>
            <w:tcW w:w="8456" w:type="dxa"/>
            <w:vAlign w:val="center"/>
          </w:tcPr>
          <w:p w14:paraId="30084CA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1F61C809" w14:textId="77777777" w:rsidTr="001D3324">
        <w:tc>
          <w:tcPr>
            <w:tcW w:w="3347" w:type="dxa"/>
            <w:vAlign w:val="center"/>
          </w:tcPr>
          <w:p w14:paraId="07E662BD" w14:textId="494303AD"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Egeland et al. </w:t>
            </w:r>
            <w:r w:rsidRPr="00417140">
              <w:fldChar w:fldCharType="begin"/>
            </w:r>
            <w:r w:rsidR="00E400D1">
              <w:rPr>
                <w:rFonts w:ascii="Times New Roman" w:hAnsi="Times New Roman" w:cs="Times New Roman"/>
                <w:lang w:val="en-CA"/>
              </w:rPr>
              <w:instrText xml:space="preserve"> ADDIN ZOTERO_ITEM CSL_CITATION {"citationID":"01Fy9u52","properties":{"formattedCitation":"[97]","plainCitation":"[97]","noteIndex":0},"citationItems":[{"id":278,"uris":["http://zotero.org/users/1694537/items/5Q45YAG3"],"uri":["http://zotero.org/users/1694537/items/5Q45YAG3"],"itemData":{"id":278,"type":"article-journal","abstract":"BACKGROUND: Attitudes can be a precursor to the decision of whether or not to try a new practice. In order to tailor the implementation of evidence-based practices (EBPs) in mental health settings, we must first consider practitioner attitudes towards EBP adoption. To assess these attitudes, the Evidence-Based Practice Attitude Scale (EBPAS) was developed. The purpose of this study was to investigate the psychometric properties of the Norwegian version of the EBPAS, and to examine differences in attitudes towards implementing EBPs among mental health practitioners.\nMETHODS: The EBPAS was translated into Norwegian and administered to 294 practitioners from seven primary and 22 specialized mental care units within a defined geographical area of Norway.\nRESULTS: The EBPAS showed good psychometric properties. The less clinical experience the practitioner had, the more positive their attitude toward EBPs. Primary care practitioners reported more positive attitudes towards implementing EBPs that were required of them than specialized care practitioners.\nCONCLUSIONS: The Norwegian version of the EBPAS is a promising tool for measuring implementation readiness in mental health services, and can be used in clinical practice to tailor implementation efforts.\nTRIAL REGISTRATION: The study was approved by the regional committees for medical and health research ethics [ REK 2013/2035 ] on 25(th) of May, 2014.","container-title":"Health Research Policy and Systems","DOI":"10.1186/s12961-016-0114-3","ISSN":"1478-4505","issue":"1","journalAbbreviation":"Health Res Policy Syst","language":"eng","note":"PMID: 27316675\nPMCID: PMC4912744","page":"47","source":"PubMed","title":"Psychometric properties of the Norwegian version of the Evidence-Based Practice Attitude Scale (EBPAS): to measure implementation readiness","title-short":"Psychometric properties of the Norwegian version of the Evidence-Based Practice Attitude Scale (EBPAS)","volume":"14","author":[{"family":"Egeland","given":"Karina M."},{"family":"Ruud","given":"Torleif"},{"family":"Ogden","given":"Terje"},{"family":"Lindstrøm","given":"Jonas Christoffer"},{"family":"Heiervang","given":"Kristin Sverdvik"}],"issued":{"date-parts":[["2016",6,17]]}}}],"schema":"https://github.com/citation-style-language/schema/raw/master/csl-citation.json"} </w:instrText>
            </w:r>
            <w:r w:rsidRPr="00417140">
              <w:fldChar w:fldCharType="separate"/>
            </w:r>
            <w:r w:rsidR="00E400D1" w:rsidRPr="00E400D1">
              <w:rPr>
                <w:rFonts w:ascii="Times New Roman" w:hAnsi="Times New Roman" w:cs="Times New Roman"/>
              </w:rPr>
              <w:t>[97]</w:t>
            </w:r>
            <w:r w:rsidRPr="00417140">
              <w:fldChar w:fldCharType="end"/>
            </w:r>
          </w:p>
        </w:tc>
        <w:tc>
          <w:tcPr>
            <w:tcW w:w="1375" w:type="dxa"/>
            <w:vAlign w:val="center"/>
          </w:tcPr>
          <w:p w14:paraId="2C66AEC0"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7A4AB72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3AF279C9" w14:textId="77777777" w:rsidTr="001D3324">
        <w:tc>
          <w:tcPr>
            <w:tcW w:w="3347" w:type="dxa"/>
            <w:vAlign w:val="center"/>
          </w:tcPr>
          <w:p w14:paraId="0543CBD4" w14:textId="75E3980D"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Ezeanochie</w:t>
            </w:r>
            <w:proofErr w:type="spellEnd"/>
            <w:r w:rsidRPr="00417140">
              <w:rPr>
                <w:rFonts w:ascii="Times New Roman" w:hAnsi="Times New Roman" w:cs="Times New Roman"/>
                <w:lang w:val="en-CA"/>
              </w:rPr>
              <w:t xml:space="preserve"> </w:t>
            </w:r>
            <w:r w:rsidRPr="00417140">
              <w:fldChar w:fldCharType="begin"/>
            </w:r>
            <w:r w:rsidR="00E400D1">
              <w:rPr>
                <w:rFonts w:ascii="Times New Roman" w:hAnsi="Times New Roman" w:cs="Times New Roman"/>
                <w:lang w:val="en-CA"/>
              </w:rPr>
              <w:instrText xml:space="preserve"> ADDIN ZOTERO_ITEM CSL_CITATION {"citationID":"RMntbNXk","properties":{"formattedCitation":"[83]","plainCitation":"[83]","noteIndex":0},"citationItems":[{"id":277,"uris":["http://zotero.org/users/1694537/items/HRT9MBAB"],"uri":["http://zotero.org/users/1694537/items/HRT9MBAB"],"itemData":{"id":277,"type":"thesis","genre":"PhD Thesis","publisher":"University of Colorado at Denver","source":"Google Scholar","title":"Exploring the Adoption and Scale of Mobile Health Solutions: Antenatal Mobile Application Data Exchange in Nigeria","title-short":"Exploring the Adoption and Scale of Mobile Health Solutions","author":[{"family":"Ezeanochie","given":"Nnamdi Peter"}],"issued":{"date-parts":[["2017"]]}}}],"schema":"https://github.com/citation-style-language/schema/raw/master/csl-citation.json"} </w:instrText>
            </w:r>
            <w:r w:rsidRPr="00417140">
              <w:fldChar w:fldCharType="separate"/>
            </w:r>
            <w:r w:rsidR="00E400D1" w:rsidRPr="00E400D1">
              <w:rPr>
                <w:rFonts w:ascii="Times New Roman" w:hAnsi="Times New Roman" w:cs="Times New Roman"/>
              </w:rPr>
              <w:t>[83]</w:t>
            </w:r>
            <w:r w:rsidRPr="00417140">
              <w:fldChar w:fldCharType="end"/>
            </w:r>
          </w:p>
        </w:tc>
        <w:tc>
          <w:tcPr>
            <w:tcW w:w="1375" w:type="dxa"/>
            <w:vAlign w:val="center"/>
          </w:tcPr>
          <w:p w14:paraId="14EF2D3B"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36A6E02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72A11564" w14:textId="77777777" w:rsidTr="001D3324">
        <w:tc>
          <w:tcPr>
            <w:tcW w:w="3347" w:type="dxa"/>
            <w:vAlign w:val="center"/>
          </w:tcPr>
          <w:p w14:paraId="0336D549" w14:textId="110E2085"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Fischer et al. </w:t>
            </w:r>
            <w:r w:rsidRPr="00417140">
              <w:fldChar w:fldCharType="begin"/>
            </w:r>
            <w:r w:rsidR="00E400D1">
              <w:rPr>
                <w:rFonts w:ascii="Times New Roman" w:hAnsi="Times New Roman" w:cs="Times New Roman"/>
                <w:lang w:val="en-CA"/>
              </w:rPr>
              <w:instrText xml:space="preserve"> ADDIN ZOTERO_ITEM CSL_CITATION {"citationID":"qb0CiH0G","properties":{"formattedCitation":"[95]","plainCitation":"[95]","noteIndex":0},"citationItems":[{"id":1506,"uris":["http://zotero.org/users/1694537/items/JTWV8LYN"],"uri":["http://zotero.org/users/1694537/items/JTWV8LYN"],"itemData":{"id":1506,"type":"article-journal","abstract":"New devices are considered intuitive when they allow users to transfer prior knowledge. Drawing upon fundamental psychology experiments that distinguish prior knowledge transfer from new schema induction, a procedure was specified for assessing intuitive use. This procedure was tested with 31 participants who, prior to using an on-board computer prototype, studied its screenshots in reading vs. schema induction conditions. Distinct patterns of transfer or induction resulted for features of the prototype whose functions were familiar or unfamiliar, respectively. Though moderated by participants' cognitive style, these findings demonstrated a means for quantitatively assessing transfer of prior knowledge as the operation that underlies intuitive use. Implications for interface evaluation and design, as well as potential improvements to the procedure, are discussed.","archive_location":"25145662","container-title":"Appl Ergon","DOI":"10.1016/j.apergo.2014.05.010","ISSN":"1872-9126 (Electronic) 0003-6870 (Linking)","note":"edition: 2014/08/26","page":"8-20","title":"Prior schemata transfer as an account for assessing the intuitive use of new technology","volume":"46 Pt A","author":[{"family":"Fischer","given":"S."},{"family":"Itoh","given":"M."},{"family":"Inagaki","given":"T."}],"issued":{"date-parts":[["2015",1]]}}}],"schema":"https://github.com/citation-style-language/schema/raw/master/csl-citation.json"} </w:instrText>
            </w:r>
            <w:r w:rsidRPr="00417140">
              <w:fldChar w:fldCharType="separate"/>
            </w:r>
            <w:r w:rsidR="00E400D1" w:rsidRPr="00E400D1">
              <w:rPr>
                <w:rFonts w:ascii="Times New Roman" w:hAnsi="Times New Roman" w:cs="Times New Roman"/>
              </w:rPr>
              <w:t>[95]</w:t>
            </w:r>
            <w:r w:rsidRPr="00417140">
              <w:fldChar w:fldCharType="end"/>
            </w:r>
          </w:p>
        </w:tc>
        <w:tc>
          <w:tcPr>
            <w:tcW w:w="1375" w:type="dxa"/>
            <w:vAlign w:val="center"/>
          </w:tcPr>
          <w:p w14:paraId="69A10D0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2015</w:t>
            </w:r>
          </w:p>
        </w:tc>
        <w:tc>
          <w:tcPr>
            <w:tcW w:w="8456" w:type="dxa"/>
            <w:vAlign w:val="center"/>
          </w:tcPr>
          <w:p w14:paraId="627D0E7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5E321FBC" w14:textId="77777777" w:rsidTr="001D3324">
        <w:tc>
          <w:tcPr>
            <w:tcW w:w="3347" w:type="dxa"/>
            <w:vAlign w:val="center"/>
          </w:tcPr>
          <w:p w14:paraId="28BE8A93" w14:textId="7C8ED0FE"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Flynn et al. </w:t>
            </w:r>
            <w:r w:rsidRPr="00417140">
              <w:fldChar w:fldCharType="begin"/>
            </w:r>
            <w:r w:rsidR="00E400D1">
              <w:rPr>
                <w:rFonts w:ascii="Times New Roman" w:hAnsi="Times New Roman" w:cs="Times New Roman"/>
                <w:lang w:val="en-CA"/>
              </w:rPr>
              <w:instrText xml:space="preserve"> ADDIN ZOTERO_ITEM CSL_CITATION {"citationID":"yN5VSkjy","properties":{"formattedCitation":"[68]","plainCitation":"[68]","noteIndex":0},"citationItems":[{"id":262,"uris":["http://zotero.org/users/1694537/items/7RP389D4"],"uri":["http://zotero.org/users/1694537/items/7RP389D4"],"itemData":{"id":262,"type":"article-journal","container-title":"Pharmacoepidemiology and Drug Safety,","note":"number-of-volumes: s3","page":"124-124","title":"An efficient and inexpensive system for the distribution and tracking of investigational medicinal products in streamlined safety trials.","volume":"21","author":[{"family":"Flynn","given":"RW"},{"family":"McDonnell","given":"PG"},{"family":"Mackenzie","given":"IS"},{"family":"Wei","given":"L"},{"family":"MacDonald","given":"TM"}],"issued":{"date-parts":[["2012"]]}}}],"schema":"https://github.com/citation-style-language/schema/raw/master/csl-citation.json"} </w:instrText>
            </w:r>
            <w:r w:rsidRPr="00417140">
              <w:fldChar w:fldCharType="separate"/>
            </w:r>
            <w:r w:rsidR="00E400D1" w:rsidRPr="00E400D1">
              <w:rPr>
                <w:rFonts w:ascii="Times New Roman" w:hAnsi="Times New Roman" w:cs="Times New Roman"/>
              </w:rPr>
              <w:t>[68]</w:t>
            </w:r>
            <w:r w:rsidRPr="00417140">
              <w:fldChar w:fldCharType="end"/>
            </w:r>
          </w:p>
        </w:tc>
        <w:tc>
          <w:tcPr>
            <w:tcW w:w="1375" w:type="dxa"/>
            <w:vAlign w:val="center"/>
          </w:tcPr>
          <w:p w14:paraId="30D6FCF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2012</w:t>
            </w:r>
          </w:p>
        </w:tc>
        <w:tc>
          <w:tcPr>
            <w:tcW w:w="8456" w:type="dxa"/>
            <w:vAlign w:val="center"/>
          </w:tcPr>
          <w:p w14:paraId="42B2BE0F"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57DBAC53" w14:textId="77777777" w:rsidTr="001D3324">
        <w:tc>
          <w:tcPr>
            <w:tcW w:w="3347" w:type="dxa"/>
            <w:vAlign w:val="center"/>
          </w:tcPr>
          <w:p w14:paraId="43F86AC7" w14:textId="6CA1549E"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Fogerty</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oXr6R4nS","properties":{"formattedCitation":"[94]","plainCitation":"[94]","noteIndex":0},"citationItems":[{"id":263,"uris":["http://zotero.org/users/1694537/items/43AZNNFU"],"uri":["http://zotero.org/users/1694537/items/43AZNNFU"],"itemData":{"id":263,"type":"article-journal","container-title":"Journal Of General Internal Medicine","page":"902-903","title":"Pilot of a low-resource, EHR-based protocol for sepsis monitoring, alert, and intervention","volume":"31","author":[{"family":"Fogerty","given":"RL"},{"family":"Sankey","given":"C"},{"family":"Kenyon","given":"K"},{"family":"Sussman","given":"S"},{"family":"Sigurdsson","given":"S"},{"family":"Kliger","given":"AS"}],"issued":{"date-parts":[["2016"]]}}}],"schema":"https://github.com/citation-style-language/schema/raw/master/csl-citation.json"} </w:instrText>
            </w:r>
            <w:r w:rsidRPr="00417140">
              <w:fldChar w:fldCharType="separate"/>
            </w:r>
            <w:r w:rsidR="00E400D1" w:rsidRPr="00E400D1">
              <w:rPr>
                <w:rFonts w:ascii="Times New Roman" w:hAnsi="Times New Roman" w:cs="Times New Roman"/>
              </w:rPr>
              <w:t>[94]</w:t>
            </w:r>
            <w:r w:rsidRPr="00417140">
              <w:fldChar w:fldCharType="end"/>
            </w:r>
          </w:p>
        </w:tc>
        <w:tc>
          <w:tcPr>
            <w:tcW w:w="1375" w:type="dxa"/>
            <w:vAlign w:val="center"/>
          </w:tcPr>
          <w:p w14:paraId="2C253B52"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2B61894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5EDE44C0" w14:textId="77777777" w:rsidTr="001D3324">
        <w:tc>
          <w:tcPr>
            <w:tcW w:w="3347" w:type="dxa"/>
            <w:vAlign w:val="center"/>
          </w:tcPr>
          <w:p w14:paraId="216ED5F4" w14:textId="5430A454"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Forkuo</w:t>
            </w:r>
            <w:proofErr w:type="spellEnd"/>
            <w:r w:rsidRPr="00417140">
              <w:rPr>
                <w:rFonts w:ascii="Times New Roman" w:hAnsi="Times New Roman" w:cs="Times New Roman"/>
                <w:lang w:val="en-CA"/>
              </w:rPr>
              <w:t xml:space="preserve">-Minka A </w:t>
            </w:r>
            <w:r w:rsidRPr="00417140">
              <w:fldChar w:fldCharType="begin"/>
            </w:r>
            <w:r w:rsidR="00E400D1">
              <w:rPr>
                <w:rFonts w:ascii="Times New Roman" w:hAnsi="Times New Roman" w:cs="Times New Roman"/>
                <w:lang w:val="en-CA"/>
              </w:rPr>
              <w:instrText xml:space="preserve"> ADDIN ZOTERO_ITEM CSL_CITATION {"citationID":"Ri080zIK","properties":{"formattedCitation":"[90]","plainCitation":"[90]","noteIndex":0},"citationItems":[{"id":260,"uris":["http://zotero.org/users/1694537/items/7LD3H5FU"],"uri":["http://zotero.org/users/1694537/items/7LD3H5FU"],"itemData":{"id":260,"type":"article-journal","abstract":"In the service sector, there is widespread understanding of how knowledge transfer contributes to increased productivity. However, there is no evidence of the extent to which school nursing services benefit from transfer of externally sourced and internally generated knowledge.This study aims to explore and describe the perception and practice of knowledge transfer in school nursing, and to establish whether school nurses were aware of knowledge repositories and what tools were available for access. The study also aims to generate a knowledge transfer framework and describes the reasons why perceived productivity was low or high within a school nursing service.The study used grounded theory strategy, and with a purposive sampling of 20 participants, data were collected using open questions in semi-structured interviews. The constant comparative analysis techniques were employed to code the data into themes to form conclusions. The coding was supported with the use of QSR NVivo 10 qualitative analysis software.The findings suggest that knowledge exists in the form of best practice, cumulative competence, and expertise in school nursing. However, the absence of a framework to link this knowledge to enhance productivity was highlighted. The study findings have highlighted that there was exasperation with the interface between resource and practice and that structural issues in school nursing services made the transfer of knowledge challenging.In conclusion, school nursing knowledge repositories were variable and lacked frameworks to link to enhanced productivity. School nursing teams and caseload allocation must be reviewed, and performance measured in a systematic manner.","container-title":"British Journal of School Nursing","DOI":"10.12968/bjsn.2018.13.1.26","ISSN":"1752-2803","issue":"1","note":"publisher: Mark Allen Group","page":"26-35","source":"www-magonlinelibrary-com.acces.bibl.ulaval.ca (Atypon)","title":"Knowledge transfer: Theoretical framework to systematically spread best practice","title-short":"Knowledge transfer","volume":"13","author":[{"family":"Forkuo-Minka","given":"Anthony"}],"issued":{"date-parts":[["2018",2,2]]}}}],"schema":"https://github.com/citation-style-language/schema/raw/master/csl-citation.json"} </w:instrText>
            </w:r>
            <w:r w:rsidRPr="00417140">
              <w:fldChar w:fldCharType="separate"/>
            </w:r>
            <w:r w:rsidR="00E400D1" w:rsidRPr="00E400D1">
              <w:rPr>
                <w:rFonts w:ascii="Times New Roman" w:hAnsi="Times New Roman" w:cs="Times New Roman"/>
              </w:rPr>
              <w:t>[90]</w:t>
            </w:r>
            <w:r w:rsidRPr="00417140">
              <w:fldChar w:fldCharType="end"/>
            </w:r>
          </w:p>
        </w:tc>
        <w:tc>
          <w:tcPr>
            <w:tcW w:w="1375" w:type="dxa"/>
            <w:vAlign w:val="center"/>
          </w:tcPr>
          <w:p w14:paraId="3412B766"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4D12A204"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682AAE03" w14:textId="77777777" w:rsidTr="001D3324">
        <w:tc>
          <w:tcPr>
            <w:tcW w:w="3347" w:type="dxa"/>
            <w:vAlign w:val="center"/>
          </w:tcPr>
          <w:p w14:paraId="100056AA" w14:textId="156846D3"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Goeree</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GJAKzJ9F","properties":{"formattedCitation":"[109]","plainCitation":"[109]","noteIndex":0},"citationItems":[{"id":261,"uris":["http://zotero.org/users/1694537/items/UPR3YB67"],"uri":["http://zotero.org/users/1694537/items/UPR3YB67"],"itemData":{"id":261,"type":"article-journal","abstract":"BACKGROUND: Health technology assessments (HTA) generally, and economic evaluations (EE) more specifically, have become an integral part of health care decision making around the world. However, these assessments are time consuming and expensive to conduct. Evaluation resources are scarce and therefore priorities need to be set for these assessments and the ability to use information from one country or region in another (geographic transferability) is an increasingly important consideration.\nOBJECTIVES: To review the existing approaches, systems, and tools for assessing the geographic transferability potential or guiding the conduct of transferring HTAs and EEs.\nMETHODS: A systematic literature review was conducted of several databases, supplemented with web searching, hand searching of journals, and bibliographic searching of identified articles. Systems, tools, checklists, and flow charts to assess, evaluate, or guide the conduct of transferability of HTAs and EEs were identified.\nRESULTS: Of 282 references identified, 27 articles were reviewed in full text and of these, seven proposed unique systems, tools, checklists, or flow charts specifically for geographic transferability. All of the seven articles identified a checklist of transferability factors to consider, and most articles identified a subset of 'critical' factors for assessing transferability potential. Most of these critical factors related to study quality, transparency of methods, the level of reporting of methods and results, and the applicability of the treatment comparators to the target country. Some authors proposed a sequenced flow chart type approach, while others proposed an assessment of critical criteria first, followed by an assessment of other noncritical factors. Finally some authors proposed a quantitative score or index to measure transferability potential.\nCONCLUSION: Despite a number of publications on the topic, the proposed approaches and the factors used for assessing geographic transferability potential have varied substantially across the papers reviewed. Most promising is the identification of an extensive checklist of critical and noncritical factors in determining transferability potential, which may form the basis for consensus of a future tool. Due to the complexities of identifying appropriate weights for each of the noncritical factors, it is still uncertain whether the assessment and calculation of an overall transferability score or index will be practical or useful for transferability considerations in the future.","container-title":"ClinicoEconomics and outcomes research: CEOR","DOI":"10.2147/CEOR.S14404","ISSN":"1178-6981","journalAbbreviation":"Clinicoecon Outcomes Res","language":"eng","note":"PMID: 21935337\nPMCID: PMC3169976","page":"89-104","source":"PubMed","title":"Transferability of health technology assessments and economic evaluations: a systematic review of approaches for assessment and application","title-short":"Transferability of health technology assessments and economic evaluations","volume":"3","author":[{"family":"Goeree","given":"Ron"},{"family":"He","given":"Jing"},{"family":"O'Reilly","given":"Daria"},{"family":"Tarride","given":"Jean-Eric"},{"family":"Xie","given":"Feng"},{"family":"Lim","given":"Morgan"},{"family":"Burke","given":"Natasha"}],"issued":{"date-parts":[["2011"]]}}}],"schema":"https://github.com/citation-style-language/schema/raw/master/csl-citation.json"} </w:instrText>
            </w:r>
            <w:r w:rsidRPr="00417140">
              <w:fldChar w:fldCharType="separate"/>
            </w:r>
            <w:r w:rsidR="00E400D1" w:rsidRPr="00D97E01">
              <w:rPr>
                <w:rFonts w:ascii="Cambria" w:hAnsi="Cambria"/>
              </w:rPr>
              <w:t>[109]</w:t>
            </w:r>
            <w:r w:rsidRPr="00417140">
              <w:fldChar w:fldCharType="end"/>
            </w:r>
          </w:p>
        </w:tc>
        <w:tc>
          <w:tcPr>
            <w:tcW w:w="1375" w:type="dxa"/>
            <w:vAlign w:val="center"/>
          </w:tcPr>
          <w:p w14:paraId="7809743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2011</w:t>
            </w:r>
          </w:p>
        </w:tc>
        <w:tc>
          <w:tcPr>
            <w:tcW w:w="8456" w:type="dxa"/>
            <w:vAlign w:val="center"/>
          </w:tcPr>
          <w:p w14:paraId="1DBC9EF4"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51070261" w14:textId="77777777" w:rsidTr="001D3324">
        <w:tc>
          <w:tcPr>
            <w:tcW w:w="3347" w:type="dxa"/>
            <w:vAlign w:val="center"/>
          </w:tcPr>
          <w:p w14:paraId="48628BD8" w14:textId="1AEFF3C3"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Grooten</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tPI1A1ft","properties":{"formattedCitation":"[92]","plainCitation":"[92]","noteIndex":0},"citationItems":[{"id":259,"uris":["http://zotero.org/users/1694537/items/N8A8I9U7"],"uri":["http://zotero.org/users/1694537/items/N8A8I9U7"],"itemData":{"id":259,"type":"article-journal","abstract":"The International Journal of Integrated Care (IJIC) is an online, open-access, peer-reviewed scientific journal that publishes original articles in the field of integrated care on a continuous basis.IJIC has an Impact Factor of 2.753 (2019 JCR, received in June 2020)","container-title":"International Journal of Integrated Care","DOI":"10.5334/ijic.3731","ISSN":"1568-4156","issue":"5","language":"en","note":"number: 5\npublisher: Ubiquity Press","page":"A412","source":"www.ijic.org","title":"Measuring maturity of integrated care: a first validation study","title-short":"Measuring maturity of integrated care","volume":"17","author":[{"family":"Grooten","given":"Liset"},{"family":"Borgermans","given":"Liesbeth"},{"family":"Vrijhoef","given":"Hubertus"}],"issued":{"date-parts":[["2017",10,17]]}}}],"schema":"https://github.com/citation-style-language/schema/raw/master/csl-citation.json"} </w:instrText>
            </w:r>
            <w:r w:rsidRPr="00417140">
              <w:fldChar w:fldCharType="separate"/>
            </w:r>
            <w:r w:rsidR="00E400D1" w:rsidRPr="00D97E01">
              <w:rPr>
                <w:rFonts w:ascii="Cambria" w:hAnsi="Cambria"/>
              </w:rPr>
              <w:t>[92]</w:t>
            </w:r>
            <w:r w:rsidRPr="00417140">
              <w:fldChar w:fldCharType="end"/>
            </w:r>
          </w:p>
        </w:tc>
        <w:tc>
          <w:tcPr>
            <w:tcW w:w="1375" w:type="dxa"/>
            <w:vAlign w:val="center"/>
          </w:tcPr>
          <w:p w14:paraId="079BC6BF"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7E2448B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Wrong type of document</w:t>
            </w:r>
          </w:p>
        </w:tc>
      </w:tr>
      <w:tr w:rsidR="00074617" w:rsidRPr="00417140" w14:paraId="2D020EFC" w14:textId="77777777" w:rsidTr="001D3324">
        <w:tc>
          <w:tcPr>
            <w:tcW w:w="3347" w:type="dxa"/>
            <w:vAlign w:val="center"/>
          </w:tcPr>
          <w:p w14:paraId="14F311FE" w14:textId="568B3718"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Grooten</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sBVAsBdz","properties":{"formattedCitation":"[71]","plainCitation":"[71]","noteIndex":0},"citationItems":[{"id":220,"uris":["http://zotero.org/users/1694537/items/R5UXGEPJ"],"uri":["http://zotero.org/users/1694537/items/R5UXGEPJ"],"itemData":{"id":220,"type":"article-journal","abstract":"The Scaling Integrated Care in Context (SCIROCCO) tool has been developed to facilitate knowledge transfer and learning about the implementation and scaling-up of integrated care in European regions. To adequately test the functionality of the tool in assessing the maturity for integrated care within regions, this study evaluated its structural validity, internal consistency and convergent validity.","container-title":"BMC Medical Research Methodology","DOI":"10.1186/s12874-019-0704-1","ISSN":"1471-2288","issue":"1","journalAbbreviation":"BMC Medical Research Methodology","page":"63","source":"BioMed Central","title":"Assessing the maturity of the healthcare system for integrated care: testing measurement properties of the SCIROCCO tool","title-short":"Assessing the maturity of the healthcare system for integrated care","volume":"19","author":[{"family":"Grooten","given":"Liset"},{"family":"Vrijhoef","given":"Hubertus Johannes Maria"},{"family":"Calciolari","given":"Stefano"},{"family":"Ortiz","given":"Laura Guadalupe González"},{"family":"Janečková","given":"Marcela"},{"family":"Minkman","given":"Mirella M. N."},{"family":"Devroey","given":"Dirk"}],"issued":{"date-parts":[["2019",3,18]]}}}],"schema":"https://github.com/citation-style-language/schema/raw/master/csl-citation.json"} </w:instrText>
            </w:r>
            <w:r w:rsidRPr="00417140">
              <w:fldChar w:fldCharType="separate"/>
            </w:r>
            <w:r w:rsidR="00E400D1" w:rsidRPr="00E400D1">
              <w:rPr>
                <w:rFonts w:ascii="Times New Roman" w:hAnsi="Times New Roman" w:cs="Times New Roman"/>
              </w:rPr>
              <w:t>[71]</w:t>
            </w:r>
            <w:r w:rsidRPr="00417140">
              <w:fldChar w:fldCharType="end"/>
            </w:r>
          </w:p>
        </w:tc>
        <w:tc>
          <w:tcPr>
            <w:tcW w:w="1375" w:type="dxa"/>
            <w:vAlign w:val="center"/>
          </w:tcPr>
          <w:p w14:paraId="4C05ED14"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2019</w:t>
            </w:r>
          </w:p>
        </w:tc>
        <w:tc>
          <w:tcPr>
            <w:tcW w:w="8456" w:type="dxa"/>
            <w:vAlign w:val="center"/>
          </w:tcPr>
          <w:p w14:paraId="1A64EDC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70CAC36D" w14:textId="77777777" w:rsidTr="001D3324">
        <w:tc>
          <w:tcPr>
            <w:tcW w:w="3347" w:type="dxa"/>
            <w:vAlign w:val="center"/>
          </w:tcPr>
          <w:p w14:paraId="4305956A" w14:textId="27F5548F"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Gyldmark</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2v0osWsv","properties":{"formattedCitation":"[87]","plainCitation":"[87]","noteIndex":0},"citationItems":[{"id":258,"uris":["http://zotero.org/users/1694537/items/GUC85NVV"],"uri":["http://zotero.org/users/1694537/items/GUC85NVV"],"itemData":{"id":258,"type":"article-journal","abstract":"OBJECTIVES: The HTA Core Model® was developed to improve the transferability of health technology assessment (HTA) between settings. The model has been used by HTA agencies but is also of interest to manufacturers, for improving internal evidence generation and communicating with other HTA stakeholders. To establish if the model is fit for purpose from an industry perspective, the pharmaceutical company Roche, collaborating with the European Network for HTA (EUnetHTA), conducted an assessment of the model.\nMETHODS: A questionnaire was developed to evaluate all assessment elements in the HTA Core Model v2.0 for their usefulness in meeting payers' evidence needs and demonstrating value. The questionnaire was completed by country affiliate teams working in evidence generation and reimbursement submissions for pharmaceuticals. Survey results were discussed in workshops to ensure consistency and alignment between teams.\nRESULTS: The questionnaire was completed by six teams. An additional team from global pricing and market access participated in workshops. Model domains pertaining to the health problem and current technology use, technology description, clinical effectiveness, and economic value were considered most important because they meet payers' evidence needs. Overall, the model was considered useful to improve the efficiency of HTA evidence generation, share evidence internally, and communicate value to payers and HTA agencies.\nCONCLUSIONS: From an industry perspective, the HTA Core Model provides a useful framework and common terminology for efficient generation of transferable HTA evidence. The timeliness, efficiency, and transparency of HTA processes could be improved by a more standardized approach to HTA across settings.","container-title":"International Journal of Technology Assessment in Health Care","DOI":"10.1017/S0266462318000594","ISSN":"1471-6348","issue":"5","journalAbbreviation":"Int J Technol Assess Health Care","language":"eng","note":"PMID: 30334508","page":"458-463","source":"PubMed","title":"IS THE EUNETHTA HTA CORE MODEL® FIT FOR PURPOSE? EVALUATION FROM AN INDUSTRY PERSPECTIVE","title-short":"IS THE EUNETHTA HTA CORE MODEL® FIT FOR PURPOSE?","volume":"34","author":[{"family":"Gyldmark","given":"Marlene"},{"family":"Lampe","given":"Kristian"},{"family":"Ruof","given":"Jörg"},{"family":"Pöhlmann","given":"Johannes"},{"family":"Hebborn","given":"Ansgar"},{"family":"Kristensen","given":"Finn Børlum"}],"issued":{"date-parts":[["2018",1]]}}}],"schema":"https://github.com/citation-style-language/schema/raw/master/csl-citation.json"} </w:instrText>
            </w:r>
            <w:r w:rsidRPr="00417140">
              <w:fldChar w:fldCharType="separate"/>
            </w:r>
            <w:r w:rsidR="00E400D1" w:rsidRPr="00E400D1">
              <w:rPr>
                <w:rFonts w:ascii="Times New Roman" w:hAnsi="Times New Roman" w:cs="Times New Roman"/>
              </w:rPr>
              <w:t>[87]</w:t>
            </w:r>
            <w:r w:rsidRPr="00417140">
              <w:fldChar w:fldCharType="end"/>
            </w:r>
          </w:p>
        </w:tc>
        <w:tc>
          <w:tcPr>
            <w:tcW w:w="1375" w:type="dxa"/>
            <w:vAlign w:val="center"/>
          </w:tcPr>
          <w:p w14:paraId="4841E25E"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22960857"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4E0BAA2D" w14:textId="77777777" w:rsidTr="001D3324">
        <w:tc>
          <w:tcPr>
            <w:tcW w:w="3347" w:type="dxa"/>
            <w:vAlign w:val="center"/>
          </w:tcPr>
          <w:p w14:paraId="2DB813ED" w14:textId="5CCF8F7B"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Huang et al. </w:t>
            </w:r>
            <w:r w:rsidRPr="00417140">
              <w:fldChar w:fldCharType="begin"/>
            </w:r>
            <w:r w:rsidR="00E400D1">
              <w:rPr>
                <w:rFonts w:ascii="Times New Roman" w:hAnsi="Times New Roman" w:cs="Times New Roman"/>
                <w:lang w:val="en-CA"/>
              </w:rPr>
              <w:instrText xml:space="preserve"> ADDIN ZOTERO_ITEM CSL_CITATION {"citationID":"1MuwEnqy","properties":{"formattedCitation":"[66]","plainCitation":"[66]","noteIndex":0},"citationItems":[{"id":257,"uris":["http://zotero.org/users/1694537/items/UWXC493H"],"uri":["http://zotero.org/users/1694537/items/UWXC493H"],"itemData":{"id":257,"type":"article-journal","abstract":"This article proposes a systems-based framework to examine 3 structural dimensions of childhood obesity interventions that can impact intervention sustainability, scalability, and reach. These 3 dimensions are the locus of intervention drivers (top-down vs. bottom-up), the locus of change effected (policy vs. individual behavior), and the public versus private sector. Interventions focused on individual behavior change often rely on bottom-up approaches and have generally been less sustainable than policy interventions. However, top-down (government or industry) support can lead to better funding and shifts in social norms. In the public sector, top-down efforts targeting individual behavior are generally also more scalable and have wider reach to diverse communities. In the private sector, behavior-change interventions tend to have greater resources and are sustained over longer periods, even when efficacy is in question; they may also be quite scalable. In a systems approach, a combination of approaches that encompass the structural dimensions in systems space will likely be needed to significantly impact childhood obesity. Next-generation childhood obesity interventions should be able to demonstrate sustainability, scalability, and reach as benchmarks of plausible success and criteria for investment.","container-title":"Children's Health Care","DOI":"10.1080/02739615.2011.590399","ISSN":"0273-9615","issue":"3","note":"publisher: Taylor &amp; Francis\n_eprint: https://doi.org/10.1080/02739615.2011.590399","page":"253-266","source":"Taylor and Francis+NEJM","title":"A Systems-Based Typological Framework for Understanding the Sustainability, Scalability, and Reach of Childhood Obesity Interventions","volume":"40","author":[{"family":"Huang","given":"Terry T.-K."},{"family":"Grimm","given":"Brandon"},{"family":"Hammond","given":"Ross A."}],"issued":{"date-parts":[["2011",7,29]]}}}],"schema":"https://github.com/citation-style-language/schema/raw/master/csl-citation.json"} </w:instrText>
            </w:r>
            <w:r w:rsidRPr="00417140">
              <w:fldChar w:fldCharType="separate"/>
            </w:r>
            <w:r w:rsidR="00E400D1" w:rsidRPr="00E400D1">
              <w:rPr>
                <w:rFonts w:ascii="Times New Roman" w:hAnsi="Times New Roman" w:cs="Times New Roman"/>
              </w:rPr>
              <w:t>[66]</w:t>
            </w:r>
            <w:r w:rsidRPr="00417140">
              <w:fldChar w:fldCharType="end"/>
            </w:r>
          </w:p>
        </w:tc>
        <w:tc>
          <w:tcPr>
            <w:tcW w:w="1375" w:type="dxa"/>
            <w:vAlign w:val="center"/>
          </w:tcPr>
          <w:p w14:paraId="09E1312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2011</w:t>
            </w:r>
          </w:p>
        </w:tc>
        <w:tc>
          <w:tcPr>
            <w:tcW w:w="8456" w:type="dxa"/>
            <w:vAlign w:val="center"/>
          </w:tcPr>
          <w:p w14:paraId="1F279F01"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4E1F9AE8" w14:textId="77777777" w:rsidTr="001D3324">
        <w:tc>
          <w:tcPr>
            <w:tcW w:w="3347" w:type="dxa"/>
            <w:vAlign w:val="center"/>
          </w:tcPr>
          <w:p w14:paraId="308C5EC2" w14:textId="06DD173D"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Kastner et al.</w:t>
            </w:r>
            <w:r w:rsidRPr="00417140">
              <w:fldChar w:fldCharType="begin"/>
            </w:r>
            <w:r w:rsidR="00E400D1">
              <w:rPr>
                <w:rFonts w:ascii="Times New Roman" w:hAnsi="Times New Roman" w:cs="Times New Roman"/>
                <w:lang w:val="en-CA"/>
              </w:rPr>
              <w:instrText xml:space="preserve"> ADDIN ZOTERO_ITEM CSL_CITATION {"citationID":"ah3Q1Qab","properties":{"formattedCitation":"[105]","plainCitation":"[105]","noteIndex":0},"citationItems":[{"id":256,"uris":["http://zotero.org/users/1694537/items/CY5J6PK9"],"uri":["http://zotero.org/users/1694537/items/CY5J6PK9"],"itemData":{"id":256,"type":"article-journal","abstract":"Chronic diseases are a significant public health concern, particularly in older adults. To address the delivery of health care services to optimally meet the needs of older adults with multiple chronic diseases, Health TAPESTRY (Teams Advancing Patient Experience: Strengthening Quality) uses a novel approach that involves patient home visits by trained volunteers to collect and transmit relevant health information using e-health technology to inform appropriate care from an inter-professional healthcare team. Health TAPESTRY was implemented, pilot tested, and evaluated in a randomized controlled trial (analysis underway). Knowledge translation (KT) interventions such as Health TAPESTRY should involve an investigation of their sustainability and scalability determinants to inform further implementation. However, this is seldom considered in research or considered early enough, so the objectives of this study were to assess the sustainability and scalability potential of Health TAPESTRY from the perspective of the team who developed and pilot-tested it.","container-title":"BMC Health Services Research","DOI":"10.1186/s12913-017-2468-9","ISSN":"1472-6963","issue":"1","journalAbbreviation":"BMC Health Services Research","page":"514","source":"BioMed Central","title":"Sustainability and scalability of a volunteer-based primary care intervention (Health TAPESTRY): a mixed-methods analysis","title-short":"Sustainability and scalability of a volunteer-based primary care intervention (Health TAPESTRY)","volume":"17","author":[{"family":"Kastner","given":"Monika"},{"family":"Sayal","given":"Radha"},{"family":"Oliver","given":"Doug"},{"family":"Straus","given":"Sharon E."},{"family":"Dolovich","given":"Lisa"}],"issued":{"date-parts":[["2017",8,1]]}}}],"schema":"https://github.com/citation-style-language/schema/raw/master/csl-citation.json"} </w:instrText>
            </w:r>
            <w:r w:rsidRPr="00417140">
              <w:fldChar w:fldCharType="separate"/>
            </w:r>
            <w:r w:rsidR="00E400D1" w:rsidRPr="00E400D1">
              <w:rPr>
                <w:rFonts w:ascii="Times New Roman" w:hAnsi="Times New Roman" w:cs="Times New Roman"/>
              </w:rPr>
              <w:t>[105]</w:t>
            </w:r>
            <w:r w:rsidRPr="00417140">
              <w:fldChar w:fldCharType="end"/>
            </w:r>
          </w:p>
        </w:tc>
        <w:tc>
          <w:tcPr>
            <w:tcW w:w="1375" w:type="dxa"/>
            <w:vAlign w:val="center"/>
          </w:tcPr>
          <w:p w14:paraId="141C0D3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133407E5"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500497A7" w14:textId="77777777" w:rsidTr="001D3324">
        <w:tc>
          <w:tcPr>
            <w:tcW w:w="3347" w:type="dxa"/>
            <w:vAlign w:val="center"/>
          </w:tcPr>
          <w:p w14:paraId="2D869165" w14:textId="54F1F78A"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Kliche</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wIM4uXcB","properties":{"formattedCitation":"[89]","plainCitation":"[89]","noteIndex":0},"citationItems":[{"id":255,"uris":["http://zotero.org/users/1694537/items/4CV2TDWC"],"uri":["http://zotero.org/users/1694537/items/4CV2TDWC"],"itemData":{"id":255,"type":"article-journal","abstract":"AIM OF THE STUDY: This expert survey analyzed the application and perceived usefulness of knowledge transfer methods for disease prevention and health promotion research.\nMETHODS: 302 experts from 70 administratively distinct projects sponsored under the German federal prevention research program received a questionnaire on transfer methods used for preparation, dissemination and implementation of their project results and the perceived expediency of these methods. 130 experts (43%) from 59 projects (84.3%) responded. 40% were cooperation partners from health care suppliers or practitioners, and 60% worked in research institutions. Descriptive statistics and ANOVA were used for data analysis.\nRESULTS: The experts had wide range of transfer methods at their disposal. The main implementation barriers were scarce funding and the complexity of disease prevention and health promotion programs. The predominant channels of dissemination were scientific media (congresses, journals) and the Internet. Manuals and handouts were the most common methods of processing of research results for facilitators. Regarding implementation, two-thirds of the projects conducted user training, integrated experts in program development, and co-operated with important institutions. Most of the transfer methods implemented were perceived as useful, but some rated as useful were rarely used, e. g. health economics and quality assurance in wide-scale rollout. There were no substantial rating differences between experts from research and user institutions.\nCONCLUSIONS: In view of the fundaments for the broad application of knowledge transfer technologies laid by prevention scientists, health care suppliers and decision-makers should support the transfer of prevention research, and precendence should be given to evidence-based programs with quality assurance in the implementation stages. Prevention researchers, in turn, should further develop health economics evidence and quality assurance for effective interventions. The rich skills available for knowledge transfer in disease prevention and health promotion can be systematically developed and disseminated in the future.","container-title":"Gesundheitswesen (Bundesverband Der Arzte Des Offentlichen Gesundheitsdienstes (Germany))","DOI":"10.1055/s-0031-1275710","ISSN":"1439-4421","issue":"4","journalAbbreviation":"Gesundheitswesen","language":"ger","note":"PMID: 21594814","page":"240-249","source":"PubMed","title":"[Knowledge transfer methods in German disease prevention and health promotion. A survey of experts in the federal prevention research program]","volume":"74","author":[{"family":"Kliche","given":"T."},{"family":"Post","given":"M."},{"family":"Pfitzner","given":"R."},{"family":"Plaumann","given":"M."},{"family":"Dubben","given":"S."},{"family":"Nöcker","given":"G."},{"family":"Walter","given":"U."}],"issued":{"date-parts":[["2012",4]]}}}],"schema":"https://github.com/citation-style-language/schema/raw/master/csl-citation.json"} </w:instrText>
            </w:r>
            <w:r w:rsidRPr="00417140">
              <w:fldChar w:fldCharType="separate"/>
            </w:r>
            <w:r w:rsidR="00E400D1" w:rsidRPr="00D97E01">
              <w:rPr>
                <w:rFonts w:ascii="Cambria" w:hAnsi="Cambria"/>
              </w:rPr>
              <w:t>[89]</w:t>
            </w:r>
            <w:r w:rsidRPr="00417140">
              <w:fldChar w:fldCharType="end"/>
            </w:r>
          </w:p>
        </w:tc>
        <w:tc>
          <w:tcPr>
            <w:tcW w:w="1375" w:type="dxa"/>
            <w:vAlign w:val="center"/>
          </w:tcPr>
          <w:p w14:paraId="1E84A4BD"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2012</w:t>
            </w:r>
          </w:p>
        </w:tc>
        <w:tc>
          <w:tcPr>
            <w:tcW w:w="8456" w:type="dxa"/>
            <w:vAlign w:val="center"/>
          </w:tcPr>
          <w:p w14:paraId="61B0A05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1EFE0CCB" w14:textId="77777777" w:rsidTr="001D3324">
        <w:tc>
          <w:tcPr>
            <w:tcW w:w="3347" w:type="dxa"/>
            <w:vAlign w:val="center"/>
          </w:tcPr>
          <w:p w14:paraId="5B3ABE47" w14:textId="40DB854C"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Leon et al. </w:t>
            </w:r>
            <w:r w:rsidRPr="00417140">
              <w:fldChar w:fldCharType="begin"/>
            </w:r>
            <w:r w:rsidR="00E400D1">
              <w:rPr>
                <w:rFonts w:ascii="Times New Roman" w:hAnsi="Times New Roman" w:cs="Times New Roman"/>
                <w:lang w:val="en-CA"/>
              </w:rPr>
              <w:instrText xml:space="preserve"> ADDIN ZOTERO_ITEM CSL_CITATION {"citationID":"s7EQJMXR","properties":{"formattedCitation":"[70]","plainCitation":"[70]","noteIndex":0},"citationItems":[{"id":219,"uris":["http://zotero.org/users/1694537/items/8BK4YUTA"],"uri":["http://zotero.org/users/1694537/items/8BK4YUTA"],"itemData":{"id":219,"type":"article-journal","abstract":"Mobile phone technology has demonstrated the potential to improve health service delivery, but there is little guidance to inform decisions about acquiring and implementing mHealth technology at scale in health systems. Using the case of community-based health services (CBS) in South Africa, we apply a framework to appraise the opportunities and challenges to effective implementation of mHealth at scale in health systems.","container-title":"BMC Medical Informatics and Decision Making","DOI":"10.1186/1472-6947-12-123","ISSN":"1472-6947","issue":"1","journalAbbreviation":"BMC Medical Informatics and Decision Making","page":"123","source":"BioMed Central","title":"Applying a framework for assessing the health system challenges to scaling up mHealth in South Africa","volume":"12","author":[{"family":"Leon","given":"Natalie"},{"family":"Schneider","given":"Helen"},{"family":"Daviaud","given":"Emmanuelle"}],"issued":{"date-parts":[["2012",11,5]]}}}],"schema":"https://github.com/citation-style-language/schema/raw/master/csl-citation.json"} </w:instrText>
            </w:r>
            <w:r w:rsidRPr="00417140">
              <w:fldChar w:fldCharType="separate"/>
            </w:r>
            <w:r w:rsidR="00E400D1" w:rsidRPr="00D97E01">
              <w:rPr>
                <w:rFonts w:ascii="Cambria" w:hAnsi="Cambria"/>
              </w:rPr>
              <w:t>[70]</w:t>
            </w:r>
            <w:r w:rsidRPr="00417140">
              <w:fldChar w:fldCharType="end"/>
            </w:r>
          </w:p>
        </w:tc>
        <w:tc>
          <w:tcPr>
            <w:tcW w:w="1375" w:type="dxa"/>
            <w:vAlign w:val="center"/>
          </w:tcPr>
          <w:p w14:paraId="77A2971C"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2012</w:t>
            </w:r>
          </w:p>
        </w:tc>
        <w:tc>
          <w:tcPr>
            <w:tcW w:w="8456" w:type="dxa"/>
            <w:vAlign w:val="center"/>
          </w:tcPr>
          <w:p w14:paraId="338C0DE6"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6F2459F6" w14:textId="77777777" w:rsidTr="001D3324">
        <w:tc>
          <w:tcPr>
            <w:tcW w:w="3347" w:type="dxa"/>
            <w:vAlign w:val="center"/>
          </w:tcPr>
          <w:p w14:paraId="133D923A" w14:textId="57244F1A"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Maar et al. </w:t>
            </w:r>
            <w:r w:rsidRPr="00417140">
              <w:fldChar w:fldCharType="begin"/>
            </w:r>
            <w:r w:rsidR="00E400D1">
              <w:rPr>
                <w:rFonts w:ascii="Times New Roman" w:hAnsi="Times New Roman" w:cs="Times New Roman"/>
                <w:lang w:val="en-CA"/>
              </w:rPr>
              <w:instrText xml:space="preserve"> ADDIN ZOTERO_ITEM CSL_CITATION {"citationID":"t2GsmiE5","properties":{"formattedCitation":"[84]","plainCitation":"[84]","noteIndex":0},"citationItems":[{"id":254,"uris":["http://zotero.org/users/1694537/items/VBDFKTB8"],"uri":["http://zotero.org/users/1694537/items/VBDFKTB8"],"itemData":{"id":254,"type":"article-journal","abstract":"BACKGROUND: Non-communicable chronic diseases are the leading causes of mortality globally, and nearly 80% of these deaths occur in low- and middle-income countries (LMICs). In high-income countries (HICs), inequitable distribution of resources affects poorer and otherwise disadvantaged groups including Aboriginal peoples. Cardiovascular mortality in high-income countries has recently begun to fall; however, these improvements are not realized among citizens in LMICs or those subgroups in high-income countries who are disadvantaged in the social determinants of health including Aboriginal people. It is critical to develop multi-faceted, affordable and realistic health interventions in collaboration with groups who experience health inequalities. Based on community-based participatory research (CBPR), we aimed to develop implementation tools to guide complex interventions to ensure that health gains can be realized in low-resource environments.\nMETHODS: We developed the I-RREACH (Intervention and Research Readiness Engagement and Assessment of Community Health Care) tool to guide implementation of interventions in low-resource environments. We employed CBPR and a consensus methodology to (1) develop the theoretical basis of the tool and (2) to identify key implementation factor domains; then, we (3) collected participant evaluation data to validate the tool during implementation.\nRESULTS: The I-RREACH tool was successfully developed using a community-based consensus method and is rooted in participatory principles, equalizing the importance of the knowledge and perspectives of researchers and community stakeholders while encouraging respectful dialogue. The I-RREACH tool consists of three phases: fact finding, stakeholder dialogue and community member/patient dialogue. The evaluation for our first implementation of I-RREACH by participants was overwhelmingly positive, with 95% or more of participants indicating comfort with and support for the process and the dialogue it creates.\nCONCLUSIONS: The I-RREACH tool was designed to (1) pinpoint key domains required for dialogue between the community and the research team to facilitate implementation of complex health interventions and research projects and (2) to identify existing strengths and areas requiring further development for effective implementation. I-RREACH has been found to be easily adaptable to diverse geographical and cultural settings and can be further adapted to other complex interventions. Further research should include the potential use of the I-RREACH tool in the development of blue prints for scale-up of successful interventions, particularly in low-resource environments.","container-title":"Implementation science: IS","DOI":"10.1186/s13012-015-0257-6","ISSN":"1748-5908","journalAbbreviation":"Implement Sci","language":"eng","note":"PMID: 25935849\nPMCID: PMC4424962","page":"64","source":"PubMed","title":"I-RREACH: an engagement and assessment tool for improving implementation readiness of researchers, organizations and communities in complex interventions","title-short":"I-RREACH","volume":"10","author":[{"family":"Maar","given":"Marion"},{"family":"Yeates","given":"Karen"},{"family":"Barron","given":"Marcia"},{"family":"Hua","given":"Diane"},{"family":"Liu","given":"Peter"},{"family":"Moy Lum-Kwong","given":"Margaret"},{"family":"Perkins","given":"Nancy"},{"family":"Sleeth","given":"Jessica"},{"family":"Tobe","given":"Joshua"},{"family":"Wabano","given":"Mary Jo"},{"family":"Williamson","given":"Pamela"},{"family":"Tobe","given":"Sheldon W."}],"issued":{"date-parts":[["2015",5,4]]}}}],"schema":"https://github.com/citation-style-language/schema/raw/master/csl-citation.json"} </w:instrText>
            </w:r>
            <w:r w:rsidRPr="00417140">
              <w:fldChar w:fldCharType="separate"/>
            </w:r>
            <w:r w:rsidR="00E400D1" w:rsidRPr="00D97E01">
              <w:rPr>
                <w:rFonts w:ascii="Cambria" w:hAnsi="Cambria"/>
              </w:rPr>
              <w:t>[84]</w:t>
            </w:r>
            <w:r w:rsidRPr="00417140">
              <w:fldChar w:fldCharType="end"/>
            </w:r>
          </w:p>
        </w:tc>
        <w:tc>
          <w:tcPr>
            <w:tcW w:w="1375" w:type="dxa"/>
            <w:vAlign w:val="center"/>
          </w:tcPr>
          <w:p w14:paraId="3C1F83AD"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2015</w:t>
            </w:r>
          </w:p>
        </w:tc>
        <w:tc>
          <w:tcPr>
            <w:tcW w:w="8456" w:type="dxa"/>
            <w:vAlign w:val="center"/>
          </w:tcPr>
          <w:p w14:paraId="200B5E10"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04DB1342" w14:textId="77777777" w:rsidTr="001D3324">
        <w:tc>
          <w:tcPr>
            <w:tcW w:w="3347" w:type="dxa"/>
            <w:vAlign w:val="center"/>
          </w:tcPr>
          <w:p w14:paraId="609C1D83" w14:textId="25B8CCE0"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Marshall et al. </w:t>
            </w:r>
            <w:r w:rsidRPr="00417140">
              <w:fldChar w:fldCharType="begin"/>
            </w:r>
            <w:r w:rsidR="00E400D1">
              <w:rPr>
                <w:rFonts w:ascii="Times New Roman" w:hAnsi="Times New Roman" w:cs="Times New Roman"/>
                <w:lang w:val="en-CA"/>
              </w:rPr>
              <w:instrText xml:space="preserve"> ADDIN ZOTERO_ITEM CSL_CITATION {"citationID":"8VAQQtFX","properties":{"formattedCitation":"[114]","plainCitation":"[114]","noteIndex":0},"citationItems":[{"id":253,"uris":["http://zotero.org/users/1694537/items/BD9RZ4VM"],"uri":["http://zotero.org/users/1694537/items/BD9RZ4VM"],"itemData":{"id":253,"type":"article-journal","abstract":"BACKGROUND: A growing body of knowledge exists to guide efforts to improve the organisation and delivery of health care, most of which is based on work carried out in hospitals. It is uncertain how transferable this knowledge is to primary care.\nAIM: To understand the enablers and constraints to implementing a large-scale quality improvement programme in general practice, designed to improve care for people with chronic obstructive pulmonary disease.\nDESIGN AND SETTING: A qualitative study of 189 general practices in a socioeconomically and ethnically-mixed, urban area in east London, UK.\nMETHOD: Twelve semi-structured interviews were conducted with people leading the programme and 17 in-depth interviews with those participating in it. Participants were local health system leaders, clinicians, and managers. A theoretical framework derived from evidence-based guidance for improvement programmes was used to interpret the findings. A complex improvement intervention took place with social and technical elements including training and mentorship, guidance, analytical tools, and data feedback.\nRESULTS: Practice staff wanted to participate in and learn from well-designed collaborative improvement projects. Nevertheless, there were limitations in the capacities and capabilities of the workforce to undertake systematic improvement, significant problems with access to and the quality of data, and tensions between the narrative-based generalist orientation of many primary care clinicians and the quantitative single-disease orientation that has characterised much of the quality improvement movement to date.\nCONCLUSION: Improvement guidance derived largely from hospital-based studies is, for the most part, applicable to improvement efforts in primary care settings, although large-scale change in general practice presents some particular challenges. These need to be better understood and addressed if improvement initiatives are to be effective.","container-title":"The British Journal of General Practice: The Journal of the Royal College of General Practitioners","DOI":"10.3399/bjgp14X682801","ISSN":"1478-5242","issue":"629","journalAbbreviation":"Br J Gen Pract","language":"eng","note":"PMID: 25452538\nPMCID: PMC4240146","page":"e745-751","source":"PubMed","title":"Understanding quality improvement at scale in general practice: a qualitative evaluation of a COPD improvement programme","title-short":"Understanding quality improvement at scale in general practice","volume":"64","author":[{"family":"Marshall","given":"Martin"},{"family":"Mountford","given":"James"},{"family":"Gamet","given":"Kirsten"},{"family":"Gungor","given":"Gulsen"},{"family":"Burke","given":"Conor"},{"family":"Hudson","given":"Robyn"},{"family":"Morris","given":"Steve"},{"family":"Patel","given":"Nishma"},{"family":"Koczan","given":"Phil"},{"family":"Meaker","given":"Rob"},{"family":"Chantler","given":"Cyril"},{"family":"Roberts","given":"Christopher Michael"}],"issued":{"date-parts":[["2014",12]]}}}],"schema":"https://github.com/citation-style-language/schema/raw/master/csl-citation.json"} </w:instrText>
            </w:r>
            <w:r w:rsidRPr="00417140">
              <w:fldChar w:fldCharType="separate"/>
            </w:r>
            <w:r w:rsidR="00E400D1" w:rsidRPr="00E400D1">
              <w:rPr>
                <w:rFonts w:ascii="Times New Roman" w:hAnsi="Times New Roman" w:cs="Times New Roman"/>
                <w:lang w:val="en-CA"/>
              </w:rPr>
              <w:t>[114]</w:t>
            </w:r>
            <w:r w:rsidRPr="00417140">
              <w:fldChar w:fldCharType="end"/>
            </w:r>
          </w:p>
        </w:tc>
        <w:tc>
          <w:tcPr>
            <w:tcW w:w="1375" w:type="dxa"/>
            <w:vAlign w:val="center"/>
          </w:tcPr>
          <w:p w14:paraId="6025213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2014</w:t>
            </w:r>
          </w:p>
        </w:tc>
        <w:tc>
          <w:tcPr>
            <w:tcW w:w="8456" w:type="dxa"/>
            <w:vAlign w:val="center"/>
          </w:tcPr>
          <w:p w14:paraId="0B778FF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3750124D" w14:textId="77777777" w:rsidTr="001D3324">
        <w:tc>
          <w:tcPr>
            <w:tcW w:w="3347" w:type="dxa"/>
            <w:vAlign w:val="center"/>
          </w:tcPr>
          <w:p w14:paraId="637E8F9C" w14:textId="4F37C7C3"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Morgenthaler et al. </w:t>
            </w:r>
            <w:r w:rsidRPr="00417140">
              <w:fldChar w:fldCharType="begin"/>
            </w:r>
            <w:r w:rsidR="00E400D1">
              <w:rPr>
                <w:rFonts w:ascii="Times New Roman" w:hAnsi="Times New Roman" w:cs="Times New Roman"/>
                <w:lang w:val="en-CA"/>
              </w:rPr>
              <w:instrText xml:space="preserve"> ADDIN ZOTERO_ITEM CSL_CITATION {"citationID":"pUV0sQKr","properties":{"formattedCitation":"[115]","plainCitation":"[115]","noteIndex":0},"citationItems":[{"id":252,"uris":["http://zotero.org/users/1694537/items/QLMFBRF9"],"uri":["http://zotero.org/users/1694537/items/QLMFBRF9"],"itemData":{"id":252,"type":"article-journal","abstract":"Best practices take time to spread passively, at times contributing to suboptimal results in health care. Managed diffusion, often referred to as \"spread,\" may hasten broad-scale implementation of best practices. At our institution, appropriate use of venous thromboembolism (VTE) prophylaxis had been markedly improved in select areas by 2 independent quality improvement teams. We wanted to accelerate the adaptation of those locally learned best practices across our entire institution and did so by following an explicit framework for spread. We report our experience using this framework, noting both how the framework helped anticipate needs and what challenges we encountered that were not anticipated based on the spread plan. Using our framework, we were able to spread the changes across more than 79 distinct hospital services, improving use of appropriate VTE prophylaxis to more than 95%. Use of an explicit, well-constructed spread plan allows for an orderly management of diffusion of best practices.","container-title":"American Journal of Medical Quality: The Official Journal of the American College of Medical Quality","DOI":"10.1177/1062860611411518","ISSN":"1555-824X","issue":"1","journalAbbreviation":"Am J Med Qual","language":"eng","note":"PMID: 21835811","page":"30-38","source":"PubMed","title":"Using a framework for spread of best practices to implement successful venous thromboembolism prophylaxis throughout a large hospital system","volume":"27","author":[{"family":"Morgenthaler","given":"Timothy I."},{"family":"Lovely","given":"Jenna K."},{"family":"Cima","given":"Robert R."},{"family":"Berardinelli","given":"Carl F."},{"family":"Fedraw","given":"Leslie A."},{"family":"Wallerich","given":"Timothy J."},{"family":"Hinrichs","given":"Deborah J."},{"family":"Varkey","given":"Prathibha"}],"issued":{"date-parts":[["2012",2]]}}}],"schema":"https://github.com/citation-style-language/schema/raw/master/csl-citation.json"} </w:instrText>
            </w:r>
            <w:r w:rsidRPr="00417140">
              <w:fldChar w:fldCharType="separate"/>
            </w:r>
            <w:r w:rsidR="00E400D1" w:rsidRPr="00E400D1">
              <w:rPr>
                <w:rFonts w:ascii="Times New Roman" w:hAnsi="Times New Roman" w:cs="Times New Roman"/>
              </w:rPr>
              <w:t>[115]</w:t>
            </w:r>
            <w:r w:rsidRPr="00417140">
              <w:fldChar w:fldCharType="end"/>
            </w:r>
          </w:p>
        </w:tc>
        <w:tc>
          <w:tcPr>
            <w:tcW w:w="1375" w:type="dxa"/>
            <w:vAlign w:val="center"/>
          </w:tcPr>
          <w:p w14:paraId="09583C3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2012</w:t>
            </w:r>
          </w:p>
        </w:tc>
        <w:tc>
          <w:tcPr>
            <w:tcW w:w="8456" w:type="dxa"/>
            <w:vAlign w:val="center"/>
          </w:tcPr>
          <w:p w14:paraId="190A32EB"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7F5C084F" w14:textId="77777777" w:rsidTr="001D3324">
        <w:tc>
          <w:tcPr>
            <w:tcW w:w="3347" w:type="dxa"/>
            <w:vAlign w:val="center"/>
          </w:tcPr>
          <w:p w14:paraId="15DADEE7" w14:textId="6F690AF2"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Nguyen </w:t>
            </w:r>
            <w:r w:rsidRPr="00417140">
              <w:fldChar w:fldCharType="begin"/>
            </w:r>
            <w:r w:rsidR="00E400D1">
              <w:rPr>
                <w:rFonts w:ascii="Times New Roman" w:hAnsi="Times New Roman" w:cs="Times New Roman"/>
                <w:lang w:val="en-CA"/>
              </w:rPr>
              <w:instrText xml:space="preserve"> ADDIN ZOTERO_ITEM CSL_CITATION {"citationID":"US2kwwiL","properties":{"formattedCitation":"[99]","plainCitation":"[99]","noteIndex":0},"citationItems":[{"id":215,"uris":["http://zotero.org/users/1694537/items/PQB2TEL3"],"uri":["http://zotero.org/users/1694537/items/PQB2TEL3"],"itemData":{"id":215,"type":"article-journal","abstract":"Background: Attempts to scale up a population health intervention (PHI) have achieved variable success, which, in part, is attributable to limited knowledge of scale up and lack of systematic guidance to support successful scale up. The concept of readiness is underrepresented in scale up and its consideration may improve the likelihood of success. Objective: To develop and assess a conceptual framework focused on the successful scale up of a PHI, which may be employed to gauge a PHI's readiness for scale up success. Theoretical framework: This study integrated diffusion of innovations, organizational readiness for change, and complex adaptive systems theories. Methods and Results: The Scale Up Readiness Assessment Framework was developed and refined through a primarily qualitative methods design with three complementary studies, which were informed by the theoretical and empirical literature. Study one used a critical interpretive synthesis of the literature to develop the Framework. The synthesis identified 11 important actions in the successful scale up of a PHI, which were organized into three phases: Groundwork, Implementation, and Sustainment. Key components and hallmarks of a successful scale up approach were also determined. Study two used a modified Delphi method to assess content and face validity of the Framework's actions and phases. A panel of PHI and scale up experts agreed all phases and actions were important; the Groundwork phase and six actions were representative of a successful scale up; and all were logically presented. Experts' assessments guided the Framework's second version. Study three involved pilot tests with potential users of the Framework (version 2.0), who commented how the Framework's utility, value, and face validity might apply to their PHI. Participants concluded the Framework was informative, offered valuable guidance, and may serve multiple purposes beyond readiness assessment. Pilot feedback led to a final Framework revision (version 3.0). Conclusion: This research provides important conceptual advancements and insights regarding the practice of successful scale up. The research produced a usable product, the Framework, which may be used by academic and government PHI stakeholders for scale up readiness assessment and planning. Learnings from this framework have potentially diverse applications beyond its initial intended purpose. (PsycINFO Database Record (c) 2019 APA, all rights reserved)","container-title":"Dissertation Abstracts International: Section B: The Sciences and Engineering","ISSN":"0419-4217","issue":"5-B(E)","language":"English","title":"Scaling Up [to] a Population Health Intervention: A Readiness Assessment Framework","volume":"78","author":[{"family":"Nguyen","given":"Duyen Thi Kim"}],"issued":{"date-parts":[["2017"]]}}}],"schema":"https://github.com/citation-style-language/schema/raw/master/csl-citation.json"} </w:instrText>
            </w:r>
            <w:r w:rsidRPr="00417140">
              <w:fldChar w:fldCharType="separate"/>
            </w:r>
            <w:r w:rsidR="00E400D1" w:rsidRPr="00E400D1">
              <w:rPr>
                <w:rFonts w:ascii="Times New Roman" w:hAnsi="Times New Roman" w:cs="Times New Roman"/>
              </w:rPr>
              <w:t>[99]</w:t>
            </w:r>
            <w:r w:rsidRPr="00417140">
              <w:fldChar w:fldCharType="end"/>
            </w:r>
          </w:p>
        </w:tc>
        <w:tc>
          <w:tcPr>
            <w:tcW w:w="1375" w:type="dxa"/>
            <w:vAlign w:val="center"/>
          </w:tcPr>
          <w:p w14:paraId="08A60FF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65BF84F1"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131973C6" w14:textId="77777777" w:rsidTr="001D3324">
        <w:tc>
          <w:tcPr>
            <w:tcW w:w="3347" w:type="dxa"/>
            <w:vAlign w:val="center"/>
          </w:tcPr>
          <w:p w14:paraId="08B7BB15" w14:textId="4F078986"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Nguyen et al. </w:t>
            </w:r>
            <w:r w:rsidRPr="00417140">
              <w:fldChar w:fldCharType="begin"/>
            </w:r>
            <w:r w:rsidR="00E400D1">
              <w:rPr>
                <w:rFonts w:ascii="Times New Roman" w:hAnsi="Times New Roman" w:cs="Times New Roman"/>
                <w:lang w:val="en-CA"/>
              </w:rPr>
              <w:instrText xml:space="preserve"> ADDIN ZOTERO_ITEM CSL_CITATION {"citationID":"Zw2HiwTT","properties":{"formattedCitation":"[78]","plainCitation":"[78]","noteIndex":0},"citationItems":[{"id":251,"uris":["http://zotero.org/users/1694537/items/YU7VZ293"],"uri":["http://zotero.org/users/1694537/items/YU7VZ293"],"itemData":{"id":251,"type":"article-journal","abstract":"161Background: Care of individuals with cancer and other serious illness is complex and often results in unmet needs and high costs. Despite growing national interest in innovative care models for serious illness that improve quality and reduce costs, limited information is available to guide health care organizations from program innovation to implementation. Methods: With funding from the Gordon and Betty Moore Foundation, we sought to develop a flexible serious illness care model implementation framework to inform program development, replication, and scaling across a broad range of serious illness populations and settings. A draft framework was developed, guided by review of white papers and peer reviewed evidence and of existing serious illness care programs. Expert panelists—representative of serious illness care providers, policy experts, payers, and researchers—were recruited to review and provide feedback in two rounds of group discussion and additional 1:1 interviews. Results: The resulting framework implementation process begins with setting a vision and completing a local needs assessment. We present a range of evidence-based options for each facet of care model implementation (e.g., possible business models, target populations, services, and outcomes) to guide healthcare organizations in adapting serious illness programs to their local context. Key considerations for encouraging program success include leveraging existing programs and resources, recruiting strong program leaders, engaging staff, assembling experienced multidisciplinary care teams, building strong relationships among team members and with patients/caregivers, and establishing processes for program evaluation and continuous quality improvement. Conclusions: Our framework reflects a growing landscape of care models for cancer and other serious illness, offering a range of potential approaches to program implementation. Next steps include dissemination, framework impact assessment, creating a simulator for payment models, and piloting framework for use with future programs.","container-title":"Journal of Clinical Oncology","DOI":"10.1200/JCO.2017.35.31_suppl.161","ISSN":"0732-183X","issue":"31_suppl","journalAbbreviation":"JCO","note":"publisher: Wolters Kluwer","page":"161-161","source":"ascopubs.org (Atypon)","title":"Development of a serious illness care model implementation framework.","volume":"35","author":[{"family":"Nguyen","given":"Khue"},{"family":"Schmidt","given":"Theresa"},{"family":"Ozcelik","given":"Sibel"},{"family":"Bell","given":"Janice"},{"family":"Whitney","given":"Robin L."}],"issued":{"date-parts":[["2017",11,1]]}}}],"schema":"https://github.com/citation-style-language/schema/raw/master/csl-citation.json"} </w:instrText>
            </w:r>
            <w:r w:rsidRPr="00417140">
              <w:fldChar w:fldCharType="separate"/>
            </w:r>
            <w:r w:rsidR="00E400D1" w:rsidRPr="00E400D1">
              <w:rPr>
                <w:rFonts w:ascii="Times New Roman" w:hAnsi="Times New Roman" w:cs="Times New Roman"/>
                <w:lang w:val="en-CA"/>
              </w:rPr>
              <w:t>[78]</w:t>
            </w:r>
            <w:r w:rsidRPr="00417140">
              <w:fldChar w:fldCharType="end"/>
            </w:r>
          </w:p>
        </w:tc>
        <w:tc>
          <w:tcPr>
            <w:tcW w:w="1375" w:type="dxa"/>
            <w:vAlign w:val="center"/>
          </w:tcPr>
          <w:p w14:paraId="0B90DC30"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4F5BE2D2"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434CAC47" w14:textId="77777777" w:rsidTr="001D3324">
        <w:tc>
          <w:tcPr>
            <w:tcW w:w="3347" w:type="dxa"/>
            <w:vAlign w:val="center"/>
          </w:tcPr>
          <w:p w14:paraId="527B3278" w14:textId="75E9A7D1"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lastRenderedPageBreak/>
              <w:t xml:space="preserve">O'Hara et al. </w:t>
            </w:r>
            <w:r w:rsidRPr="00417140">
              <w:fldChar w:fldCharType="begin"/>
            </w:r>
            <w:r w:rsidR="00E400D1">
              <w:rPr>
                <w:rFonts w:ascii="Times New Roman" w:hAnsi="Times New Roman" w:cs="Times New Roman"/>
                <w:lang w:val="en-CA"/>
              </w:rPr>
              <w:instrText xml:space="preserve"> ADDIN ZOTERO_ITEM CSL_CITATION {"citationID":"Hp4PgrSD","properties":{"formattedCitation":"[112]","plainCitation":"[112]","noteIndex":0},"citationItems":[{"id":250,"uris":["http://zotero.org/users/1694537/items/QC65E7GM"],"uri":["http://zotero.org/users/1694537/items/QC65E7GM"],"itemData":{"id":250,"type":"article-journal","abstract":"The process of generating evidence-based public health interventions is understood to include steps that define the issue, generate and test solutions in controlled settings, replicate and then disseminate more widely. However, to date models have not considered the types and scale of formative evaluation tasks that are needed to up-scale interventions, from efficacy to population-wide dissemination in the real world. In this paper, we propose that an additional stage of 'translational formative evaluation' is necessary for the translation of effectiveness evidence into wide-scale public health practice. We illustrate the utility of translational formative evaluation, through a case study of the Get Healthy Information and Coaching Service(®) (GHS), a population-based telephone service designed to assist adults change lifestyle-related behaviours. The additional translational formative evaluation steps comprised synthesis of efficacy studies, qualitative research with the wider target audience, environmental analysis and stakeholder consultation. They produced precise recommendations to refine GHS design and implementation. Translational formative evaluation is a necessary intermediate step, following efficacy studies and a precursor to population-wide implementation of public health programmes.","container-title":"Health Promotion International","DOI":"10.1093/heapro/dat025","ISSN":"1460-2245","issue":"1","journalAbbreviation":"Health Promot Int","language":"eng","note":"PMID: 23630131","page":"38-46","source":"PubMed","title":"'Translational formative evaluation': critical in up-scaling public health programmes","title-short":"'Translational formative evaluation'","volume":"29","author":[{"family":"O'Hara","given":"Blythe J."},{"family":"Phongsavan","given":"Philayrath"},{"family":"King","given":"Lesley"},{"family":"Develin","given":"Elizabeth"},{"family":"Milat","given":"Andrew J."},{"family":"Eggins","given":"Dianne"},{"family":"King","given":"Elizabeth"},{"family":"Smith","given":"Joanne"},{"family":"Bauman","given":"Adrian E."}],"issued":{"date-parts":[["2014",3]]}}}],"schema":"https://github.com/citation-style-language/schema/raw/master/csl-citation.json"} </w:instrText>
            </w:r>
            <w:r w:rsidRPr="00417140">
              <w:fldChar w:fldCharType="separate"/>
            </w:r>
            <w:r w:rsidR="00E400D1" w:rsidRPr="00E400D1">
              <w:rPr>
                <w:rFonts w:ascii="Times New Roman" w:hAnsi="Times New Roman" w:cs="Times New Roman"/>
              </w:rPr>
              <w:t>[112]</w:t>
            </w:r>
            <w:r w:rsidRPr="00417140">
              <w:fldChar w:fldCharType="end"/>
            </w:r>
          </w:p>
        </w:tc>
        <w:tc>
          <w:tcPr>
            <w:tcW w:w="1375" w:type="dxa"/>
            <w:vAlign w:val="center"/>
          </w:tcPr>
          <w:p w14:paraId="5B4C00A1"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2014</w:t>
            </w:r>
          </w:p>
        </w:tc>
        <w:tc>
          <w:tcPr>
            <w:tcW w:w="8456" w:type="dxa"/>
            <w:vAlign w:val="center"/>
          </w:tcPr>
          <w:p w14:paraId="0DC114EE"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2FC30C6E" w14:textId="77777777" w:rsidTr="001D3324">
        <w:tc>
          <w:tcPr>
            <w:tcW w:w="3347" w:type="dxa"/>
            <w:vAlign w:val="center"/>
          </w:tcPr>
          <w:p w14:paraId="6F79F403" w14:textId="17324968"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Pednekar</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6U0D9YMz","properties":{"formattedCitation":"[102]","plainCitation":"[102]","noteIndex":0},"citationItems":[{"id":249,"uris":["http://zotero.org/users/1694537/items/E5D86WDK"],"uri":["http://zotero.org/users/1694537/items/E5D86WDK"],"itemData":{"id":249,"type":"article-journal","abstract":"Research on processes of bringing effective tobacco control interventions to scale to increase quit rates among tobacco users is uncommon. This study examines processes to bring to scale one such intervention for school teachers, i.e. Tobacco Free Teacher-Tobacco Free Society (TFT-TFS). This intervention provides a foundation for an effective and low cost approach to promote cessation through schools. The present study was conducted in the states of Bihar and Maharashtra in 2014 using quantitative and qualitative methods. Focus group discussions (FGDs) were analysed using immersion crystallization method. The data presented are from a survey of 291 principals and seven FGDs. This study examined characteristics of principals and teachers, organizational environment, external environmental factors and program characteristics to determine facilitators and barriers for successful dissemination and implementation of the TFT-TFS program. Some facilitators were, incorporation of the program in existing channels like staff meetings and trainings, certification and recognition by the department of education; while some barriers were routine time bound duties (mainly teaching) of teachers and prevalence of tobacco use among teachers and administrators. Principals and teachers expressed a need and high level of interest in the adoption and implementation of the TFT-TFS program in their schools.","container-title":"Health Education Research","DOI":"10.1093/her/cyy011","ISSN":"1465-3648","issue":"3","journalAbbreviation":"Health Educ Res","language":"eng","note":"PMID: 29757377\nPMCID: PMC5961014","page":"218-231","source":"PubMed","title":"Scaling up a tobacco control intervention in low resource settings: a case example for school teachers in India","title-short":"Scaling up a tobacco control intervention in low resource settings","volume":"33","author":[{"family":"Pednekar","given":"M. S."},{"family":"Nagler","given":"E. M."},{"family":"Gupta","given":"P. C."},{"family":"Pawar","given":"P. S."},{"family":"Mathur","given":"N."},{"family":"Adhikari","given":"K."},{"family":"Codeira","given":"L. S."},{"family":"Stoddard","given":"A. M."},{"family":"Sorensen","given":"G."}],"issued":{"date-parts":[["2018",6,1]]}}}],"schema":"https://github.com/citation-style-language/schema/raw/master/csl-citation.json"} </w:instrText>
            </w:r>
            <w:r w:rsidRPr="00417140">
              <w:fldChar w:fldCharType="separate"/>
            </w:r>
            <w:r w:rsidR="00E400D1" w:rsidRPr="00E400D1">
              <w:rPr>
                <w:rFonts w:ascii="Times New Roman" w:hAnsi="Times New Roman" w:cs="Times New Roman"/>
              </w:rPr>
              <w:t>[102]</w:t>
            </w:r>
            <w:r w:rsidRPr="00417140">
              <w:fldChar w:fldCharType="end"/>
            </w:r>
          </w:p>
        </w:tc>
        <w:tc>
          <w:tcPr>
            <w:tcW w:w="1375" w:type="dxa"/>
            <w:vAlign w:val="center"/>
          </w:tcPr>
          <w:p w14:paraId="3492F73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0523215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30C93F5F" w14:textId="77777777" w:rsidTr="001D3324">
        <w:tc>
          <w:tcPr>
            <w:tcW w:w="3347" w:type="dxa"/>
            <w:vAlign w:val="center"/>
          </w:tcPr>
          <w:p w14:paraId="68C09B2B" w14:textId="2FCEB276"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Perez-Escamilla et al. </w:t>
            </w:r>
            <w:r w:rsidRPr="00417140">
              <w:fldChar w:fldCharType="begin"/>
            </w:r>
            <w:r w:rsidR="00E400D1">
              <w:rPr>
                <w:rFonts w:ascii="Times New Roman" w:hAnsi="Times New Roman" w:cs="Times New Roman"/>
                <w:lang w:val="en-CA"/>
              </w:rPr>
              <w:instrText xml:space="preserve"> ADDIN ZOTERO_ITEM CSL_CITATION {"citationID":"Gwlfyz4y","properties":{"formattedCitation":"[73]","plainCitation":"[73]","noteIndex":0},"citationItems":[{"id":248,"uris":["http://zotero.org/users/1694537/items/VJK73V2U"],"uri":["http://zotero.org/users/1694537/items/VJK73V2U"],"itemData":{"id":248,"type":"article-journal","abstract":"Metrics exist to assist committed countries with measuring their existing environments for scaling up breastfeeding programs. Yet, no evidence-based toolboxes exist to help countries to both assess as well as guide the development of national breastfeeding programs and their scaling-up. The Becoming Breastfeeding Friendly (BBF)Toolbox provides an evidence-based index (BBFI) as well as case studies designed to guide the development and tracking of large scale well-coordinated multi-sector national breastfeeding promotion programs that can be uniformly translated for use in low, middle, and high income countries worldwide Grounded in the evidence-based Breastfeeding Gear Model (BFGM) complex adaptive systems framework, the BBFI was developed between August 2015 and January 2016 by Yale University researchers in collaboration with a 13-member Technical Advisory Committee (TAG) comprised of academic (Bangladesh, Brazil, Canada, Ghana, Mexico, UK, USA), international agencies (WHO, UNICEF, PAHO), philanthropic organizations (Bill and Melinda Gates Foundation, Alive &amp; Thrive), and policy experts in breastfeeding as well as members with expertise in metric development relevant to scaling up of health and nutrition programs. First, a review of the academic and grey literature was conducted by the BBF steering committee to identify metrics to assess country-level readiness to scale up health initiatives within the areas of infant and young child feeding, food and nutrition, and newborn survival. The steering committee met regularly to develop and reach agreement on the key benchmarks and definitions for the BBFI, which were then proposed to the TAG. TAG members participated in the progressive assessment and revision of the BBFI following a Delphi consensus methodology. As part of this process, the TAG was convened for a three day highly intensive participatory meeting to discuss and reach initial consensus on the definitions and benchmarks for the metric. Following this meeting, TAG members continued to provide their expertise with the refinement of the BBFI, including weighting the benchmarks to help develop the BBF scoring algorithm. The resulting BBFI consists of eight gears that correspond to the BFGM: Advocacy (4 benchmarks); Political Will (3 benchmarks); Legislation &amp; Policy (10 benchmarks); Funding &amp; Resources (4 benchmarks); Training &amp; Program Delivery (17 benchmarks); Promotion (3 benchmarks); Research &amp; Evaluation (10 benchmarks); and Coordination, Goals, &amp; Monitoring (3 benchmarks). Each gear contains gear-related themes and associated benchmarks. A global BBFI total score as well as sub-scores for each of the eight gears can be calculated from the benchmarks. The country environment as BBF is ranked as weak, moderate, strong and outstanding according global BBFI result. To aid countries in how to use their baseline enabling environment assessment to advocate for policy and program changes, the toolbox includes eighty-seven case studies illustrating data-driven decision making along with their references. The BBF toolbox is currently in the final stages of validation in Mexico and Ghana. Findings thus far indicate that BBF has a strong potential to influence effective scaling up of breastfeeding protection, promotion and support worldwide.","container-title":"FASEB Journal","ISSN":"1530-6860","issue":"1","language":"English","title":"Becoming baby friendly: A complex adaptive systems toolbox for scaling up breastfeeding programs globally","volume":"31","author":[{"family":"Pérez-Escamilla","given":"Rafael"},{"family":"Hromi-Fiedler","given":"Amber J."},{"family":"Gubert","given":"Muriel Bauermann"}],"issued":{"date-parts":[["2017"]]}}}],"schema":"https://github.com/citation-style-language/schema/raw/master/csl-citation.json"} </w:instrText>
            </w:r>
            <w:r w:rsidRPr="00417140">
              <w:fldChar w:fldCharType="separate"/>
            </w:r>
            <w:r w:rsidR="00E400D1" w:rsidRPr="00D97E01">
              <w:rPr>
                <w:rFonts w:ascii="Cambria" w:hAnsi="Cambria"/>
              </w:rPr>
              <w:t>[73]</w:t>
            </w:r>
            <w:r w:rsidRPr="00417140">
              <w:fldChar w:fldCharType="end"/>
            </w:r>
          </w:p>
        </w:tc>
        <w:tc>
          <w:tcPr>
            <w:tcW w:w="1375" w:type="dxa"/>
            <w:vAlign w:val="center"/>
          </w:tcPr>
          <w:p w14:paraId="400DBE34"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6A4694D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179F0773" w14:textId="77777777" w:rsidTr="001D3324">
        <w:tc>
          <w:tcPr>
            <w:tcW w:w="3347" w:type="dxa"/>
            <w:vAlign w:val="center"/>
          </w:tcPr>
          <w:p w14:paraId="3390E0A0" w14:textId="3A5104F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Perla et al. </w:t>
            </w:r>
            <w:r w:rsidRPr="00417140">
              <w:fldChar w:fldCharType="begin"/>
            </w:r>
            <w:r w:rsidR="00E400D1">
              <w:rPr>
                <w:rFonts w:ascii="Times New Roman" w:hAnsi="Times New Roman" w:cs="Times New Roman"/>
                <w:lang w:val="en-CA"/>
              </w:rPr>
              <w:instrText xml:space="preserve"> ADDIN ZOTERO_ITEM CSL_CITATION {"citationID":"c7FWVde4","properties":{"formattedCitation":"[91]","plainCitation":"[91]","noteIndex":0},"citationItems":[{"id":247,"uris":["http://zotero.org/users/1694537/items/DYE3TQ74"],"uri":["http://zotero.org/users/1694537/items/DYE3TQ74"],"itemData":{"id":247,"type":"article-journal","abstract":"Context: \n        The goal of this article is to provide a succinct scan of the literature as it relates to the current thinking and practice in large-scale improvement initiatives in healthcare.\n        Method: \n        We employed a scan of the literature using a modified Delphi technique. A standard review form was used. The scan was limited to large-scale spread efforts in hospitals and healthcare systems. Each of the main factors that emerged during the scan was linked to secondary factors and organized using a driver diagram.\n        Findings: \n        Four primary drivers (factors) emerged during our scan that inform large-scale change initiatives in healthcare: Planning and Infrastructure; Individual, Group, Organizational, and System Factors; The Process of Change; and Performance Measures and Evaluation.\n        Conclusion: \n        Our scan identified a tremendous amount of work being done around the world to improve healthcare. In general, our findings suggest these initiatives tend to be fragmented from an implementation standpoint. We identified primary and secondary drivers (factors) that can be used by those responsible for implementing large-scale improvement initiatives both at a strategy level and in their daily work. These drivers could serve as a “checklist” of ideas to consider in different testing and implementation situations.","container-title":"The Journal for Healthcare Quality (JHQ)","DOI":"10.1111/j.1945-1474.2011.00164.x","ISSN":"1062-2551","issue":"1","language":"en-US","page":"30–40","source":"journals-lww-com.acces.bibl.ulaval.ca","title":"Large-Scale Improvement Initiatives in Healthcare: A Scan of the Literature","title-short":"Large-Scale Improvement Initiatives in Healthcare","volume":"35","author":[{"family":"Perla","given":"Rocco J."},{"family":"Bradbury","given":"Elizabeth"},{"family":"Gunther-Murphy","given":"Christina"}],"issued":{"date-parts":[["2013",2]]}}}],"schema":"https://github.com/citation-style-language/schema/raw/master/csl-citation.json"} </w:instrText>
            </w:r>
            <w:r w:rsidRPr="00417140">
              <w:fldChar w:fldCharType="separate"/>
            </w:r>
            <w:r w:rsidR="00E400D1" w:rsidRPr="00E400D1">
              <w:rPr>
                <w:rFonts w:ascii="Times New Roman" w:hAnsi="Times New Roman" w:cs="Times New Roman"/>
              </w:rPr>
              <w:t>[91]</w:t>
            </w:r>
            <w:r w:rsidRPr="00417140">
              <w:fldChar w:fldCharType="end"/>
            </w:r>
          </w:p>
        </w:tc>
        <w:tc>
          <w:tcPr>
            <w:tcW w:w="1375" w:type="dxa"/>
            <w:vAlign w:val="center"/>
          </w:tcPr>
          <w:p w14:paraId="58062E0B"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2013</w:t>
            </w:r>
          </w:p>
        </w:tc>
        <w:tc>
          <w:tcPr>
            <w:tcW w:w="8456" w:type="dxa"/>
            <w:vAlign w:val="center"/>
          </w:tcPr>
          <w:p w14:paraId="002146A0"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3FD107AB" w14:textId="77777777" w:rsidTr="001D3324">
        <w:tc>
          <w:tcPr>
            <w:tcW w:w="3347" w:type="dxa"/>
            <w:vAlign w:val="center"/>
          </w:tcPr>
          <w:p w14:paraId="4AED7768" w14:textId="164C68BB"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Renju</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wEOAAMIj","properties":{"formattedCitation":"[64]","plainCitation":"[64]","noteIndex":0},"citationItems":[{"id":246,"uris":["http://zotero.org/users/1694537/items/EUEHVCNI"],"uri":["http://zotero.org/users/1694537/items/EUEHVCNI"],"itemData":{"id":246,"type":"article-journal","abstract":"Background While there are a number of examples of successful small-scale, youth-friendly services interventions aimed at improving reproductive health service provision for young people, these projects are often short term and have low coverage. In order to have a significant, long-term impact, these initiatives must be implemented over a sustained period and on a large scale. We conducted a process evaluation of the 10-fold scale up of an evaluated youth-friendly services intervention in Mwanza Region, Tanzania, in order to identify key facilitating and inhibitory factors from both user and provider perspectives. Methods The intervention was scaled up in two training rounds lasting six and 10 months. This process was evaluated through the triangulation of multiple methods: (i) a simulated patient study; (ii) focus group discussions and semi-structured interviews with health workers and trainers; (iii) training observations; and (iv) pre- and post-training questionnaires. These methods were used to compare pre- and post-intervention groups and assess differences between the two training rounds. Results Between 2004 and 2007, local government officials trained 429 health workers. The training was well implemented and over time, trainers' confidence and ability to lead sessions improved. The district-led training significantly improved knowledge relating to HIV/AIDS and puberty (RR ranged from 1.06 to 2.0), attitudes towards condoms, confidentiality and young people's right to treatment (RR range: 1.23-1.36). Intervention health units scored higher in the family planning and condom request simulated patient scenarios, but lower in the sexually transmitted infection scenario than the control health units. The scale up faced challenges in the selection and retention of trained health workers and was limited by various contextual factors and structural constraints. Conclusions Youth-friendly services interventions can remain well delivered, even after expansion through existing systems. The scaling-up process did affect some aspects of intervention quality, and our research supports others in emphasizing the need to train more staff (both clinical and non-clinical) per facility in order to ensure youth-friendly services delivery. Further research is needed to identify effective strategies to address structural constraints and broader social norms that hampered the scale up.","container-title":"Journal of the International AIDS Society","DOI":"https://doi.org/10.1186/1758-2652-13-32","ISSN":"1758-2652","issue":"1","language":"en","note":"_eprint: https://onlinelibrary.wiley.com/doi/pdf/10.1186/1758-2652-13-32","page":"32-32","source":"Wiley Online Library","title":"A process evaluation of the scale up of a youth-friendly health services initiative in northern Tanzania","volume":"13","author":[{"family":"Renju","given":"Jenny"},{"family":"Andrew","given":"Bahati"},{"family":"Nyalali","given":"Kija"},{"family":"Kishamawe","given":"Coleman"},{"family":"Kato","given":"Charles"},{"family":"Changalucha","given":"John"},{"family":"Obasi","given":"Angela"}],"issued":{"date-parts":[["2010"]]}}}],"schema":"https://github.com/citation-style-language/schema/raw/master/csl-citation.json"} </w:instrText>
            </w:r>
            <w:r w:rsidRPr="00417140">
              <w:fldChar w:fldCharType="separate"/>
            </w:r>
            <w:r w:rsidR="00E400D1" w:rsidRPr="00D97E01">
              <w:rPr>
                <w:rFonts w:ascii="Cambria" w:hAnsi="Cambria"/>
              </w:rPr>
              <w:t>[64]</w:t>
            </w:r>
            <w:r w:rsidRPr="00417140">
              <w:fldChar w:fldCharType="end"/>
            </w:r>
          </w:p>
        </w:tc>
        <w:tc>
          <w:tcPr>
            <w:tcW w:w="1375" w:type="dxa"/>
            <w:vAlign w:val="center"/>
          </w:tcPr>
          <w:p w14:paraId="130AB492"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2010</w:t>
            </w:r>
          </w:p>
        </w:tc>
        <w:tc>
          <w:tcPr>
            <w:tcW w:w="8456" w:type="dxa"/>
            <w:vAlign w:val="center"/>
          </w:tcPr>
          <w:p w14:paraId="1CBDFE4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30361701" w14:textId="77777777" w:rsidTr="001D3324">
        <w:tc>
          <w:tcPr>
            <w:tcW w:w="3347" w:type="dxa"/>
            <w:vAlign w:val="center"/>
          </w:tcPr>
          <w:p w14:paraId="511FFA18" w14:textId="53FCF270"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Renju</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FT3dVfGC","properties":{"formattedCitation":"[101]","plainCitation":"[101]","noteIndex":0},"citationItems":[{"id":245,"uris":["http://zotero.org/users/1694537/items/YFK8ANLR"],"uri":["http://zotero.org/users/1694537/items/YFK8ANLR"],"itemData":{"id":245,"type":"article-journal","abstract":"Little is known about the nature and mechanisms of factors that facilitate or inhibit the scale-up and subsequent implementation of school-based adolescent sexual and reproductive health (ASRH) interventions. We present process evaluation findings examining the factors that affected the 10-fold scale-up of such an intervention, focussing on teachers' attitudes and experiences. Qualitative interviews and focus group discussions with teachers, head teachers, ward education coordinators and school committees from eight schools took place before, during and after intervention implementation. The results were triangulated with observations of training sessions and training questionnaires. The training was well implemented and led to some key improvements in teachers' ASRH knowledge, attitudes and perceived self-efficacy, with substantial improvements in knowledge about reproductive biology and attitudes towards confidentiality. The trained teachers were more likely to consider ASRH a priority in schools and less likely to link teaching ASRH to the early initiation of sex than non-trained teachers. Facilitating factors included teacher enjoyment, their recognition of training benefits, the participatory teaching techniques, support from local government as well as the structured nature of the intervention. Challenges included differential participation by male and female teachers, limited availability of materials and high turnover of trained teachers.","container-title":"Health Education Research","DOI":"10.1093/her/cyq041","ISSN":"0268-1153","issue":"6","journalAbbreviation":"Health Education Research","page":"903-916","source":"Silverchair","title":"Scaling up a school-based sexual and reproductive health intervention in rural Tanzania: a process evaluation describing the implementation realities for the teachers","title-short":"Scaling up a school-based sexual and reproductive health intervention in rural Tanzania","volume":"25","author":[{"family":"Renju","given":"Jenny"},{"family":"Nyalali","given":"Kija"},{"family":"Andrew","given":"Bahati"},{"family":"Kishamawe","given":"Coleman"},{"family":"Kimaryo","given":"Micheal"},{"family":"Remes","given":"Pieter"},{"family":"Changalucha","given":"John"},{"family":"Obasi","given":"Angela"}],"issued":{"date-parts":[["2010",12,1]]}}}],"schema":"https://github.com/citation-style-language/schema/raw/master/csl-citation.json"} </w:instrText>
            </w:r>
            <w:r w:rsidRPr="00417140">
              <w:fldChar w:fldCharType="separate"/>
            </w:r>
            <w:r w:rsidR="00E400D1" w:rsidRPr="00E400D1">
              <w:rPr>
                <w:rFonts w:ascii="Times New Roman" w:hAnsi="Times New Roman" w:cs="Times New Roman"/>
              </w:rPr>
              <w:t>[101]</w:t>
            </w:r>
            <w:r w:rsidRPr="00417140">
              <w:fldChar w:fldCharType="end"/>
            </w:r>
          </w:p>
        </w:tc>
        <w:tc>
          <w:tcPr>
            <w:tcW w:w="1375" w:type="dxa"/>
            <w:vAlign w:val="center"/>
          </w:tcPr>
          <w:p w14:paraId="52CA55C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2010</w:t>
            </w:r>
          </w:p>
        </w:tc>
        <w:tc>
          <w:tcPr>
            <w:tcW w:w="8456" w:type="dxa"/>
            <w:vAlign w:val="center"/>
          </w:tcPr>
          <w:p w14:paraId="374A15E1"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40378DBC" w14:textId="77777777" w:rsidTr="001D3324">
        <w:tc>
          <w:tcPr>
            <w:tcW w:w="3347" w:type="dxa"/>
            <w:vAlign w:val="center"/>
          </w:tcPr>
          <w:p w14:paraId="261D5908" w14:textId="57BBF74C"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Rohrbach et al. </w:t>
            </w:r>
            <w:r w:rsidRPr="00417140">
              <w:fldChar w:fldCharType="begin"/>
            </w:r>
            <w:r w:rsidR="00E400D1">
              <w:rPr>
                <w:rFonts w:ascii="Times New Roman" w:hAnsi="Times New Roman" w:cs="Times New Roman"/>
                <w:lang w:val="en-CA"/>
              </w:rPr>
              <w:instrText xml:space="preserve"> ADDIN ZOTERO_ITEM CSL_CITATION {"citationID":"yTBbmv6v","properties":{"formattedCitation":"[113]","plainCitation":"[113]","noteIndex":0},"citationItems":[{"id":244,"uris":["http://zotero.org/users/1694537/items/HKQM895I"],"uri":["http://zotero.org/users/1694537/items/HKQM895I"],"itemData":{"id":244,"type":"article-journal","abstract":"This article summarizes research on Type II translation of prevention interventions aimed at enhancing the adoption of effective programs and practices in communities. The primary goal of Type II translation is to institutionalize evidence-based programs, products, and services. First, the authors describe theoretical frameworks that are useful to guide Type II translation research. Second, research on prevention program implementation, including fidelity of implementation and factors that are associated with successful program implementation, is summarized. The authors describe interventions designed to enhance the dissemination of preventive interventions in community and public health settings. Third, they describe strategies used by prevention program developers who have taken programs to scale. Fourth, they present a case example of Project Towards No Drug Abuse (TND), an empirically validated high school–based substance abuse prevention program. They describe ongoing research on the dissemination of Project TND. Finally, they provide suggestions for future Type II translation research.","container-title":"Evaluation &amp; the Health Professions","DOI":"10.1177/0163278706290408","ISSN":"0163-2787","issue":"3","journalAbbreviation":"Eval Health Prof","language":"en","note":"publisher: SAGE Publications Inc","page":"302-333","source":"SAGE Journals","title":"Type II Translation: Transporting Prevention Interventions From Research to Real-World Settings","title-short":"Type II Translation","volume":"29","author":[{"family":"Rohrbach","given":"Louise A."},{"family":"Grana","given":"Rachel"},{"family":"Sussman","given":"Steve"},{"family":"Valente","given":"Thomas W."}],"issued":{"date-parts":[["2006",9,1]]}}}],"schema":"https://github.com/citation-style-language/schema/raw/master/csl-citation.json"} </w:instrText>
            </w:r>
            <w:r w:rsidRPr="00417140">
              <w:fldChar w:fldCharType="separate"/>
            </w:r>
            <w:r w:rsidR="00E400D1" w:rsidRPr="00E400D1">
              <w:rPr>
                <w:rFonts w:ascii="Times New Roman" w:hAnsi="Times New Roman" w:cs="Times New Roman"/>
              </w:rPr>
              <w:t>[113]</w:t>
            </w:r>
            <w:r w:rsidRPr="00417140">
              <w:fldChar w:fldCharType="end"/>
            </w:r>
          </w:p>
        </w:tc>
        <w:tc>
          <w:tcPr>
            <w:tcW w:w="1375" w:type="dxa"/>
            <w:vAlign w:val="center"/>
          </w:tcPr>
          <w:p w14:paraId="4EED4F50"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2006</w:t>
            </w:r>
          </w:p>
        </w:tc>
        <w:tc>
          <w:tcPr>
            <w:tcW w:w="8456" w:type="dxa"/>
            <w:vAlign w:val="center"/>
          </w:tcPr>
          <w:p w14:paraId="01088DE0"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5ECC672C" w14:textId="77777777" w:rsidTr="001D3324">
        <w:tc>
          <w:tcPr>
            <w:tcW w:w="3347" w:type="dxa"/>
            <w:vAlign w:val="center"/>
          </w:tcPr>
          <w:p w14:paraId="2E454A74" w14:textId="25BA57CF"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Rosas et al. </w:t>
            </w:r>
            <w:r w:rsidRPr="00417140">
              <w:fldChar w:fldCharType="begin"/>
            </w:r>
            <w:r w:rsidR="00E400D1">
              <w:rPr>
                <w:rFonts w:ascii="Times New Roman" w:hAnsi="Times New Roman" w:cs="Times New Roman"/>
                <w:lang w:val="en-CA"/>
              </w:rPr>
              <w:instrText xml:space="preserve"> ADDIN ZOTERO_ITEM CSL_CITATION {"citationID":"obEnnDN9","properties":{"formattedCitation":"[75]","plainCitation":"[75]","noteIndex":0},"citationItems":[{"id":243,"uris":["http://zotero.org/users/1694537/items/WTFIW2VP"],"uri":["http://zotero.org/users/1694537/items/WTFIW2VP"],"itemData":{"id":243,"type":"article-journal","abstract":"Establishing a system of care requires communities to identify ways to successfully implement strategies and support positive outcomes for children and their families. Such community transformation is complex and communities vary in terms of their readiness for implementing sustainable community interventions. Assessing community readiness and guiding implementation, specifically for the funded communities implementing a system of care, requires a well-designed tool with sound psychometric properties. This scale development study used the results of a previously published concept mapping study to create, administer, and assess the psychometric characteristics of the System of Care Readiness and Implementation Measurement Scale (SOC-RIMS). The results indicate the SOC-RIMS possesses excellent internal consistency characteristics, measures clearly discernible dimensions of community readiness, and demonstrates the target constructs exist within a broad network of content. The SOC-RIMS can be a useful part of a comprehensive assessment in communities where system of care practices, principles, and philosophies are implemented and evaluated.","container-title":"The Journal of Behavioral Health Services &amp; Research","DOI":"10.1007/s11414-014-9401-3","ISSN":"1556-3308","issue":"1","journalAbbreviation":"J Behav Health Serv Res","language":"en","page":"18-37","source":"Springer Link","title":"Community Readiness Within Systems of Care: The Validity and Reliability of the System of Care Readiness and Implementation Measurement Scale (SOC-RIMS)","title-short":"Community Readiness Within Systems of Care","volume":"43","author":[{"family":"Rosas","given":"Scott R."},{"family":"Behar","given":"Lenore B."},{"family":"Hydaker","given":"William M."}],"issued":{"date-parts":[["2016",1,1]]}}}],"schema":"https://github.com/citation-style-language/schema/raw/master/csl-citation.json"} </w:instrText>
            </w:r>
            <w:r w:rsidRPr="00417140">
              <w:fldChar w:fldCharType="separate"/>
            </w:r>
            <w:r w:rsidR="00E400D1" w:rsidRPr="00E400D1">
              <w:rPr>
                <w:rFonts w:ascii="Times New Roman" w:hAnsi="Times New Roman" w:cs="Times New Roman"/>
              </w:rPr>
              <w:t>[75]</w:t>
            </w:r>
            <w:r w:rsidRPr="00417140">
              <w:fldChar w:fldCharType="end"/>
            </w:r>
          </w:p>
        </w:tc>
        <w:tc>
          <w:tcPr>
            <w:tcW w:w="1375" w:type="dxa"/>
            <w:vAlign w:val="center"/>
          </w:tcPr>
          <w:p w14:paraId="33460B5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212D380F"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063FFF4D" w14:textId="77777777" w:rsidTr="001D3324">
        <w:tc>
          <w:tcPr>
            <w:tcW w:w="3347" w:type="dxa"/>
            <w:vAlign w:val="center"/>
          </w:tcPr>
          <w:p w14:paraId="629EE703" w14:textId="49F1BC18"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Rosella et al. </w:t>
            </w:r>
            <w:r w:rsidRPr="00417140">
              <w:fldChar w:fldCharType="begin"/>
            </w:r>
            <w:r w:rsidR="00E400D1">
              <w:rPr>
                <w:rFonts w:ascii="Times New Roman" w:hAnsi="Times New Roman" w:cs="Times New Roman"/>
                <w:lang w:val="en-CA"/>
              </w:rPr>
              <w:instrText xml:space="preserve"> ADDIN ZOTERO_ITEM CSL_CITATION {"citationID":"Q158KCwo","properties":{"formattedCitation":"[106]","plainCitation":"[106]","noteIndex":0},"citationItems":[{"id":242,"uris":["http://zotero.org/users/1694537/items/VH8X9D2D"],"uri":["http://zotero.org/users/1694537/items/VH8X9D2D"],"itemData":{"id":242,"type":"article-journal","abstract":"Objectives\nMost quality appraisal tools were developed for clinical medicine and tend to be study-specific with a strong emphasis on risk of bias. In order to be more relevant to public health, an appropriate quality appraisal tool needs to be less reliant on the evidence hierarchy and consider practice applicability. Given the broad range of study designs used in public health, the objective of this study was to develop and validate a meta-tool that combines public health-focused principles of appraisal coupled with a set of design-specific companion tools.\nStudy design\nSeveral design methods were used to develop and validate the tool including literature review, synthesis, and validation with a reference standard.\nMethods\nA search of critical appraisal tools relevant to public health was conducted; core concepts were collated. The resulting framework was piloted during three feedback sessions with public health practitioners. Following subsequent revisions, the final meta-tool, the Meta Quality Appraisal Tool (MetaQAT), was then validated through a content analysis of appraisals conducted by two groups of experienced public health researchers (MetaQAT vs generic appraisal form).\nResults\nThe MetaQAT framework consists of four domains: relevancy, reliability, validity, and applicability. In addition, a companion tool was assembled from existing critical appraisal tools to provide study design-specific guidance on validity appraisal. Content analysis showed similar methodological and generalizability concerns were raised by both groups; however, the MetaQAT appraisers commented more extensively on applicability to public health practice.\nConclusions\nCritical appraisal tools designed for clinical medicine have limitations for use in the context of public health. The meta-tool structure of the MetaQAT allows for rigorous appraisal, while allowing users to simultaneously appraise the multitude of study designs relevant to public health research and assess non-standard domains, such as applicability.","container-title":"Public Health","DOI":"10.1016/j.puhe.2015.10.027","ISSN":"0033-3506","journalAbbreviation":"Public Health","language":"en","page":"57-65","source":"ScienceDirect","title":"The development and validation of a meta-tool for quality appraisal of public health evidence: Meta Quality Appraisal Tool (MetaQAT)","title-short":"The development and validation of a meta-tool for quality appraisal of public health evidence","volume":"136","author":[{"family":"Rosella","given":"L."},{"family":"Bowman","given":"C."},{"family":"Pach","given":"B."},{"family":"Morgan","given":"S."},{"family":"Fitzpatrick","given":"T."},{"family":"Goel","given":"V."}],"issued":{"date-parts":[["2016",7,1]]}}}],"schema":"https://github.com/citation-style-language/schema/raw/master/csl-citation.json"} </w:instrText>
            </w:r>
            <w:r w:rsidRPr="00417140">
              <w:fldChar w:fldCharType="separate"/>
            </w:r>
            <w:r w:rsidR="00E400D1" w:rsidRPr="00D97E01">
              <w:rPr>
                <w:rFonts w:ascii="Cambria" w:hAnsi="Cambria"/>
              </w:rPr>
              <w:t>[106]</w:t>
            </w:r>
            <w:r w:rsidRPr="00417140">
              <w:fldChar w:fldCharType="end"/>
            </w:r>
          </w:p>
        </w:tc>
        <w:tc>
          <w:tcPr>
            <w:tcW w:w="1375" w:type="dxa"/>
            <w:vAlign w:val="center"/>
          </w:tcPr>
          <w:p w14:paraId="05114ABD"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036CF6AD"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0BF14556" w14:textId="77777777" w:rsidTr="001D3324">
        <w:tc>
          <w:tcPr>
            <w:tcW w:w="3347" w:type="dxa"/>
            <w:vAlign w:val="center"/>
          </w:tcPr>
          <w:p w14:paraId="6031E624" w14:textId="5CCD9361"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Sako</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qgAeCDlM","properties":{"formattedCitation":"[100]","plainCitation":"[100]","noteIndex":0},"citationItems":[{"id":240,"uris":["http://zotero.org/users/1694537/items/ZEXY5LRV"],"uri":["http://zotero.org/users/1694537/items/ZEXY5LRV"],"itemData":{"id":240,"type":"article-journal","abstract":"Background and objectives: Child malnutrition remains high in Ethiopia and inadequate complementary feeding is a contributing factor. In this context developing partners designed a community-based intervention to provide locally-made quality complementary food for children 6-23 months, using a bartering system, in four Ethiopian regions. After a pilot phase, the intervention was scaled up from 8 to 180 localities in the same regions. We conducted a process evaluation to determine enablers and barriers for the scaling up of this intervention. Methods: Eight study sites were selected to perform 52 key informant interviews (KII) and 31 focus group discussions (FGD) with purposely selected informants. A total of 52 KIIs and 31 FGDs were performed. For analysis, we used a framework describing six elements of successful scaling up: socio-political context, attributes of the intervention, attributes of the implementers, appropriate delivery strategy, the adopting community, and use of research to inform the scale up process. Results: A strong political will, the alignment of the intervention with national priorities and the integration with the healthcare system were instrumental in the scaling up process. The participatory approach in decision making reinforced ownership at community level, and knowledge acquired through program training motivated mothers and women's groups to participate. However, the management of the complex intervention, limited human resources and lack of incentives for female volunteers proved challenging. In the bartering model, the barter rate was accepted but the bartering was hindered by unavailability of cereals, and limited financial and material resources to contribute (like firewood) at community level threatening the sustainability. Conclusions: Scaling up strategies for nutrition interventions require sufficient time, thorough planning and assessment of the community's capacity to contribute human, financial and material resources.","archive":"Embase","container-title":"Annals of Nutrition and Metabolism","DOI":"10.1159/000480486","ISSN":"1421-9697","language":"English","page":"834-835","title":"Scaling up a community-based grainbank intervention for improved infant and young child feeding (IYCF) in Ethiopia","volume":"71","author":[{"family":"Sako","given":"Binta"},{"family":"Leerlooijer","given":"Joanne N."},{"family":"Lelisa","given":"Azeb"},{"family":"Hailemariam","given":"Abebe"},{"family":"Brouwer","given":"Ingeborg"},{"family":"Tucker Brown","given":"Amal"},{"family":"Osendarp","given":"Saskia"}],"issued":{"date-parts":[["2017"]]}}}],"schema":"https://github.com/citation-style-language/schema/raw/master/csl-citation.json"} </w:instrText>
            </w:r>
            <w:r w:rsidRPr="00417140">
              <w:fldChar w:fldCharType="separate"/>
            </w:r>
            <w:r w:rsidR="00E400D1" w:rsidRPr="00E400D1">
              <w:rPr>
                <w:rFonts w:ascii="Times New Roman" w:hAnsi="Times New Roman" w:cs="Times New Roman"/>
                <w:lang w:val="en-CA"/>
              </w:rPr>
              <w:t>[100]</w:t>
            </w:r>
            <w:r w:rsidRPr="00417140">
              <w:fldChar w:fldCharType="end"/>
            </w:r>
          </w:p>
        </w:tc>
        <w:tc>
          <w:tcPr>
            <w:tcW w:w="1375" w:type="dxa"/>
            <w:vAlign w:val="center"/>
          </w:tcPr>
          <w:p w14:paraId="7556E39E"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21671DDC"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1613415E" w14:textId="77777777" w:rsidTr="001D3324">
        <w:tc>
          <w:tcPr>
            <w:tcW w:w="3347" w:type="dxa"/>
            <w:vAlign w:val="center"/>
          </w:tcPr>
          <w:p w14:paraId="41FDA180" w14:textId="778223CA"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Sako</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Ox5P9RSW","properties":{"formattedCitation":"[82]","plainCitation":"[82]","noteIndex":0},"citationItems":[{"id":241,"uris":["http://zotero.org/users/1694537/items/2LF6GVQB"],"uri":["http://zotero.org/users/1694537/items/2LF6GVQB"],"itemData":{"id":241,"type":"article-journal","abstract":"Child malnutrition remains high in Ethiopia, and inadequate complementary feeding is a contributing factor. In this context, a community-based intervention was designed to provide locally made complementary food for children 6–23 months, using a bartering system, in four Ethiopian regions. After a pilot phase, the intervention was scaled up from 8 to 180 localities. We conducted a process evaluation to determine enablers and barriers for the scaling up of this intervention. Eight study sites were selected to perform 52 key informant interviews and 31 focus group discussions with purposely selected informants. For analysis, we used a framework describing six elements of successful scaling up: socio-political context, attributes of the intervention, attributes of the implementers, appropriate delivery strategy, the adopting community, and use of research to inform the scale-up process. A strong political will, alignment of the intervention with national priorities, and integration with the health care system were instrumental in the scaling up. The participatory approach in decision-making reinforced ownership at community level, and training about complementary feeding motivated mothers and women's groups to participate. However, the management of the complex intervention, limited human resources, and lack of incentives for female volunteers proved challenging. In the bartering model, the barter rate was accepted, but the bartering was hindered by unavailability of cereals and limited financial and material resources to contribute, threatening the project's sustainability. Scaling up strategies for nutrition interventions require sufficient time, thorough planning, and assessment of the community's capacity to contribute human, financial, and material resources.","container-title":"Maternal &amp; Child Nutrition","DOI":"https://doi.org/10.1111/mcn.12551","ISSN":"1740-8709","issue":"2","language":"en","note":"_eprint: https://onlinelibrary.wiley.com/doi/pdf/10.1111/mcn.12551","page":"e12551","source":"Wiley Online Library","title":"Exploring barriers and enablers for scaling up a community-based grain bank intervention for improved infant and young child feeding in Ethiopia: A qualitative process evaluation","title-short":"Exploring barriers and enablers for scaling up a community-based grain bank intervention for improved infant and young child feeding in Ethiopia","volume":"14","author":[{"family":"Sako","given":"Binta"},{"family":"Leerlooijer","given":"Joanne N."},{"family":"Lelisa","given":"Azeb"},{"family":"Hailemariam","given":"Abebe"},{"family":"Brouwer","given":"Inge D."},{"family":"Brown","given":"Amal Tucker"},{"family":"Osendarp","given":"Saskia J. M."}],"issued":{"date-parts":[["2018"]]}}}],"schema":"https://github.com/citation-style-language/schema/raw/master/csl-citation.json"} </w:instrText>
            </w:r>
            <w:r w:rsidRPr="00417140">
              <w:fldChar w:fldCharType="separate"/>
            </w:r>
            <w:r w:rsidR="00E400D1" w:rsidRPr="00E400D1">
              <w:rPr>
                <w:rFonts w:ascii="Times New Roman" w:hAnsi="Times New Roman" w:cs="Times New Roman"/>
                <w:lang w:val="en-CA"/>
              </w:rPr>
              <w:t>[82]</w:t>
            </w:r>
            <w:r w:rsidRPr="00417140">
              <w:fldChar w:fldCharType="end"/>
            </w:r>
          </w:p>
        </w:tc>
        <w:tc>
          <w:tcPr>
            <w:tcW w:w="1375" w:type="dxa"/>
            <w:vAlign w:val="center"/>
          </w:tcPr>
          <w:p w14:paraId="3A297A40"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6443BF6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086E86D5" w14:textId="77777777" w:rsidTr="001D3324">
        <w:tc>
          <w:tcPr>
            <w:tcW w:w="3347" w:type="dxa"/>
            <w:vAlign w:val="center"/>
          </w:tcPr>
          <w:p w14:paraId="7BBF7049" w14:textId="3D0EBEF3"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Sani et Arshad </w:t>
            </w:r>
            <w:r w:rsidRPr="00417140">
              <w:fldChar w:fldCharType="begin"/>
            </w:r>
            <w:r w:rsidR="00E400D1">
              <w:rPr>
                <w:rFonts w:ascii="Times New Roman" w:hAnsi="Times New Roman" w:cs="Times New Roman"/>
                <w:lang w:val="en-CA"/>
              </w:rPr>
              <w:instrText xml:space="preserve"> ADDIN ZOTERO_ITEM CSL_CITATION {"citationID":"ctHZCy0O","properties":{"formattedCitation":"[108]","plainCitation":"[108]","noteIndex":0},"citationItems":[{"id":239,"uris":["http://zotero.org/users/1694537/items/FA3UZQUU"],"uri":["http://zotero.org/users/1694537/items/FA3UZQUU"],"itemData":{"id":239,"type":"book","collection-title":"2015 International Symposium on Mathematical Sciences and Computing Research","event-place":"New York","ISBN":"978-1-4799-7894-6","number-of-pages":"255-262","publisher-place":"New York","title":"Towards A Framework to Measure Knowledge Transfer in Organizations","author":[{"family":"Sani","given":"N. S. B. M."},{"family":"Arshad","given":"N. I. B","suffix":""}],"issued":{"date-parts":[["2015"]]}}}],"schema":"https://github.com/citation-style-language/schema/raw/master/csl-citation.json"} </w:instrText>
            </w:r>
            <w:r w:rsidRPr="00417140">
              <w:fldChar w:fldCharType="separate"/>
            </w:r>
            <w:r w:rsidR="00E400D1" w:rsidRPr="00E400D1">
              <w:rPr>
                <w:rFonts w:ascii="Times New Roman" w:hAnsi="Times New Roman" w:cs="Times New Roman"/>
                <w:lang w:val="en-CA"/>
              </w:rPr>
              <w:t>[108]</w:t>
            </w:r>
            <w:r w:rsidRPr="00417140">
              <w:fldChar w:fldCharType="end"/>
            </w:r>
          </w:p>
        </w:tc>
        <w:tc>
          <w:tcPr>
            <w:tcW w:w="1375" w:type="dxa"/>
            <w:vAlign w:val="center"/>
          </w:tcPr>
          <w:p w14:paraId="7A43A91C"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2015</w:t>
            </w:r>
          </w:p>
        </w:tc>
        <w:tc>
          <w:tcPr>
            <w:tcW w:w="8456" w:type="dxa"/>
            <w:vAlign w:val="center"/>
          </w:tcPr>
          <w:p w14:paraId="10BB9C7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an innovation in the field of health</w:t>
            </w:r>
          </w:p>
        </w:tc>
      </w:tr>
      <w:tr w:rsidR="00074617" w:rsidRPr="00417140" w14:paraId="233C35E4" w14:textId="77777777" w:rsidTr="001D3324">
        <w:tc>
          <w:tcPr>
            <w:tcW w:w="3347" w:type="dxa"/>
            <w:vAlign w:val="center"/>
          </w:tcPr>
          <w:p w14:paraId="133747B0" w14:textId="2BFDCB70"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Schloemer</w:t>
            </w:r>
            <w:proofErr w:type="spellEnd"/>
            <w:r w:rsidRPr="00417140">
              <w:rPr>
                <w:rFonts w:ascii="Times New Roman" w:hAnsi="Times New Roman" w:cs="Times New Roman"/>
                <w:lang w:val="en-CA"/>
              </w:rPr>
              <w:t xml:space="preserve"> et Schroder-Back </w:t>
            </w:r>
            <w:r w:rsidRPr="00417140">
              <w:fldChar w:fldCharType="begin"/>
            </w:r>
            <w:r w:rsidR="00E400D1">
              <w:rPr>
                <w:rFonts w:ascii="Times New Roman" w:hAnsi="Times New Roman" w:cs="Times New Roman"/>
                <w:lang w:val="en-CA"/>
              </w:rPr>
              <w:instrText xml:space="preserve"> ADDIN ZOTERO_ITEM CSL_CITATION {"citationID":"yoihhX5J","properties":{"formattedCitation":"[76]","plainCitation":"[76]","noteIndex":0},"citationItems":[{"id":238,"uris":["http://zotero.org/users/1694537/items/3L6PHAWA"],"uri":["http://zotero.org/users/1694537/items/3L6PHAWA"],"itemData":{"id":238,"type":"article-journal","container-title":"European Journal of Public Health","ISSN":"1101-1262","page":"501-501","title":"Criteria for evaluating transferability of child health interventions: A systematic review","volume":"27","author":[{"family":"Schloemer","given":"T"},{"family":"Schroder-Back","given":"P"}],"issued":{"date-parts":[["2017"]]}}}],"schema":"https://github.com/citation-style-language/schema/raw/master/csl-citation.json"} </w:instrText>
            </w:r>
            <w:r w:rsidRPr="00417140">
              <w:fldChar w:fldCharType="separate"/>
            </w:r>
            <w:r w:rsidR="00E400D1" w:rsidRPr="00E400D1">
              <w:rPr>
                <w:rFonts w:ascii="Times New Roman" w:hAnsi="Times New Roman" w:cs="Times New Roman"/>
              </w:rPr>
              <w:t>[76]</w:t>
            </w:r>
            <w:r w:rsidRPr="00417140">
              <w:fldChar w:fldCharType="end"/>
            </w:r>
          </w:p>
        </w:tc>
        <w:tc>
          <w:tcPr>
            <w:tcW w:w="1375" w:type="dxa"/>
            <w:vAlign w:val="center"/>
          </w:tcPr>
          <w:p w14:paraId="4AC5E827"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2568095F"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Wrong type of document</w:t>
            </w:r>
          </w:p>
        </w:tc>
      </w:tr>
      <w:tr w:rsidR="00074617" w:rsidRPr="00417140" w14:paraId="437774AD" w14:textId="77777777" w:rsidTr="001D3324">
        <w:tc>
          <w:tcPr>
            <w:tcW w:w="3347" w:type="dxa"/>
            <w:vAlign w:val="center"/>
          </w:tcPr>
          <w:p w14:paraId="57EC1E07" w14:textId="500739FF"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Shamu et al. </w:t>
            </w:r>
            <w:r w:rsidRPr="00417140">
              <w:fldChar w:fldCharType="begin"/>
            </w:r>
            <w:r w:rsidR="00E400D1">
              <w:rPr>
                <w:rFonts w:ascii="Times New Roman" w:hAnsi="Times New Roman" w:cs="Times New Roman"/>
                <w:lang w:val="en-CA"/>
              </w:rPr>
              <w:instrText xml:space="preserve"> ADDIN ZOTERO_ITEM CSL_CITATION {"citationID":"rwLf7EFO","properties":{"formattedCitation":"[96]","plainCitation":"[96]","noteIndex":0},"citationItems":[{"id":237,"uris":["http://zotero.org/users/1694537/items/B4KRBF46"],"uri":["http://zotero.org/users/1694537/items/B4KRBF46"],"itemData":{"id":237,"type":"article-journal","abstract":"INTRODUCTION: Health-care technologies (HCTs) play an important role in any country's health-care system. Zimbabwe's health-care system uses a lot of HCTs developed in other countries. However, a number of local factors have affected the absorption and use of these technologies. We therefore set out to test the hypothesis that the net benefit regression framework (NBRF) could be a helpful benefit testing model that enables assessment of intra-national variables in HCT transfer.\nMETHOD: We used an NBRF model to assess the benefits of transferring cost-effective technologies to different jurisdictions. We used the country's 57 administrative districts to proxy different jurisdictions. For the dependent variable, we combined the cost and effectiveness ratios with the districts' per capita health expenditure. The cost and effectiveness ratios were obtained from HIV/AIDS and malaria randomized controlled trials, which did either a prospective or retrospective cost-effectiveness analysis. The independent variables were district demographic and socioeconomic determinants of health.\nRESULTS: The study showed that intra-national variation resulted in different net benefits of the same health technology intervention if implemented in different districts in Zimbabwe. The study showed that population data, health data, infrastructure, demographic and health-seeking behavior had significant effects on the net margin benefit for the different districts. The net benefits also differed in terms of magnitude as a result of the local factors.\nCONCLUSION: Net benefit testing using local data is a very useful tool for assessing the transferability and further adoption of HCTs developed elsewhere. However, adopting interventions with a positive net benefit should also not be an end in itself. Information on positive or negative net benefit could also be used to ascertain either the level of future savings that a technology can realize or the level of investment needed for the particular technology to become beneficial.","container-title":"ClinicoEconomics and outcomes research: CEOR","DOI":"10.2147/CEOR.S95037","ISSN":"1178-6981","journalAbbreviation":"Clinicoecon Outcomes Res","language":"eng","note":"PMID: 27920564\nPMCID: PMC5125992","page":"695-705","source":"PubMed","title":"Prioritizing health system and disease burden factors: an evaluation of the net benefit of transferring health technology interventions to different districts in Zimbabwe","title-short":"Prioritizing health system and disease burden factors","volume":"8","author":[{"family":"Shamu","given":"Shepherd"},{"family":"Rusakaniko","given":"Simbarashe"},{"family":"Hongoro","given":"Charles"}],"issued":{"date-parts":[["2016"]]}}}],"schema":"https://github.com/citation-style-language/schema/raw/master/csl-citation.json"} </w:instrText>
            </w:r>
            <w:r w:rsidRPr="00417140">
              <w:fldChar w:fldCharType="separate"/>
            </w:r>
            <w:r w:rsidR="00E400D1" w:rsidRPr="00D97E01">
              <w:rPr>
                <w:rFonts w:ascii="Cambria" w:hAnsi="Cambria"/>
              </w:rPr>
              <w:t>[96]</w:t>
            </w:r>
            <w:r w:rsidRPr="00417140">
              <w:fldChar w:fldCharType="end"/>
            </w:r>
          </w:p>
        </w:tc>
        <w:tc>
          <w:tcPr>
            <w:tcW w:w="1375" w:type="dxa"/>
            <w:vAlign w:val="center"/>
          </w:tcPr>
          <w:p w14:paraId="1848E736"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3FDAAEF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16ED551D" w14:textId="77777777" w:rsidTr="001D3324">
        <w:tc>
          <w:tcPr>
            <w:tcW w:w="3347" w:type="dxa"/>
            <w:vAlign w:val="center"/>
          </w:tcPr>
          <w:p w14:paraId="58C3F21A" w14:textId="638271C4"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Simpson </w:t>
            </w:r>
            <w:r w:rsidRPr="00417140">
              <w:fldChar w:fldCharType="begin"/>
            </w:r>
            <w:r w:rsidR="00E400D1">
              <w:rPr>
                <w:rFonts w:ascii="Times New Roman" w:hAnsi="Times New Roman" w:cs="Times New Roman"/>
                <w:lang w:val="en-CA"/>
              </w:rPr>
              <w:instrText xml:space="preserve"> ADDIN ZOTERO_ITEM CSL_CITATION {"citationID":"I1vRKYtR","properties":{"formattedCitation":"[61]","plainCitation":"[61]","noteIndex":0},"citationItems":[{"id":236,"uris":["http://zotero.org/users/1694537/items/BKNB8WG9"],"uri":["http://zotero.org/users/1694537/items/BKNB8WG9"],"itemData":{"id":236,"type":"article-journal","abstract":"Systematic evaluations of efforts to transfer research-based interventions and procedures into general practice at community drug treatment programs have been limited. However, practical experiences as well as results from studies of technology transfer and organizational behavior in related fields provide a basis for proposing a heuristic model of key factors that influence this process. The successful completion of four stages of activity typically involved in program change (exposure, adoption, implementation, and practice of new interventions) appears to be influenced by several organizational considerations (e.g., institutional readiness for change, resources, and climate) as well as staff attributes. Assessment instruments for measuring organizational functioning (based on ratings aggregated for staff and patients in a program) are introduced, along with preliminary evidence for their validity. A better conceptual understanding of the process of program change and common barriers that may be encountered is needed for effectively transferring research to practice.","container-title":"Journal of Substance Abuse Treatment","ISSN":"0740-5472","issue":"4","journalAbbreviation":"J Subst Abuse Treat","language":"English","page":"171-82","title":"A conceptual framework for transferring research to practice","volume":"22","author":[{"family":"Simpson","given":"D. Dwayne"}],"issued":{"date-parts":[["2002"]]}}}],"schema":"https://github.com/citation-style-language/schema/raw/master/csl-citation.json"} </w:instrText>
            </w:r>
            <w:r w:rsidRPr="00417140">
              <w:fldChar w:fldCharType="separate"/>
            </w:r>
            <w:r w:rsidR="00E400D1" w:rsidRPr="00E400D1">
              <w:rPr>
                <w:rFonts w:ascii="Times New Roman" w:hAnsi="Times New Roman" w:cs="Times New Roman"/>
              </w:rPr>
              <w:t>[61]</w:t>
            </w:r>
            <w:r w:rsidRPr="00417140">
              <w:fldChar w:fldCharType="end"/>
            </w:r>
          </w:p>
        </w:tc>
        <w:tc>
          <w:tcPr>
            <w:tcW w:w="1375" w:type="dxa"/>
            <w:vAlign w:val="center"/>
          </w:tcPr>
          <w:p w14:paraId="702BC6CE"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2002</w:t>
            </w:r>
          </w:p>
        </w:tc>
        <w:tc>
          <w:tcPr>
            <w:tcW w:w="8456" w:type="dxa"/>
            <w:vAlign w:val="center"/>
          </w:tcPr>
          <w:p w14:paraId="5A76B43C"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267E9D3C" w14:textId="77777777" w:rsidTr="001D3324">
        <w:tc>
          <w:tcPr>
            <w:tcW w:w="3347" w:type="dxa"/>
            <w:vAlign w:val="center"/>
          </w:tcPr>
          <w:p w14:paraId="29E701EB" w14:textId="523669A9"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Southon</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GeNUdn0R","properties":{"formattedCitation":"[86]","plainCitation":"[86]","noteIndex":0},"citationItems":[{"id":235,"uris":["http://zotero.org/users/1694537/items/XI3DZIV9"],"uri":["http://zotero.org/users/1694537/items/XI3DZIV9"],"itemData":{"id":235,"type":"article-journal","abstract":"Objective: To identify impediments to the successful transfer and implementation of packaged information systems through large, divisionalized health services.Design: A case analysis of the failure of an implementation of a critical application in the Public Health System of the State of New South Wales, Australia, was carried out. This application had been proven in the United States environment.Measurements: Interviews involving over 60 staff at all levels of the service were undertaken by a team of three. The interviews were recorded and analyzed for key themes, and the results were shared and compared to enable a continuing critical assessment.Results: Two components of the transfer of the system were considered: the transfer from a different environment, and the diffusion throughout a large, divisionalized organization. The analyses were based on the Scott-Morton organizational fit framework. In relation to the first, it was found that there was a lack of fit in the business environments and strategies, organizational structures and strategy-structure pairing as well as the management process-roles pairing. The diffusion process experienced problems because of the lack of fit in the strategy-structure, strategy-structure-management processes, and strategy-structure-role relationships.Conclusion: The large-scale developments of integrated health services present great challenges to the efficient and reliable implementation of information technology, especially in large, divisionalized organizations. There is a need to take a more sophisticated approach to understanding the complexities of organizational factors than has traditionally been the case.","container-title":"Journal of the American Medical Informatics Association","DOI":"10.1136/jamia.1997.0040112","ISSN":"1067-5027","issue":"2","journalAbbreviation":"Journal of the American Medical Informatics Association","page":"112-124","source":"Silverchair","title":"Information Technology in Complex Health Services: Organizational Impediments to Successful Technology Transfer and Diffusion","title-short":"Information Technology in Complex Health Services","volume":"4","author":[{"family":"Southon","given":"Frank Charles Gray"},{"family":"Sauer","given":"Chris"},{"family":"Dampney","given":"Christopher Noel Grant (Kit)"}],"issued":{"date-parts":[["1997",3,1]]}}}],"schema":"https://github.com/citation-style-language/schema/raw/master/csl-citation.json"} </w:instrText>
            </w:r>
            <w:r w:rsidRPr="00417140">
              <w:fldChar w:fldCharType="separate"/>
            </w:r>
            <w:r w:rsidR="00E400D1" w:rsidRPr="00E400D1">
              <w:rPr>
                <w:rFonts w:ascii="Times New Roman" w:hAnsi="Times New Roman" w:cs="Times New Roman"/>
              </w:rPr>
              <w:t>[86]</w:t>
            </w:r>
            <w:r w:rsidRPr="00417140">
              <w:fldChar w:fldCharType="end"/>
            </w:r>
          </w:p>
        </w:tc>
        <w:tc>
          <w:tcPr>
            <w:tcW w:w="1375" w:type="dxa"/>
            <w:vAlign w:val="center"/>
          </w:tcPr>
          <w:p w14:paraId="1E4159AF"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1997</w:t>
            </w:r>
          </w:p>
        </w:tc>
        <w:tc>
          <w:tcPr>
            <w:tcW w:w="8456" w:type="dxa"/>
            <w:vAlign w:val="center"/>
          </w:tcPr>
          <w:p w14:paraId="4C1A42B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579B0133" w14:textId="77777777" w:rsidTr="001D3324">
        <w:tc>
          <w:tcPr>
            <w:tcW w:w="3347" w:type="dxa"/>
            <w:vAlign w:val="center"/>
          </w:tcPr>
          <w:p w14:paraId="6262BB18" w14:textId="73681C68"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Spicer et al. </w:t>
            </w:r>
            <w:r w:rsidRPr="00417140">
              <w:fldChar w:fldCharType="begin"/>
            </w:r>
            <w:r w:rsidR="00E400D1">
              <w:rPr>
                <w:rFonts w:ascii="Times New Roman" w:hAnsi="Times New Roman" w:cs="Times New Roman"/>
                <w:lang w:val="en-CA"/>
              </w:rPr>
              <w:instrText xml:space="preserve"> ADDIN ZOTERO_ITEM CSL_CITATION {"citationID":"lfo1IICv","properties":{"formattedCitation":"[60]","plainCitation":"[60]","noteIndex":0},"citationItems":[{"id":218,"uris":["http://zotero.org/users/1694537/items/TS9IG6QB"],"uri":["http://zotero.org/users/1694537/items/TS9IG6QB"],"itemData":{"id":218,"type":"article-journal","abstract":"Donors commonly fund innovative interventions to improve health in the hope that governments of low and middle-income countries will scale-up those that are shown to be effective. Yet innovations can be slow to be adopted by country governments and implemented at scale. Our study explores this problem by identifying key contextual factors influencing scale-up of maternal and newborn health innovations in three low-income settings: Ethiopia, the six states of northeast Nigeria and Uttar Pradesh state in India.","container-title":"Globalization and Health","DOI":"10.1186/s12992-016-0218-0","ISSN":"1744-8603","issue":"1","journalAbbreviation":"Globalization and Health","page":"75","source":"BioMed Central","title":"‘The stars seem aligned’: a qualitative study to understand the effects of context on scale-up of maternal and newborn health innovations in Ethiopia, India and Nigeria","title-short":"‘The stars seem aligned’","volume":"12","author":[{"family":"Spicer","given":"Neil"},{"family":"Berhanu","given":"Della"},{"family":"Bhattacharya","given":"Dipankar"},{"family":"Tilley-Gyado","given":"Ritgak Dimka"},{"family":"Gautham","given":"Meenakshi"},{"family":"Schellenberg","given":"Joanna"},{"family":"Tamire-Woldemariam","given":"Addis"},{"family":"Umar","given":"Nasir"},{"family":"Wickremasinghe","given":"Deepthi"}],"issued":{"date-parts":[["2016",11,25]]}}}],"schema":"https://github.com/citation-style-language/schema/raw/master/csl-citation.json"} </w:instrText>
            </w:r>
            <w:r w:rsidRPr="00417140">
              <w:fldChar w:fldCharType="separate"/>
            </w:r>
            <w:r w:rsidR="00E400D1" w:rsidRPr="00E400D1">
              <w:rPr>
                <w:rFonts w:ascii="Times New Roman" w:hAnsi="Times New Roman" w:cs="Times New Roman"/>
              </w:rPr>
              <w:t>[60]</w:t>
            </w:r>
            <w:r w:rsidRPr="00417140">
              <w:fldChar w:fldCharType="end"/>
            </w:r>
          </w:p>
        </w:tc>
        <w:tc>
          <w:tcPr>
            <w:tcW w:w="1375" w:type="dxa"/>
            <w:vAlign w:val="center"/>
          </w:tcPr>
          <w:p w14:paraId="00B07FAF"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2016</w:t>
            </w:r>
          </w:p>
        </w:tc>
        <w:tc>
          <w:tcPr>
            <w:tcW w:w="8456" w:type="dxa"/>
            <w:vAlign w:val="center"/>
          </w:tcPr>
          <w:p w14:paraId="0E1F08A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79505F8E" w14:textId="77777777" w:rsidTr="001D3324">
        <w:tc>
          <w:tcPr>
            <w:tcW w:w="3347" w:type="dxa"/>
            <w:vAlign w:val="center"/>
          </w:tcPr>
          <w:p w14:paraId="7089D867" w14:textId="10606324"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Spicer et al. </w:t>
            </w:r>
            <w:r w:rsidRPr="00417140">
              <w:fldChar w:fldCharType="begin"/>
            </w:r>
            <w:r w:rsidR="00E400D1">
              <w:rPr>
                <w:rFonts w:ascii="Times New Roman" w:hAnsi="Times New Roman" w:cs="Times New Roman"/>
                <w:lang w:val="en-CA"/>
              </w:rPr>
              <w:instrText xml:space="preserve"> ADDIN ZOTERO_ITEM CSL_CITATION {"citationID":"z7MtuwP4","properties":{"formattedCitation":"[59]","plainCitation":"[59]","noteIndex":0},"citationItems":[{"id":234,"uris":["http://zotero.org/users/1694537/items/GKFA9AZ3"],"uri":["http://zotero.org/users/1694537/items/GKFA9AZ3"],"itemData":{"id":234,"type":"article-journal","abstract":"Donors often fund projects that develop innovative practices in low and middle-income countries, hoping recipient governments will adopt and scale them within existing systems and programmes. Such innovations frequently end when project funding ends, limiting longer term potential in countries with weak health systems and pressing health needs. This paper aims to identify critical actions for externally funded project implementers to enable scale-up of maternal and newborn child health innovations originally funded by the Bill &amp; Melinda Gates Foundation (‘the foundation’), or influenced by innovations that were originally funded by the foundation in three low-income settings: Ethiopia, the state of Uttar Pradesh in India and northeast Nigeria. We define scale-up as the adoption of donor-funded innovations beyond their original project settings and time periods.","container-title":"Globalization and Health","DOI":"10.1186/s12992-018-0389-y","ISSN":"1744-8603","issue":"1","journalAbbreviation":"Globalization and Health","page":"74","source":"BioMed Central","title":"‘The development sector is a graveyard of pilot projects!’ Six critical actions for externally funded implementers to foster scale-up of maternal and newborn health innovations in low and middle-income countries","volume":"14","author":[{"family":"Spicer","given":"Neil"},{"family":"Hamza","given":"Yashua Alkali"},{"family":"Berhanu","given":"Della"},{"family":"Gautham","given":"Meenakshi"},{"family":"Schellenberg","given":"Joanna"},{"family":"Tadesse","given":"Feker"},{"family":"Umar","given":"Nasir"},{"family":"Wickremasinghe","given":"Deepthi"}],"issued":{"date-parts":[["2018",7,27]]}}}],"schema":"https://github.com/citation-style-language/schema/raw/master/csl-citation.json"} </w:instrText>
            </w:r>
            <w:r w:rsidRPr="00417140">
              <w:fldChar w:fldCharType="separate"/>
            </w:r>
            <w:r w:rsidR="00E400D1" w:rsidRPr="00E400D1">
              <w:rPr>
                <w:rFonts w:ascii="Times New Roman" w:hAnsi="Times New Roman" w:cs="Times New Roman"/>
              </w:rPr>
              <w:t>[59]</w:t>
            </w:r>
            <w:r w:rsidRPr="00417140">
              <w:fldChar w:fldCharType="end"/>
            </w:r>
          </w:p>
        </w:tc>
        <w:tc>
          <w:tcPr>
            <w:tcW w:w="1375" w:type="dxa"/>
            <w:vAlign w:val="center"/>
          </w:tcPr>
          <w:p w14:paraId="733FEBE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7649690F"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42AF310A" w14:textId="77777777" w:rsidTr="001D3324">
        <w:tc>
          <w:tcPr>
            <w:tcW w:w="3347" w:type="dxa"/>
            <w:vAlign w:val="center"/>
          </w:tcPr>
          <w:p w14:paraId="1B6EB536" w14:textId="7037A37E" w:rsidR="00074617" w:rsidRPr="00417140" w:rsidRDefault="00074617" w:rsidP="001D3324">
            <w:pPr>
              <w:spacing w:line="276" w:lineRule="auto"/>
              <w:rPr>
                <w:rFonts w:ascii="Times New Roman" w:hAnsi="Times New Roman" w:cs="Times New Roman"/>
                <w:lang w:val="en-CA" w:eastAsia="zh-CN"/>
              </w:rPr>
            </w:pPr>
            <w:r w:rsidRPr="00417140">
              <w:rPr>
                <w:rFonts w:ascii="Times New Roman" w:hAnsi="Times New Roman" w:cs="Times New Roman"/>
                <w:lang w:val="en-CA"/>
              </w:rPr>
              <w:t xml:space="preserve">Upton et al. </w:t>
            </w:r>
            <w:r w:rsidRPr="00417140">
              <w:fldChar w:fldCharType="begin"/>
            </w:r>
            <w:r w:rsidR="00E400D1">
              <w:rPr>
                <w:rFonts w:ascii="Times New Roman" w:hAnsi="Times New Roman" w:cs="Times New Roman"/>
                <w:lang w:val="en-CA"/>
              </w:rPr>
              <w:instrText xml:space="preserve"> ADDIN ZOTERO_ITEM CSL_CITATION {"citationID":"ryJ6Bnnk","properties":{"formattedCitation":"[107]","plainCitation":"[107]","noteIndex":0},"citationItems":[{"id":233,"uris":["http://zotero.org/users/1694537/items/KWZW7FES"],"uri":["http://zotero.org/users/1694537/items/KWZW7FES"],"itemData":{"id":233,"type":"article-journal","abstract":"Background Since the 1990s, evidence-based practice (EBP) has been increasingly emphasized in nursing, but its implementation is still sometimes met with confusion and resistance. Therefore, identifying factors affecting its implementation is crucial. The Evidence-Based Practice Questionnaire (EBPQ) was published in 2006, addressing a need for a robust measure of nurses’ practice of, attitudes toward, and knowledge of EBP. The growing body of professionals using the questionnaire means that a review of its reach, transferability, and impact is timely. Aims The aims of this review were threefold: (a) identify the situations in which the EBPQ has been used in both published and unpublished research internationally (Reach); (b) collate the psychometric properties of the EBPQ from the research reviewed (Transferability); and (c) discuss the study's findings to shed new light on issues facing professionals in implementing EBP, and possible future directions for research (Impact). Methods Literature searches on studies reported between 2006 and July 2012 inclusive were conducted using the terms “Evidence-Based Practice Questionnaire” and “EBPQ.” Green, Johnson and Adams's guidelines for completing narrative literature reviews and Terwee et al.'s framework for reporting questionnaires’ psychometric properties were adopted to ensure rigor. Findings Twenty-seven studies were reviewed in which the EBPQ had been translated into five different languages and used with a variety of professional groups. The questionnaire demonstrated convergent and discriminant validity and good internal reliability. Research adopting the questionnaire identified a range of variables related to EBP implementation, including qualification route and job role. Linking Evidence to Action Assessment of organizational culture and workforce training needs prior to developing educational interventions is crucial. The EBPQ has the potential to provide further understanding of these and other issues faced by professionals when implementing EBP.","container-title":"Worldviews on Evidence-Based Nursing","DOI":"https://doi.org/10.1111/wvn.12019","ISSN":"1741-6787","issue":"1","language":"en","note":"_eprint: https://onlinelibrary.wiley.com/doi/pdf/10.1111/wvn.12019","page":"46-54","source":"Wiley Online Library","title":"The Reach, Transferability, and Impact of the Evidence-Based Practice Questionnaire: A Methodological and Narrative Literature Review","title-short":"The Reach, Transferability, and Impact of the Evidence-Based Practice Questionnaire","volume":"11","author":[{"family":"Upton","given":"Dominic"},{"family":"Upton","given":"Penney"},{"family":"Scurlock‐Evans","given":"Laura"}],"issued":{"date-parts":[["2014"]]}}}],"schema":"https://github.com/citation-style-language/schema/raw/master/csl-citation.json"} </w:instrText>
            </w:r>
            <w:r w:rsidRPr="00417140">
              <w:fldChar w:fldCharType="separate"/>
            </w:r>
            <w:r w:rsidR="00E400D1" w:rsidRPr="00D97E01">
              <w:rPr>
                <w:rFonts w:ascii="Cambria" w:hAnsi="Cambria"/>
              </w:rPr>
              <w:t>[107]</w:t>
            </w:r>
            <w:r w:rsidRPr="00417140">
              <w:fldChar w:fldCharType="end"/>
            </w:r>
          </w:p>
        </w:tc>
        <w:tc>
          <w:tcPr>
            <w:tcW w:w="1375" w:type="dxa"/>
            <w:vAlign w:val="center"/>
          </w:tcPr>
          <w:p w14:paraId="012A9E61" w14:textId="77777777" w:rsidR="00074617" w:rsidRPr="00417140" w:rsidRDefault="00074617" w:rsidP="001D3324">
            <w:pPr>
              <w:spacing w:line="276" w:lineRule="auto"/>
              <w:rPr>
                <w:rFonts w:ascii="Times New Roman" w:hAnsi="Times New Roman" w:cs="Times New Roman"/>
                <w:lang w:val="en-CA" w:eastAsia="zh-CN"/>
              </w:rPr>
            </w:pPr>
            <w:r w:rsidRPr="00417140">
              <w:rPr>
                <w:rFonts w:ascii="Times New Roman" w:hAnsi="Times New Roman" w:cs="Times New Roman"/>
                <w:lang w:val="en-CA" w:eastAsia="zh-CN"/>
              </w:rPr>
              <w:t>2014</w:t>
            </w:r>
          </w:p>
        </w:tc>
        <w:tc>
          <w:tcPr>
            <w:tcW w:w="8456" w:type="dxa"/>
            <w:vAlign w:val="center"/>
          </w:tcPr>
          <w:p w14:paraId="5B0AA6D5" w14:textId="77777777" w:rsidR="00074617" w:rsidRPr="00417140" w:rsidRDefault="00074617" w:rsidP="001D3324">
            <w:pPr>
              <w:spacing w:line="276" w:lineRule="auto"/>
              <w:rPr>
                <w:rFonts w:ascii="Times New Roman" w:hAnsi="Times New Roman" w:cs="Times New Roman"/>
                <w:lang w:val="en-CA" w:eastAsia="zh-CN"/>
              </w:rPr>
            </w:pPr>
            <w:r w:rsidRPr="00417140">
              <w:rPr>
                <w:rFonts w:ascii="Times New Roman" w:hAnsi="Times New Roman" w:cs="Times New Roman"/>
                <w:lang w:val="en-CA" w:eastAsia="zh-CN"/>
              </w:rPr>
              <w:t>The tool is not intended to be used for assessing the scalability of an innovation</w:t>
            </w:r>
          </w:p>
        </w:tc>
      </w:tr>
      <w:tr w:rsidR="00074617" w:rsidRPr="00417140" w14:paraId="0BA94B4E" w14:textId="77777777" w:rsidTr="001D3324">
        <w:tc>
          <w:tcPr>
            <w:tcW w:w="3347" w:type="dxa"/>
            <w:vAlign w:val="center"/>
          </w:tcPr>
          <w:p w14:paraId="55F93502" w14:textId="11866E22"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eastAsia="zh-CN"/>
              </w:rPr>
              <w:t>Vanderkruik</w:t>
            </w:r>
            <w:proofErr w:type="spellEnd"/>
            <w:r w:rsidRPr="00417140">
              <w:rPr>
                <w:rFonts w:ascii="Times New Roman" w:hAnsi="Times New Roman" w:cs="Times New Roman"/>
                <w:lang w:val="en-CA" w:eastAsia="zh-CN"/>
              </w:rPr>
              <w:t xml:space="preserve"> et McPherson </w:t>
            </w:r>
            <w:r w:rsidRPr="00417140">
              <w:fldChar w:fldCharType="begin"/>
            </w:r>
            <w:r w:rsidR="00E400D1">
              <w:rPr>
                <w:rFonts w:ascii="Times New Roman" w:hAnsi="Times New Roman" w:cs="Times New Roman"/>
                <w:lang w:val="en-CA" w:eastAsia="zh-CN"/>
              </w:rPr>
              <w:instrText xml:space="preserve"> ADDIN ZOTERO_ITEM CSL_CITATION {"citationID":"3t9O2YkA","properties":{"formattedCitation":"[62]","plainCitation":"[62]","noteIndex":0},"citationItems":[{"id":232,"uris":["http://zotero.org/users/1694537/items/2NB8KDDD"],"uri":["http://zotero.org/users/1694537/items/2NB8KDDD"],"itemData":{"id":232,"type":"article-journal","abstract":"Evaluating initiatives implemented across multiple settings can elucidate how various contextual factors may influence both implementation and outcomes. Understanding context is especially critical when the same program has varying levels of success across settings. We present a framework for evaluating contextual factors affecting an initiative at multiple phases of its life cycle, including design, implementation, scale-up, spread, and sustainability. After providing a brief overview of related frameworks from the fields of improvement science and implementation science and of the methods by which we drew from this literature to develop the current framework, we present how this framework was customized and applied to three national public health initiatives. We close with implications for how evaluators can apply the framework to facilitate a deeper understanding of a program’s implementation and success, collaborate with project stakeholders, and facilitate sustainability, spread, and scale-up of public health initiatives.","container-title":"American Journal of Evaluation","DOI":"10.1177/1098214016670029","ISSN":"1098-2140","issue":"3","journalAbbreviation":"American Journal of Evaluation","language":"en","note":"publisher: SAGE Publications Inc","page":"348-359","source":"SAGE Journals","title":"A Contextual Factors Framework to Inform Implementation and Evaluation of Public Health Initiatives","volume":"38","author":[{"family":"Vanderkruik","given":"Rachel"},{"family":"McPherson","given":"Marianne E."}],"issued":{"date-parts":[["2017",9,1]]}}}],"schema":"https://github.com/citation-style-language/schema/raw/master/csl-citation.json"} </w:instrText>
            </w:r>
            <w:r w:rsidRPr="00417140">
              <w:fldChar w:fldCharType="separate"/>
            </w:r>
            <w:r w:rsidR="00E400D1" w:rsidRPr="00E400D1">
              <w:rPr>
                <w:rFonts w:ascii="Times New Roman" w:hAnsi="Times New Roman" w:cs="Times New Roman"/>
              </w:rPr>
              <w:t>[62]</w:t>
            </w:r>
            <w:r w:rsidRPr="00417140">
              <w:fldChar w:fldCharType="end"/>
            </w:r>
          </w:p>
        </w:tc>
        <w:tc>
          <w:tcPr>
            <w:tcW w:w="1375" w:type="dxa"/>
            <w:vAlign w:val="center"/>
          </w:tcPr>
          <w:p w14:paraId="5473688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6A7E55A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49A0B76A" w14:textId="77777777" w:rsidTr="001D3324">
        <w:tc>
          <w:tcPr>
            <w:tcW w:w="3347" w:type="dxa"/>
            <w:vAlign w:val="center"/>
          </w:tcPr>
          <w:p w14:paraId="78BA9C11" w14:textId="6943C6E9"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Werfel et al. </w:t>
            </w:r>
            <w:r w:rsidRPr="00417140">
              <w:fldChar w:fldCharType="begin"/>
            </w:r>
            <w:r w:rsidR="00E400D1">
              <w:rPr>
                <w:rFonts w:ascii="Times New Roman" w:hAnsi="Times New Roman" w:cs="Times New Roman"/>
                <w:lang w:val="en-CA"/>
              </w:rPr>
              <w:instrText xml:space="preserve"> ADDIN ZOTERO_ITEM CSL_CITATION {"citationID":"573j5nPX","properties":{"formattedCitation":"[103]","plainCitation":"[103]","noteIndex":0},"citationItems":[{"id":231,"uris":["http://zotero.org/users/1694537/items/R8GGCDMF"],"uri":["http://zotero.org/users/1694537/items/R8GGCDMF"],"itemData":{"id":231,"type":"article-journal","abstract":"Action Plan B3 of the European Innovation Partnership on Active and Healthy Ageing (EIP on AHA) focuses on the integrated care of chronic diseases. Area 5 (Care Pathways) was initiated using chronic respiratory diseases as a model. The chronic respiratory diseases action plan involves AIRWAYS integrated care pathways (ICPs). It is deployed in collaboration with the WHO Global Alliance against Chronic Respiratory Diseases (GARD). The EIP on AHA has proposed a 5-step framework for developing an individual scaling up strategy: (i) what to scale up: (i-a) databases of good practices, (i-b) assessment of viability of the scaling up of good practices, (i-c) classification of good practices for local replication and (ii) how to scale up: (ii-a) facilitating partnerships for scaling up, (ii-b) implementation of key success factors and lessons learnt, including emerging technologies for individualised and predictive medicine. This strategy has already been applied to the chronic respiratory diseases action plan of the EIP on AHA.","container-title":"Alergologia Polska - Polish Journal of Allergology","DOI":"10.1016/j.alergo.2017.02.002","ISSN":"2353-3854","issue":"1","journalAbbreviation":"Alergologia Polska - Polish Journal of Allergology","language":"en","page":"2-6","source":"ScienceDirect","title":"Scaling up strategies of the chronic respiratory disease programme of the European Innovation Partnership on Active and Healthy Ageing – Executive summary","volume":"4","author":[{"family":"Werfel","given":"Th."},{"family":"Hellings","given":"P."},{"family":"Agache","given":"I."},{"family":"Muraro","given":"A."},{"family":"Bousquet","given":"J."}],"issued":{"date-parts":[["2017",1,1]]}}}],"schema":"https://github.com/citation-style-language/schema/raw/master/csl-citation.json"} </w:instrText>
            </w:r>
            <w:r w:rsidRPr="00417140">
              <w:fldChar w:fldCharType="separate"/>
            </w:r>
            <w:r w:rsidR="00E400D1" w:rsidRPr="00E400D1">
              <w:rPr>
                <w:rFonts w:ascii="Times New Roman" w:hAnsi="Times New Roman" w:cs="Times New Roman"/>
              </w:rPr>
              <w:t>[103]</w:t>
            </w:r>
            <w:r w:rsidRPr="00417140">
              <w:fldChar w:fldCharType="end"/>
            </w:r>
          </w:p>
        </w:tc>
        <w:tc>
          <w:tcPr>
            <w:tcW w:w="1375" w:type="dxa"/>
            <w:vAlign w:val="center"/>
          </w:tcPr>
          <w:p w14:paraId="2A0222E0"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2F00B807"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r w:rsidR="00074617" w:rsidRPr="00417140" w14:paraId="2DFAED64" w14:textId="77777777" w:rsidTr="001D3324">
        <w:tc>
          <w:tcPr>
            <w:tcW w:w="3347" w:type="dxa"/>
            <w:vAlign w:val="center"/>
          </w:tcPr>
          <w:p w14:paraId="35A9334D" w14:textId="534E4CE8"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Essers et al. </w:t>
            </w:r>
            <w:r w:rsidRPr="00417140">
              <w:fldChar w:fldCharType="begin"/>
            </w:r>
            <w:r w:rsidR="00E400D1">
              <w:rPr>
                <w:rFonts w:ascii="Times New Roman" w:hAnsi="Times New Roman" w:cs="Times New Roman"/>
                <w:lang w:val="en-CA"/>
              </w:rPr>
              <w:instrText xml:space="preserve"> ADDIN ZOTERO_ITEM CSL_CITATION {"citationID":"KKae2ENe","properties":{"formattedCitation":"[110]","plainCitation":"[110]","noteIndex":0},"citationItems":[{"id":230,"uris":["http://zotero.org/users/1694537/items/TBVMCYS8"],"uri":["http://zotero.org/users/1694537/items/TBVMCYS8"],"itemData":{"id":230,"type":"article-journal","abstract":"INTRODUCTION: Geographic transferability of model-based cost-effectiveness results may facilitate and shorten the reimbursement process of new pharmaceuticals. This study provides a real world example of transferring a cost-effectiveness study of trastuzumab for the adjuvant treatment of HER2-positive early breast cancer from the United Kingdom to The Netherlands.\nMETHODS: Three successive steps were taken. Step 1: Collect available information with regard to the original model, and assess transferability using existing checklists. Step 2: Adapt transferability-limiting factors. Step 3: Obtain a country-specific estimate of cost-effectiveness.\nRESULTS: The structure of the UK model was transferable, although some of the model inputs needed adaptation. From a health-care perspective, the Dutch estimate amounted to euro5828/quality-adjusted life-year gained. From a societal perspective, the incremental cost-effectiveness ratio was dominant.\nCONCLUSION: Transferability of a model-based UK-study in three steps proved to be an efficient method to provide an early indication of the cost-effectiveness of trastuzumab and has led to the provisional reimbursement of the treatment.","container-title":"Value in Health: The Journal of the International Society for Pharmacoeconomics and Outcomes Research","DOI":"10.1111/j.1524-4733.2009.00683.x","ISSN":"1524-4733","issue":"4","journalAbbreviation":"Value Health","language":"eng","note":"PMID: 20088894","page":"375-380","source":"PubMed","title":"Transferability of model-based economic evaluations: the case of trastuzumab for the adjuvant treatment of HER2-positive early breast cancer in the Netherlands","title-short":"Transferability of model-based economic evaluations","volume":"13","author":[{"family":"Essers","given":"Brigitte A. B."},{"family":"Seferina","given":"Shanley C."},{"family":"Tjan-Heijnen","given":"Vivianne C. G."},{"family":"Severens","given":"Johan L."},{"family":"Novák","given":"Annoesjka"},{"family":"Pompen","given":"Marjolein"},{"family":"Oron","given":"Ulrich H."},{"family":"Joore","given":"Manuela A."}],"issued":{"date-parts":[["2010",7]]}}}],"schema":"https://github.com/citation-style-language/schema/raw/master/csl-citation.json"} </w:instrText>
            </w:r>
            <w:r w:rsidRPr="00417140">
              <w:fldChar w:fldCharType="separate"/>
            </w:r>
            <w:r w:rsidR="00E400D1" w:rsidRPr="00E400D1">
              <w:rPr>
                <w:rFonts w:ascii="Times New Roman" w:hAnsi="Times New Roman" w:cs="Times New Roman"/>
              </w:rPr>
              <w:t>[110]</w:t>
            </w:r>
            <w:r w:rsidRPr="00417140">
              <w:fldChar w:fldCharType="end"/>
            </w:r>
          </w:p>
        </w:tc>
        <w:tc>
          <w:tcPr>
            <w:tcW w:w="1375" w:type="dxa"/>
            <w:vAlign w:val="center"/>
          </w:tcPr>
          <w:p w14:paraId="3721E9FD"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2010</w:t>
            </w:r>
          </w:p>
        </w:tc>
        <w:tc>
          <w:tcPr>
            <w:tcW w:w="8456" w:type="dxa"/>
            <w:vAlign w:val="center"/>
          </w:tcPr>
          <w:p w14:paraId="2B1A60A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1117B4DD" w14:textId="77777777" w:rsidTr="001D3324">
        <w:tc>
          <w:tcPr>
            <w:tcW w:w="3347" w:type="dxa"/>
            <w:vAlign w:val="center"/>
          </w:tcPr>
          <w:p w14:paraId="0E71DF70" w14:textId="4B55DFA7"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Grooten</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Nl9s07Td","properties":{"formattedCitation":"[69]","plainCitation":"[69]","noteIndex":0},"citationItems":[{"id":217,"uris":["http://zotero.org/users/1694537/items/SRHUJN5F"],"uri":["http://zotero.org/users/1694537/items/SRHUJN5F"],"itemData":{"id":217,"type":"article-journal","abstract":"Article: An Instrument to Measure Maturity of Integrated Care: A First Validation Study","archive_location":"Experts in the field of integrated care","container-title":"International Journal of Integrated Care","DOI":"10.5334/ijic.3063","ISSN":"1568-4156","issue":"1","language":"en","note":"number: 1\npublisher: Ubiquity Press","page":"10","source":"www.ijic.org","title":"An Instrument to Measure Maturity of Integrated Care: A First Validation Study","title-short":"An Instrument to Measure Maturity of Integrated Care","volume":"18","author":[{"family":"Grooten","given":"Liset"},{"family":"Borgermans","given":"Liesbeth"},{"family":"Vrijhoef","given":"Hubertus"}],"issued":{"date-parts":[["2018",1,25]]}}}],"schema":"https://github.com/citation-style-language/schema/raw/master/csl-citation.json"} </w:instrText>
            </w:r>
            <w:r w:rsidRPr="00417140">
              <w:fldChar w:fldCharType="separate"/>
            </w:r>
            <w:r w:rsidR="00E400D1" w:rsidRPr="00E400D1">
              <w:rPr>
                <w:rFonts w:ascii="Times New Roman" w:hAnsi="Times New Roman" w:cs="Times New Roman"/>
              </w:rPr>
              <w:t>[69]</w:t>
            </w:r>
            <w:r w:rsidRPr="00417140">
              <w:fldChar w:fldCharType="end"/>
            </w:r>
          </w:p>
        </w:tc>
        <w:tc>
          <w:tcPr>
            <w:tcW w:w="1375" w:type="dxa"/>
            <w:vAlign w:val="center"/>
          </w:tcPr>
          <w:p w14:paraId="41957174"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1D2E379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17BB3729" w14:textId="77777777" w:rsidTr="001D3324">
        <w:tc>
          <w:tcPr>
            <w:tcW w:w="3347" w:type="dxa"/>
            <w:vAlign w:val="center"/>
          </w:tcPr>
          <w:p w14:paraId="55823250" w14:textId="7F05D5C9"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Hill et al. </w:t>
            </w:r>
            <w:r w:rsidRPr="00417140">
              <w:fldChar w:fldCharType="begin"/>
            </w:r>
            <w:r w:rsidR="00E400D1">
              <w:rPr>
                <w:rFonts w:ascii="Times New Roman" w:hAnsi="Times New Roman" w:cs="Times New Roman"/>
                <w:lang w:val="en-CA"/>
              </w:rPr>
              <w:instrText xml:space="preserve"> ADDIN ZOTERO_ITEM CSL_CITATION {"citationID":"np2RO8mY","properties":{"formattedCitation":"[98]","plainCitation":"[98]","noteIndex":0},"citationItems":[{"id":229,"uris":["http://zotero.org/users/1694537/items/DVLRSGA4"],"uri":["http://zotero.org/users/1694537/items/DVLRSGA4"],"itemData":{"id":229,"type":"article-journal","abstract":"The translation and scale-up of evidence-based programs require new methods to guide implementation decisions across varying contexts. As programs are translated to real-world settings, variability is introduced. Some program components may have minor roles to play in producing positive outcomes, and some may have major roles, but only if adapted to meet different contextual demands. While some sources of variability are likely to improve program outcomes, we currently lack methods that allow us to determine the critical components or combinations of components that serve as causal pathways to a desired outcome and then to advise practitioners accordingly. In this paper, we introduce a promising tool for this purpose and illustrate its use in a translational research context. Qualitative Comparative Analysis (QCA) is often used to examine causality in situations that have complex, multiply-determined outcomes. The basic premise of QCA is that different sets of causal conditions, or causal pathways, may lead to a single outcome (the principle of equifinality). We applied QCA to a selection of the highest- and lowest-performing programs from a multi-year two-state dissemination of The Strengthening Families Program for Parents and Adolescents 10–14 to determine which components or combinations of components at the implementation, program delivery, and participant levels produced desired participant outcomes. In particular, we examined which components were necessary (i.e., in the absence of these factors, the outcome didnot occur), and which were sufficient (i.e., in the presence of these factors, the outcome always occurred). Results demonstrated that certain conditions were necessary for program success. In addition, given those necessary conditions, there were two sets of conditions sufficient to produce success, regardless of the presence or absence of any of the others. QCA, not previously used in prevention science research, helps to illuminate causal pathways, leading to concrete, evidence-based implementation decisions that facilitate generalization and scale-up.","container-title":"The Journal of Primary Prevention","DOI":"10.1007/s10935-019-00536-5","ISSN":"1573-6547","issue":"1","journalAbbreviation":"J Primary Prevent","language":"en","page":"69-87","source":"Springer Link","title":"Qualitative Comparative Analysis: A Mixed-Method Tool for Complex Implementation Questions","title-short":"Qualitative Comparative Analysis","volume":"40","author":[{"family":"Hill","given":"Laura G."},{"family":"Cooper","given":"Brittany Rhoades"},{"family":"Parker","given":"Louise A."}],"issued":{"date-parts":[["2019",2,1]]}}}],"schema":"https://github.com/citation-style-language/schema/raw/master/csl-citation.json"} </w:instrText>
            </w:r>
            <w:r w:rsidRPr="00417140">
              <w:fldChar w:fldCharType="separate"/>
            </w:r>
            <w:r w:rsidR="00E400D1" w:rsidRPr="00D97E01">
              <w:t>[98]</w:t>
            </w:r>
            <w:r w:rsidRPr="00417140">
              <w:fldChar w:fldCharType="end"/>
            </w:r>
          </w:p>
        </w:tc>
        <w:tc>
          <w:tcPr>
            <w:tcW w:w="1375" w:type="dxa"/>
            <w:vAlign w:val="center"/>
          </w:tcPr>
          <w:p w14:paraId="7ED11175"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2019</w:t>
            </w:r>
          </w:p>
        </w:tc>
        <w:tc>
          <w:tcPr>
            <w:tcW w:w="8456" w:type="dxa"/>
            <w:vAlign w:val="center"/>
          </w:tcPr>
          <w:p w14:paraId="3597B302"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3285884F" w14:textId="77777777" w:rsidTr="001D3324">
        <w:tc>
          <w:tcPr>
            <w:tcW w:w="3347" w:type="dxa"/>
            <w:vAlign w:val="center"/>
          </w:tcPr>
          <w:p w14:paraId="043FD4CC" w14:textId="6C6085CB"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KalÓ</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0Uwc5sbn","properties":{"formattedCitation":"[111]","plainCitation":"[111]","noteIndex":0},"citationItems":[{"id":228,"uris":["http://zotero.org/users/1694537/items/2YKV928S"],"uri":["http://zotero.org/users/1694537/items/2YKV928S"],"itemData":{"id":228,"type":"article-journal","abstract":"The health burden of malignancies is greater in Central-Eastern Europe than in Western Europe. Furthermore, these countries have more limited healthcare resources, and therefore transparent decision criteria for innovative cancer therapies, including the assessment of cost-effectiveness, are an absolute necessity. Transferability of good-quality technology assessment reports, especially those prepared by National Institute for Health and Clinical Excellence (NICE) in the UK, could be highly beneficial to prevent duplication of efforts and save resources for local technology assessment. Our objective was to summarise key factors influencing the transferability of NICE recommendations in oncology for policy makers and oncologists in Central-Eastern Europe without personal experience in health technology assessment. In general, NICE recommendations are not transferable without adjustment of the analyses to local data. Even if the recommendation is positive, the conclusion can still be negative in lower-income countries, mainly due to relative price differences and the significance of the local budget impact. Technologies with negative NICE recommendations can still be cost-effective in Central-Eastern Europe due to the worse health status and therefore the greater potential health gain of the targeted population. The appropriateness of reimbursement decisions must be improved in Central-Eastern Europe, but copying NICE recommendations without local adjustment may do more harm than good.","container-title":"European Journal of Cancer Care","DOI":"https://doi.org/10.1111/j.1365-2354.2012.01351.x","ISSN":"1365-2354","issue":"4","language":"en","note":"_eprint: https://onlinelibrary.wiley.com/doi/pdf/10.1111/j.1365-2354.2012.01351.x","page":"442-449","source":"Wiley Online Library","title":"Transferability of National Institute for Health and Clinical Excellence recommendations for pharmaceutical therapies in oncology to Central-Eastern European countries","volume":"21","author":[{"family":"Kaló","given":"Z."},{"family":"Landa","given":"K."},{"family":"Doležal","given":"T."},{"family":"Vokó","given":"Z."}],"issued":{"date-parts":[["2012"]]}}}],"schema":"https://github.com/citation-style-language/schema/raw/master/csl-citation.json"} </w:instrText>
            </w:r>
            <w:r w:rsidRPr="00417140">
              <w:fldChar w:fldCharType="separate"/>
            </w:r>
            <w:r w:rsidR="00E400D1" w:rsidRPr="00E400D1">
              <w:rPr>
                <w:rFonts w:ascii="Times New Roman" w:hAnsi="Times New Roman" w:cs="Times New Roman"/>
              </w:rPr>
              <w:t>[111]</w:t>
            </w:r>
            <w:r w:rsidRPr="00417140">
              <w:fldChar w:fldCharType="end"/>
            </w:r>
          </w:p>
        </w:tc>
        <w:tc>
          <w:tcPr>
            <w:tcW w:w="1375" w:type="dxa"/>
            <w:vAlign w:val="center"/>
          </w:tcPr>
          <w:p w14:paraId="1FD352BB"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2012</w:t>
            </w:r>
          </w:p>
        </w:tc>
        <w:tc>
          <w:tcPr>
            <w:tcW w:w="8456" w:type="dxa"/>
            <w:vAlign w:val="center"/>
          </w:tcPr>
          <w:p w14:paraId="09198164"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5E10AABC" w14:textId="77777777" w:rsidTr="001D3324">
        <w:tc>
          <w:tcPr>
            <w:tcW w:w="3347" w:type="dxa"/>
            <w:vAlign w:val="center"/>
          </w:tcPr>
          <w:p w14:paraId="47CB1444" w14:textId="787F14D0"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Madden et al. </w:t>
            </w:r>
            <w:r w:rsidRPr="00417140">
              <w:fldChar w:fldCharType="begin"/>
            </w:r>
            <w:r w:rsidR="00E400D1">
              <w:rPr>
                <w:rFonts w:ascii="Times New Roman" w:hAnsi="Times New Roman" w:cs="Times New Roman"/>
                <w:lang w:val="en-CA"/>
              </w:rPr>
              <w:instrText xml:space="preserve"> ADDIN ZOTERO_ITEM CSL_CITATION {"citationID":"yn0DrPYo","properties":{"formattedCitation":"[116]","plainCitation":"[116]","noteIndex":0},"citationItems":[{"id":227,"uris":["http://zotero.org/users/1694537/items/Y9VJQZEH"],"uri":["http://zotero.org/users/1694537/items/Y9VJQZEH"],"itemData":{"id":227,"type":"article-journal","abstract":"Background\nOpioid agonist therapies (OAT) like methadone and buprenorphine maintenance treatment remain markedly under-scaled in Ukraine despite adequate funding. Clinicians and administrators were assembled as part of an implementation science strategy to scale-up OAT using the Network for Improvement of Addiction Treatment (NIATx) approach.\nMethods\nNominal Group Technique (NGT), a key ingredient of the NIATx toolkit, was directed by three trained coaches within a learning collaborative of 18 OAT clinicians and administrators to identify barriers to increase OAT capacity at the regional “oblast” level, develop solutions, and prioritize local change projects. NGT findings were supplemented from detailed notes collected during the NGT discussion.\nResults\nThe top three identified barriers included: (1) Strict regulations and inflexible policies dictating distribution and dispensing of OAT; (2) No systematic approach to assessing OAT needs on regional or local level; and (3) Limited funding and financing mechanisms combined with a lack of local/regional control over funding for OAT treatment services.\nConclusions\nNGT provides a rapid strategy for individuals at multiple levels to work collaboratively to identify and address structural barriers to OAT scale-up. This technique creates a transparent process to address and prioritize complex issues. Targeting these priorities allowed leaders at the regional and national level to advocate collectively for approaches to minimize obstacles and create policies to improve OAT services.","container-title":"International Journal of Drug Policy","DOI":"10.1016/j.drugpo.2017.07.025","ISSN":"0955-3959","journalAbbreviation":"International Journal of Drug Policy","language":"en","page":"48-53","source":"ScienceDirect","title":"Using nominal group technique among clinical providers to identify barriers and prioritize solutions to scaling up opioid agonist therapies in Ukraine","volume":"49","author":[{"family":"Madden","given":"Lynn"},{"family":"Bojko","given":"Martha J."},{"family":"Farnum","given":"Scott"},{"family":"Mazhnaya","given":"Alyona"},{"family":"Fomenko","given":"Tatiana"},{"family":"Marcus","given":"Ruthanne"},{"family":"Barry","given":"Declan"},{"family":"Ivanchuk","given":"Irina"},{"family":"Kolomiets","given":"Viktor"},{"family":"Filippovych","given":"Sergey"},{"family":"Dvoryak","given":"Sergey"},{"family":"Altice","given":"Frederick L."}],"issued":{"date-parts":[["2017",11,1]]}}}],"schema":"https://github.com/citation-style-language/schema/raw/master/csl-citation.json"} </w:instrText>
            </w:r>
            <w:r w:rsidRPr="00417140">
              <w:fldChar w:fldCharType="separate"/>
            </w:r>
            <w:r w:rsidR="00E400D1" w:rsidRPr="00E400D1">
              <w:rPr>
                <w:rFonts w:ascii="Times New Roman" w:hAnsi="Times New Roman" w:cs="Times New Roman"/>
              </w:rPr>
              <w:t>[116]</w:t>
            </w:r>
            <w:r w:rsidRPr="00417140">
              <w:fldChar w:fldCharType="end"/>
            </w:r>
          </w:p>
        </w:tc>
        <w:tc>
          <w:tcPr>
            <w:tcW w:w="1375" w:type="dxa"/>
            <w:vAlign w:val="center"/>
          </w:tcPr>
          <w:p w14:paraId="54D55F2D"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2017</w:t>
            </w:r>
          </w:p>
        </w:tc>
        <w:tc>
          <w:tcPr>
            <w:tcW w:w="8456" w:type="dxa"/>
            <w:vAlign w:val="center"/>
          </w:tcPr>
          <w:p w14:paraId="18B11F76"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12AE461D" w14:textId="77777777" w:rsidTr="001D3324">
        <w:tc>
          <w:tcPr>
            <w:tcW w:w="3347" w:type="dxa"/>
            <w:vAlign w:val="center"/>
          </w:tcPr>
          <w:p w14:paraId="4072E954" w14:textId="4B7358D8"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Miller </w:t>
            </w:r>
            <w:r w:rsidRPr="00417140">
              <w:fldChar w:fldCharType="begin"/>
            </w:r>
            <w:r w:rsidR="00E400D1">
              <w:rPr>
                <w:rFonts w:ascii="Times New Roman" w:hAnsi="Times New Roman" w:cs="Times New Roman"/>
                <w:lang w:val="en-CA"/>
              </w:rPr>
              <w:instrText xml:space="preserve"> ADDIN ZOTERO_ITEM CSL_CITATION {"citationID":"90hOkrMM","properties":{"formattedCitation":"[117]","plainCitation":"[117]","noteIndex":0},"citationItems":[{"id":226,"uris":["http://zotero.org/users/1694537/items/IWVCDC89"],"uri":["http://zotero.org/users/1694537/items/IWVCDC89"],"itemData":{"id":226,"type":"article-journal","container-title":"Pharmaceutical Technology","ISSN":"1543-2521","issue":"12","page":"52-54","title":"Winning Big","volume":"34","author":[{"family":"Miller","given":"J."}],"issued":{"date-parts":[["2010"]]}}}],"schema":"https://github.com/citation-style-language/schema/raw/master/csl-citation.json"} </w:instrText>
            </w:r>
            <w:r w:rsidRPr="00417140">
              <w:fldChar w:fldCharType="separate"/>
            </w:r>
            <w:r w:rsidR="00E400D1" w:rsidRPr="00E400D1">
              <w:rPr>
                <w:rFonts w:ascii="Times New Roman" w:hAnsi="Times New Roman" w:cs="Times New Roman"/>
              </w:rPr>
              <w:t>[117]</w:t>
            </w:r>
            <w:r w:rsidRPr="00417140">
              <w:fldChar w:fldCharType="end"/>
            </w:r>
          </w:p>
        </w:tc>
        <w:tc>
          <w:tcPr>
            <w:tcW w:w="1375" w:type="dxa"/>
            <w:vAlign w:val="center"/>
          </w:tcPr>
          <w:p w14:paraId="136E1F19"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2010</w:t>
            </w:r>
          </w:p>
        </w:tc>
        <w:tc>
          <w:tcPr>
            <w:tcW w:w="8456" w:type="dxa"/>
            <w:vAlign w:val="center"/>
          </w:tcPr>
          <w:p w14:paraId="02ABC4EC"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Wrong type of document</w:t>
            </w:r>
          </w:p>
        </w:tc>
      </w:tr>
      <w:tr w:rsidR="00074617" w:rsidRPr="00417140" w14:paraId="5E2E9EA5" w14:textId="77777777" w:rsidTr="001D3324">
        <w:tc>
          <w:tcPr>
            <w:tcW w:w="3347" w:type="dxa"/>
            <w:vAlign w:val="center"/>
          </w:tcPr>
          <w:p w14:paraId="42C478BD" w14:textId="3257CBED"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Pérez‐Escamilla et al. </w:t>
            </w:r>
            <w:r w:rsidRPr="00417140">
              <w:fldChar w:fldCharType="begin"/>
            </w:r>
            <w:r w:rsidR="00E400D1">
              <w:rPr>
                <w:rFonts w:ascii="Times New Roman" w:hAnsi="Times New Roman" w:cs="Times New Roman"/>
                <w:lang w:val="en-CA"/>
              </w:rPr>
              <w:instrText xml:space="preserve"> ADDIN ZOTERO_ITEM CSL_CITATION {"citationID":"Igaf5x6H","properties":{"formattedCitation":"[74]","plainCitation":"[74]","noteIndex":0},"citationItems":[{"id":216,"uris":["http://zotero.org/users/1694537/items/VAEEAUKX"],"uri":["http://zotero.org/users/1694537/items/VAEEAUKX"],"itemData":{"id":216,"type":"article-journal","abstract":"Global efforts to further improve exclusive breastfeeding rates have not been successful, in part because effective scaling-up frameworks and roadmaps have not been developed. The Becoming Breastfeeding Friendly (BBF) toolbox includes an evidence-based index, the BBF Index (BBFI), to guide the development and tracking of large scale, well-coordinated, multisector national breastfeeding promotion programmes. This paper describes the development of the BBFI, which is grounded in the Breastfeeding Gear Model complex adaptive systems framework. The BBFI was developed by the BBF Steering Committee in collaboration with a high-level Technical Advisory Group following the Delphi consensus methodology. Key benchmarks and definitions were informed by evidence-based health, nutrition, and newborn survival initiatives identified from the academic and grey literature. The BBFI consists of 8 gears (54 benchmarks): Advocacy (4); Political Will (3); Legislation and Policies (10); Funding and Resources (4); Training and Program Delivery (17); Promotion (3); Research and Evaluation (10); and Coordination, Goals, and Monitoring (3). Scores are generated for 8 gear scores plus a total country score to gauge the scaling-up enabling environment. The BBFI provides an evidence-based index to assist countries in (a) assessing their readiness to scale up breastfeeding programmes and (b) tracking scaling-up progress.","container-title":"Maternal &amp; Child Nutrition","DOI":"https://doi.org/10.1111/mcn.12596","ISSN":"1740-8709","issue":"3","language":"en","note":"_eprint: https://onlinelibrary.wiley.com/doi/pdf/10.1111/mcn.12596","page":"e12596","source":"Wiley Online Library","title":"Becoming Breastfeeding Friendly Index: Development and application for scaling-up breastfeeding programmes globally","title-short":"Becoming Breastfeeding Friendly Index","volume":"14","author":[{"family":"Pérez‐Escamilla","given":"Rafael"},{"family":"Hromi‐Fiedler","given":"Amber J."},{"family":"Gubert","given":"Muriel Bauermann"},{"family":"Doucet","given":"Katie"},{"family":"Meyers","given":"Sara"},{"family":"Buccini","given":"Gabriela dos Santos"}],"issued":{"date-parts":[["2018"]]}}}],"schema":"https://github.com/citation-style-language/schema/raw/master/csl-citation.json"} </w:instrText>
            </w:r>
            <w:r w:rsidRPr="00417140">
              <w:fldChar w:fldCharType="separate"/>
            </w:r>
            <w:r w:rsidR="00E400D1" w:rsidRPr="00E400D1">
              <w:rPr>
                <w:rFonts w:ascii="Times New Roman" w:hAnsi="Times New Roman" w:cs="Times New Roman"/>
              </w:rPr>
              <w:t>[74]</w:t>
            </w:r>
            <w:r w:rsidRPr="00417140">
              <w:fldChar w:fldCharType="end"/>
            </w:r>
          </w:p>
        </w:tc>
        <w:tc>
          <w:tcPr>
            <w:tcW w:w="1375" w:type="dxa"/>
            <w:vAlign w:val="center"/>
          </w:tcPr>
          <w:p w14:paraId="0658CFF8"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2018</w:t>
            </w:r>
          </w:p>
        </w:tc>
        <w:tc>
          <w:tcPr>
            <w:tcW w:w="8456" w:type="dxa"/>
            <w:vAlign w:val="center"/>
          </w:tcPr>
          <w:p w14:paraId="182F0063"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100D1061" w14:textId="77777777" w:rsidTr="001D3324">
        <w:tc>
          <w:tcPr>
            <w:tcW w:w="3347" w:type="dxa"/>
            <w:vAlign w:val="center"/>
          </w:tcPr>
          <w:p w14:paraId="3D890120" w14:textId="6B188216"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Berger et al. </w:t>
            </w:r>
            <w:r w:rsidRPr="00417140">
              <w:fldChar w:fldCharType="begin"/>
            </w:r>
            <w:r w:rsidR="00E400D1">
              <w:rPr>
                <w:rFonts w:ascii="Times New Roman" w:hAnsi="Times New Roman" w:cs="Times New Roman"/>
                <w:lang w:val="en-CA"/>
              </w:rPr>
              <w:instrText xml:space="preserve"> ADDIN ZOTERO_ITEM CSL_CITATION {"citationID":"udfuZGe2","properties":{"formattedCitation":"[72]","plainCitation":"[72]","noteIndex":0},"citationItems":[{"id":225,"uris":["http://zotero.org/users/1694537/items/UW9U8DTT"],"uri":["http://zotero.org/users/1694537/items/UW9U8DTT"],"itemData":{"id":225,"type":"article-journal","abstract":"Based on Simpson's program change model, this study explored personal and organizational barriers and facilitators of transferring a research-based innovation, motivational interviewing (MI), into the practices of county-employed case managers and counselors. A mixed-method perspective was employed whereby practitioner and consumer data were gathered via focus groups, and additional practitioner data were collected by means of a 2-wave panel survey. Practitioner focus group data revealed several perceived organizational barriers related to the resource of time, whereas the consumer focus group data uncovered the potential need for practitioners to adopt a research-based technology such as MI. Correlational analyses of practitioner survey data found that the organizational resource of adequate computer equipment and the staff attributes of professional growth, efficacy, and job satisfaction facilitated intention to adopt and implement MI. Implications for human services administrators and MI trainers are discussed.","container-title":"Journal of Social Work Practice in the Addictions","DOI":"10.1080/15332560902806199","ISSN":"1533-256X","issue":"2","note":"publisher: Routledge\n_eprint: https://doi.org/10.1080/15332560902806199","page":"145-162","source":"Taylor and Francis+NEJM","title":"Barriers and Facilitators of Transferring Research to Practice: An Exploratory Case Study of Motivational Interviewing","title-short":"Barriers and Facilitators of Transferring Research to Practice","volume":"9","author":[{"family":"Berger","given":"K. Berger"},{"family":"Otto-Salaj","given":"Laura L."},{"family":"Stoffel","given":"Virginia C."},{"family":"Hernandez-Meier","given":"Jennifer"},{"family":"Gromoske","given":"Andrea N."}],"issued":{"date-parts":[["2009",5,18]]}}}],"schema":"https://github.com/citation-style-language/schema/raw/master/csl-citation.json"} </w:instrText>
            </w:r>
            <w:r w:rsidRPr="00417140">
              <w:fldChar w:fldCharType="separate"/>
            </w:r>
            <w:r w:rsidR="00E400D1" w:rsidRPr="00E400D1">
              <w:rPr>
                <w:rFonts w:ascii="Times New Roman" w:hAnsi="Times New Roman" w:cs="Times New Roman"/>
              </w:rPr>
              <w:t>[72]</w:t>
            </w:r>
            <w:r w:rsidRPr="00417140">
              <w:fldChar w:fldCharType="end"/>
            </w:r>
          </w:p>
        </w:tc>
        <w:tc>
          <w:tcPr>
            <w:tcW w:w="1375" w:type="dxa"/>
            <w:vAlign w:val="center"/>
          </w:tcPr>
          <w:p w14:paraId="4BFCF2A7"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2009</w:t>
            </w:r>
          </w:p>
        </w:tc>
        <w:tc>
          <w:tcPr>
            <w:tcW w:w="8456" w:type="dxa"/>
            <w:vAlign w:val="center"/>
          </w:tcPr>
          <w:p w14:paraId="41F5DC31"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53419546" w14:textId="77777777" w:rsidTr="001D3324">
        <w:tc>
          <w:tcPr>
            <w:tcW w:w="3347" w:type="dxa"/>
            <w:vAlign w:val="center"/>
          </w:tcPr>
          <w:p w14:paraId="603A2524" w14:textId="4A5B129A"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lastRenderedPageBreak/>
              <w:t xml:space="preserve">Houck et al. </w:t>
            </w:r>
            <w:r w:rsidRPr="00417140">
              <w:fldChar w:fldCharType="begin"/>
            </w:r>
            <w:r w:rsidR="00E400D1">
              <w:rPr>
                <w:rFonts w:ascii="Times New Roman" w:hAnsi="Times New Roman" w:cs="Times New Roman"/>
                <w:lang w:val="en-CA"/>
              </w:rPr>
              <w:instrText xml:space="preserve"> ADDIN ZOTERO_ITEM CSL_CITATION {"citationID":"dANhfLt6","properties":{"formattedCitation":"[63]","plainCitation":"[63]","noteIndex":0},"citationItems":[{"id":224,"uris":["http://zotero.org/users/1694537/items/7X5FJHS9"],"uri":["http://zotero.org/users/1694537/items/7X5FJHS9"],"itemData":{"id":224,"type":"article-journal","abstract":"Introduction: Motivational interviewing (Ml) is a directive, client-centered therapeutic method with strong evidence of efficacy in the treatment of substance use (Hettema, Steele, and Miller, 2005). While the intervention has become more widespread in recent years, some hurdles remain. Rogers (2002) suggests five characteristics that can affect the rate of adoption of an innovation: relative advantage, compatibility, complexity, trialability, and observability. The purpose of this report is to describe a measure developed to assess the extent to which these factors influence clinician's perceived barriers to adopting MI. Methods: Seventy items were generated based on factors of theoretical interest (Rogers, 2002); specific to motivational interviewing (e.g., “I do not know how to adapt motivational interviewing to my particular treatment setting.”). Initial participants were 103 clinicians who completed the measure as part of a baseline assessment packet for a therapist training study (NIDA R01 DA021227). Data were doubleentered and compared for accuracy of data entry. Most participants were female (62.1%) and white (79.6%). Results: Internal consistency of the full scale was .920, or very good (DeVellis, 1991). An exploratory factor analysis was conducted using principal axis factoring with an oblique (direct oblimin) rotation. Using a scree test, eight factors were retained, accounting for 48.1% of the scale variance. Items were retained on a factor if they loaded at least .40. The factors endorsed most strongly by participants in this development sample were factor 4, which dealt primarily with objections to MI, and factor 5, a compatibility factor. Internal consistency on a 34-item scale derived from these factors was .801, or very good. Conclusions: The factors that emerged from Barriers to Adopting Motivational Intervening (BAMI) scale generally correspond to the characteristics proposed by Rogers (2002). These initial results should be interpreted with some caution as the factor structure may be unstable given the relatively small sample size. Additional data collection is ongoing, and validation is planned using other measures of attitudes toward evidence-based practices. In general, the BAMI appears to be a promising measure for assessing barriers to the adoption of MI.","archive":"Embase","container-title":"Alcoholism: Clinical and Experimental Research","DOI":"10.1111/j.1530-0277.2009.00957.x","ISSN":"0145-6008","language":"English","page":"137A","title":"A new scale to assess barriers to adopting motivational interviewing","volume":"33","author":[{"family":"Houck","given":"J. M."},{"family":"Manuel","given":"J. K."},{"family":"Pyeatt","given":"C. J."},{"family":"Moyers","given":"T. B."},{"family":"Montoya","given":"V. L."}],"issued":{"date-parts":[["2009"]]}}}],"schema":"https://github.com/citation-style-language/schema/raw/master/csl-citation.json"} </w:instrText>
            </w:r>
            <w:r w:rsidRPr="00417140">
              <w:fldChar w:fldCharType="separate"/>
            </w:r>
            <w:r w:rsidR="00E400D1" w:rsidRPr="00D97E01">
              <w:rPr>
                <w:rFonts w:ascii="Cambria" w:hAnsi="Cambria"/>
              </w:rPr>
              <w:t>[63]</w:t>
            </w:r>
            <w:r w:rsidRPr="00417140">
              <w:fldChar w:fldCharType="end"/>
            </w:r>
          </w:p>
        </w:tc>
        <w:tc>
          <w:tcPr>
            <w:tcW w:w="1375" w:type="dxa"/>
            <w:vAlign w:val="center"/>
          </w:tcPr>
          <w:p w14:paraId="31AFAFFE"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2009</w:t>
            </w:r>
          </w:p>
        </w:tc>
        <w:tc>
          <w:tcPr>
            <w:tcW w:w="8456" w:type="dxa"/>
            <w:vAlign w:val="center"/>
          </w:tcPr>
          <w:p w14:paraId="3BFF7BEA"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6915E659" w14:textId="77777777" w:rsidTr="001D3324">
        <w:tc>
          <w:tcPr>
            <w:tcW w:w="3347" w:type="dxa"/>
            <w:vAlign w:val="center"/>
          </w:tcPr>
          <w:p w14:paraId="16089365" w14:textId="66466DA5"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 xml:space="preserve">Joly et al. </w:t>
            </w:r>
            <w:r w:rsidRPr="00417140">
              <w:fldChar w:fldCharType="begin"/>
            </w:r>
            <w:r w:rsidR="00E400D1">
              <w:rPr>
                <w:rFonts w:ascii="Times New Roman" w:hAnsi="Times New Roman" w:cs="Times New Roman"/>
                <w:lang w:val="en-CA"/>
              </w:rPr>
              <w:instrText xml:space="preserve"> ADDIN ZOTERO_ITEM CSL_CITATION {"citationID":"fyritzB2","properties":{"formattedCitation":"[93]","plainCitation":"[93]","noteIndex":0},"citationItems":[{"id":222,"uris":["http://zotero.org/users/1694537/items/KZAQL6BE"],"uri":["http://zotero.org/users/1694537/items/KZAQL6BE"],"itemData":{"id":222,"type":"article-journal","abstract":"There is growing interest and investment in improving the quality of public health services and outcomes. Following the lead of other sectors, efforts are underway to introduce systematic quality improvement (QI) tools and approaches to state and local public health agencies. Little is known, however, about how to describe and reliably measure the level of QI maturity within a public health agency. The authors describe the development of a QI Maturity Tool using research from the fields of organizational design, psychology, health care, and complexity theory. The 37-item assessment tool is based on four quality domains derived from the literature: (a) organizational culture, (b) capacity and competency, (c) practice, and (d) alignment and spread. The tool was designed to identify features of an organization that may be enhancing or impeding QI; monitor the impact of efforts to create a more favorable environment for QI; and define potential cohorts of public health agencies for evaluation purposes. The article presents initial steps in testing and validating the QI Maturity Tool including: (a) developing a theoretical framework, (b) assuring face and content validity, (c) determining the tool’s reliability based on estimates of internal consistency, (d) assessing the dimensionality, and (f) determining the construct validity of the instrument. The authors conclude that there is preliminary evidence that the QI Maturity Tool is a promising instrument. Further work is underway to explore whether self-reported survey results align with an agency’s actions and the products of their QI efforts.","container-title":"Evaluation &amp; the Health Professions","DOI":"10.1177/0163278711433065","ISSN":"0163-2787","issue":"2","journalAbbreviation":"Eval Health Prof","language":"en","note":"publisher: SAGE Publications Inc","page":"119-147","source":"SAGE Journals","title":"Measuring Quality Improvement in Public Health: The Development and Psychometric Testing of a QI Maturity Tool","title-short":"Measuring Quality Improvement in Public Health","volume":"35","author":[{"family":"Joly","given":"Brenda M."},{"family":"Booth","given":"Maureen"},{"family":"Mittal","given":"Prashant"},{"family":"Shaler","given":"George"}],"issued":{"date-parts":[["2012",6,1]]}}}],"schema":"https://github.com/citation-style-language/schema/raw/master/csl-citation.json"} </w:instrText>
            </w:r>
            <w:r w:rsidRPr="00417140">
              <w:fldChar w:fldCharType="separate"/>
            </w:r>
            <w:r w:rsidR="00E400D1" w:rsidRPr="00E400D1">
              <w:rPr>
                <w:rFonts w:ascii="Times New Roman" w:hAnsi="Times New Roman" w:cs="Times New Roman"/>
              </w:rPr>
              <w:t>[93]</w:t>
            </w:r>
            <w:r w:rsidRPr="00417140">
              <w:fldChar w:fldCharType="end"/>
            </w:r>
          </w:p>
        </w:tc>
        <w:tc>
          <w:tcPr>
            <w:tcW w:w="1375" w:type="dxa"/>
            <w:vAlign w:val="center"/>
          </w:tcPr>
          <w:p w14:paraId="620B51EC"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2012</w:t>
            </w:r>
          </w:p>
        </w:tc>
        <w:tc>
          <w:tcPr>
            <w:tcW w:w="8456" w:type="dxa"/>
            <w:vAlign w:val="center"/>
          </w:tcPr>
          <w:p w14:paraId="6752A878"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tool is not intended to be used for assessing the scalability of an innovation</w:t>
            </w:r>
          </w:p>
        </w:tc>
      </w:tr>
      <w:tr w:rsidR="00074617" w:rsidRPr="00417140" w14:paraId="1969DC3B" w14:textId="77777777" w:rsidTr="001D3324">
        <w:tc>
          <w:tcPr>
            <w:tcW w:w="3347" w:type="dxa"/>
            <w:vAlign w:val="center"/>
          </w:tcPr>
          <w:p w14:paraId="0832CD9C" w14:textId="0F897923" w:rsidR="00074617" w:rsidRPr="00417140" w:rsidRDefault="00074617" w:rsidP="001D3324">
            <w:pPr>
              <w:spacing w:line="276" w:lineRule="auto"/>
              <w:rPr>
                <w:rFonts w:ascii="Times New Roman" w:hAnsi="Times New Roman" w:cs="Times New Roman"/>
                <w:lang w:val="en-CA"/>
              </w:rPr>
            </w:pPr>
            <w:proofErr w:type="spellStart"/>
            <w:r w:rsidRPr="00417140">
              <w:rPr>
                <w:rFonts w:ascii="Times New Roman" w:hAnsi="Times New Roman" w:cs="Times New Roman"/>
                <w:lang w:val="en-CA"/>
              </w:rPr>
              <w:t>Toobert</w:t>
            </w:r>
            <w:proofErr w:type="spellEnd"/>
            <w:r w:rsidRPr="00417140">
              <w:rPr>
                <w:rFonts w:ascii="Times New Roman" w:hAnsi="Times New Roman" w:cs="Times New Roman"/>
                <w:lang w:val="en-CA"/>
              </w:rPr>
              <w:t xml:space="preserve"> et al. </w:t>
            </w:r>
            <w:r w:rsidRPr="00417140">
              <w:fldChar w:fldCharType="begin"/>
            </w:r>
            <w:r w:rsidR="00E400D1">
              <w:rPr>
                <w:rFonts w:ascii="Times New Roman" w:hAnsi="Times New Roman" w:cs="Times New Roman"/>
                <w:lang w:val="en-CA"/>
              </w:rPr>
              <w:instrText xml:space="preserve"> ADDIN ZOTERO_ITEM CSL_CITATION {"citationID":"p9SU67sZ","properties":{"formattedCitation":"[67]","plainCitation":"[67]","noteIndex":0},"citationItems":[{"id":221,"uris":["http://zotero.org/users/1694537/items/ZKV6UGZL"],"uri":["http://zotero.org/users/1694537/items/ZKV6UGZL"],"itemData":{"id":221,"type":"article-journal","abstract":"Coronary heart disease is a pervasive public health problem with a heavy burden among older women. There is a need for developing effective interventions for addressing this problem and for evaluating the dissemination potential of such interventions. A multiple-behavior-change program originally designed for men with heart disease was adapted for women at high risk of heart disease in two randomized clinical trials—the Mediterranean Lifestyle Program and ¡Viva Bien!. Results from these two trials, including readiness for dissemination, are evaluated using the RE-AIM framework in terms of Reach, Effectiveness, Adoption, Implementation, and Maintenance. Program adaptations produced relative high reach as well as consistent and replicated effectiveness and maintenance, and were adopted by a high percentage of primary care offices and clinicians approached. We discuss key findings, lessons learned, future directions for related research, and use of RE-AIM for program development, adaptation, scale-up, and evaluation.","container-title":"Translational Behavioral Medicine","DOI":"10.1007/s13142-012-0118-7","ISSN":"1869-6716","issue":"2","journalAbbreviation":"Translational Behavioral Medicine","page":"180-187","source":"Silverchair","title":"Adapting and RE-AIMing a heart disease prevention program for older women with diabetes","volume":"2","author":[{"family":"Toobert","given":"Deborah J"},{"family":"Glasgow","given":"Russell E"},{"family":"Strycker","given":"Lisa A"},{"family":"Barrera","given":"Manuel","suffix":"Jr."},{"family":"King","given":"Diane K"}],"issued":{"date-parts":[["2012",6,1]]}}}],"schema":"https://github.com/citation-style-language/schema/raw/master/csl-citation.json"} </w:instrText>
            </w:r>
            <w:r w:rsidRPr="00417140">
              <w:fldChar w:fldCharType="separate"/>
            </w:r>
            <w:r w:rsidR="00E400D1" w:rsidRPr="00E400D1">
              <w:rPr>
                <w:rFonts w:ascii="Times New Roman" w:hAnsi="Times New Roman" w:cs="Times New Roman"/>
              </w:rPr>
              <w:t>[67]</w:t>
            </w:r>
            <w:r w:rsidRPr="00417140">
              <w:fldChar w:fldCharType="end"/>
            </w:r>
          </w:p>
        </w:tc>
        <w:tc>
          <w:tcPr>
            <w:tcW w:w="1375" w:type="dxa"/>
            <w:vAlign w:val="center"/>
          </w:tcPr>
          <w:p w14:paraId="20069504"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2012</w:t>
            </w:r>
          </w:p>
        </w:tc>
        <w:tc>
          <w:tcPr>
            <w:tcW w:w="8456" w:type="dxa"/>
            <w:vAlign w:val="center"/>
          </w:tcPr>
          <w:p w14:paraId="378F8EE6" w14:textId="77777777" w:rsidR="00074617" w:rsidRPr="00417140" w:rsidRDefault="00074617" w:rsidP="001D3324">
            <w:pPr>
              <w:spacing w:line="276" w:lineRule="auto"/>
              <w:rPr>
                <w:rFonts w:ascii="Times New Roman" w:hAnsi="Times New Roman" w:cs="Times New Roman"/>
                <w:lang w:val="en-CA"/>
              </w:rPr>
            </w:pPr>
            <w:r w:rsidRPr="00417140">
              <w:rPr>
                <w:rFonts w:ascii="Times New Roman" w:hAnsi="Times New Roman" w:cs="Times New Roman"/>
                <w:lang w:val="en-CA"/>
              </w:rPr>
              <w:t>The study did not present or describe the development or validation of a tool</w:t>
            </w:r>
          </w:p>
        </w:tc>
      </w:tr>
    </w:tbl>
    <w:p w14:paraId="012D4281" w14:textId="77777777" w:rsidR="00532956" w:rsidRPr="00417140" w:rsidRDefault="00532956" w:rsidP="001D3324">
      <w:pPr>
        <w:spacing w:after="0"/>
      </w:pPr>
    </w:p>
    <w:p w14:paraId="405CF54D" w14:textId="77777777" w:rsidR="00532956" w:rsidRPr="00417140" w:rsidRDefault="00532956" w:rsidP="001D3324">
      <w:pPr>
        <w:spacing w:after="0"/>
      </w:pPr>
    </w:p>
    <w:p w14:paraId="2CD2DB6D" w14:textId="196DDD7B" w:rsidR="00F32D1C" w:rsidRPr="00417140" w:rsidRDefault="00F32D1C" w:rsidP="00E855C6"/>
    <w:sectPr w:rsidR="00F32D1C" w:rsidRPr="00417140" w:rsidSect="00B956AE">
      <w:headerReference w:type="even" r:id="rId11"/>
      <w:headerReference w:type="default" r:id="rId12"/>
      <w:footerReference w:type="even" r:id="rId13"/>
      <w:footerReference w:type="default" r:id="rId14"/>
      <w:headerReference w:type="first" r:id="rId15"/>
      <w:footerReference w:type="first" r:id="rId16"/>
      <w:pgSz w:w="15840" w:h="12240" w:orient="landscape"/>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D2012" w14:textId="77777777" w:rsidR="00152A3D" w:rsidRDefault="00152A3D">
      <w:pPr>
        <w:spacing w:after="0" w:line="240" w:lineRule="auto"/>
      </w:pPr>
      <w:r>
        <w:separator/>
      </w:r>
    </w:p>
  </w:endnote>
  <w:endnote w:type="continuationSeparator" w:id="0">
    <w:p w14:paraId="524D9F55" w14:textId="77777777" w:rsidR="00152A3D" w:rsidRDefault="0015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78DA" w14:textId="77777777" w:rsidR="00D608BC" w:rsidRDefault="00D608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AB9C" w14:textId="77777777" w:rsidR="00D608BC" w:rsidRDefault="00D608BC">
    <w:pPr>
      <w:pBdr>
        <w:top w:val="nil"/>
        <w:left w:val="nil"/>
        <w:bottom w:val="nil"/>
        <w:right w:val="nil"/>
        <w:between w:val="nil"/>
      </w:pBdr>
      <w:tabs>
        <w:tab w:val="center" w:pos="4320"/>
        <w:tab w:val="right" w:pos="864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9E74" w14:textId="77777777" w:rsidR="00D608BC" w:rsidRDefault="00D608B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DB28F" w14:textId="77777777" w:rsidR="00152A3D" w:rsidRDefault="00152A3D">
      <w:pPr>
        <w:spacing w:after="0" w:line="240" w:lineRule="auto"/>
      </w:pPr>
      <w:r>
        <w:separator/>
      </w:r>
    </w:p>
  </w:footnote>
  <w:footnote w:type="continuationSeparator" w:id="0">
    <w:p w14:paraId="34C1511E" w14:textId="77777777" w:rsidR="00152A3D" w:rsidRDefault="0015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6BC8" w14:textId="77777777" w:rsidR="00D608BC" w:rsidRDefault="00D608B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883C" w14:textId="77777777" w:rsidR="00D608BC" w:rsidRDefault="00D608B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7FAC" w14:textId="77777777" w:rsidR="00D608BC" w:rsidRDefault="00D608B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5" type="#_x0000_t75" style="width:8.25pt;height:8.25pt;visibility:visible" o:bullet="t">
        <v:imagedata r:id="rId1" o:title=""/>
      </v:shape>
    </w:pict>
  </w:numPicBullet>
  <w:abstractNum w:abstractNumId="0" w15:restartNumberingAfterBreak="0">
    <w:nsid w:val="FFFFFFFE"/>
    <w:multiLevelType w:val="singleLevel"/>
    <w:tmpl w:val="6590C8CC"/>
    <w:lvl w:ilvl="0">
      <w:numFmt w:val="bullet"/>
      <w:lvlText w:val="*"/>
      <w:lvlJc w:val="left"/>
    </w:lvl>
  </w:abstractNum>
  <w:abstractNum w:abstractNumId="1" w15:restartNumberingAfterBreak="0">
    <w:nsid w:val="0D0F25B0"/>
    <w:multiLevelType w:val="hybridMultilevel"/>
    <w:tmpl w:val="B5E21760"/>
    <w:lvl w:ilvl="0" w:tplc="0658A15C">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0E6435E9"/>
    <w:multiLevelType w:val="multilevel"/>
    <w:tmpl w:val="B1FA44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19333A"/>
    <w:multiLevelType w:val="hybridMultilevel"/>
    <w:tmpl w:val="9BFA4930"/>
    <w:lvl w:ilvl="0" w:tplc="FBBE435E">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74C62CE"/>
    <w:multiLevelType w:val="hybridMultilevel"/>
    <w:tmpl w:val="649C1FA6"/>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3232E50"/>
    <w:multiLevelType w:val="hybridMultilevel"/>
    <w:tmpl w:val="BAEED1F4"/>
    <w:lvl w:ilvl="0" w:tplc="34A63890">
      <w:start w:val="1"/>
      <w:numFmt w:val="bullet"/>
      <w:lvlText w:val=""/>
      <w:lvlPicBulletId w:val="0"/>
      <w:lvlJc w:val="left"/>
      <w:pPr>
        <w:tabs>
          <w:tab w:val="num" w:pos="360"/>
        </w:tabs>
        <w:ind w:left="360" w:hanging="360"/>
      </w:pPr>
      <w:rPr>
        <w:rFonts w:ascii="Symbol" w:hAnsi="Symbol" w:hint="default"/>
      </w:rPr>
    </w:lvl>
    <w:lvl w:ilvl="1" w:tplc="426482B6" w:tentative="1">
      <w:start w:val="1"/>
      <w:numFmt w:val="bullet"/>
      <w:lvlText w:val=""/>
      <w:lvlJc w:val="left"/>
      <w:pPr>
        <w:tabs>
          <w:tab w:val="num" w:pos="1080"/>
        </w:tabs>
        <w:ind w:left="1080" w:hanging="360"/>
      </w:pPr>
      <w:rPr>
        <w:rFonts w:ascii="Symbol" w:hAnsi="Symbol" w:hint="default"/>
      </w:rPr>
    </w:lvl>
    <w:lvl w:ilvl="2" w:tplc="069E5776" w:tentative="1">
      <w:start w:val="1"/>
      <w:numFmt w:val="bullet"/>
      <w:lvlText w:val=""/>
      <w:lvlJc w:val="left"/>
      <w:pPr>
        <w:tabs>
          <w:tab w:val="num" w:pos="1800"/>
        </w:tabs>
        <w:ind w:left="1800" w:hanging="360"/>
      </w:pPr>
      <w:rPr>
        <w:rFonts w:ascii="Symbol" w:hAnsi="Symbol" w:hint="default"/>
      </w:rPr>
    </w:lvl>
    <w:lvl w:ilvl="3" w:tplc="A232F25C" w:tentative="1">
      <w:start w:val="1"/>
      <w:numFmt w:val="bullet"/>
      <w:lvlText w:val=""/>
      <w:lvlJc w:val="left"/>
      <w:pPr>
        <w:tabs>
          <w:tab w:val="num" w:pos="2520"/>
        </w:tabs>
        <w:ind w:left="2520" w:hanging="360"/>
      </w:pPr>
      <w:rPr>
        <w:rFonts w:ascii="Symbol" w:hAnsi="Symbol" w:hint="default"/>
      </w:rPr>
    </w:lvl>
    <w:lvl w:ilvl="4" w:tplc="48B015E2" w:tentative="1">
      <w:start w:val="1"/>
      <w:numFmt w:val="bullet"/>
      <w:lvlText w:val=""/>
      <w:lvlJc w:val="left"/>
      <w:pPr>
        <w:tabs>
          <w:tab w:val="num" w:pos="3240"/>
        </w:tabs>
        <w:ind w:left="3240" w:hanging="360"/>
      </w:pPr>
      <w:rPr>
        <w:rFonts w:ascii="Symbol" w:hAnsi="Symbol" w:hint="default"/>
      </w:rPr>
    </w:lvl>
    <w:lvl w:ilvl="5" w:tplc="DE7A8B72" w:tentative="1">
      <w:start w:val="1"/>
      <w:numFmt w:val="bullet"/>
      <w:lvlText w:val=""/>
      <w:lvlJc w:val="left"/>
      <w:pPr>
        <w:tabs>
          <w:tab w:val="num" w:pos="3960"/>
        </w:tabs>
        <w:ind w:left="3960" w:hanging="360"/>
      </w:pPr>
      <w:rPr>
        <w:rFonts w:ascii="Symbol" w:hAnsi="Symbol" w:hint="default"/>
      </w:rPr>
    </w:lvl>
    <w:lvl w:ilvl="6" w:tplc="296A12F2" w:tentative="1">
      <w:start w:val="1"/>
      <w:numFmt w:val="bullet"/>
      <w:lvlText w:val=""/>
      <w:lvlJc w:val="left"/>
      <w:pPr>
        <w:tabs>
          <w:tab w:val="num" w:pos="4680"/>
        </w:tabs>
        <w:ind w:left="4680" w:hanging="360"/>
      </w:pPr>
      <w:rPr>
        <w:rFonts w:ascii="Symbol" w:hAnsi="Symbol" w:hint="default"/>
      </w:rPr>
    </w:lvl>
    <w:lvl w:ilvl="7" w:tplc="27E6113A" w:tentative="1">
      <w:start w:val="1"/>
      <w:numFmt w:val="bullet"/>
      <w:lvlText w:val=""/>
      <w:lvlJc w:val="left"/>
      <w:pPr>
        <w:tabs>
          <w:tab w:val="num" w:pos="5400"/>
        </w:tabs>
        <w:ind w:left="5400" w:hanging="360"/>
      </w:pPr>
      <w:rPr>
        <w:rFonts w:ascii="Symbol" w:hAnsi="Symbol" w:hint="default"/>
      </w:rPr>
    </w:lvl>
    <w:lvl w:ilvl="8" w:tplc="41B8B50C" w:tentative="1">
      <w:start w:val="1"/>
      <w:numFmt w:val="bullet"/>
      <w:lvlText w:val=""/>
      <w:lvlJc w:val="left"/>
      <w:pPr>
        <w:tabs>
          <w:tab w:val="num" w:pos="6120"/>
        </w:tabs>
        <w:ind w:left="6120" w:hanging="360"/>
      </w:pPr>
      <w:rPr>
        <w:rFonts w:ascii="Symbol" w:hAnsi="Symbol" w:hint="default"/>
      </w:rPr>
    </w:lvl>
  </w:abstractNum>
  <w:abstractNum w:abstractNumId="6" w15:restartNumberingAfterBreak="0">
    <w:nsid w:val="294B65E8"/>
    <w:multiLevelType w:val="hybridMultilevel"/>
    <w:tmpl w:val="91ACE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CF05AB"/>
    <w:multiLevelType w:val="multilevel"/>
    <w:tmpl w:val="35321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2CB4C80"/>
    <w:multiLevelType w:val="hybridMultilevel"/>
    <w:tmpl w:val="39C46FDC"/>
    <w:lvl w:ilvl="0" w:tplc="0658A15C">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39581F7E"/>
    <w:multiLevelType w:val="hybridMultilevel"/>
    <w:tmpl w:val="D45C75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680A1F9A"/>
    <w:multiLevelType w:val="multilevel"/>
    <w:tmpl w:val="0DF247E4"/>
    <w:lvl w:ilvl="0">
      <w:start w:val="1"/>
      <w:numFmt w:val="decimal"/>
      <w:lvlText w:val="%1."/>
      <w:lvlJc w:val="left"/>
      <w:pPr>
        <w:ind w:left="420" w:hanging="360"/>
      </w:pPr>
      <w:rPr>
        <w:b w:val="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1" w15:restartNumberingAfterBreak="0">
    <w:nsid w:val="73DE531E"/>
    <w:multiLevelType w:val="hybridMultilevel"/>
    <w:tmpl w:val="0D70C12C"/>
    <w:lvl w:ilvl="0" w:tplc="5FA6BB90">
      <w:start w:val="1"/>
      <w:numFmt w:val="bullet"/>
      <w:lvlText w:val=""/>
      <w:lvlJc w:val="left"/>
      <w:pPr>
        <w:ind w:left="360" w:hanging="360"/>
      </w:pPr>
      <w:rPr>
        <w:rFonts w:ascii="Wingdings" w:hAnsi="Wingdings" w:hint="default"/>
        <w:sz w:val="22"/>
        <w:szCs w:val="22"/>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2" w15:restartNumberingAfterBreak="0">
    <w:nsid w:val="79395172"/>
    <w:multiLevelType w:val="hybridMultilevel"/>
    <w:tmpl w:val="9354A682"/>
    <w:lvl w:ilvl="0" w:tplc="0658A15C">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7C7E4F71"/>
    <w:multiLevelType w:val="hybridMultilevel"/>
    <w:tmpl w:val="F2263B20"/>
    <w:lvl w:ilvl="0" w:tplc="9A2294FE">
      <w:start w:val="1"/>
      <w:numFmt w:val="bullet"/>
      <w:lvlText w:val=""/>
      <w:lvlPicBulletId w:val="0"/>
      <w:lvlJc w:val="left"/>
      <w:pPr>
        <w:tabs>
          <w:tab w:val="num" w:pos="720"/>
        </w:tabs>
        <w:ind w:left="720" w:hanging="360"/>
      </w:pPr>
      <w:rPr>
        <w:rFonts w:ascii="Symbol" w:hAnsi="Symbol" w:hint="default"/>
      </w:rPr>
    </w:lvl>
    <w:lvl w:ilvl="1" w:tplc="522CC836" w:tentative="1">
      <w:start w:val="1"/>
      <w:numFmt w:val="bullet"/>
      <w:lvlText w:val=""/>
      <w:lvlJc w:val="left"/>
      <w:pPr>
        <w:tabs>
          <w:tab w:val="num" w:pos="1440"/>
        </w:tabs>
        <w:ind w:left="1440" w:hanging="360"/>
      </w:pPr>
      <w:rPr>
        <w:rFonts w:ascii="Symbol" w:hAnsi="Symbol" w:hint="default"/>
      </w:rPr>
    </w:lvl>
    <w:lvl w:ilvl="2" w:tplc="5FD6EEDC" w:tentative="1">
      <w:start w:val="1"/>
      <w:numFmt w:val="bullet"/>
      <w:lvlText w:val=""/>
      <w:lvlJc w:val="left"/>
      <w:pPr>
        <w:tabs>
          <w:tab w:val="num" w:pos="2160"/>
        </w:tabs>
        <w:ind w:left="2160" w:hanging="360"/>
      </w:pPr>
      <w:rPr>
        <w:rFonts w:ascii="Symbol" w:hAnsi="Symbol" w:hint="default"/>
      </w:rPr>
    </w:lvl>
    <w:lvl w:ilvl="3" w:tplc="F90A7672" w:tentative="1">
      <w:start w:val="1"/>
      <w:numFmt w:val="bullet"/>
      <w:lvlText w:val=""/>
      <w:lvlJc w:val="left"/>
      <w:pPr>
        <w:tabs>
          <w:tab w:val="num" w:pos="2880"/>
        </w:tabs>
        <w:ind w:left="2880" w:hanging="360"/>
      </w:pPr>
      <w:rPr>
        <w:rFonts w:ascii="Symbol" w:hAnsi="Symbol" w:hint="default"/>
      </w:rPr>
    </w:lvl>
    <w:lvl w:ilvl="4" w:tplc="6CF0C752" w:tentative="1">
      <w:start w:val="1"/>
      <w:numFmt w:val="bullet"/>
      <w:lvlText w:val=""/>
      <w:lvlJc w:val="left"/>
      <w:pPr>
        <w:tabs>
          <w:tab w:val="num" w:pos="3600"/>
        </w:tabs>
        <w:ind w:left="3600" w:hanging="360"/>
      </w:pPr>
      <w:rPr>
        <w:rFonts w:ascii="Symbol" w:hAnsi="Symbol" w:hint="default"/>
      </w:rPr>
    </w:lvl>
    <w:lvl w:ilvl="5" w:tplc="36E696B8" w:tentative="1">
      <w:start w:val="1"/>
      <w:numFmt w:val="bullet"/>
      <w:lvlText w:val=""/>
      <w:lvlJc w:val="left"/>
      <w:pPr>
        <w:tabs>
          <w:tab w:val="num" w:pos="4320"/>
        </w:tabs>
        <w:ind w:left="4320" w:hanging="360"/>
      </w:pPr>
      <w:rPr>
        <w:rFonts w:ascii="Symbol" w:hAnsi="Symbol" w:hint="default"/>
      </w:rPr>
    </w:lvl>
    <w:lvl w:ilvl="6" w:tplc="96A6E764" w:tentative="1">
      <w:start w:val="1"/>
      <w:numFmt w:val="bullet"/>
      <w:lvlText w:val=""/>
      <w:lvlJc w:val="left"/>
      <w:pPr>
        <w:tabs>
          <w:tab w:val="num" w:pos="5040"/>
        </w:tabs>
        <w:ind w:left="5040" w:hanging="360"/>
      </w:pPr>
      <w:rPr>
        <w:rFonts w:ascii="Symbol" w:hAnsi="Symbol" w:hint="default"/>
      </w:rPr>
    </w:lvl>
    <w:lvl w:ilvl="7" w:tplc="AE8E0FD0" w:tentative="1">
      <w:start w:val="1"/>
      <w:numFmt w:val="bullet"/>
      <w:lvlText w:val=""/>
      <w:lvlJc w:val="left"/>
      <w:pPr>
        <w:tabs>
          <w:tab w:val="num" w:pos="5760"/>
        </w:tabs>
        <w:ind w:left="5760" w:hanging="360"/>
      </w:pPr>
      <w:rPr>
        <w:rFonts w:ascii="Symbol" w:hAnsi="Symbol" w:hint="default"/>
      </w:rPr>
    </w:lvl>
    <w:lvl w:ilvl="8" w:tplc="1DACD4E2" w:tentative="1">
      <w:start w:val="1"/>
      <w:numFmt w:val="bullet"/>
      <w:lvlText w:val=""/>
      <w:lvlJc w:val="left"/>
      <w:pPr>
        <w:tabs>
          <w:tab w:val="num" w:pos="6480"/>
        </w:tabs>
        <w:ind w:left="6480" w:hanging="360"/>
      </w:pPr>
      <w:rPr>
        <w:rFonts w:ascii="Symbol" w:hAnsi="Symbol" w:hint="default"/>
      </w:rPr>
    </w:lvl>
  </w:abstractNum>
  <w:num w:numId="1">
    <w:abstractNumId w:val="7"/>
  </w:num>
  <w:num w:numId="2">
    <w:abstractNumId w:val="4"/>
  </w:num>
  <w:num w:numId="3">
    <w:abstractNumId w:val="3"/>
  </w:num>
  <w:num w:numId="4">
    <w:abstractNumId w:val="11"/>
  </w:num>
  <w:num w:numId="5">
    <w:abstractNumId w:val="2"/>
  </w:num>
  <w:num w:numId="6">
    <w:abstractNumId w:val="10"/>
  </w:num>
  <w:num w:numId="7">
    <w:abstractNumId w:val="8"/>
  </w:num>
  <w:num w:numId="8">
    <w:abstractNumId w:val="12"/>
  </w:num>
  <w:num w:numId="9">
    <w:abstractNumId w:val="1"/>
  </w:num>
  <w:num w:numId="10">
    <w:abstractNumId w:val="13"/>
  </w:num>
  <w:num w:numId="11">
    <w:abstractNumId w:val="5"/>
  </w:num>
  <w:num w:numId="12">
    <w:abstractNumId w:val="0"/>
    <w:lvlOverride w:ilvl="0">
      <w:lvl w:ilvl="0">
        <w:numFmt w:val="bullet"/>
        <w:lvlText w:val=""/>
        <w:legacy w:legacy="1" w:legacySpace="0" w:legacyIndent="0"/>
        <w:lvlJc w:val="left"/>
        <w:rPr>
          <w:rFonts w:ascii="Wingdings" w:hAnsi="Wingdings" w:hint="default"/>
          <w:sz w:val="24"/>
        </w:rPr>
      </w:lvl>
    </w:lvlOverride>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AC"/>
    <w:rsid w:val="000010A3"/>
    <w:rsid w:val="00001409"/>
    <w:rsid w:val="00001B8E"/>
    <w:rsid w:val="00002E57"/>
    <w:rsid w:val="000034B2"/>
    <w:rsid w:val="00003A2B"/>
    <w:rsid w:val="00004C72"/>
    <w:rsid w:val="000056A0"/>
    <w:rsid w:val="00006473"/>
    <w:rsid w:val="000066E4"/>
    <w:rsid w:val="00006AC9"/>
    <w:rsid w:val="0001009D"/>
    <w:rsid w:val="000111FA"/>
    <w:rsid w:val="00011499"/>
    <w:rsid w:val="00011547"/>
    <w:rsid w:val="00014B66"/>
    <w:rsid w:val="000166E4"/>
    <w:rsid w:val="000172BA"/>
    <w:rsid w:val="0001731C"/>
    <w:rsid w:val="0002203D"/>
    <w:rsid w:val="000221E6"/>
    <w:rsid w:val="00026F1C"/>
    <w:rsid w:val="00026F9C"/>
    <w:rsid w:val="0002701A"/>
    <w:rsid w:val="00027C0A"/>
    <w:rsid w:val="00030555"/>
    <w:rsid w:val="0003187A"/>
    <w:rsid w:val="00033982"/>
    <w:rsid w:val="00035D2C"/>
    <w:rsid w:val="00037BAE"/>
    <w:rsid w:val="00040160"/>
    <w:rsid w:val="00041805"/>
    <w:rsid w:val="000421F1"/>
    <w:rsid w:val="00042C1F"/>
    <w:rsid w:val="00043F0B"/>
    <w:rsid w:val="00044B11"/>
    <w:rsid w:val="00044E12"/>
    <w:rsid w:val="000457F9"/>
    <w:rsid w:val="0004629D"/>
    <w:rsid w:val="00050809"/>
    <w:rsid w:val="0005088B"/>
    <w:rsid w:val="0005110A"/>
    <w:rsid w:val="00051F1D"/>
    <w:rsid w:val="00052402"/>
    <w:rsid w:val="00055770"/>
    <w:rsid w:val="00056093"/>
    <w:rsid w:val="00056AAE"/>
    <w:rsid w:val="00057CC4"/>
    <w:rsid w:val="00062352"/>
    <w:rsid w:val="00064753"/>
    <w:rsid w:val="0006585A"/>
    <w:rsid w:val="00065A0C"/>
    <w:rsid w:val="00067841"/>
    <w:rsid w:val="00067977"/>
    <w:rsid w:val="00067CFB"/>
    <w:rsid w:val="00073BDD"/>
    <w:rsid w:val="0007455B"/>
    <w:rsid w:val="00074617"/>
    <w:rsid w:val="00074D49"/>
    <w:rsid w:val="00076887"/>
    <w:rsid w:val="000811B1"/>
    <w:rsid w:val="00082D6D"/>
    <w:rsid w:val="00084126"/>
    <w:rsid w:val="00085474"/>
    <w:rsid w:val="00087547"/>
    <w:rsid w:val="00090CB5"/>
    <w:rsid w:val="0009344C"/>
    <w:rsid w:val="000938F4"/>
    <w:rsid w:val="000947A1"/>
    <w:rsid w:val="00095D2F"/>
    <w:rsid w:val="0009785A"/>
    <w:rsid w:val="000A02A4"/>
    <w:rsid w:val="000A11B8"/>
    <w:rsid w:val="000A1BA8"/>
    <w:rsid w:val="000A449F"/>
    <w:rsid w:val="000A5F43"/>
    <w:rsid w:val="000A699A"/>
    <w:rsid w:val="000A6BF0"/>
    <w:rsid w:val="000A7772"/>
    <w:rsid w:val="000A7860"/>
    <w:rsid w:val="000B014E"/>
    <w:rsid w:val="000B0C98"/>
    <w:rsid w:val="000B1108"/>
    <w:rsid w:val="000B6B96"/>
    <w:rsid w:val="000B7090"/>
    <w:rsid w:val="000B7E29"/>
    <w:rsid w:val="000C0B7E"/>
    <w:rsid w:val="000C1696"/>
    <w:rsid w:val="000C1D35"/>
    <w:rsid w:val="000C3422"/>
    <w:rsid w:val="000C3E7B"/>
    <w:rsid w:val="000C522B"/>
    <w:rsid w:val="000C5C8A"/>
    <w:rsid w:val="000D0F27"/>
    <w:rsid w:val="000D18B5"/>
    <w:rsid w:val="000D34B6"/>
    <w:rsid w:val="000D5C5C"/>
    <w:rsid w:val="000D6702"/>
    <w:rsid w:val="000D7853"/>
    <w:rsid w:val="000E0DB8"/>
    <w:rsid w:val="000E1FE5"/>
    <w:rsid w:val="000E49A2"/>
    <w:rsid w:val="000E4DD2"/>
    <w:rsid w:val="000E5615"/>
    <w:rsid w:val="000E67C7"/>
    <w:rsid w:val="000E6FCD"/>
    <w:rsid w:val="000F052B"/>
    <w:rsid w:val="000F0C90"/>
    <w:rsid w:val="000F2A87"/>
    <w:rsid w:val="000F587B"/>
    <w:rsid w:val="000F5BF4"/>
    <w:rsid w:val="000F7192"/>
    <w:rsid w:val="00101542"/>
    <w:rsid w:val="00101E20"/>
    <w:rsid w:val="00102EA9"/>
    <w:rsid w:val="00103770"/>
    <w:rsid w:val="00105D19"/>
    <w:rsid w:val="00106BBB"/>
    <w:rsid w:val="00107CFE"/>
    <w:rsid w:val="00113EEC"/>
    <w:rsid w:val="0011494B"/>
    <w:rsid w:val="00114CCF"/>
    <w:rsid w:val="00114D9A"/>
    <w:rsid w:val="0011690C"/>
    <w:rsid w:val="00117EE1"/>
    <w:rsid w:val="00120FFE"/>
    <w:rsid w:val="00122D83"/>
    <w:rsid w:val="00122E17"/>
    <w:rsid w:val="00124A2B"/>
    <w:rsid w:val="00131206"/>
    <w:rsid w:val="00134138"/>
    <w:rsid w:val="001356AE"/>
    <w:rsid w:val="00135B91"/>
    <w:rsid w:val="00135FB1"/>
    <w:rsid w:val="00136150"/>
    <w:rsid w:val="001361FB"/>
    <w:rsid w:val="0013648C"/>
    <w:rsid w:val="001409CA"/>
    <w:rsid w:val="00142146"/>
    <w:rsid w:val="00143A89"/>
    <w:rsid w:val="00144A83"/>
    <w:rsid w:val="00145EF8"/>
    <w:rsid w:val="001524A4"/>
    <w:rsid w:val="00152A3D"/>
    <w:rsid w:val="00155EC1"/>
    <w:rsid w:val="00156459"/>
    <w:rsid w:val="001569C2"/>
    <w:rsid w:val="00157F00"/>
    <w:rsid w:val="00160F26"/>
    <w:rsid w:val="00161E9A"/>
    <w:rsid w:val="0016234C"/>
    <w:rsid w:val="00164C2B"/>
    <w:rsid w:val="0016516E"/>
    <w:rsid w:val="00165D35"/>
    <w:rsid w:val="0016661F"/>
    <w:rsid w:val="00166CFC"/>
    <w:rsid w:val="00166D88"/>
    <w:rsid w:val="001702D2"/>
    <w:rsid w:val="00171DDD"/>
    <w:rsid w:val="0017269F"/>
    <w:rsid w:val="00172F23"/>
    <w:rsid w:val="0017383E"/>
    <w:rsid w:val="00173E11"/>
    <w:rsid w:val="001740DE"/>
    <w:rsid w:val="00174CC0"/>
    <w:rsid w:val="00174D27"/>
    <w:rsid w:val="00175152"/>
    <w:rsid w:val="001759CB"/>
    <w:rsid w:val="001772F8"/>
    <w:rsid w:val="0018097D"/>
    <w:rsid w:val="0018542C"/>
    <w:rsid w:val="0018547E"/>
    <w:rsid w:val="0018565C"/>
    <w:rsid w:val="001860E0"/>
    <w:rsid w:val="001874A7"/>
    <w:rsid w:val="001914C3"/>
    <w:rsid w:val="0019190C"/>
    <w:rsid w:val="00192BD7"/>
    <w:rsid w:val="00192E5F"/>
    <w:rsid w:val="00193533"/>
    <w:rsid w:val="00193E4A"/>
    <w:rsid w:val="001941E0"/>
    <w:rsid w:val="00195754"/>
    <w:rsid w:val="00196975"/>
    <w:rsid w:val="001975F0"/>
    <w:rsid w:val="001A007F"/>
    <w:rsid w:val="001A0259"/>
    <w:rsid w:val="001A111A"/>
    <w:rsid w:val="001A19AD"/>
    <w:rsid w:val="001A1E8B"/>
    <w:rsid w:val="001A386D"/>
    <w:rsid w:val="001A479D"/>
    <w:rsid w:val="001A6C78"/>
    <w:rsid w:val="001B0F27"/>
    <w:rsid w:val="001B1A81"/>
    <w:rsid w:val="001B5D1C"/>
    <w:rsid w:val="001C09C6"/>
    <w:rsid w:val="001C274C"/>
    <w:rsid w:val="001C2B6C"/>
    <w:rsid w:val="001C5749"/>
    <w:rsid w:val="001C63BC"/>
    <w:rsid w:val="001C7919"/>
    <w:rsid w:val="001D21D2"/>
    <w:rsid w:val="001D3324"/>
    <w:rsid w:val="001E1ACA"/>
    <w:rsid w:val="001E258E"/>
    <w:rsid w:val="001E2D69"/>
    <w:rsid w:val="001E3892"/>
    <w:rsid w:val="001E739C"/>
    <w:rsid w:val="001E7471"/>
    <w:rsid w:val="001F04EC"/>
    <w:rsid w:val="001F0AA2"/>
    <w:rsid w:val="001F110B"/>
    <w:rsid w:val="001F1A89"/>
    <w:rsid w:val="001F1C47"/>
    <w:rsid w:val="001F23AE"/>
    <w:rsid w:val="001F3604"/>
    <w:rsid w:val="001F38D3"/>
    <w:rsid w:val="001F3DF2"/>
    <w:rsid w:val="001F55A1"/>
    <w:rsid w:val="001F5BAB"/>
    <w:rsid w:val="001F601F"/>
    <w:rsid w:val="001F668C"/>
    <w:rsid w:val="001F76AD"/>
    <w:rsid w:val="00200048"/>
    <w:rsid w:val="00200BDE"/>
    <w:rsid w:val="002010A1"/>
    <w:rsid w:val="0020129D"/>
    <w:rsid w:val="00201410"/>
    <w:rsid w:val="00201B62"/>
    <w:rsid w:val="002049DB"/>
    <w:rsid w:val="00204BF9"/>
    <w:rsid w:val="00205539"/>
    <w:rsid w:val="00205E23"/>
    <w:rsid w:val="002063F2"/>
    <w:rsid w:val="002113C2"/>
    <w:rsid w:val="00211E3A"/>
    <w:rsid w:val="00213E4A"/>
    <w:rsid w:val="00214306"/>
    <w:rsid w:val="00216311"/>
    <w:rsid w:val="0021642C"/>
    <w:rsid w:val="00216542"/>
    <w:rsid w:val="002165E9"/>
    <w:rsid w:val="0022158C"/>
    <w:rsid w:val="002215A5"/>
    <w:rsid w:val="00223C24"/>
    <w:rsid w:val="0022472E"/>
    <w:rsid w:val="00224A42"/>
    <w:rsid w:val="00225954"/>
    <w:rsid w:val="00226D2F"/>
    <w:rsid w:val="00232C9A"/>
    <w:rsid w:val="002335A0"/>
    <w:rsid w:val="00233A5A"/>
    <w:rsid w:val="00237081"/>
    <w:rsid w:val="0023729E"/>
    <w:rsid w:val="00237AB5"/>
    <w:rsid w:val="002408C4"/>
    <w:rsid w:val="002418F9"/>
    <w:rsid w:val="002420D4"/>
    <w:rsid w:val="00244477"/>
    <w:rsid w:val="0024479C"/>
    <w:rsid w:val="00245B53"/>
    <w:rsid w:val="0024613A"/>
    <w:rsid w:val="00247CCF"/>
    <w:rsid w:val="002507C4"/>
    <w:rsid w:val="00250843"/>
    <w:rsid w:val="002528CD"/>
    <w:rsid w:val="002548EC"/>
    <w:rsid w:val="00254FF4"/>
    <w:rsid w:val="0025771D"/>
    <w:rsid w:val="00257758"/>
    <w:rsid w:val="00261E41"/>
    <w:rsid w:val="00262966"/>
    <w:rsid w:val="00265403"/>
    <w:rsid w:val="00265617"/>
    <w:rsid w:val="0026616D"/>
    <w:rsid w:val="00270E95"/>
    <w:rsid w:val="00272DC1"/>
    <w:rsid w:val="00273399"/>
    <w:rsid w:val="00274CCD"/>
    <w:rsid w:val="002750D5"/>
    <w:rsid w:val="002759D8"/>
    <w:rsid w:val="00280260"/>
    <w:rsid w:val="0028181E"/>
    <w:rsid w:val="00282E3B"/>
    <w:rsid w:val="00282E52"/>
    <w:rsid w:val="00284867"/>
    <w:rsid w:val="00284FDE"/>
    <w:rsid w:val="0028665A"/>
    <w:rsid w:val="002868B4"/>
    <w:rsid w:val="00290ACA"/>
    <w:rsid w:val="00291C17"/>
    <w:rsid w:val="0029240A"/>
    <w:rsid w:val="002924AB"/>
    <w:rsid w:val="002928B9"/>
    <w:rsid w:val="002941B1"/>
    <w:rsid w:val="00294CB5"/>
    <w:rsid w:val="00294FED"/>
    <w:rsid w:val="00295C8E"/>
    <w:rsid w:val="00295DBD"/>
    <w:rsid w:val="00296D39"/>
    <w:rsid w:val="002A0478"/>
    <w:rsid w:val="002A0531"/>
    <w:rsid w:val="002A16F3"/>
    <w:rsid w:val="002A2B99"/>
    <w:rsid w:val="002A3AA6"/>
    <w:rsid w:val="002A49A7"/>
    <w:rsid w:val="002A58F6"/>
    <w:rsid w:val="002A59F4"/>
    <w:rsid w:val="002A69B1"/>
    <w:rsid w:val="002B0CD7"/>
    <w:rsid w:val="002B211D"/>
    <w:rsid w:val="002B4ACF"/>
    <w:rsid w:val="002B5EAA"/>
    <w:rsid w:val="002B5EDC"/>
    <w:rsid w:val="002B71D3"/>
    <w:rsid w:val="002C05EF"/>
    <w:rsid w:val="002C0ACA"/>
    <w:rsid w:val="002C1F72"/>
    <w:rsid w:val="002C2216"/>
    <w:rsid w:val="002C257B"/>
    <w:rsid w:val="002C4ADD"/>
    <w:rsid w:val="002C5377"/>
    <w:rsid w:val="002C62FC"/>
    <w:rsid w:val="002C6EBF"/>
    <w:rsid w:val="002C7ECE"/>
    <w:rsid w:val="002D0358"/>
    <w:rsid w:val="002D0407"/>
    <w:rsid w:val="002D3DDE"/>
    <w:rsid w:val="002D4175"/>
    <w:rsid w:val="002D53AA"/>
    <w:rsid w:val="002E020B"/>
    <w:rsid w:val="002E0701"/>
    <w:rsid w:val="002E3B08"/>
    <w:rsid w:val="002E4D96"/>
    <w:rsid w:val="002E59E9"/>
    <w:rsid w:val="002E5C8B"/>
    <w:rsid w:val="002E5EF3"/>
    <w:rsid w:val="002E7326"/>
    <w:rsid w:val="002E7CFD"/>
    <w:rsid w:val="002F21B7"/>
    <w:rsid w:val="002F21C4"/>
    <w:rsid w:val="002F28AE"/>
    <w:rsid w:val="002F2C76"/>
    <w:rsid w:val="002F331D"/>
    <w:rsid w:val="002F3E32"/>
    <w:rsid w:val="002F5D25"/>
    <w:rsid w:val="00301292"/>
    <w:rsid w:val="00301321"/>
    <w:rsid w:val="0030306A"/>
    <w:rsid w:val="00303D8C"/>
    <w:rsid w:val="003060E2"/>
    <w:rsid w:val="0030649D"/>
    <w:rsid w:val="0030735A"/>
    <w:rsid w:val="003117C7"/>
    <w:rsid w:val="00311AE2"/>
    <w:rsid w:val="003131F9"/>
    <w:rsid w:val="00314542"/>
    <w:rsid w:val="00314A0D"/>
    <w:rsid w:val="0031557C"/>
    <w:rsid w:val="00316429"/>
    <w:rsid w:val="0032241C"/>
    <w:rsid w:val="00331D2F"/>
    <w:rsid w:val="00333EDF"/>
    <w:rsid w:val="00334972"/>
    <w:rsid w:val="00335262"/>
    <w:rsid w:val="00335E2A"/>
    <w:rsid w:val="00336235"/>
    <w:rsid w:val="00336A71"/>
    <w:rsid w:val="00336CE0"/>
    <w:rsid w:val="00340AB2"/>
    <w:rsid w:val="00341043"/>
    <w:rsid w:val="0034275C"/>
    <w:rsid w:val="003439D2"/>
    <w:rsid w:val="00343A75"/>
    <w:rsid w:val="00343DFB"/>
    <w:rsid w:val="00343E94"/>
    <w:rsid w:val="0034585C"/>
    <w:rsid w:val="00350E73"/>
    <w:rsid w:val="003510C7"/>
    <w:rsid w:val="00352DD0"/>
    <w:rsid w:val="0035361A"/>
    <w:rsid w:val="00354EED"/>
    <w:rsid w:val="00355A36"/>
    <w:rsid w:val="00356261"/>
    <w:rsid w:val="0036011A"/>
    <w:rsid w:val="00362699"/>
    <w:rsid w:val="003627DA"/>
    <w:rsid w:val="00362C5B"/>
    <w:rsid w:val="00363CE0"/>
    <w:rsid w:val="00364091"/>
    <w:rsid w:val="0036583C"/>
    <w:rsid w:val="0036716D"/>
    <w:rsid w:val="0036729D"/>
    <w:rsid w:val="00367F9C"/>
    <w:rsid w:val="003709E8"/>
    <w:rsid w:val="0037241B"/>
    <w:rsid w:val="003727AE"/>
    <w:rsid w:val="00373E4B"/>
    <w:rsid w:val="0037483C"/>
    <w:rsid w:val="00374C75"/>
    <w:rsid w:val="003768BF"/>
    <w:rsid w:val="003772DC"/>
    <w:rsid w:val="003832F9"/>
    <w:rsid w:val="00384172"/>
    <w:rsid w:val="003847FD"/>
    <w:rsid w:val="00384806"/>
    <w:rsid w:val="00384B67"/>
    <w:rsid w:val="00385C1B"/>
    <w:rsid w:val="003868E6"/>
    <w:rsid w:val="00387B36"/>
    <w:rsid w:val="00387B7B"/>
    <w:rsid w:val="003923D5"/>
    <w:rsid w:val="00394CED"/>
    <w:rsid w:val="00394D19"/>
    <w:rsid w:val="00394F2D"/>
    <w:rsid w:val="00395AF4"/>
    <w:rsid w:val="003961B3"/>
    <w:rsid w:val="003962AD"/>
    <w:rsid w:val="00397B16"/>
    <w:rsid w:val="00397E26"/>
    <w:rsid w:val="003A272E"/>
    <w:rsid w:val="003A3C22"/>
    <w:rsid w:val="003A6081"/>
    <w:rsid w:val="003A667A"/>
    <w:rsid w:val="003B0115"/>
    <w:rsid w:val="003B06F4"/>
    <w:rsid w:val="003B1CEA"/>
    <w:rsid w:val="003B2EA4"/>
    <w:rsid w:val="003B2FA8"/>
    <w:rsid w:val="003B37F7"/>
    <w:rsid w:val="003B3F8C"/>
    <w:rsid w:val="003B52EA"/>
    <w:rsid w:val="003B56EB"/>
    <w:rsid w:val="003B7583"/>
    <w:rsid w:val="003B7D7B"/>
    <w:rsid w:val="003C100F"/>
    <w:rsid w:val="003C264C"/>
    <w:rsid w:val="003C2C7D"/>
    <w:rsid w:val="003C31C5"/>
    <w:rsid w:val="003C386E"/>
    <w:rsid w:val="003C4D69"/>
    <w:rsid w:val="003C4D7C"/>
    <w:rsid w:val="003C6EF4"/>
    <w:rsid w:val="003C6F0C"/>
    <w:rsid w:val="003C7D6C"/>
    <w:rsid w:val="003D03A7"/>
    <w:rsid w:val="003D0B61"/>
    <w:rsid w:val="003D0DA0"/>
    <w:rsid w:val="003D1AE9"/>
    <w:rsid w:val="003D2475"/>
    <w:rsid w:val="003D322A"/>
    <w:rsid w:val="003D4A8F"/>
    <w:rsid w:val="003D6CF0"/>
    <w:rsid w:val="003D6FFA"/>
    <w:rsid w:val="003E0448"/>
    <w:rsid w:val="003E0ADD"/>
    <w:rsid w:val="003E30A9"/>
    <w:rsid w:val="003E40ED"/>
    <w:rsid w:val="003E78B5"/>
    <w:rsid w:val="003E7954"/>
    <w:rsid w:val="003F2D72"/>
    <w:rsid w:val="003F50A7"/>
    <w:rsid w:val="003F53F2"/>
    <w:rsid w:val="003F71A9"/>
    <w:rsid w:val="003F7898"/>
    <w:rsid w:val="0040366C"/>
    <w:rsid w:val="004073DF"/>
    <w:rsid w:val="00410940"/>
    <w:rsid w:val="0041314F"/>
    <w:rsid w:val="00413656"/>
    <w:rsid w:val="00413757"/>
    <w:rsid w:val="00413936"/>
    <w:rsid w:val="00414FC5"/>
    <w:rsid w:val="004165A8"/>
    <w:rsid w:val="0041685D"/>
    <w:rsid w:val="00416A11"/>
    <w:rsid w:val="00417140"/>
    <w:rsid w:val="004220CE"/>
    <w:rsid w:val="004223EC"/>
    <w:rsid w:val="00422AEE"/>
    <w:rsid w:val="004264BA"/>
    <w:rsid w:val="00432B67"/>
    <w:rsid w:val="00432D85"/>
    <w:rsid w:val="0043433C"/>
    <w:rsid w:val="00434792"/>
    <w:rsid w:val="004357C2"/>
    <w:rsid w:val="00435910"/>
    <w:rsid w:val="004361F4"/>
    <w:rsid w:val="00436B87"/>
    <w:rsid w:val="00436CC7"/>
    <w:rsid w:val="004401A9"/>
    <w:rsid w:val="004402D3"/>
    <w:rsid w:val="0044050D"/>
    <w:rsid w:val="00440C80"/>
    <w:rsid w:val="0044222D"/>
    <w:rsid w:val="0044236F"/>
    <w:rsid w:val="0044238F"/>
    <w:rsid w:val="00443A8F"/>
    <w:rsid w:val="00444833"/>
    <w:rsid w:val="004448A7"/>
    <w:rsid w:val="00445844"/>
    <w:rsid w:val="004463D9"/>
    <w:rsid w:val="00446D14"/>
    <w:rsid w:val="00447CAB"/>
    <w:rsid w:val="00450D66"/>
    <w:rsid w:val="00451995"/>
    <w:rsid w:val="00451F9A"/>
    <w:rsid w:val="00452594"/>
    <w:rsid w:val="00453E5E"/>
    <w:rsid w:val="004545A1"/>
    <w:rsid w:val="0045503D"/>
    <w:rsid w:val="00460DC8"/>
    <w:rsid w:val="00461414"/>
    <w:rsid w:val="004617E8"/>
    <w:rsid w:val="00461BED"/>
    <w:rsid w:val="00462ADC"/>
    <w:rsid w:val="00464569"/>
    <w:rsid w:val="0046595F"/>
    <w:rsid w:val="00465A28"/>
    <w:rsid w:val="00466D4B"/>
    <w:rsid w:val="00467165"/>
    <w:rsid w:val="004679A7"/>
    <w:rsid w:val="00467AE7"/>
    <w:rsid w:val="00471864"/>
    <w:rsid w:val="00473C45"/>
    <w:rsid w:val="00475911"/>
    <w:rsid w:val="00476EE8"/>
    <w:rsid w:val="00477D8F"/>
    <w:rsid w:val="00477E34"/>
    <w:rsid w:val="00477FE2"/>
    <w:rsid w:val="004813EF"/>
    <w:rsid w:val="004817F8"/>
    <w:rsid w:val="00481B00"/>
    <w:rsid w:val="00482D76"/>
    <w:rsid w:val="004846D5"/>
    <w:rsid w:val="00484B17"/>
    <w:rsid w:val="00484D95"/>
    <w:rsid w:val="00484E9C"/>
    <w:rsid w:val="00486F72"/>
    <w:rsid w:val="00487F25"/>
    <w:rsid w:val="004913A8"/>
    <w:rsid w:val="004922F1"/>
    <w:rsid w:val="0049243D"/>
    <w:rsid w:val="00492F52"/>
    <w:rsid w:val="004976ED"/>
    <w:rsid w:val="004A2FAE"/>
    <w:rsid w:val="004A47C8"/>
    <w:rsid w:val="004A51D8"/>
    <w:rsid w:val="004A5914"/>
    <w:rsid w:val="004A59EC"/>
    <w:rsid w:val="004A6012"/>
    <w:rsid w:val="004A6AF6"/>
    <w:rsid w:val="004A7D10"/>
    <w:rsid w:val="004B0446"/>
    <w:rsid w:val="004B078D"/>
    <w:rsid w:val="004B118B"/>
    <w:rsid w:val="004B24CA"/>
    <w:rsid w:val="004B32BE"/>
    <w:rsid w:val="004B45AE"/>
    <w:rsid w:val="004B4768"/>
    <w:rsid w:val="004B786D"/>
    <w:rsid w:val="004B7D49"/>
    <w:rsid w:val="004C0E92"/>
    <w:rsid w:val="004C27BB"/>
    <w:rsid w:val="004C3806"/>
    <w:rsid w:val="004C3CC1"/>
    <w:rsid w:val="004C3DEC"/>
    <w:rsid w:val="004C422A"/>
    <w:rsid w:val="004C4A53"/>
    <w:rsid w:val="004C5780"/>
    <w:rsid w:val="004C5D78"/>
    <w:rsid w:val="004C5D89"/>
    <w:rsid w:val="004C76B4"/>
    <w:rsid w:val="004C7C15"/>
    <w:rsid w:val="004D161F"/>
    <w:rsid w:val="004D1C74"/>
    <w:rsid w:val="004D2186"/>
    <w:rsid w:val="004D36F0"/>
    <w:rsid w:val="004D37A2"/>
    <w:rsid w:val="004D43DE"/>
    <w:rsid w:val="004D4F5D"/>
    <w:rsid w:val="004D6B49"/>
    <w:rsid w:val="004D7547"/>
    <w:rsid w:val="004E0DB5"/>
    <w:rsid w:val="004E227E"/>
    <w:rsid w:val="004E241D"/>
    <w:rsid w:val="004E2C2E"/>
    <w:rsid w:val="004E2FF2"/>
    <w:rsid w:val="004E3C62"/>
    <w:rsid w:val="004E445C"/>
    <w:rsid w:val="004E5DD8"/>
    <w:rsid w:val="004E6B12"/>
    <w:rsid w:val="004F0C0C"/>
    <w:rsid w:val="004F1C71"/>
    <w:rsid w:val="004F279D"/>
    <w:rsid w:val="004F3C5C"/>
    <w:rsid w:val="004F4886"/>
    <w:rsid w:val="004F5B3F"/>
    <w:rsid w:val="004F5F88"/>
    <w:rsid w:val="005019BB"/>
    <w:rsid w:val="005023F7"/>
    <w:rsid w:val="00505044"/>
    <w:rsid w:val="00505993"/>
    <w:rsid w:val="00506490"/>
    <w:rsid w:val="00506887"/>
    <w:rsid w:val="00507153"/>
    <w:rsid w:val="00511206"/>
    <w:rsid w:val="00511A07"/>
    <w:rsid w:val="00512966"/>
    <w:rsid w:val="00513318"/>
    <w:rsid w:val="00513539"/>
    <w:rsid w:val="00515B3E"/>
    <w:rsid w:val="005162B5"/>
    <w:rsid w:val="00516E92"/>
    <w:rsid w:val="0051744E"/>
    <w:rsid w:val="00517737"/>
    <w:rsid w:val="0052010E"/>
    <w:rsid w:val="005211F9"/>
    <w:rsid w:val="00521422"/>
    <w:rsid w:val="00522A27"/>
    <w:rsid w:val="00522E9C"/>
    <w:rsid w:val="005236B0"/>
    <w:rsid w:val="005237A7"/>
    <w:rsid w:val="00524C34"/>
    <w:rsid w:val="00525665"/>
    <w:rsid w:val="0052571B"/>
    <w:rsid w:val="00526044"/>
    <w:rsid w:val="005264FE"/>
    <w:rsid w:val="0052684A"/>
    <w:rsid w:val="00527354"/>
    <w:rsid w:val="005277EB"/>
    <w:rsid w:val="00531706"/>
    <w:rsid w:val="00531BCC"/>
    <w:rsid w:val="00531D57"/>
    <w:rsid w:val="00532956"/>
    <w:rsid w:val="00534FEB"/>
    <w:rsid w:val="00536C78"/>
    <w:rsid w:val="005377FB"/>
    <w:rsid w:val="005412C9"/>
    <w:rsid w:val="00543F9E"/>
    <w:rsid w:val="00544778"/>
    <w:rsid w:val="00545C02"/>
    <w:rsid w:val="00550753"/>
    <w:rsid w:val="005515E7"/>
    <w:rsid w:val="00551D6D"/>
    <w:rsid w:val="00553E04"/>
    <w:rsid w:val="00555274"/>
    <w:rsid w:val="0055685F"/>
    <w:rsid w:val="00557985"/>
    <w:rsid w:val="0056067F"/>
    <w:rsid w:val="00567053"/>
    <w:rsid w:val="005673BD"/>
    <w:rsid w:val="00570BA0"/>
    <w:rsid w:val="00571934"/>
    <w:rsid w:val="005773CA"/>
    <w:rsid w:val="00582EDC"/>
    <w:rsid w:val="0058368C"/>
    <w:rsid w:val="00583ABE"/>
    <w:rsid w:val="00583B2B"/>
    <w:rsid w:val="00584775"/>
    <w:rsid w:val="00585D12"/>
    <w:rsid w:val="005868FE"/>
    <w:rsid w:val="005869CA"/>
    <w:rsid w:val="00586A7C"/>
    <w:rsid w:val="00587686"/>
    <w:rsid w:val="0059006E"/>
    <w:rsid w:val="00590459"/>
    <w:rsid w:val="00592A2B"/>
    <w:rsid w:val="00593AF8"/>
    <w:rsid w:val="0059434B"/>
    <w:rsid w:val="0059463C"/>
    <w:rsid w:val="00595170"/>
    <w:rsid w:val="0059530D"/>
    <w:rsid w:val="00595C10"/>
    <w:rsid w:val="00595C52"/>
    <w:rsid w:val="00595E4A"/>
    <w:rsid w:val="00596511"/>
    <w:rsid w:val="005970B5"/>
    <w:rsid w:val="005973C4"/>
    <w:rsid w:val="005975AA"/>
    <w:rsid w:val="005A1FA0"/>
    <w:rsid w:val="005A3EC3"/>
    <w:rsid w:val="005A3F7D"/>
    <w:rsid w:val="005A40DE"/>
    <w:rsid w:val="005A47BD"/>
    <w:rsid w:val="005B2A22"/>
    <w:rsid w:val="005B4404"/>
    <w:rsid w:val="005B5E6F"/>
    <w:rsid w:val="005B6860"/>
    <w:rsid w:val="005B746B"/>
    <w:rsid w:val="005B7D78"/>
    <w:rsid w:val="005C6256"/>
    <w:rsid w:val="005C67CF"/>
    <w:rsid w:val="005D09CB"/>
    <w:rsid w:val="005D0DE9"/>
    <w:rsid w:val="005D16D3"/>
    <w:rsid w:val="005D27D3"/>
    <w:rsid w:val="005D2BF7"/>
    <w:rsid w:val="005D35CF"/>
    <w:rsid w:val="005D4054"/>
    <w:rsid w:val="005E0E48"/>
    <w:rsid w:val="005E1C87"/>
    <w:rsid w:val="005E2043"/>
    <w:rsid w:val="005E2347"/>
    <w:rsid w:val="005E422B"/>
    <w:rsid w:val="005E577C"/>
    <w:rsid w:val="005E5BD5"/>
    <w:rsid w:val="005E6659"/>
    <w:rsid w:val="005E668B"/>
    <w:rsid w:val="005E7BBB"/>
    <w:rsid w:val="005F0D97"/>
    <w:rsid w:val="005F4473"/>
    <w:rsid w:val="005F563E"/>
    <w:rsid w:val="005F5FC6"/>
    <w:rsid w:val="005F6067"/>
    <w:rsid w:val="005F79BF"/>
    <w:rsid w:val="00601FE2"/>
    <w:rsid w:val="006033EB"/>
    <w:rsid w:val="00603C1A"/>
    <w:rsid w:val="00605ADA"/>
    <w:rsid w:val="00605F3A"/>
    <w:rsid w:val="00607417"/>
    <w:rsid w:val="00610CFB"/>
    <w:rsid w:val="006117CB"/>
    <w:rsid w:val="006118C7"/>
    <w:rsid w:val="0061285C"/>
    <w:rsid w:val="00613A0F"/>
    <w:rsid w:val="00613AD6"/>
    <w:rsid w:val="006152E6"/>
    <w:rsid w:val="006202B5"/>
    <w:rsid w:val="00620870"/>
    <w:rsid w:val="00620DA1"/>
    <w:rsid w:val="006228C2"/>
    <w:rsid w:val="006230F7"/>
    <w:rsid w:val="00623F8D"/>
    <w:rsid w:val="006306F0"/>
    <w:rsid w:val="0063199F"/>
    <w:rsid w:val="006319DC"/>
    <w:rsid w:val="00631EA4"/>
    <w:rsid w:val="00634396"/>
    <w:rsid w:val="00634578"/>
    <w:rsid w:val="006352A1"/>
    <w:rsid w:val="006363C1"/>
    <w:rsid w:val="00636E70"/>
    <w:rsid w:val="006372FB"/>
    <w:rsid w:val="00637327"/>
    <w:rsid w:val="0064138E"/>
    <w:rsid w:val="00641A8F"/>
    <w:rsid w:val="00641AAC"/>
    <w:rsid w:val="00641FCA"/>
    <w:rsid w:val="00642AA1"/>
    <w:rsid w:val="006432DF"/>
    <w:rsid w:val="00644101"/>
    <w:rsid w:val="00644895"/>
    <w:rsid w:val="0064554F"/>
    <w:rsid w:val="006465F6"/>
    <w:rsid w:val="00646AD2"/>
    <w:rsid w:val="00647061"/>
    <w:rsid w:val="00647EB9"/>
    <w:rsid w:val="00651699"/>
    <w:rsid w:val="00651C6E"/>
    <w:rsid w:val="006532B0"/>
    <w:rsid w:val="00654013"/>
    <w:rsid w:val="00657F7A"/>
    <w:rsid w:val="00660FF7"/>
    <w:rsid w:val="00661732"/>
    <w:rsid w:val="00661DF0"/>
    <w:rsid w:val="00661E50"/>
    <w:rsid w:val="00662241"/>
    <w:rsid w:val="00662A4E"/>
    <w:rsid w:val="006639BB"/>
    <w:rsid w:val="00665709"/>
    <w:rsid w:val="0066681B"/>
    <w:rsid w:val="0066697F"/>
    <w:rsid w:val="00666D6F"/>
    <w:rsid w:val="006727BB"/>
    <w:rsid w:val="00672A99"/>
    <w:rsid w:val="006748F9"/>
    <w:rsid w:val="0067670B"/>
    <w:rsid w:val="00677944"/>
    <w:rsid w:val="006804A7"/>
    <w:rsid w:val="0068287E"/>
    <w:rsid w:val="00683023"/>
    <w:rsid w:val="00683072"/>
    <w:rsid w:val="006837DE"/>
    <w:rsid w:val="006841A8"/>
    <w:rsid w:val="00684247"/>
    <w:rsid w:val="00684D08"/>
    <w:rsid w:val="0068502C"/>
    <w:rsid w:val="006857E7"/>
    <w:rsid w:val="00690093"/>
    <w:rsid w:val="0069009D"/>
    <w:rsid w:val="006942FF"/>
    <w:rsid w:val="00694CF3"/>
    <w:rsid w:val="00695817"/>
    <w:rsid w:val="00696CC9"/>
    <w:rsid w:val="006979A6"/>
    <w:rsid w:val="006A0339"/>
    <w:rsid w:val="006A04C9"/>
    <w:rsid w:val="006A0E6B"/>
    <w:rsid w:val="006A238E"/>
    <w:rsid w:val="006A2C9C"/>
    <w:rsid w:val="006A3694"/>
    <w:rsid w:val="006A3A26"/>
    <w:rsid w:val="006A45C0"/>
    <w:rsid w:val="006A485E"/>
    <w:rsid w:val="006A5952"/>
    <w:rsid w:val="006A5A9A"/>
    <w:rsid w:val="006A6C83"/>
    <w:rsid w:val="006A721B"/>
    <w:rsid w:val="006A7344"/>
    <w:rsid w:val="006A79E6"/>
    <w:rsid w:val="006B00FE"/>
    <w:rsid w:val="006B0304"/>
    <w:rsid w:val="006B0DB0"/>
    <w:rsid w:val="006B193A"/>
    <w:rsid w:val="006B21F5"/>
    <w:rsid w:val="006B3723"/>
    <w:rsid w:val="006B3849"/>
    <w:rsid w:val="006B3C4A"/>
    <w:rsid w:val="006B4E5F"/>
    <w:rsid w:val="006C001F"/>
    <w:rsid w:val="006C148B"/>
    <w:rsid w:val="006C261C"/>
    <w:rsid w:val="006C374F"/>
    <w:rsid w:val="006C41CB"/>
    <w:rsid w:val="006C4A32"/>
    <w:rsid w:val="006C4CB0"/>
    <w:rsid w:val="006C5C64"/>
    <w:rsid w:val="006C5E6B"/>
    <w:rsid w:val="006C76C8"/>
    <w:rsid w:val="006D0262"/>
    <w:rsid w:val="006D2CBA"/>
    <w:rsid w:val="006D4172"/>
    <w:rsid w:val="006D4F60"/>
    <w:rsid w:val="006D5B98"/>
    <w:rsid w:val="006D60CD"/>
    <w:rsid w:val="006D6B68"/>
    <w:rsid w:val="006E15C3"/>
    <w:rsid w:val="006E1D95"/>
    <w:rsid w:val="006E1F53"/>
    <w:rsid w:val="006E28F2"/>
    <w:rsid w:val="006E40B7"/>
    <w:rsid w:val="006E415F"/>
    <w:rsid w:val="006E41CF"/>
    <w:rsid w:val="006E6478"/>
    <w:rsid w:val="006E774B"/>
    <w:rsid w:val="006F0A65"/>
    <w:rsid w:val="006F2B89"/>
    <w:rsid w:val="006F398A"/>
    <w:rsid w:val="006F687A"/>
    <w:rsid w:val="00700BC0"/>
    <w:rsid w:val="007014D5"/>
    <w:rsid w:val="00702933"/>
    <w:rsid w:val="00703144"/>
    <w:rsid w:val="00705295"/>
    <w:rsid w:val="00705613"/>
    <w:rsid w:val="007056A7"/>
    <w:rsid w:val="00707684"/>
    <w:rsid w:val="00707F44"/>
    <w:rsid w:val="007150CE"/>
    <w:rsid w:val="0071680A"/>
    <w:rsid w:val="00717408"/>
    <w:rsid w:val="00717DA3"/>
    <w:rsid w:val="0072081B"/>
    <w:rsid w:val="00720C8D"/>
    <w:rsid w:val="007234CF"/>
    <w:rsid w:val="00723F70"/>
    <w:rsid w:val="0072412F"/>
    <w:rsid w:val="007243B7"/>
    <w:rsid w:val="00724697"/>
    <w:rsid w:val="00724E79"/>
    <w:rsid w:val="00725244"/>
    <w:rsid w:val="007259B1"/>
    <w:rsid w:val="0072768A"/>
    <w:rsid w:val="00731CA0"/>
    <w:rsid w:val="00732A7E"/>
    <w:rsid w:val="0073345B"/>
    <w:rsid w:val="00735A16"/>
    <w:rsid w:val="00736E64"/>
    <w:rsid w:val="007414CA"/>
    <w:rsid w:val="00741AD6"/>
    <w:rsid w:val="00743F4E"/>
    <w:rsid w:val="00744C77"/>
    <w:rsid w:val="00744D72"/>
    <w:rsid w:val="007456CE"/>
    <w:rsid w:val="007469C4"/>
    <w:rsid w:val="007471F5"/>
    <w:rsid w:val="00747E98"/>
    <w:rsid w:val="007504DD"/>
    <w:rsid w:val="007507F2"/>
    <w:rsid w:val="00750852"/>
    <w:rsid w:val="0075096A"/>
    <w:rsid w:val="00750B17"/>
    <w:rsid w:val="00755FDE"/>
    <w:rsid w:val="00756ED9"/>
    <w:rsid w:val="0076195C"/>
    <w:rsid w:val="00763934"/>
    <w:rsid w:val="00763C79"/>
    <w:rsid w:val="007663CE"/>
    <w:rsid w:val="00766CCD"/>
    <w:rsid w:val="00766DF1"/>
    <w:rsid w:val="00766FF6"/>
    <w:rsid w:val="0076702E"/>
    <w:rsid w:val="007670EF"/>
    <w:rsid w:val="00770CD7"/>
    <w:rsid w:val="007729F1"/>
    <w:rsid w:val="0077550B"/>
    <w:rsid w:val="007758DC"/>
    <w:rsid w:val="00775BBE"/>
    <w:rsid w:val="0077767B"/>
    <w:rsid w:val="0078062B"/>
    <w:rsid w:val="00780A95"/>
    <w:rsid w:val="00781198"/>
    <w:rsid w:val="00784301"/>
    <w:rsid w:val="0078526F"/>
    <w:rsid w:val="007866F7"/>
    <w:rsid w:val="00786B2C"/>
    <w:rsid w:val="007872F8"/>
    <w:rsid w:val="00787F1E"/>
    <w:rsid w:val="00790A61"/>
    <w:rsid w:val="00790A75"/>
    <w:rsid w:val="007911F5"/>
    <w:rsid w:val="00791290"/>
    <w:rsid w:val="00791A89"/>
    <w:rsid w:val="00792754"/>
    <w:rsid w:val="00794637"/>
    <w:rsid w:val="0079586C"/>
    <w:rsid w:val="00795F8B"/>
    <w:rsid w:val="00796292"/>
    <w:rsid w:val="00796302"/>
    <w:rsid w:val="00796A80"/>
    <w:rsid w:val="007A02CC"/>
    <w:rsid w:val="007A0C25"/>
    <w:rsid w:val="007A0F18"/>
    <w:rsid w:val="007A3920"/>
    <w:rsid w:val="007A3B60"/>
    <w:rsid w:val="007A3B88"/>
    <w:rsid w:val="007A40E8"/>
    <w:rsid w:val="007A5459"/>
    <w:rsid w:val="007A63E6"/>
    <w:rsid w:val="007A75F0"/>
    <w:rsid w:val="007A76A6"/>
    <w:rsid w:val="007A7BF2"/>
    <w:rsid w:val="007B1E79"/>
    <w:rsid w:val="007B1FDA"/>
    <w:rsid w:val="007B2C47"/>
    <w:rsid w:val="007B3863"/>
    <w:rsid w:val="007B7614"/>
    <w:rsid w:val="007B7B45"/>
    <w:rsid w:val="007C2E34"/>
    <w:rsid w:val="007C34EB"/>
    <w:rsid w:val="007C4050"/>
    <w:rsid w:val="007C5C0B"/>
    <w:rsid w:val="007C677B"/>
    <w:rsid w:val="007C7168"/>
    <w:rsid w:val="007D1D9B"/>
    <w:rsid w:val="007D2B45"/>
    <w:rsid w:val="007D484E"/>
    <w:rsid w:val="007D5CB1"/>
    <w:rsid w:val="007D624E"/>
    <w:rsid w:val="007D73F2"/>
    <w:rsid w:val="007D7B46"/>
    <w:rsid w:val="007E1C38"/>
    <w:rsid w:val="007E1E14"/>
    <w:rsid w:val="007E445F"/>
    <w:rsid w:val="007E5076"/>
    <w:rsid w:val="007E602C"/>
    <w:rsid w:val="007E7233"/>
    <w:rsid w:val="007E743D"/>
    <w:rsid w:val="007E7E7E"/>
    <w:rsid w:val="007E7EA6"/>
    <w:rsid w:val="007F0945"/>
    <w:rsid w:val="007F15C0"/>
    <w:rsid w:val="007F2EBD"/>
    <w:rsid w:val="007F3025"/>
    <w:rsid w:val="007F3A8A"/>
    <w:rsid w:val="007F3CB0"/>
    <w:rsid w:val="007F5027"/>
    <w:rsid w:val="007F5399"/>
    <w:rsid w:val="007F6615"/>
    <w:rsid w:val="008020C3"/>
    <w:rsid w:val="008033B5"/>
    <w:rsid w:val="0080500A"/>
    <w:rsid w:val="00805085"/>
    <w:rsid w:val="008052E3"/>
    <w:rsid w:val="00806E63"/>
    <w:rsid w:val="008117DB"/>
    <w:rsid w:val="00811AEE"/>
    <w:rsid w:val="00814894"/>
    <w:rsid w:val="0081549E"/>
    <w:rsid w:val="00821B51"/>
    <w:rsid w:val="00821FCC"/>
    <w:rsid w:val="00823119"/>
    <w:rsid w:val="00823255"/>
    <w:rsid w:val="00824EC3"/>
    <w:rsid w:val="008303F6"/>
    <w:rsid w:val="008307BD"/>
    <w:rsid w:val="00833057"/>
    <w:rsid w:val="00834168"/>
    <w:rsid w:val="008346AD"/>
    <w:rsid w:val="00836025"/>
    <w:rsid w:val="00840FCC"/>
    <w:rsid w:val="00841887"/>
    <w:rsid w:val="00841A51"/>
    <w:rsid w:val="00843971"/>
    <w:rsid w:val="00843B3E"/>
    <w:rsid w:val="00844F09"/>
    <w:rsid w:val="00845A99"/>
    <w:rsid w:val="00845B90"/>
    <w:rsid w:val="00846235"/>
    <w:rsid w:val="0084626B"/>
    <w:rsid w:val="0084692A"/>
    <w:rsid w:val="00846DCD"/>
    <w:rsid w:val="0084724A"/>
    <w:rsid w:val="008511F4"/>
    <w:rsid w:val="00853F9B"/>
    <w:rsid w:val="00856008"/>
    <w:rsid w:val="00856C9E"/>
    <w:rsid w:val="00860E9E"/>
    <w:rsid w:val="00863AB1"/>
    <w:rsid w:val="00863C75"/>
    <w:rsid w:val="00865DE7"/>
    <w:rsid w:val="008672F2"/>
    <w:rsid w:val="00867353"/>
    <w:rsid w:val="00867F5D"/>
    <w:rsid w:val="008738D9"/>
    <w:rsid w:val="00876686"/>
    <w:rsid w:val="0088126C"/>
    <w:rsid w:val="00882F35"/>
    <w:rsid w:val="0088439A"/>
    <w:rsid w:val="00885DA7"/>
    <w:rsid w:val="00891AF6"/>
    <w:rsid w:val="00892098"/>
    <w:rsid w:val="00893668"/>
    <w:rsid w:val="00893D28"/>
    <w:rsid w:val="0089421C"/>
    <w:rsid w:val="00894EB4"/>
    <w:rsid w:val="008A2BF4"/>
    <w:rsid w:val="008A357C"/>
    <w:rsid w:val="008A3897"/>
    <w:rsid w:val="008A4D1C"/>
    <w:rsid w:val="008A7699"/>
    <w:rsid w:val="008B0876"/>
    <w:rsid w:val="008B08CE"/>
    <w:rsid w:val="008B20DC"/>
    <w:rsid w:val="008B2126"/>
    <w:rsid w:val="008B247E"/>
    <w:rsid w:val="008B24A1"/>
    <w:rsid w:val="008B2B97"/>
    <w:rsid w:val="008B35B2"/>
    <w:rsid w:val="008B50D9"/>
    <w:rsid w:val="008B57B4"/>
    <w:rsid w:val="008B5929"/>
    <w:rsid w:val="008B7294"/>
    <w:rsid w:val="008B72A0"/>
    <w:rsid w:val="008B7702"/>
    <w:rsid w:val="008C0F26"/>
    <w:rsid w:val="008C1083"/>
    <w:rsid w:val="008C1BE5"/>
    <w:rsid w:val="008C3A95"/>
    <w:rsid w:val="008C5622"/>
    <w:rsid w:val="008C5FA1"/>
    <w:rsid w:val="008C6ED2"/>
    <w:rsid w:val="008C7CA0"/>
    <w:rsid w:val="008D1FEE"/>
    <w:rsid w:val="008D23E1"/>
    <w:rsid w:val="008D25C7"/>
    <w:rsid w:val="008D2EA6"/>
    <w:rsid w:val="008D34A2"/>
    <w:rsid w:val="008D518B"/>
    <w:rsid w:val="008D5848"/>
    <w:rsid w:val="008D7384"/>
    <w:rsid w:val="008E078F"/>
    <w:rsid w:val="008E11D9"/>
    <w:rsid w:val="008E1892"/>
    <w:rsid w:val="008E2795"/>
    <w:rsid w:val="008E2FB3"/>
    <w:rsid w:val="008E316B"/>
    <w:rsid w:val="008E3D9D"/>
    <w:rsid w:val="008E5149"/>
    <w:rsid w:val="008E5764"/>
    <w:rsid w:val="008E6C8D"/>
    <w:rsid w:val="008F09FD"/>
    <w:rsid w:val="008F12A9"/>
    <w:rsid w:val="008F2C33"/>
    <w:rsid w:val="008F3E45"/>
    <w:rsid w:val="008F79C4"/>
    <w:rsid w:val="00900F49"/>
    <w:rsid w:val="009032BD"/>
    <w:rsid w:val="00904403"/>
    <w:rsid w:val="009047D8"/>
    <w:rsid w:val="009055A6"/>
    <w:rsid w:val="00906A84"/>
    <w:rsid w:val="00915D49"/>
    <w:rsid w:val="009161A3"/>
    <w:rsid w:val="00916B6E"/>
    <w:rsid w:val="009171CD"/>
    <w:rsid w:val="009173C9"/>
    <w:rsid w:val="009176AF"/>
    <w:rsid w:val="00921174"/>
    <w:rsid w:val="0092190F"/>
    <w:rsid w:val="00921C71"/>
    <w:rsid w:val="009225D7"/>
    <w:rsid w:val="00924A86"/>
    <w:rsid w:val="00924BD0"/>
    <w:rsid w:val="009272A3"/>
    <w:rsid w:val="009273C7"/>
    <w:rsid w:val="00927623"/>
    <w:rsid w:val="00934D3E"/>
    <w:rsid w:val="00936230"/>
    <w:rsid w:val="00937423"/>
    <w:rsid w:val="00940AFE"/>
    <w:rsid w:val="00940BEA"/>
    <w:rsid w:val="00942F58"/>
    <w:rsid w:val="0094394C"/>
    <w:rsid w:val="0094422F"/>
    <w:rsid w:val="00945938"/>
    <w:rsid w:val="00946634"/>
    <w:rsid w:val="00951782"/>
    <w:rsid w:val="0095265B"/>
    <w:rsid w:val="009532EB"/>
    <w:rsid w:val="00955D39"/>
    <w:rsid w:val="00956F96"/>
    <w:rsid w:val="00957522"/>
    <w:rsid w:val="0095797F"/>
    <w:rsid w:val="009607C4"/>
    <w:rsid w:val="00960C29"/>
    <w:rsid w:val="00962F29"/>
    <w:rsid w:val="00965532"/>
    <w:rsid w:val="009658FF"/>
    <w:rsid w:val="009662CE"/>
    <w:rsid w:val="00967418"/>
    <w:rsid w:val="00970D9C"/>
    <w:rsid w:val="00971499"/>
    <w:rsid w:val="009728EE"/>
    <w:rsid w:val="009734B7"/>
    <w:rsid w:val="00975BDF"/>
    <w:rsid w:val="0097626E"/>
    <w:rsid w:val="0097722D"/>
    <w:rsid w:val="00977924"/>
    <w:rsid w:val="00980D7B"/>
    <w:rsid w:val="00981C5C"/>
    <w:rsid w:val="00983402"/>
    <w:rsid w:val="00985A4E"/>
    <w:rsid w:val="009873D6"/>
    <w:rsid w:val="00990DA6"/>
    <w:rsid w:val="00991376"/>
    <w:rsid w:val="009920E1"/>
    <w:rsid w:val="009921B3"/>
    <w:rsid w:val="009A0244"/>
    <w:rsid w:val="009A02CA"/>
    <w:rsid w:val="009A19AF"/>
    <w:rsid w:val="009A6E3D"/>
    <w:rsid w:val="009B00DA"/>
    <w:rsid w:val="009B12F0"/>
    <w:rsid w:val="009B139F"/>
    <w:rsid w:val="009B1869"/>
    <w:rsid w:val="009B1A9F"/>
    <w:rsid w:val="009B1D57"/>
    <w:rsid w:val="009B2422"/>
    <w:rsid w:val="009B3C38"/>
    <w:rsid w:val="009B4E4E"/>
    <w:rsid w:val="009B503E"/>
    <w:rsid w:val="009B6171"/>
    <w:rsid w:val="009B6D99"/>
    <w:rsid w:val="009B7D72"/>
    <w:rsid w:val="009B7E10"/>
    <w:rsid w:val="009C0F60"/>
    <w:rsid w:val="009C2099"/>
    <w:rsid w:val="009C2706"/>
    <w:rsid w:val="009C33FA"/>
    <w:rsid w:val="009C4AD6"/>
    <w:rsid w:val="009C4B78"/>
    <w:rsid w:val="009C4F99"/>
    <w:rsid w:val="009D013B"/>
    <w:rsid w:val="009D02EC"/>
    <w:rsid w:val="009D1211"/>
    <w:rsid w:val="009D3C36"/>
    <w:rsid w:val="009D41A8"/>
    <w:rsid w:val="009D4328"/>
    <w:rsid w:val="009D58F9"/>
    <w:rsid w:val="009D6921"/>
    <w:rsid w:val="009D700B"/>
    <w:rsid w:val="009E0C30"/>
    <w:rsid w:val="009E0FBA"/>
    <w:rsid w:val="009E2C33"/>
    <w:rsid w:val="009E39A1"/>
    <w:rsid w:val="009E52EE"/>
    <w:rsid w:val="009E722D"/>
    <w:rsid w:val="009F0FB5"/>
    <w:rsid w:val="009F17ED"/>
    <w:rsid w:val="009F2F73"/>
    <w:rsid w:val="009F4D47"/>
    <w:rsid w:val="009F4E17"/>
    <w:rsid w:val="00A023E3"/>
    <w:rsid w:val="00A0528A"/>
    <w:rsid w:val="00A0677F"/>
    <w:rsid w:val="00A06BCC"/>
    <w:rsid w:val="00A0737F"/>
    <w:rsid w:val="00A078D7"/>
    <w:rsid w:val="00A116ED"/>
    <w:rsid w:val="00A12BEA"/>
    <w:rsid w:val="00A1767B"/>
    <w:rsid w:val="00A17C9F"/>
    <w:rsid w:val="00A205BC"/>
    <w:rsid w:val="00A206D7"/>
    <w:rsid w:val="00A21A31"/>
    <w:rsid w:val="00A22A25"/>
    <w:rsid w:val="00A22D3F"/>
    <w:rsid w:val="00A232F8"/>
    <w:rsid w:val="00A24E1E"/>
    <w:rsid w:val="00A261F4"/>
    <w:rsid w:val="00A26D4D"/>
    <w:rsid w:val="00A270CF"/>
    <w:rsid w:val="00A27AD2"/>
    <w:rsid w:val="00A311C9"/>
    <w:rsid w:val="00A314C7"/>
    <w:rsid w:val="00A31594"/>
    <w:rsid w:val="00A31935"/>
    <w:rsid w:val="00A325CC"/>
    <w:rsid w:val="00A3269E"/>
    <w:rsid w:val="00A3395C"/>
    <w:rsid w:val="00A33F57"/>
    <w:rsid w:val="00A35876"/>
    <w:rsid w:val="00A3712F"/>
    <w:rsid w:val="00A3735E"/>
    <w:rsid w:val="00A41568"/>
    <w:rsid w:val="00A46083"/>
    <w:rsid w:val="00A46373"/>
    <w:rsid w:val="00A4677D"/>
    <w:rsid w:val="00A46E51"/>
    <w:rsid w:val="00A5203C"/>
    <w:rsid w:val="00A53C8A"/>
    <w:rsid w:val="00A546F6"/>
    <w:rsid w:val="00A5564B"/>
    <w:rsid w:val="00A55D50"/>
    <w:rsid w:val="00A55DB1"/>
    <w:rsid w:val="00A561D7"/>
    <w:rsid w:val="00A56F69"/>
    <w:rsid w:val="00A601E1"/>
    <w:rsid w:val="00A61621"/>
    <w:rsid w:val="00A625FA"/>
    <w:rsid w:val="00A63C91"/>
    <w:rsid w:val="00A646C1"/>
    <w:rsid w:val="00A6722B"/>
    <w:rsid w:val="00A70462"/>
    <w:rsid w:val="00A716C5"/>
    <w:rsid w:val="00A73DB2"/>
    <w:rsid w:val="00A74F8B"/>
    <w:rsid w:val="00A76CB3"/>
    <w:rsid w:val="00A77451"/>
    <w:rsid w:val="00A80743"/>
    <w:rsid w:val="00A8102C"/>
    <w:rsid w:val="00A8134F"/>
    <w:rsid w:val="00A81725"/>
    <w:rsid w:val="00A821D9"/>
    <w:rsid w:val="00A82940"/>
    <w:rsid w:val="00A83840"/>
    <w:rsid w:val="00A84B33"/>
    <w:rsid w:val="00A869EE"/>
    <w:rsid w:val="00A870A4"/>
    <w:rsid w:val="00A90442"/>
    <w:rsid w:val="00A9450D"/>
    <w:rsid w:val="00A94F6E"/>
    <w:rsid w:val="00A950FB"/>
    <w:rsid w:val="00A95F34"/>
    <w:rsid w:val="00A96D67"/>
    <w:rsid w:val="00AA0697"/>
    <w:rsid w:val="00AA1AB6"/>
    <w:rsid w:val="00AA3731"/>
    <w:rsid w:val="00AA38DA"/>
    <w:rsid w:val="00AA3D30"/>
    <w:rsid w:val="00AA5AD5"/>
    <w:rsid w:val="00AB00BD"/>
    <w:rsid w:val="00AB0FAF"/>
    <w:rsid w:val="00AB14B5"/>
    <w:rsid w:val="00AB16AC"/>
    <w:rsid w:val="00AB257F"/>
    <w:rsid w:val="00AB2743"/>
    <w:rsid w:val="00AB2F42"/>
    <w:rsid w:val="00AB41E6"/>
    <w:rsid w:val="00AB4F4F"/>
    <w:rsid w:val="00AB60D1"/>
    <w:rsid w:val="00AB611E"/>
    <w:rsid w:val="00AB6CEB"/>
    <w:rsid w:val="00AC089D"/>
    <w:rsid w:val="00AC090A"/>
    <w:rsid w:val="00AC0AD5"/>
    <w:rsid w:val="00AC0E16"/>
    <w:rsid w:val="00AC22FF"/>
    <w:rsid w:val="00AC2684"/>
    <w:rsid w:val="00AC43C2"/>
    <w:rsid w:val="00AC4B72"/>
    <w:rsid w:val="00AC4CDE"/>
    <w:rsid w:val="00AC7B34"/>
    <w:rsid w:val="00AC7D23"/>
    <w:rsid w:val="00AD3D70"/>
    <w:rsid w:val="00AD4B23"/>
    <w:rsid w:val="00AD567F"/>
    <w:rsid w:val="00AD6067"/>
    <w:rsid w:val="00AD6A0D"/>
    <w:rsid w:val="00AD6D0C"/>
    <w:rsid w:val="00AD7D21"/>
    <w:rsid w:val="00AE0906"/>
    <w:rsid w:val="00AE0C8A"/>
    <w:rsid w:val="00AE1649"/>
    <w:rsid w:val="00AE1884"/>
    <w:rsid w:val="00AE1923"/>
    <w:rsid w:val="00AE1B1A"/>
    <w:rsid w:val="00AE3373"/>
    <w:rsid w:val="00AE43B2"/>
    <w:rsid w:val="00AE4F79"/>
    <w:rsid w:val="00AE53F4"/>
    <w:rsid w:val="00AF0079"/>
    <w:rsid w:val="00AF2520"/>
    <w:rsid w:val="00AF51F7"/>
    <w:rsid w:val="00AF656D"/>
    <w:rsid w:val="00AF7BC8"/>
    <w:rsid w:val="00B033E5"/>
    <w:rsid w:val="00B05A8C"/>
    <w:rsid w:val="00B05C5E"/>
    <w:rsid w:val="00B062A1"/>
    <w:rsid w:val="00B06CB2"/>
    <w:rsid w:val="00B078AD"/>
    <w:rsid w:val="00B1028B"/>
    <w:rsid w:val="00B1180C"/>
    <w:rsid w:val="00B11DF8"/>
    <w:rsid w:val="00B15921"/>
    <w:rsid w:val="00B15A86"/>
    <w:rsid w:val="00B1653D"/>
    <w:rsid w:val="00B17380"/>
    <w:rsid w:val="00B17FFD"/>
    <w:rsid w:val="00B212E3"/>
    <w:rsid w:val="00B21363"/>
    <w:rsid w:val="00B214C1"/>
    <w:rsid w:val="00B21C5B"/>
    <w:rsid w:val="00B21D36"/>
    <w:rsid w:val="00B22F3B"/>
    <w:rsid w:val="00B23CA8"/>
    <w:rsid w:val="00B25640"/>
    <w:rsid w:val="00B26F52"/>
    <w:rsid w:val="00B30D82"/>
    <w:rsid w:val="00B3102F"/>
    <w:rsid w:val="00B31975"/>
    <w:rsid w:val="00B35830"/>
    <w:rsid w:val="00B37767"/>
    <w:rsid w:val="00B410EC"/>
    <w:rsid w:val="00B4110C"/>
    <w:rsid w:val="00B422A3"/>
    <w:rsid w:val="00B4242F"/>
    <w:rsid w:val="00B433B2"/>
    <w:rsid w:val="00B43437"/>
    <w:rsid w:val="00B43DFE"/>
    <w:rsid w:val="00B45E11"/>
    <w:rsid w:val="00B4625D"/>
    <w:rsid w:val="00B46B9E"/>
    <w:rsid w:val="00B53B4D"/>
    <w:rsid w:val="00B555FE"/>
    <w:rsid w:val="00B561F3"/>
    <w:rsid w:val="00B5644B"/>
    <w:rsid w:val="00B57657"/>
    <w:rsid w:val="00B61EC9"/>
    <w:rsid w:val="00B62156"/>
    <w:rsid w:val="00B63676"/>
    <w:rsid w:val="00B6384B"/>
    <w:rsid w:val="00B6443E"/>
    <w:rsid w:val="00B65613"/>
    <w:rsid w:val="00B66A1D"/>
    <w:rsid w:val="00B728EB"/>
    <w:rsid w:val="00B7647D"/>
    <w:rsid w:val="00B77BF6"/>
    <w:rsid w:val="00B80278"/>
    <w:rsid w:val="00B80FCE"/>
    <w:rsid w:val="00B81893"/>
    <w:rsid w:val="00B82B43"/>
    <w:rsid w:val="00B83497"/>
    <w:rsid w:val="00B838F6"/>
    <w:rsid w:val="00B83AEB"/>
    <w:rsid w:val="00B83FD4"/>
    <w:rsid w:val="00B844B2"/>
    <w:rsid w:val="00B91CA0"/>
    <w:rsid w:val="00B926EF"/>
    <w:rsid w:val="00B93ED3"/>
    <w:rsid w:val="00B956AE"/>
    <w:rsid w:val="00B95989"/>
    <w:rsid w:val="00B95DF5"/>
    <w:rsid w:val="00B96F57"/>
    <w:rsid w:val="00B9782F"/>
    <w:rsid w:val="00BA2370"/>
    <w:rsid w:val="00BA3688"/>
    <w:rsid w:val="00BA6CDE"/>
    <w:rsid w:val="00BB02B1"/>
    <w:rsid w:val="00BB06F2"/>
    <w:rsid w:val="00BB0DF8"/>
    <w:rsid w:val="00BB15DD"/>
    <w:rsid w:val="00BB3189"/>
    <w:rsid w:val="00BB3D20"/>
    <w:rsid w:val="00BB3E1C"/>
    <w:rsid w:val="00BB5AD0"/>
    <w:rsid w:val="00BC2259"/>
    <w:rsid w:val="00BC3F14"/>
    <w:rsid w:val="00BC4535"/>
    <w:rsid w:val="00BD0A80"/>
    <w:rsid w:val="00BD0C80"/>
    <w:rsid w:val="00BD1E61"/>
    <w:rsid w:val="00BD2CCA"/>
    <w:rsid w:val="00BD2EE2"/>
    <w:rsid w:val="00BD4105"/>
    <w:rsid w:val="00BD48ED"/>
    <w:rsid w:val="00BD6EBB"/>
    <w:rsid w:val="00BE06B6"/>
    <w:rsid w:val="00BE0A6B"/>
    <w:rsid w:val="00BE126B"/>
    <w:rsid w:val="00BE1486"/>
    <w:rsid w:val="00BE1A3B"/>
    <w:rsid w:val="00BE1AA1"/>
    <w:rsid w:val="00BE1C4D"/>
    <w:rsid w:val="00BE2586"/>
    <w:rsid w:val="00BE2CD9"/>
    <w:rsid w:val="00BE5A67"/>
    <w:rsid w:val="00BE6958"/>
    <w:rsid w:val="00BE7881"/>
    <w:rsid w:val="00BF0010"/>
    <w:rsid w:val="00BF0067"/>
    <w:rsid w:val="00BF09F4"/>
    <w:rsid w:val="00BF2ACB"/>
    <w:rsid w:val="00BF32EF"/>
    <w:rsid w:val="00BF3C2A"/>
    <w:rsid w:val="00C0074B"/>
    <w:rsid w:val="00C03833"/>
    <w:rsid w:val="00C04854"/>
    <w:rsid w:val="00C10068"/>
    <w:rsid w:val="00C10146"/>
    <w:rsid w:val="00C11C8F"/>
    <w:rsid w:val="00C12049"/>
    <w:rsid w:val="00C12396"/>
    <w:rsid w:val="00C12410"/>
    <w:rsid w:val="00C136F4"/>
    <w:rsid w:val="00C14D25"/>
    <w:rsid w:val="00C16E92"/>
    <w:rsid w:val="00C1746D"/>
    <w:rsid w:val="00C17CA0"/>
    <w:rsid w:val="00C20B88"/>
    <w:rsid w:val="00C20DA7"/>
    <w:rsid w:val="00C26AF0"/>
    <w:rsid w:val="00C30866"/>
    <w:rsid w:val="00C31040"/>
    <w:rsid w:val="00C34087"/>
    <w:rsid w:val="00C34DCF"/>
    <w:rsid w:val="00C35DDF"/>
    <w:rsid w:val="00C36B9F"/>
    <w:rsid w:val="00C36C58"/>
    <w:rsid w:val="00C37C89"/>
    <w:rsid w:val="00C37D37"/>
    <w:rsid w:val="00C400CB"/>
    <w:rsid w:val="00C41372"/>
    <w:rsid w:val="00C42FDB"/>
    <w:rsid w:val="00C44E83"/>
    <w:rsid w:val="00C452B0"/>
    <w:rsid w:val="00C4638A"/>
    <w:rsid w:val="00C466A4"/>
    <w:rsid w:val="00C50269"/>
    <w:rsid w:val="00C5099A"/>
    <w:rsid w:val="00C50AF5"/>
    <w:rsid w:val="00C55B7E"/>
    <w:rsid w:val="00C571C6"/>
    <w:rsid w:val="00C573FB"/>
    <w:rsid w:val="00C621A1"/>
    <w:rsid w:val="00C65F4A"/>
    <w:rsid w:val="00C70286"/>
    <w:rsid w:val="00C73D6C"/>
    <w:rsid w:val="00C7530A"/>
    <w:rsid w:val="00C76893"/>
    <w:rsid w:val="00C7698F"/>
    <w:rsid w:val="00C76C73"/>
    <w:rsid w:val="00C80D90"/>
    <w:rsid w:val="00C817C8"/>
    <w:rsid w:val="00C8230E"/>
    <w:rsid w:val="00C834B2"/>
    <w:rsid w:val="00C837B7"/>
    <w:rsid w:val="00C83850"/>
    <w:rsid w:val="00C83D5F"/>
    <w:rsid w:val="00C85F02"/>
    <w:rsid w:val="00C8650D"/>
    <w:rsid w:val="00C90BA9"/>
    <w:rsid w:val="00C915F6"/>
    <w:rsid w:val="00C927B9"/>
    <w:rsid w:val="00C92C3A"/>
    <w:rsid w:val="00C9369C"/>
    <w:rsid w:val="00C93E8F"/>
    <w:rsid w:val="00C94F73"/>
    <w:rsid w:val="00C96AB3"/>
    <w:rsid w:val="00C96B0B"/>
    <w:rsid w:val="00C9713E"/>
    <w:rsid w:val="00C9737F"/>
    <w:rsid w:val="00CA04A7"/>
    <w:rsid w:val="00CA2A3D"/>
    <w:rsid w:val="00CA3FF4"/>
    <w:rsid w:val="00CA40D2"/>
    <w:rsid w:val="00CA62F7"/>
    <w:rsid w:val="00CB1C54"/>
    <w:rsid w:val="00CB4164"/>
    <w:rsid w:val="00CB4C1E"/>
    <w:rsid w:val="00CB5130"/>
    <w:rsid w:val="00CB6049"/>
    <w:rsid w:val="00CB6751"/>
    <w:rsid w:val="00CC121E"/>
    <w:rsid w:val="00CC3713"/>
    <w:rsid w:val="00CC5419"/>
    <w:rsid w:val="00CC5796"/>
    <w:rsid w:val="00CC6A20"/>
    <w:rsid w:val="00CC6B18"/>
    <w:rsid w:val="00CD1137"/>
    <w:rsid w:val="00CD1818"/>
    <w:rsid w:val="00CD2014"/>
    <w:rsid w:val="00CD21E2"/>
    <w:rsid w:val="00CD2903"/>
    <w:rsid w:val="00CD2C9E"/>
    <w:rsid w:val="00CD4731"/>
    <w:rsid w:val="00CD5679"/>
    <w:rsid w:val="00CD6B99"/>
    <w:rsid w:val="00CE03AC"/>
    <w:rsid w:val="00CE0674"/>
    <w:rsid w:val="00CE0906"/>
    <w:rsid w:val="00CE16AE"/>
    <w:rsid w:val="00CE1972"/>
    <w:rsid w:val="00CE2426"/>
    <w:rsid w:val="00CE464F"/>
    <w:rsid w:val="00CE6EFD"/>
    <w:rsid w:val="00CE787D"/>
    <w:rsid w:val="00CF1BB2"/>
    <w:rsid w:val="00CF4D8D"/>
    <w:rsid w:val="00CF4F0A"/>
    <w:rsid w:val="00CF5CE0"/>
    <w:rsid w:val="00CF7102"/>
    <w:rsid w:val="00CF7D56"/>
    <w:rsid w:val="00D008C3"/>
    <w:rsid w:val="00D02053"/>
    <w:rsid w:val="00D0223B"/>
    <w:rsid w:val="00D027E3"/>
    <w:rsid w:val="00D038B4"/>
    <w:rsid w:val="00D05234"/>
    <w:rsid w:val="00D06193"/>
    <w:rsid w:val="00D072A1"/>
    <w:rsid w:val="00D0777B"/>
    <w:rsid w:val="00D121E7"/>
    <w:rsid w:val="00D1270A"/>
    <w:rsid w:val="00D12F17"/>
    <w:rsid w:val="00D13509"/>
    <w:rsid w:val="00D17592"/>
    <w:rsid w:val="00D21AD7"/>
    <w:rsid w:val="00D25230"/>
    <w:rsid w:val="00D25A87"/>
    <w:rsid w:val="00D330F7"/>
    <w:rsid w:val="00D33FC3"/>
    <w:rsid w:val="00D34E12"/>
    <w:rsid w:val="00D34E40"/>
    <w:rsid w:val="00D350EA"/>
    <w:rsid w:val="00D3728C"/>
    <w:rsid w:val="00D41932"/>
    <w:rsid w:val="00D43A29"/>
    <w:rsid w:val="00D43E03"/>
    <w:rsid w:val="00D4463D"/>
    <w:rsid w:val="00D460E5"/>
    <w:rsid w:val="00D46D57"/>
    <w:rsid w:val="00D46F37"/>
    <w:rsid w:val="00D51CA4"/>
    <w:rsid w:val="00D52D0D"/>
    <w:rsid w:val="00D53C78"/>
    <w:rsid w:val="00D53DFD"/>
    <w:rsid w:val="00D57B47"/>
    <w:rsid w:val="00D6049E"/>
    <w:rsid w:val="00D608BC"/>
    <w:rsid w:val="00D61999"/>
    <w:rsid w:val="00D627FB"/>
    <w:rsid w:val="00D6292D"/>
    <w:rsid w:val="00D64B9B"/>
    <w:rsid w:val="00D702F8"/>
    <w:rsid w:val="00D7312F"/>
    <w:rsid w:val="00D74337"/>
    <w:rsid w:val="00D74A04"/>
    <w:rsid w:val="00D74D9A"/>
    <w:rsid w:val="00D819BA"/>
    <w:rsid w:val="00D81E07"/>
    <w:rsid w:val="00D821EF"/>
    <w:rsid w:val="00D82774"/>
    <w:rsid w:val="00D82AC9"/>
    <w:rsid w:val="00D82CA5"/>
    <w:rsid w:val="00D848AC"/>
    <w:rsid w:val="00D84AE6"/>
    <w:rsid w:val="00D860C9"/>
    <w:rsid w:val="00D86CC5"/>
    <w:rsid w:val="00D93205"/>
    <w:rsid w:val="00D96366"/>
    <w:rsid w:val="00D97E01"/>
    <w:rsid w:val="00DA0122"/>
    <w:rsid w:val="00DA0DA3"/>
    <w:rsid w:val="00DA213E"/>
    <w:rsid w:val="00DA289E"/>
    <w:rsid w:val="00DA2A0F"/>
    <w:rsid w:val="00DA3CED"/>
    <w:rsid w:val="00DA5210"/>
    <w:rsid w:val="00DA5E9C"/>
    <w:rsid w:val="00DA657D"/>
    <w:rsid w:val="00DB2CF0"/>
    <w:rsid w:val="00DB500D"/>
    <w:rsid w:val="00DB52EA"/>
    <w:rsid w:val="00DB6C26"/>
    <w:rsid w:val="00DC1724"/>
    <w:rsid w:val="00DC1BC6"/>
    <w:rsid w:val="00DC1D3F"/>
    <w:rsid w:val="00DC1D4D"/>
    <w:rsid w:val="00DC1E2D"/>
    <w:rsid w:val="00DC3423"/>
    <w:rsid w:val="00DC3B25"/>
    <w:rsid w:val="00DC4D31"/>
    <w:rsid w:val="00DC57D2"/>
    <w:rsid w:val="00DC5852"/>
    <w:rsid w:val="00DC62CE"/>
    <w:rsid w:val="00DC7409"/>
    <w:rsid w:val="00DC7C10"/>
    <w:rsid w:val="00DD20D0"/>
    <w:rsid w:val="00DD31E9"/>
    <w:rsid w:val="00DD365B"/>
    <w:rsid w:val="00DD3766"/>
    <w:rsid w:val="00DD41D9"/>
    <w:rsid w:val="00DD4E82"/>
    <w:rsid w:val="00DD559B"/>
    <w:rsid w:val="00DD55A7"/>
    <w:rsid w:val="00DD69FF"/>
    <w:rsid w:val="00DD6A79"/>
    <w:rsid w:val="00DD6B12"/>
    <w:rsid w:val="00DD6C89"/>
    <w:rsid w:val="00DE0781"/>
    <w:rsid w:val="00DE2968"/>
    <w:rsid w:val="00DE37DB"/>
    <w:rsid w:val="00DE4F81"/>
    <w:rsid w:val="00DE6F75"/>
    <w:rsid w:val="00DE7407"/>
    <w:rsid w:val="00DF070C"/>
    <w:rsid w:val="00DF08D4"/>
    <w:rsid w:val="00DF1E56"/>
    <w:rsid w:val="00DF2ECD"/>
    <w:rsid w:val="00DF3873"/>
    <w:rsid w:val="00DF3B2C"/>
    <w:rsid w:val="00DF3E11"/>
    <w:rsid w:val="00DF5171"/>
    <w:rsid w:val="00DF7057"/>
    <w:rsid w:val="00DF7814"/>
    <w:rsid w:val="00E0091F"/>
    <w:rsid w:val="00E04391"/>
    <w:rsid w:val="00E04484"/>
    <w:rsid w:val="00E04B23"/>
    <w:rsid w:val="00E0539F"/>
    <w:rsid w:val="00E07CB4"/>
    <w:rsid w:val="00E13827"/>
    <w:rsid w:val="00E13C77"/>
    <w:rsid w:val="00E13EE5"/>
    <w:rsid w:val="00E160DA"/>
    <w:rsid w:val="00E21C76"/>
    <w:rsid w:val="00E21E58"/>
    <w:rsid w:val="00E227DF"/>
    <w:rsid w:val="00E234CD"/>
    <w:rsid w:val="00E238DF"/>
    <w:rsid w:val="00E23A28"/>
    <w:rsid w:val="00E24978"/>
    <w:rsid w:val="00E24C62"/>
    <w:rsid w:val="00E26E9A"/>
    <w:rsid w:val="00E301F8"/>
    <w:rsid w:val="00E31501"/>
    <w:rsid w:val="00E31B1C"/>
    <w:rsid w:val="00E3267A"/>
    <w:rsid w:val="00E33242"/>
    <w:rsid w:val="00E3336E"/>
    <w:rsid w:val="00E35462"/>
    <w:rsid w:val="00E36777"/>
    <w:rsid w:val="00E37806"/>
    <w:rsid w:val="00E400D1"/>
    <w:rsid w:val="00E4029E"/>
    <w:rsid w:val="00E40CF2"/>
    <w:rsid w:val="00E40D59"/>
    <w:rsid w:val="00E412A3"/>
    <w:rsid w:val="00E4197A"/>
    <w:rsid w:val="00E41E5F"/>
    <w:rsid w:val="00E44B10"/>
    <w:rsid w:val="00E451E6"/>
    <w:rsid w:val="00E47DA1"/>
    <w:rsid w:val="00E52733"/>
    <w:rsid w:val="00E55481"/>
    <w:rsid w:val="00E62615"/>
    <w:rsid w:val="00E63016"/>
    <w:rsid w:val="00E63AAF"/>
    <w:rsid w:val="00E64345"/>
    <w:rsid w:val="00E6438E"/>
    <w:rsid w:val="00E65027"/>
    <w:rsid w:val="00E65826"/>
    <w:rsid w:val="00E66013"/>
    <w:rsid w:val="00E676DD"/>
    <w:rsid w:val="00E717A9"/>
    <w:rsid w:val="00E71C64"/>
    <w:rsid w:val="00E737EE"/>
    <w:rsid w:val="00E73D36"/>
    <w:rsid w:val="00E76F30"/>
    <w:rsid w:val="00E81D03"/>
    <w:rsid w:val="00E82E6A"/>
    <w:rsid w:val="00E82F8F"/>
    <w:rsid w:val="00E832B0"/>
    <w:rsid w:val="00E832ED"/>
    <w:rsid w:val="00E855C6"/>
    <w:rsid w:val="00E85703"/>
    <w:rsid w:val="00E85E0A"/>
    <w:rsid w:val="00E85E29"/>
    <w:rsid w:val="00E85E46"/>
    <w:rsid w:val="00E86C7B"/>
    <w:rsid w:val="00E8700D"/>
    <w:rsid w:val="00E87178"/>
    <w:rsid w:val="00E87EFD"/>
    <w:rsid w:val="00E87EFE"/>
    <w:rsid w:val="00E91046"/>
    <w:rsid w:val="00E91E0F"/>
    <w:rsid w:val="00E9210C"/>
    <w:rsid w:val="00E92833"/>
    <w:rsid w:val="00E94003"/>
    <w:rsid w:val="00E9454B"/>
    <w:rsid w:val="00EA175D"/>
    <w:rsid w:val="00EA2F49"/>
    <w:rsid w:val="00EA31A2"/>
    <w:rsid w:val="00EA3853"/>
    <w:rsid w:val="00EA4C37"/>
    <w:rsid w:val="00EA56F4"/>
    <w:rsid w:val="00EA5CA7"/>
    <w:rsid w:val="00EB15E9"/>
    <w:rsid w:val="00EB23C5"/>
    <w:rsid w:val="00EB393C"/>
    <w:rsid w:val="00EB47D9"/>
    <w:rsid w:val="00EB60B5"/>
    <w:rsid w:val="00EB63CC"/>
    <w:rsid w:val="00EB648A"/>
    <w:rsid w:val="00EB7598"/>
    <w:rsid w:val="00EC00A9"/>
    <w:rsid w:val="00EC0E80"/>
    <w:rsid w:val="00EC4A7F"/>
    <w:rsid w:val="00ED0E9B"/>
    <w:rsid w:val="00ED25FF"/>
    <w:rsid w:val="00ED37C9"/>
    <w:rsid w:val="00ED3B8E"/>
    <w:rsid w:val="00ED4091"/>
    <w:rsid w:val="00ED45FC"/>
    <w:rsid w:val="00ED51ED"/>
    <w:rsid w:val="00EE37A8"/>
    <w:rsid w:val="00EE3980"/>
    <w:rsid w:val="00EE3A02"/>
    <w:rsid w:val="00EE4255"/>
    <w:rsid w:val="00EE42E8"/>
    <w:rsid w:val="00EE54A2"/>
    <w:rsid w:val="00EE5639"/>
    <w:rsid w:val="00EE6219"/>
    <w:rsid w:val="00EE6339"/>
    <w:rsid w:val="00EE78CB"/>
    <w:rsid w:val="00EE7ABC"/>
    <w:rsid w:val="00EF14D6"/>
    <w:rsid w:val="00EF31A6"/>
    <w:rsid w:val="00EF5AE3"/>
    <w:rsid w:val="00F01487"/>
    <w:rsid w:val="00F0279A"/>
    <w:rsid w:val="00F034F2"/>
    <w:rsid w:val="00F04718"/>
    <w:rsid w:val="00F04F4F"/>
    <w:rsid w:val="00F052E7"/>
    <w:rsid w:val="00F073D2"/>
    <w:rsid w:val="00F112AD"/>
    <w:rsid w:val="00F120A0"/>
    <w:rsid w:val="00F13784"/>
    <w:rsid w:val="00F1456E"/>
    <w:rsid w:val="00F145D4"/>
    <w:rsid w:val="00F14681"/>
    <w:rsid w:val="00F14720"/>
    <w:rsid w:val="00F1527D"/>
    <w:rsid w:val="00F15915"/>
    <w:rsid w:val="00F206B1"/>
    <w:rsid w:val="00F20F85"/>
    <w:rsid w:val="00F2227C"/>
    <w:rsid w:val="00F2229F"/>
    <w:rsid w:val="00F23A5A"/>
    <w:rsid w:val="00F241D0"/>
    <w:rsid w:val="00F24748"/>
    <w:rsid w:val="00F25229"/>
    <w:rsid w:val="00F26600"/>
    <w:rsid w:val="00F26629"/>
    <w:rsid w:val="00F3028F"/>
    <w:rsid w:val="00F32511"/>
    <w:rsid w:val="00F32D1C"/>
    <w:rsid w:val="00F348B5"/>
    <w:rsid w:val="00F349EE"/>
    <w:rsid w:val="00F353EB"/>
    <w:rsid w:val="00F35C05"/>
    <w:rsid w:val="00F3646D"/>
    <w:rsid w:val="00F375DC"/>
    <w:rsid w:val="00F41332"/>
    <w:rsid w:val="00F41CB5"/>
    <w:rsid w:val="00F43325"/>
    <w:rsid w:val="00F450CE"/>
    <w:rsid w:val="00F459E6"/>
    <w:rsid w:val="00F47FCB"/>
    <w:rsid w:val="00F520DF"/>
    <w:rsid w:val="00F530C9"/>
    <w:rsid w:val="00F540E9"/>
    <w:rsid w:val="00F54972"/>
    <w:rsid w:val="00F56A91"/>
    <w:rsid w:val="00F57228"/>
    <w:rsid w:val="00F628C9"/>
    <w:rsid w:val="00F62C0B"/>
    <w:rsid w:val="00F630A7"/>
    <w:rsid w:val="00F641DF"/>
    <w:rsid w:val="00F64879"/>
    <w:rsid w:val="00F64ADE"/>
    <w:rsid w:val="00F66B5E"/>
    <w:rsid w:val="00F679BD"/>
    <w:rsid w:val="00F71633"/>
    <w:rsid w:val="00F72317"/>
    <w:rsid w:val="00F740C0"/>
    <w:rsid w:val="00F75DFC"/>
    <w:rsid w:val="00F760D8"/>
    <w:rsid w:val="00F76716"/>
    <w:rsid w:val="00F77549"/>
    <w:rsid w:val="00F80C38"/>
    <w:rsid w:val="00F824C4"/>
    <w:rsid w:val="00F82F04"/>
    <w:rsid w:val="00F86D87"/>
    <w:rsid w:val="00F9039E"/>
    <w:rsid w:val="00F905AE"/>
    <w:rsid w:val="00F917FB"/>
    <w:rsid w:val="00F91BD3"/>
    <w:rsid w:val="00F92EBE"/>
    <w:rsid w:val="00F96140"/>
    <w:rsid w:val="00F9636D"/>
    <w:rsid w:val="00F970A8"/>
    <w:rsid w:val="00FA1ECE"/>
    <w:rsid w:val="00FA28C9"/>
    <w:rsid w:val="00FA4A30"/>
    <w:rsid w:val="00FA72A7"/>
    <w:rsid w:val="00FB1309"/>
    <w:rsid w:val="00FB16E6"/>
    <w:rsid w:val="00FB1CCD"/>
    <w:rsid w:val="00FB2052"/>
    <w:rsid w:val="00FB2670"/>
    <w:rsid w:val="00FB3DA2"/>
    <w:rsid w:val="00FB3E86"/>
    <w:rsid w:val="00FB4495"/>
    <w:rsid w:val="00FB5954"/>
    <w:rsid w:val="00FB73F6"/>
    <w:rsid w:val="00FB773C"/>
    <w:rsid w:val="00FB79A0"/>
    <w:rsid w:val="00FC033E"/>
    <w:rsid w:val="00FC0794"/>
    <w:rsid w:val="00FC46D1"/>
    <w:rsid w:val="00FC49A6"/>
    <w:rsid w:val="00FC4CBB"/>
    <w:rsid w:val="00FC5259"/>
    <w:rsid w:val="00FC6488"/>
    <w:rsid w:val="00FC7C7E"/>
    <w:rsid w:val="00FC7EB9"/>
    <w:rsid w:val="00FD1124"/>
    <w:rsid w:val="00FD181B"/>
    <w:rsid w:val="00FD1B18"/>
    <w:rsid w:val="00FD1BE6"/>
    <w:rsid w:val="00FD1FFA"/>
    <w:rsid w:val="00FD324E"/>
    <w:rsid w:val="00FD328F"/>
    <w:rsid w:val="00FD3953"/>
    <w:rsid w:val="00FD405D"/>
    <w:rsid w:val="00FD598F"/>
    <w:rsid w:val="00FD7AF6"/>
    <w:rsid w:val="00FE063A"/>
    <w:rsid w:val="00FE145F"/>
    <w:rsid w:val="00FE19AC"/>
    <w:rsid w:val="00FE2983"/>
    <w:rsid w:val="00FE2D4E"/>
    <w:rsid w:val="00FE4048"/>
    <w:rsid w:val="00FE584E"/>
    <w:rsid w:val="00FE66DB"/>
    <w:rsid w:val="00FE6AAF"/>
    <w:rsid w:val="00FF0DC9"/>
    <w:rsid w:val="00FF3022"/>
    <w:rsid w:val="00FF40E7"/>
    <w:rsid w:val="00FF50BA"/>
    <w:rsid w:val="00FF6FF4"/>
    <w:rsid w:val="00FF7FC7"/>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FA240"/>
  <w15:docId w15:val="{F1DD1E06-044C-4225-B01B-9C8ED40C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0"/>
      <w:outlineLvl w:val="0"/>
    </w:pPr>
    <w:rPr>
      <w:b/>
      <w:color w:val="1F497D"/>
      <w:sz w:val="32"/>
      <w:szCs w:val="32"/>
    </w:rPr>
  </w:style>
  <w:style w:type="paragraph" w:styleId="Titre2">
    <w:name w:val="heading 2"/>
    <w:basedOn w:val="Normal"/>
    <w:next w:val="Normal"/>
    <w:link w:val="Titre2Car"/>
    <w:uiPriority w:val="9"/>
    <w:unhideWhenUsed/>
    <w:qFormat/>
    <w:pPr>
      <w:spacing w:line="240" w:lineRule="auto"/>
      <w:outlineLvl w:val="1"/>
    </w:pPr>
    <w:rPr>
      <w:b/>
      <w:color w:val="1F497D"/>
    </w:rPr>
  </w:style>
  <w:style w:type="paragraph" w:styleId="Titre3">
    <w:name w:val="heading 3"/>
    <w:basedOn w:val="Normal"/>
    <w:next w:val="Normal"/>
    <w:link w:val="Titre3Car"/>
    <w:uiPriority w:val="9"/>
    <w:unhideWhenUsed/>
    <w:qFormat/>
    <w:pPr>
      <w:spacing w:line="240" w:lineRule="auto"/>
      <w:outlineLvl w:val="2"/>
    </w:pPr>
    <w:rPr>
      <w:b/>
      <w:i/>
    </w:rPr>
  </w:style>
  <w:style w:type="paragraph" w:styleId="Titre4">
    <w:name w:val="heading 4"/>
    <w:basedOn w:val="Normal"/>
    <w:next w:val="Normal"/>
    <w:uiPriority w:val="9"/>
    <w:semiHidden/>
    <w:unhideWhenUsed/>
    <w:qFormat/>
    <w:pPr>
      <w:spacing w:line="240" w:lineRule="auto"/>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uiPriority w:val="10"/>
    <w:qFormat/>
    <w:pPr>
      <w:spacing w:after="240" w:line="240" w:lineRule="auto"/>
      <w:jc w:val="both"/>
    </w:pPr>
    <w:rPr>
      <w:b/>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1"/>
    <w:pPr>
      <w:spacing w:after="0" w:line="240" w:lineRule="auto"/>
    </w:pPr>
    <w:tblPr>
      <w:tblStyleRowBandSize w:val="1"/>
      <w:tblStyleColBandSize w:val="1"/>
      <w:tblCellMar>
        <w:left w:w="108" w:type="dxa"/>
        <w:right w:w="108" w:type="dxa"/>
      </w:tblCellMar>
    </w:tblPr>
  </w:style>
  <w:style w:type="table" w:customStyle="1" w:styleId="2">
    <w:name w:val="2"/>
    <w:basedOn w:val="TableNormal1"/>
    <w:pPr>
      <w:spacing w:after="0" w:line="240" w:lineRule="auto"/>
    </w:pPr>
    <w:tblPr>
      <w:tblStyleRowBandSize w:val="1"/>
      <w:tblStyleColBandSize w:val="1"/>
      <w:tblCellMar>
        <w:left w:w="108" w:type="dxa"/>
        <w:right w:w="108" w:type="dxa"/>
      </w:tblCellMar>
    </w:tblPr>
  </w:style>
  <w:style w:type="table" w:customStyle="1" w:styleId="1">
    <w:name w:val="1"/>
    <w:basedOn w:val="TableNormal1"/>
    <w:tblPr>
      <w:tblStyleRowBandSize w:val="1"/>
      <w:tblStyleColBandSize w:val="1"/>
      <w:tblCellMar>
        <w:top w:w="100" w:type="dxa"/>
        <w:left w:w="100" w:type="dxa"/>
        <w:bottom w:w="100" w:type="dxa"/>
        <w:right w:w="100" w:type="dxa"/>
      </w:tblCellMar>
    </w:tblPr>
  </w:style>
  <w:style w:type="paragraph" w:styleId="Bibliographie">
    <w:name w:val="Bibliography"/>
    <w:basedOn w:val="Normal"/>
    <w:next w:val="Normal"/>
    <w:uiPriority w:val="37"/>
    <w:unhideWhenUsed/>
    <w:rsid w:val="00BC4535"/>
    <w:pPr>
      <w:spacing w:after="240" w:line="240" w:lineRule="auto"/>
    </w:pPr>
  </w:style>
  <w:style w:type="paragraph" w:styleId="En-tte">
    <w:name w:val="header"/>
    <w:basedOn w:val="Normal"/>
    <w:link w:val="En-tteCar"/>
    <w:uiPriority w:val="99"/>
    <w:unhideWhenUsed/>
    <w:rsid w:val="00BC4535"/>
    <w:pPr>
      <w:tabs>
        <w:tab w:val="center" w:pos="4320"/>
        <w:tab w:val="right" w:pos="8640"/>
      </w:tabs>
      <w:spacing w:after="0" w:line="240" w:lineRule="auto"/>
    </w:pPr>
  </w:style>
  <w:style w:type="character" w:customStyle="1" w:styleId="En-tteCar">
    <w:name w:val="En-tête Car"/>
    <w:basedOn w:val="Policepardfaut"/>
    <w:link w:val="En-tte"/>
    <w:uiPriority w:val="99"/>
    <w:rsid w:val="00BC4535"/>
  </w:style>
  <w:style w:type="paragraph" w:styleId="Pieddepage">
    <w:name w:val="footer"/>
    <w:basedOn w:val="Normal"/>
    <w:link w:val="PieddepageCar"/>
    <w:uiPriority w:val="99"/>
    <w:unhideWhenUsed/>
    <w:rsid w:val="00BC453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C4535"/>
  </w:style>
  <w:style w:type="character" w:customStyle="1" w:styleId="Titre2Car">
    <w:name w:val="Titre 2 Car"/>
    <w:basedOn w:val="Policepardfaut"/>
    <w:link w:val="Titre2"/>
    <w:uiPriority w:val="9"/>
    <w:rsid w:val="00DA5E9C"/>
    <w:rPr>
      <w:b/>
      <w:color w:val="1F497D"/>
    </w:rPr>
  </w:style>
  <w:style w:type="paragraph" w:styleId="Paragraphedeliste">
    <w:name w:val="List Paragraph"/>
    <w:basedOn w:val="Normal"/>
    <w:uiPriority w:val="34"/>
    <w:qFormat/>
    <w:rsid w:val="00DA5E9C"/>
    <w:pPr>
      <w:ind w:left="720"/>
      <w:contextualSpacing/>
    </w:pPr>
    <w:rPr>
      <w:rFonts w:eastAsiaTheme="minorHAnsi" w:cstheme="minorBidi"/>
      <w:szCs w:val="22"/>
      <w:lang w:eastAsia="en-US"/>
    </w:rPr>
  </w:style>
  <w:style w:type="table" w:styleId="Grilledutableau">
    <w:name w:val="Table Grid"/>
    <w:basedOn w:val="TableauNormal"/>
    <w:uiPriority w:val="39"/>
    <w:rsid w:val="00A0737F"/>
    <w:pPr>
      <w:spacing w:after="0" w:line="240" w:lineRule="auto"/>
    </w:pPr>
    <w:rPr>
      <w:rFonts w:asciiTheme="minorHAnsi" w:eastAsiaTheme="minorHAnsi" w:hAnsiTheme="minorHAnsi" w:cstheme="minorBidi"/>
      <w:sz w:val="22"/>
      <w:szCs w:val="22"/>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636E70"/>
    <w:rPr>
      <w:b/>
      <w:i/>
    </w:rPr>
  </w:style>
  <w:style w:type="character" w:customStyle="1" w:styleId="term">
    <w:name w:val="term"/>
    <w:basedOn w:val="Policepardfaut"/>
    <w:rsid w:val="00636E70"/>
  </w:style>
  <w:style w:type="character" w:customStyle="1" w:styleId="searchhistory-search-term">
    <w:name w:val="searchhistory-search-term"/>
    <w:basedOn w:val="Policepardfaut"/>
    <w:rsid w:val="00636E70"/>
  </w:style>
  <w:style w:type="character" w:styleId="Lienhypertexte">
    <w:name w:val="Hyperlink"/>
    <w:basedOn w:val="Policepardfaut"/>
    <w:uiPriority w:val="99"/>
    <w:unhideWhenUsed/>
    <w:rsid w:val="00694CF3"/>
    <w:rPr>
      <w:color w:val="0563C1"/>
      <w:u w:val="single"/>
    </w:rPr>
  </w:style>
  <w:style w:type="paragraph" w:styleId="NormalWeb">
    <w:name w:val="Normal (Web)"/>
    <w:basedOn w:val="Normal"/>
    <w:uiPriority w:val="99"/>
    <w:unhideWhenUsed/>
    <w:rsid w:val="00694CF3"/>
    <w:pPr>
      <w:spacing w:after="0" w:line="240" w:lineRule="auto"/>
    </w:pPr>
    <w:rPr>
      <w:rFonts w:eastAsiaTheme="minorHAnsi"/>
      <w:lang w:val="fr-CA"/>
    </w:rPr>
  </w:style>
  <w:style w:type="character" w:customStyle="1" w:styleId="field-name">
    <w:name w:val="field-name"/>
    <w:basedOn w:val="Policepardfaut"/>
    <w:rsid w:val="00694CF3"/>
  </w:style>
  <w:style w:type="character" w:styleId="Lienhypertextesuivivisit">
    <w:name w:val="FollowedHyperlink"/>
    <w:basedOn w:val="Policepardfaut"/>
    <w:uiPriority w:val="99"/>
    <w:semiHidden/>
    <w:unhideWhenUsed/>
    <w:rsid w:val="00F32D1C"/>
    <w:rPr>
      <w:color w:val="800080"/>
      <w:u w:val="single"/>
    </w:rPr>
  </w:style>
  <w:style w:type="paragraph" w:customStyle="1" w:styleId="msonormal0">
    <w:name w:val="msonormal"/>
    <w:basedOn w:val="Normal"/>
    <w:rsid w:val="00F32D1C"/>
    <w:pPr>
      <w:spacing w:before="100" w:beforeAutospacing="1" w:after="100" w:afterAutospacing="1" w:line="240" w:lineRule="auto"/>
    </w:pPr>
    <w:rPr>
      <w:lang w:val="fr-CA"/>
    </w:rPr>
  </w:style>
  <w:style w:type="paragraph" w:customStyle="1" w:styleId="xl63">
    <w:name w:val="xl63"/>
    <w:basedOn w:val="Normal"/>
    <w:rsid w:val="00F32D1C"/>
    <w:pPr>
      <w:spacing w:before="100" w:beforeAutospacing="1" w:after="100" w:afterAutospacing="1" w:line="240" w:lineRule="auto"/>
      <w:textAlignment w:val="center"/>
    </w:pPr>
    <w:rPr>
      <w:lang w:val="fr-CA"/>
    </w:rPr>
  </w:style>
  <w:style w:type="paragraph" w:customStyle="1" w:styleId="xl64">
    <w:name w:val="xl64"/>
    <w:basedOn w:val="Normal"/>
    <w:rsid w:val="00F32D1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b/>
      <w:bCs/>
      <w:lang w:val="fr-CA"/>
    </w:rPr>
  </w:style>
  <w:style w:type="paragraph" w:customStyle="1" w:styleId="xl65">
    <w:name w:val="xl65"/>
    <w:basedOn w:val="Normal"/>
    <w:rsid w:val="00F32D1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b/>
      <w:bCs/>
      <w:lang w:val="fr-CA"/>
    </w:rPr>
  </w:style>
  <w:style w:type="paragraph" w:customStyle="1" w:styleId="xl66">
    <w:name w:val="xl66"/>
    <w:basedOn w:val="Normal"/>
    <w:rsid w:val="00F32D1C"/>
    <w:pPr>
      <w:shd w:val="clear" w:color="000000" w:fill="DDD9C4"/>
      <w:spacing w:before="100" w:beforeAutospacing="1" w:after="100" w:afterAutospacing="1" w:line="240" w:lineRule="auto"/>
      <w:jc w:val="center"/>
      <w:textAlignment w:val="center"/>
    </w:pPr>
    <w:rPr>
      <w:lang w:val="fr-CA"/>
    </w:rPr>
  </w:style>
  <w:style w:type="paragraph" w:customStyle="1" w:styleId="xl67">
    <w:name w:val="xl67"/>
    <w:basedOn w:val="Normal"/>
    <w:rsid w:val="00F32D1C"/>
    <w:pPr>
      <w:spacing w:before="100" w:beforeAutospacing="1" w:after="100" w:afterAutospacing="1" w:line="240" w:lineRule="auto"/>
      <w:textAlignment w:val="center"/>
    </w:pPr>
    <w:rPr>
      <w:lang w:val="fr-CA"/>
    </w:rPr>
  </w:style>
  <w:style w:type="paragraph" w:customStyle="1" w:styleId="xl68">
    <w:name w:val="xl68"/>
    <w:basedOn w:val="Normal"/>
    <w:rsid w:val="00F32D1C"/>
    <w:pPr>
      <w:shd w:val="clear" w:color="000000" w:fill="DDD9C4"/>
      <w:spacing w:before="100" w:beforeAutospacing="1" w:after="100" w:afterAutospacing="1" w:line="240" w:lineRule="auto"/>
      <w:jc w:val="center"/>
      <w:textAlignment w:val="center"/>
    </w:pPr>
    <w:rPr>
      <w:lang w:val="fr-CA"/>
    </w:rPr>
  </w:style>
  <w:style w:type="character" w:styleId="Marquedecommentaire">
    <w:name w:val="annotation reference"/>
    <w:basedOn w:val="Policepardfaut"/>
    <w:uiPriority w:val="99"/>
    <w:semiHidden/>
    <w:unhideWhenUsed/>
    <w:rsid w:val="008B7294"/>
    <w:rPr>
      <w:sz w:val="16"/>
      <w:szCs w:val="16"/>
    </w:rPr>
  </w:style>
  <w:style w:type="paragraph" w:styleId="Commentaire">
    <w:name w:val="annotation text"/>
    <w:basedOn w:val="Normal"/>
    <w:link w:val="CommentaireCar"/>
    <w:uiPriority w:val="99"/>
    <w:unhideWhenUsed/>
    <w:rsid w:val="008B7294"/>
    <w:pPr>
      <w:spacing w:line="240" w:lineRule="auto"/>
    </w:pPr>
    <w:rPr>
      <w:sz w:val="20"/>
      <w:szCs w:val="20"/>
    </w:rPr>
  </w:style>
  <w:style w:type="character" w:customStyle="1" w:styleId="CommentaireCar">
    <w:name w:val="Commentaire Car"/>
    <w:basedOn w:val="Policepardfaut"/>
    <w:link w:val="Commentaire"/>
    <w:uiPriority w:val="99"/>
    <w:rsid w:val="008B7294"/>
    <w:rPr>
      <w:sz w:val="20"/>
      <w:szCs w:val="20"/>
    </w:rPr>
  </w:style>
  <w:style w:type="paragraph" w:styleId="Objetducommentaire">
    <w:name w:val="annotation subject"/>
    <w:basedOn w:val="Commentaire"/>
    <w:next w:val="Commentaire"/>
    <w:link w:val="ObjetducommentaireCar"/>
    <w:uiPriority w:val="99"/>
    <w:semiHidden/>
    <w:unhideWhenUsed/>
    <w:rsid w:val="008B7294"/>
    <w:rPr>
      <w:b/>
      <w:bCs/>
    </w:rPr>
  </w:style>
  <w:style w:type="character" w:customStyle="1" w:styleId="ObjetducommentaireCar">
    <w:name w:val="Objet du commentaire Car"/>
    <w:basedOn w:val="CommentaireCar"/>
    <w:link w:val="Objetducommentaire"/>
    <w:uiPriority w:val="99"/>
    <w:semiHidden/>
    <w:rsid w:val="008B7294"/>
    <w:rPr>
      <w:b/>
      <w:bCs/>
      <w:sz w:val="20"/>
      <w:szCs w:val="20"/>
    </w:rPr>
  </w:style>
  <w:style w:type="character" w:styleId="Numrodeligne">
    <w:name w:val="line number"/>
    <w:basedOn w:val="Policepardfaut"/>
    <w:uiPriority w:val="99"/>
    <w:semiHidden/>
    <w:unhideWhenUsed/>
    <w:rsid w:val="00750B17"/>
  </w:style>
  <w:style w:type="paragraph" w:styleId="Textedebulles">
    <w:name w:val="Balloon Text"/>
    <w:basedOn w:val="Normal"/>
    <w:link w:val="TextedebullesCar"/>
    <w:uiPriority w:val="99"/>
    <w:semiHidden/>
    <w:unhideWhenUsed/>
    <w:rsid w:val="00D46F37"/>
    <w:pPr>
      <w:spacing w:after="0" w:line="240" w:lineRule="auto"/>
    </w:pPr>
    <w:rPr>
      <w:sz w:val="18"/>
      <w:szCs w:val="18"/>
    </w:rPr>
  </w:style>
  <w:style w:type="character" w:customStyle="1" w:styleId="TextedebullesCar">
    <w:name w:val="Texte de bulles Car"/>
    <w:basedOn w:val="Policepardfaut"/>
    <w:link w:val="Textedebulles"/>
    <w:uiPriority w:val="99"/>
    <w:semiHidden/>
    <w:rsid w:val="00D46F37"/>
    <w:rPr>
      <w:sz w:val="18"/>
      <w:szCs w:val="18"/>
    </w:rPr>
  </w:style>
  <w:style w:type="paragraph" w:styleId="Notedebasdepage">
    <w:name w:val="footnote text"/>
    <w:basedOn w:val="Normal"/>
    <w:link w:val="NotedebasdepageCar"/>
    <w:uiPriority w:val="99"/>
    <w:unhideWhenUsed/>
    <w:rsid w:val="00892098"/>
    <w:pPr>
      <w:spacing w:after="0" w:line="240" w:lineRule="auto"/>
    </w:pPr>
  </w:style>
  <w:style w:type="character" w:customStyle="1" w:styleId="NotedebasdepageCar">
    <w:name w:val="Note de bas de page Car"/>
    <w:basedOn w:val="Policepardfaut"/>
    <w:link w:val="Notedebasdepage"/>
    <w:uiPriority w:val="99"/>
    <w:rsid w:val="00892098"/>
  </w:style>
  <w:style w:type="character" w:styleId="Appelnotedebasdep">
    <w:name w:val="footnote reference"/>
    <w:basedOn w:val="Policepardfaut"/>
    <w:uiPriority w:val="99"/>
    <w:unhideWhenUsed/>
    <w:rsid w:val="00892098"/>
    <w:rPr>
      <w:vertAlign w:val="superscript"/>
    </w:rPr>
  </w:style>
  <w:style w:type="paragraph" w:styleId="Rvision">
    <w:name w:val="Revision"/>
    <w:hidden/>
    <w:uiPriority w:val="99"/>
    <w:semiHidden/>
    <w:rsid w:val="00F679BD"/>
    <w:pPr>
      <w:spacing w:after="0" w:line="240" w:lineRule="auto"/>
    </w:pPr>
  </w:style>
  <w:style w:type="character" w:styleId="Mentionnonrsolue">
    <w:name w:val="Unresolved Mention"/>
    <w:basedOn w:val="Policepardfaut"/>
    <w:uiPriority w:val="99"/>
    <w:rsid w:val="00524C34"/>
    <w:rPr>
      <w:color w:val="605E5C"/>
      <w:shd w:val="clear" w:color="auto" w:fill="E1DFDD"/>
    </w:rPr>
  </w:style>
  <w:style w:type="character" w:styleId="Textedelespacerserv">
    <w:name w:val="Placeholder Text"/>
    <w:basedOn w:val="Policepardfaut"/>
    <w:uiPriority w:val="99"/>
    <w:semiHidden/>
    <w:rsid w:val="00AD4B23"/>
    <w:rPr>
      <w:color w:val="808080"/>
    </w:rPr>
  </w:style>
  <w:style w:type="character" w:styleId="Accentuation">
    <w:name w:val="Emphasis"/>
    <w:basedOn w:val="Policepardfaut"/>
    <w:uiPriority w:val="20"/>
    <w:qFormat/>
    <w:rsid w:val="00422AEE"/>
    <w:rPr>
      <w:i/>
      <w:iCs/>
    </w:rPr>
  </w:style>
  <w:style w:type="character" w:customStyle="1" w:styleId="landing-page-changedtext-0-2-15">
    <w:name w:val="landing-page-changedtext-0-2-15"/>
    <w:basedOn w:val="Policepardfaut"/>
    <w:rsid w:val="006A6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1820">
      <w:bodyDiv w:val="1"/>
      <w:marLeft w:val="0"/>
      <w:marRight w:val="0"/>
      <w:marTop w:val="0"/>
      <w:marBottom w:val="0"/>
      <w:divBdr>
        <w:top w:val="none" w:sz="0" w:space="0" w:color="auto"/>
        <w:left w:val="none" w:sz="0" w:space="0" w:color="auto"/>
        <w:bottom w:val="none" w:sz="0" w:space="0" w:color="auto"/>
        <w:right w:val="none" w:sz="0" w:space="0" w:color="auto"/>
      </w:divBdr>
    </w:div>
    <w:div w:id="671875435">
      <w:bodyDiv w:val="1"/>
      <w:marLeft w:val="0"/>
      <w:marRight w:val="0"/>
      <w:marTop w:val="0"/>
      <w:marBottom w:val="0"/>
      <w:divBdr>
        <w:top w:val="none" w:sz="0" w:space="0" w:color="auto"/>
        <w:left w:val="none" w:sz="0" w:space="0" w:color="auto"/>
        <w:bottom w:val="none" w:sz="0" w:space="0" w:color="auto"/>
        <w:right w:val="none" w:sz="0" w:space="0" w:color="auto"/>
      </w:divBdr>
    </w:div>
    <w:div w:id="713232943">
      <w:bodyDiv w:val="1"/>
      <w:marLeft w:val="0"/>
      <w:marRight w:val="0"/>
      <w:marTop w:val="0"/>
      <w:marBottom w:val="0"/>
      <w:divBdr>
        <w:top w:val="none" w:sz="0" w:space="0" w:color="auto"/>
        <w:left w:val="none" w:sz="0" w:space="0" w:color="auto"/>
        <w:bottom w:val="none" w:sz="0" w:space="0" w:color="auto"/>
        <w:right w:val="none" w:sz="0" w:space="0" w:color="auto"/>
      </w:divBdr>
    </w:div>
    <w:div w:id="800267003">
      <w:bodyDiv w:val="1"/>
      <w:marLeft w:val="0"/>
      <w:marRight w:val="0"/>
      <w:marTop w:val="0"/>
      <w:marBottom w:val="0"/>
      <w:divBdr>
        <w:top w:val="none" w:sz="0" w:space="0" w:color="auto"/>
        <w:left w:val="none" w:sz="0" w:space="0" w:color="auto"/>
        <w:bottom w:val="none" w:sz="0" w:space="0" w:color="auto"/>
        <w:right w:val="none" w:sz="0" w:space="0" w:color="auto"/>
      </w:divBdr>
    </w:div>
    <w:div w:id="1201627336">
      <w:bodyDiv w:val="1"/>
      <w:marLeft w:val="0"/>
      <w:marRight w:val="0"/>
      <w:marTop w:val="0"/>
      <w:marBottom w:val="0"/>
      <w:divBdr>
        <w:top w:val="none" w:sz="0" w:space="0" w:color="auto"/>
        <w:left w:val="none" w:sz="0" w:space="0" w:color="auto"/>
        <w:bottom w:val="none" w:sz="0" w:space="0" w:color="auto"/>
        <w:right w:val="none" w:sz="0" w:space="0" w:color="auto"/>
      </w:divBdr>
    </w:div>
    <w:div w:id="1219586531">
      <w:bodyDiv w:val="1"/>
      <w:marLeft w:val="0"/>
      <w:marRight w:val="0"/>
      <w:marTop w:val="0"/>
      <w:marBottom w:val="0"/>
      <w:divBdr>
        <w:top w:val="none" w:sz="0" w:space="0" w:color="auto"/>
        <w:left w:val="none" w:sz="0" w:space="0" w:color="auto"/>
        <w:bottom w:val="none" w:sz="0" w:space="0" w:color="auto"/>
        <w:right w:val="none" w:sz="0" w:space="0" w:color="auto"/>
      </w:divBdr>
    </w:div>
    <w:div w:id="1248074356">
      <w:bodyDiv w:val="1"/>
      <w:marLeft w:val="0"/>
      <w:marRight w:val="0"/>
      <w:marTop w:val="0"/>
      <w:marBottom w:val="0"/>
      <w:divBdr>
        <w:top w:val="none" w:sz="0" w:space="0" w:color="auto"/>
        <w:left w:val="none" w:sz="0" w:space="0" w:color="auto"/>
        <w:bottom w:val="none" w:sz="0" w:space="0" w:color="auto"/>
        <w:right w:val="none" w:sz="0" w:space="0" w:color="auto"/>
      </w:divBdr>
      <w:divsChild>
        <w:div w:id="2103645564">
          <w:marLeft w:val="0"/>
          <w:marRight w:val="0"/>
          <w:marTop w:val="0"/>
          <w:marBottom w:val="0"/>
          <w:divBdr>
            <w:top w:val="none" w:sz="0" w:space="0" w:color="auto"/>
            <w:left w:val="none" w:sz="0" w:space="0" w:color="auto"/>
            <w:bottom w:val="none" w:sz="0" w:space="0" w:color="auto"/>
            <w:right w:val="none" w:sz="0" w:space="0" w:color="auto"/>
          </w:divBdr>
        </w:div>
      </w:divsChild>
    </w:div>
    <w:div w:id="1268192120">
      <w:bodyDiv w:val="1"/>
      <w:marLeft w:val="0"/>
      <w:marRight w:val="0"/>
      <w:marTop w:val="0"/>
      <w:marBottom w:val="0"/>
      <w:divBdr>
        <w:top w:val="none" w:sz="0" w:space="0" w:color="auto"/>
        <w:left w:val="none" w:sz="0" w:space="0" w:color="auto"/>
        <w:bottom w:val="none" w:sz="0" w:space="0" w:color="auto"/>
        <w:right w:val="none" w:sz="0" w:space="0" w:color="auto"/>
      </w:divBdr>
      <w:divsChild>
        <w:div w:id="1915122321">
          <w:marLeft w:val="0"/>
          <w:marRight w:val="0"/>
          <w:marTop w:val="0"/>
          <w:marBottom w:val="0"/>
          <w:divBdr>
            <w:top w:val="none" w:sz="0" w:space="0" w:color="auto"/>
            <w:left w:val="none" w:sz="0" w:space="0" w:color="auto"/>
            <w:bottom w:val="none" w:sz="0" w:space="0" w:color="auto"/>
            <w:right w:val="none" w:sz="0" w:space="0" w:color="auto"/>
          </w:divBdr>
        </w:div>
      </w:divsChild>
    </w:div>
    <w:div w:id="1303660240">
      <w:bodyDiv w:val="1"/>
      <w:marLeft w:val="0"/>
      <w:marRight w:val="0"/>
      <w:marTop w:val="0"/>
      <w:marBottom w:val="0"/>
      <w:divBdr>
        <w:top w:val="none" w:sz="0" w:space="0" w:color="auto"/>
        <w:left w:val="none" w:sz="0" w:space="0" w:color="auto"/>
        <w:bottom w:val="none" w:sz="0" w:space="0" w:color="auto"/>
        <w:right w:val="none" w:sz="0" w:space="0" w:color="auto"/>
      </w:divBdr>
    </w:div>
    <w:div w:id="1370227090">
      <w:bodyDiv w:val="1"/>
      <w:marLeft w:val="0"/>
      <w:marRight w:val="0"/>
      <w:marTop w:val="0"/>
      <w:marBottom w:val="0"/>
      <w:divBdr>
        <w:top w:val="none" w:sz="0" w:space="0" w:color="auto"/>
        <w:left w:val="none" w:sz="0" w:space="0" w:color="auto"/>
        <w:bottom w:val="none" w:sz="0" w:space="0" w:color="auto"/>
        <w:right w:val="none" w:sz="0" w:space="0" w:color="auto"/>
      </w:divBdr>
    </w:div>
    <w:div w:id="1501777572">
      <w:bodyDiv w:val="1"/>
      <w:marLeft w:val="0"/>
      <w:marRight w:val="0"/>
      <w:marTop w:val="0"/>
      <w:marBottom w:val="0"/>
      <w:divBdr>
        <w:top w:val="none" w:sz="0" w:space="0" w:color="auto"/>
        <w:left w:val="none" w:sz="0" w:space="0" w:color="auto"/>
        <w:bottom w:val="none" w:sz="0" w:space="0" w:color="auto"/>
        <w:right w:val="none" w:sz="0" w:space="0" w:color="auto"/>
      </w:divBdr>
    </w:div>
    <w:div w:id="1674187900">
      <w:bodyDiv w:val="1"/>
      <w:marLeft w:val="0"/>
      <w:marRight w:val="0"/>
      <w:marTop w:val="0"/>
      <w:marBottom w:val="0"/>
      <w:divBdr>
        <w:top w:val="none" w:sz="0" w:space="0" w:color="auto"/>
        <w:left w:val="none" w:sz="0" w:space="0" w:color="auto"/>
        <w:bottom w:val="none" w:sz="0" w:space="0" w:color="auto"/>
        <w:right w:val="none" w:sz="0" w:space="0" w:color="auto"/>
      </w:divBdr>
    </w:div>
    <w:div w:id="1778712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A582AD0014DC4A814DB9062ED83BFC" ma:contentTypeVersion="13" ma:contentTypeDescription="Create a new document." ma:contentTypeScope="" ma:versionID="f46589a4b043db7782f8d2875fd9dc03">
  <xsd:schema xmlns:xsd="http://www.w3.org/2001/XMLSchema" xmlns:xs="http://www.w3.org/2001/XMLSchema" xmlns:p="http://schemas.microsoft.com/office/2006/metadata/properties" xmlns:ns3="0d2c571d-772c-4e89-9a19-f495525c41cc" xmlns:ns4="ddd617a7-163d-4671-a800-b879d2609856" targetNamespace="http://schemas.microsoft.com/office/2006/metadata/properties" ma:root="true" ma:fieldsID="1cb2764624bbd82c0359c857ae7dc1de" ns3:_="" ns4:_="">
    <xsd:import namespace="0d2c571d-772c-4e89-9a19-f495525c41cc"/>
    <xsd:import namespace="ddd617a7-163d-4671-a800-b879d260985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c571d-772c-4e89-9a19-f495525c41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d617a7-163d-4671-a800-b879d260985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22ADD-F38A-4299-B857-07BAC3C259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C44659-EE6F-4653-9670-5EE80268C5E5}">
  <ds:schemaRefs>
    <ds:schemaRef ds:uri="http://schemas.microsoft.com/sharepoint/v3/contenttype/forms"/>
  </ds:schemaRefs>
</ds:datastoreItem>
</file>

<file path=customXml/itemProps3.xml><?xml version="1.0" encoding="utf-8"?>
<ds:datastoreItem xmlns:ds="http://schemas.openxmlformats.org/officeDocument/2006/customXml" ds:itemID="{D1A93E97-58EE-4A9A-A322-D76922C8D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c571d-772c-4e89-9a19-f495525c41cc"/>
    <ds:schemaRef ds:uri="ddd617a7-163d-4671-a800-b879d26098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50449F-5524-9041-AB88-27C635C61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22766</Words>
  <Characters>125214</Characters>
  <Application>Microsoft Office Word</Application>
  <DocSecurity>0</DocSecurity>
  <Lines>1043</Lines>
  <Paragraphs>295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147685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Ben Charif</dc:creator>
  <cp:keywords/>
  <dc:description/>
  <cp:lastModifiedBy>Ali Ben Charif</cp:lastModifiedBy>
  <cp:revision>3</cp:revision>
  <dcterms:created xsi:type="dcterms:W3CDTF">2021-12-29T23:09:00Z</dcterms:created>
  <dcterms:modified xsi:type="dcterms:W3CDTF">2021-12-29T23:09:00Z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{"style":{"styleID":"http://www.zotero.org/styles/health-research-policy-and-systems","hasBibliography":true,"bibliographyStyleHasBeenSet":true},"prefs":{"fieldType":"Field","automaticJournalAbbreviations":false,"delayCitationUpdates":true,"noteType":0,"d</vt:lpwstr>
  </property>
  <property fmtid="{D5CDD505-2E9C-101B-9397-08002B2CF9AE}" pid="3" name="ZOTERO_PREF_2">
    <vt:lpwstr>ontAskDelayCitationUpdates":true},"sessionID":"99qBMNeM","zoteroVersion":"5.0.96.3","dataVersion":4}</vt:lpwstr>
  </property>
  <property fmtid="{D5CDD505-2E9C-101B-9397-08002B2CF9AE}" pid="4" name="ContentTypeId">
    <vt:lpwstr>0x01010015A582AD0014DC4A814DB9062ED83BFC</vt:lpwstr>
  </property>
</Properties>
</file>