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1CEF" w:rsidRPr="0075734B" w:rsidRDefault="00BD1CEF" w:rsidP="00BD1CEF">
      <w:pPr>
        <w:rPr>
          <w:rFonts w:ascii="Times New Roman" w:hAnsi="Times New Roman" w:cs="Times New Roman"/>
          <w:b/>
          <w:iCs/>
        </w:rPr>
      </w:pPr>
      <w:bookmarkStart w:id="0" w:name="_GoBack"/>
      <w:bookmarkEnd w:id="0"/>
    </w:p>
    <w:p w:rsidR="00BD1CEF" w:rsidRPr="0075734B" w:rsidRDefault="00BD1CEF" w:rsidP="00BD1CEF">
      <w:pPr>
        <w:keepNext/>
        <w:spacing w:before="100" w:beforeAutospacing="1" w:after="100" w:afterAutospacing="1" w:line="360" w:lineRule="auto"/>
        <w:rPr>
          <w:rFonts w:ascii="Times New Roman" w:hAnsi="Times New Roman" w:cs="Times New Roman"/>
          <w:b/>
          <w:iCs/>
        </w:rPr>
      </w:pPr>
      <w:r>
        <w:rPr>
          <w:rFonts w:ascii="Times New Roman" w:hAnsi="Times New Roman" w:cs="Times New Roman"/>
          <w:b/>
          <w:iCs/>
        </w:rPr>
        <w:t xml:space="preserve">Additional file </w:t>
      </w:r>
      <w:r w:rsidRPr="0075734B">
        <w:rPr>
          <w:rFonts w:ascii="Times New Roman" w:hAnsi="Times New Roman" w:cs="Times New Roman"/>
          <w:b/>
          <w:iCs/>
        </w:rPr>
        <w:t>3: Low and middle-income countries with and without diabetes and diabetic retinopathy plans, strategies or policies and existing National diabetic eye screening programmes</w:t>
      </w:r>
    </w:p>
    <w:tbl>
      <w:tblPr>
        <w:tblStyle w:val="TableGrid1"/>
        <w:tblW w:w="14454" w:type="dxa"/>
        <w:tblLayout w:type="fixed"/>
        <w:tblLook w:val="04A0" w:firstRow="1" w:lastRow="0" w:firstColumn="1" w:lastColumn="0" w:noHBand="0" w:noVBand="1"/>
        <w:tblCaption w:val="Table 2.1: Low and middle-income countries with and without diabetic retinopathy plans, strategies or policies and existing national diabetic eye screening programmes"/>
      </w:tblPr>
      <w:tblGrid>
        <w:gridCol w:w="1271"/>
        <w:gridCol w:w="1559"/>
        <w:gridCol w:w="1560"/>
        <w:gridCol w:w="1417"/>
        <w:gridCol w:w="1559"/>
        <w:gridCol w:w="1701"/>
        <w:gridCol w:w="1560"/>
        <w:gridCol w:w="1984"/>
        <w:gridCol w:w="1843"/>
      </w:tblGrid>
      <w:tr w:rsidR="00BD1CEF" w:rsidRPr="00332A71" w:rsidTr="00CB137C">
        <w:trPr>
          <w:trHeight w:val="20"/>
        </w:trPr>
        <w:tc>
          <w:tcPr>
            <w:tcW w:w="127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b/>
                <w:sz w:val="20"/>
                <w:szCs w:val="20"/>
              </w:rPr>
            </w:pPr>
            <w:r w:rsidRPr="00332A71">
              <w:rPr>
                <w:rFonts w:ascii="Times New Roman" w:hAnsi="Times New Roman" w:cs="Times New Roman"/>
                <w:b/>
                <w:sz w:val="20"/>
                <w:szCs w:val="20"/>
              </w:rPr>
              <w:t>Country income level</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b/>
                <w:sz w:val="20"/>
                <w:szCs w:val="20"/>
              </w:rPr>
            </w:pPr>
            <w:r w:rsidRPr="00332A71">
              <w:rPr>
                <w:rFonts w:ascii="Times New Roman" w:hAnsi="Times New Roman" w:cs="Times New Roman"/>
                <w:b/>
                <w:sz w:val="20"/>
                <w:szCs w:val="20"/>
              </w:rPr>
              <w:t>Country</w:t>
            </w:r>
          </w:p>
          <w:p w:rsidR="00BD1CEF" w:rsidRPr="00332A71" w:rsidRDefault="00BD1CEF" w:rsidP="00CB137C">
            <w:pPr>
              <w:spacing w:before="100" w:beforeAutospacing="1" w:after="100" w:afterAutospacing="1"/>
              <w:contextualSpacing/>
              <w:rPr>
                <w:rFonts w:ascii="Times New Roman" w:hAnsi="Times New Roman" w:cs="Times New Roman"/>
                <w:b/>
                <w:sz w:val="20"/>
                <w:szCs w:val="20"/>
              </w:rPr>
            </w:pPr>
            <w:r w:rsidRPr="00332A71">
              <w:rPr>
                <w:rFonts w:ascii="Times New Roman" w:hAnsi="Times New Roman" w:cs="Times New Roman"/>
                <w:b/>
                <w:sz w:val="20"/>
                <w:szCs w:val="20"/>
              </w:rPr>
              <w:t>Name</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b/>
                <w:sz w:val="20"/>
                <w:szCs w:val="20"/>
              </w:rPr>
            </w:pPr>
            <w:r w:rsidRPr="00332A71">
              <w:rPr>
                <w:rFonts w:ascii="Times New Roman" w:hAnsi="Times New Roman" w:cs="Times New Roman"/>
                <w:b/>
                <w:sz w:val="20"/>
                <w:szCs w:val="20"/>
              </w:rPr>
              <w:t>Author name and publication year</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b/>
                <w:sz w:val="20"/>
                <w:szCs w:val="20"/>
              </w:rPr>
            </w:pPr>
            <w:r w:rsidRPr="00332A71">
              <w:rPr>
                <w:rFonts w:ascii="Times New Roman" w:hAnsi="Times New Roman" w:cs="Times New Roman"/>
                <w:b/>
                <w:sz w:val="20"/>
                <w:szCs w:val="20"/>
              </w:rPr>
              <w:t>Availability of a national DM / NCD action plan / strategic plan / policy</w:t>
            </w:r>
          </w:p>
          <w:p w:rsidR="00BD1CEF" w:rsidRPr="00332A71" w:rsidRDefault="00BD1CEF" w:rsidP="00CB137C">
            <w:pPr>
              <w:spacing w:before="100" w:beforeAutospacing="1" w:after="100" w:afterAutospacing="1"/>
              <w:contextualSpacing/>
              <w:rPr>
                <w:rFonts w:ascii="Times New Roman" w:hAnsi="Times New Roman" w:cs="Times New Roman"/>
                <w:b/>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b/>
                <w:sz w:val="20"/>
                <w:szCs w:val="20"/>
              </w:rPr>
            </w:pPr>
            <w:r w:rsidRPr="00332A71">
              <w:rPr>
                <w:rFonts w:ascii="Times New Roman" w:hAnsi="Times New Roman" w:cs="Times New Roman"/>
                <w:b/>
                <w:sz w:val="20"/>
                <w:szCs w:val="20"/>
              </w:rPr>
              <w:t>Status of inclusion of DR in national DM / NCD action plan / strategic plan / policy</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b/>
                <w:sz w:val="20"/>
                <w:szCs w:val="20"/>
              </w:rPr>
            </w:pPr>
            <w:r w:rsidRPr="00332A71">
              <w:rPr>
                <w:rFonts w:ascii="Times New Roman" w:hAnsi="Times New Roman" w:cs="Times New Roman"/>
                <w:b/>
                <w:sz w:val="20"/>
                <w:szCs w:val="20"/>
              </w:rPr>
              <w:t>Status of inclusion of DR in national blindness prevention action plan / strategic plan/policy</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b/>
                <w:sz w:val="20"/>
                <w:szCs w:val="20"/>
              </w:rPr>
            </w:pPr>
            <w:r w:rsidRPr="00332A71">
              <w:rPr>
                <w:rFonts w:ascii="Times New Roman" w:hAnsi="Times New Roman" w:cs="Times New Roman"/>
                <w:b/>
                <w:sz w:val="20"/>
                <w:szCs w:val="20"/>
              </w:rPr>
              <w:t>Status of development of a national level DR* policy (based on policy cycle approach)</w:t>
            </w: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b/>
                <w:sz w:val="20"/>
                <w:szCs w:val="20"/>
              </w:rPr>
            </w:pPr>
            <w:r w:rsidRPr="00332A71">
              <w:rPr>
                <w:rFonts w:ascii="Times New Roman" w:hAnsi="Times New Roman" w:cs="Times New Roman"/>
                <w:b/>
                <w:sz w:val="20"/>
                <w:szCs w:val="20"/>
              </w:rPr>
              <w:t>Proposed DR screening modality at the national level</w:t>
            </w:r>
          </w:p>
        </w:tc>
        <w:tc>
          <w:tcPr>
            <w:tcW w:w="1843"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b/>
                <w:sz w:val="20"/>
                <w:szCs w:val="20"/>
              </w:rPr>
            </w:pPr>
            <w:r w:rsidRPr="00332A71">
              <w:rPr>
                <w:rFonts w:ascii="Times New Roman" w:hAnsi="Times New Roman" w:cs="Times New Roman"/>
                <w:b/>
                <w:sz w:val="20"/>
                <w:szCs w:val="20"/>
              </w:rPr>
              <w:t>Level of implementation of a national level or sub-national level DESP</w:t>
            </w:r>
          </w:p>
        </w:tc>
      </w:tr>
      <w:tr w:rsidR="00BD1CEF" w:rsidRPr="00332A71" w:rsidTr="00CB137C">
        <w:trPr>
          <w:trHeight w:val="20"/>
        </w:trPr>
        <w:tc>
          <w:tcPr>
            <w:tcW w:w="1271" w:type="dxa"/>
            <w:vMerge w:val="restart"/>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b/>
                <w:bCs/>
                <w:sz w:val="20"/>
                <w:szCs w:val="20"/>
              </w:rPr>
            </w:pPr>
            <w:r w:rsidRPr="00332A71">
              <w:rPr>
                <w:rFonts w:ascii="Times New Roman" w:hAnsi="Times New Roman" w:cs="Times New Roman"/>
                <w:b/>
                <w:bCs/>
                <w:sz w:val="20"/>
                <w:szCs w:val="20"/>
              </w:rPr>
              <w:t xml:space="preserve">LIC </w:t>
            </w:r>
          </w:p>
          <w:p w:rsidR="00BD1CEF" w:rsidRPr="00332A71" w:rsidRDefault="00BD1CEF" w:rsidP="00CB137C">
            <w:pPr>
              <w:spacing w:before="100" w:beforeAutospacing="1" w:after="100" w:afterAutospacing="1"/>
              <w:contextualSpacing/>
              <w:rPr>
                <w:rFonts w:ascii="Times New Roman" w:hAnsi="Times New Roman" w:cs="Times New Roman"/>
                <w:bCs/>
                <w:sz w:val="20"/>
                <w:szCs w:val="20"/>
              </w:rPr>
            </w:pPr>
            <w:r w:rsidRPr="00332A71">
              <w:rPr>
                <w:rFonts w:ascii="Times New Roman" w:hAnsi="Times New Roman" w:cs="Times New Roman"/>
                <w:b/>
                <w:bCs/>
                <w:sz w:val="20"/>
                <w:szCs w:val="20"/>
              </w:rPr>
              <w:t>(Low-income countries)</w:t>
            </w:r>
            <w:r w:rsidRPr="00332A71">
              <w:rPr>
                <w:rFonts w:ascii="Times New Roman" w:hAnsi="Times New Roman" w:cs="Times New Roman"/>
                <w:bCs/>
                <w:sz w:val="20"/>
                <w:szCs w:val="20"/>
              </w:rPr>
              <w:t xml:space="preserve"> (n=29)</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Afghanistan</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Burkina Faso</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Burundi</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Central Africa</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Chad</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Congo Dem Rep</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Eritrea</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Ethiopia</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Gambia</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Guinea</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Guinea-Bissau</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Haiti</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IDF, 2020</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N/A</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eastAsia="Times New Roman" w:hAnsi="Times New Roman" w:cs="Times New Roman"/>
                <w:color w:val="000000"/>
                <w:sz w:val="20"/>
                <w:szCs w:val="20"/>
                <w:lang w:eastAsia="en-GB"/>
              </w:rPr>
              <w:t>No data identified</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Automated image grading</w:t>
            </w:r>
          </w:p>
        </w:tc>
        <w:tc>
          <w:tcPr>
            <w:tcW w:w="1843" w:type="dxa"/>
            <w:shd w:val="clear" w:color="auto" w:fill="FFFF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Partially implemented (Sub-national)</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Korea, Dem</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Liberia</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Madagascar</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Malawi</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 xml:space="preserve">CECH, 2019 </w:t>
            </w:r>
            <w:r w:rsidRPr="00332A71">
              <w:rPr>
                <w:rFonts w:ascii="Times New Roman" w:hAnsi="Times New Roman" w:cs="Times New Roman"/>
                <w:sz w:val="20"/>
                <w:szCs w:val="20"/>
              </w:rPr>
              <w:fldChar w:fldCharType="begin" w:fldLock="1"/>
            </w:r>
            <w:r w:rsidRPr="00332A71">
              <w:rPr>
                <w:rFonts w:ascii="Times New Roman" w:hAnsi="Times New Roman" w:cs="Times New Roman"/>
                <w:sz w:val="20"/>
                <w:szCs w:val="20"/>
              </w:rPr>
              <w:instrText>ADDIN CSL_CITATION {"citationItems":[{"id":"ITEM-1","itemData":{"DOI":"10.1057/978-1-349-95943-3_270","author":[{"dropping-particle":"","family":"Evaluation","given":"Final","non-dropping-particle":"","parse-names":false,"suffix":""}],"container-title":"The Grants Register 2020","id":"ITEM-1","issue":"March","issued":{"date-parts":[["2019"]]},"page":"266-267","title":"Commonwealth Eye Health Consortium","type":"article-journal"},"uris":["http://www.mendeley.com/documents/?uuid=9857305f-358f-4819-a81b-899fbdc36ab3"]}],"mendeley":{"formattedCitation":"(46)","plainTextFormattedCitation":"(46)","previouslyFormattedCitation":"(46)"},"properties":{"noteIndex":0},"schema":"https://github.com/citation-style-language/schema/raw/master/csl-citation.json"}</w:instrText>
            </w:r>
            <w:r w:rsidRPr="00332A71">
              <w:rPr>
                <w:rFonts w:ascii="Times New Roman" w:hAnsi="Times New Roman" w:cs="Times New Roman"/>
                <w:sz w:val="20"/>
                <w:szCs w:val="20"/>
              </w:rPr>
              <w:fldChar w:fldCharType="separate"/>
            </w:r>
            <w:r w:rsidRPr="00332A71">
              <w:rPr>
                <w:rFonts w:ascii="Times New Roman" w:hAnsi="Times New Roman" w:cs="Times New Roman"/>
                <w:noProof/>
                <w:sz w:val="20"/>
                <w:szCs w:val="20"/>
              </w:rPr>
              <w:t>(46)</w:t>
            </w:r>
            <w:r w:rsidRPr="00332A71">
              <w:rPr>
                <w:rFonts w:ascii="Times New Roman" w:hAnsi="Times New Roman" w:cs="Times New Roman"/>
                <w:sz w:val="20"/>
                <w:szCs w:val="20"/>
              </w:rPr>
              <w:fldChar w:fldCharType="end"/>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eastAsia="Times New Roman" w:hAnsi="Times New Roman" w:cs="Times New Roman"/>
                <w:color w:val="000000"/>
                <w:sz w:val="20"/>
                <w:szCs w:val="20"/>
                <w:lang w:eastAsia="en-GB"/>
              </w:rPr>
              <w:t>No data identified</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eastAsia="Times New Roman" w:hAnsi="Times New Roman" w:cs="Times New Roman"/>
                <w:color w:val="000000"/>
                <w:sz w:val="20"/>
                <w:szCs w:val="20"/>
                <w:lang w:eastAsia="en-GB"/>
              </w:rPr>
              <w:t>No data identified</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National DR framework in place</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(Later stage)</w:t>
            </w: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eastAsia="Times New Roman" w:hAnsi="Times New Roman" w:cs="Times New Roman"/>
                <w:color w:val="000000"/>
                <w:sz w:val="20"/>
                <w:szCs w:val="20"/>
                <w:lang w:eastAsia="en-GB"/>
              </w:rPr>
              <w:t>No data identified</w:t>
            </w:r>
          </w:p>
        </w:tc>
        <w:tc>
          <w:tcPr>
            <w:tcW w:w="1843"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eastAsia="Times New Roman" w:hAnsi="Times New Roman" w:cs="Times New Roman"/>
                <w:color w:val="000000"/>
                <w:sz w:val="20"/>
                <w:szCs w:val="20"/>
                <w:lang w:eastAsia="en-GB"/>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Mali</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Mozambique</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Niger</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Rwanda</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Sierra Leone</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Somalia</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South Sudan</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Sudan</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Syrian Arab Republic</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Tajikistan</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Togo</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Uganda</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 xml:space="preserve">CECH, 2019 </w:t>
            </w:r>
            <w:r w:rsidRPr="00332A71">
              <w:rPr>
                <w:rFonts w:ascii="Times New Roman" w:hAnsi="Times New Roman" w:cs="Times New Roman"/>
                <w:sz w:val="20"/>
                <w:szCs w:val="20"/>
              </w:rPr>
              <w:fldChar w:fldCharType="begin" w:fldLock="1"/>
            </w:r>
            <w:r w:rsidRPr="00332A71">
              <w:rPr>
                <w:rFonts w:ascii="Times New Roman" w:hAnsi="Times New Roman" w:cs="Times New Roman"/>
                <w:sz w:val="20"/>
                <w:szCs w:val="20"/>
              </w:rPr>
              <w:instrText>ADDIN CSL_CITATION {"citationItems":[{"id":"ITEM-1","itemData":{"DOI":"10.1057/978-1-349-95943-3_270","author":[{"dropping-particle":"","family":"Evaluation","given":"Final","non-dropping-particle":"","parse-names":false,"suffix":""}],"container-title":"The Grants Register 2020","id":"ITEM-1","issue":"March","issued":{"date-parts":[["2019"]]},"page":"266-267","title":"Commonwealth Eye Health Consortium","type":"article-journal"},"uris":["http://www.mendeley.com/documents/?uuid=9857305f-358f-4819-a81b-899fbdc36ab3"]}],"mendeley":{"formattedCitation":"(46)","plainTextFormattedCitation":"(46)","previouslyFormattedCitation":"(46)"},"properties":{"noteIndex":0},"schema":"https://github.com/citation-style-language/schema/raw/master/csl-citation.json"}</w:instrText>
            </w:r>
            <w:r w:rsidRPr="00332A71">
              <w:rPr>
                <w:rFonts w:ascii="Times New Roman" w:hAnsi="Times New Roman" w:cs="Times New Roman"/>
                <w:sz w:val="20"/>
                <w:szCs w:val="20"/>
              </w:rPr>
              <w:fldChar w:fldCharType="separate"/>
            </w:r>
            <w:r w:rsidRPr="00332A71">
              <w:rPr>
                <w:rFonts w:ascii="Times New Roman" w:hAnsi="Times New Roman" w:cs="Times New Roman"/>
                <w:noProof/>
                <w:sz w:val="20"/>
                <w:szCs w:val="20"/>
              </w:rPr>
              <w:t>(46)</w:t>
            </w:r>
            <w:r w:rsidRPr="00332A71">
              <w:rPr>
                <w:rFonts w:ascii="Times New Roman" w:hAnsi="Times New Roman" w:cs="Times New Roman"/>
                <w:sz w:val="20"/>
                <w:szCs w:val="20"/>
              </w:rPr>
              <w:fldChar w:fldCharType="end"/>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eastAsia="Times New Roman" w:hAnsi="Times New Roman" w:cs="Times New Roman"/>
                <w:color w:val="000000"/>
                <w:sz w:val="20"/>
                <w:szCs w:val="20"/>
                <w:lang w:eastAsia="en-GB"/>
              </w:rPr>
              <w:t>No data identified</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eastAsia="Times New Roman" w:hAnsi="Times New Roman" w:cs="Times New Roman"/>
                <w:color w:val="000000"/>
                <w:sz w:val="20"/>
                <w:szCs w:val="20"/>
                <w:lang w:eastAsia="en-GB"/>
              </w:rPr>
              <w:t>No data identified</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National DR framework</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(Later stage)</w:t>
            </w: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eastAsia="Times New Roman" w:hAnsi="Times New Roman" w:cs="Times New Roman"/>
                <w:color w:val="000000"/>
                <w:sz w:val="20"/>
                <w:szCs w:val="20"/>
                <w:lang w:eastAsia="en-GB"/>
              </w:rPr>
              <w:t>No data identified</w:t>
            </w:r>
          </w:p>
        </w:tc>
        <w:tc>
          <w:tcPr>
            <w:tcW w:w="1843"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eastAsia="Times New Roman" w:hAnsi="Times New Roman" w:cs="Times New Roman"/>
                <w:color w:val="000000"/>
                <w:sz w:val="20"/>
                <w:szCs w:val="20"/>
                <w:lang w:eastAsia="en-GB"/>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Yemen, Rep.</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IDF 2020</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N/A</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eastAsia="Times New Roman" w:hAnsi="Times New Roman" w:cs="Times New Roman"/>
                <w:color w:val="000000"/>
                <w:sz w:val="20"/>
                <w:szCs w:val="20"/>
                <w:lang w:eastAsia="en-GB"/>
              </w:rPr>
              <w:t>No data identified</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843"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DESP</w:t>
            </w:r>
          </w:p>
        </w:tc>
      </w:tr>
      <w:tr w:rsidR="00BD1CEF" w:rsidRPr="00332A71" w:rsidTr="00CB137C">
        <w:trPr>
          <w:trHeight w:val="558"/>
        </w:trPr>
        <w:tc>
          <w:tcPr>
            <w:tcW w:w="1271" w:type="dxa"/>
            <w:vMerge w:val="restart"/>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b/>
                <w:sz w:val="20"/>
                <w:szCs w:val="20"/>
              </w:rPr>
              <w:t xml:space="preserve">LMIC (Lower-middle income) </w:t>
            </w:r>
            <w:r w:rsidRPr="00332A71">
              <w:rPr>
                <w:rFonts w:ascii="Times New Roman" w:hAnsi="Times New Roman" w:cs="Times New Roman"/>
                <w:sz w:val="20"/>
                <w:szCs w:val="20"/>
              </w:rPr>
              <w:t>(n=50)</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Angola</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711"/>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Algeria</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IDF,2020</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Not sure</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information</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eastAsia="Times New Roman" w:hAnsi="Times New Roman" w:cs="Times New Roman"/>
                <w:color w:val="000000"/>
                <w:sz w:val="20"/>
                <w:szCs w:val="20"/>
                <w:lang w:eastAsia="en-GB"/>
              </w:rPr>
              <w:t>No data identified</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Photographic screening</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843" w:type="dxa"/>
            <w:shd w:val="clear" w:color="auto" w:fill="FFFF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Partially implemented</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r>
      <w:tr w:rsidR="00BD1CEF" w:rsidRPr="00332A71" w:rsidTr="00CB137C">
        <w:trPr>
          <w:trHeight w:val="711"/>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vMerge w:val="restart"/>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Bangladesh</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roofErr w:type="spellStart"/>
            <w:r w:rsidRPr="00332A71">
              <w:rPr>
                <w:rFonts w:ascii="Times New Roman" w:hAnsi="Times New Roman" w:cs="Times New Roman"/>
                <w:sz w:val="20"/>
                <w:szCs w:val="20"/>
              </w:rPr>
              <w:t>Muqit</w:t>
            </w:r>
            <w:proofErr w:type="spellEnd"/>
            <w:r w:rsidRPr="00332A71">
              <w:rPr>
                <w:rFonts w:ascii="Times New Roman" w:hAnsi="Times New Roman" w:cs="Times New Roman"/>
                <w:sz w:val="20"/>
                <w:szCs w:val="20"/>
              </w:rPr>
              <w:t xml:space="preserve"> MMK, 2019 </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 - DM health policy</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 – Action Plan</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(Later stage)</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Fundus screening (opportunistic)</w:t>
            </w:r>
          </w:p>
        </w:tc>
        <w:tc>
          <w:tcPr>
            <w:tcW w:w="1843" w:type="dxa"/>
            <w:shd w:val="clear" w:color="auto" w:fill="FFFF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Partially implemented (Sub-national)</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IDF 2020</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N/A</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eastAsia="Times New Roman" w:hAnsi="Times New Roman" w:cs="Times New Roman"/>
                <w:color w:val="000000"/>
                <w:sz w:val="20"/>
                <w:szCs w:val="20"/>
                <w:lang w:eastAsia="en-GB"/>
              </w:rPr>
              <w:t>No data identified</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Screening primarily by eye doctors in clinics.</w:t>
            </w:r>
          </w:p>
        </w:tc>
        <w:tc>
          <w:tcPr>
            <w:tcW w:w="1843" w:type="dxa"/>
            <w:shd w:val="clear" w:color="auto" w:fill="FFFF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Partially implemented (Regionally)</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Benin</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Bhutan</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Bolivia</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Cape Verde</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roofErr w:type="spellStart"/>
            <w:r w:rsidRPr="00332A71">
              <w:rPr>
                <w:rFonts w:ascii="Times New Roman" w:hAnsi="Times New Roman" w:cs="Times New Roman"/>
                <w:sz w:val="20"/>
                <w:szCs w:val="20"/>
              </w:rPr>
              <w:t>Schemann</w:t>
            </w:r>
            <w:proofErr w:type="spellEnd"/>
            <w:r w:rsidRPr="00332A71">
              <w:rPr>
                <w:rFonts w:ascii="Times New Roman" w:hAnsi="Times New Roman" w:cs="Times New Roman"/>
                <w:sz w:val="20"/>
                <w:szCs w:val="20"/>
              </w:rPr>
              <w:t xml:space="preserve"> JF et al, 2006 </w:t>
            </w:r>
            <w:r w:rsidRPr="00332A71">
              <w:rPr>
                <w:rFonts w:ascii="Times New Roman" w:hAnsi="Times New Roman" w:cs="Times New Roman"/>
                <w:sz w:val="20"/>
                <w:szCs w:val="20"/>
              </w:rPr>
              <w:fldChar w:fldCharType="begin" w:fldLock="1"/>
            </w:r>
            <w:r w:rsidRPr="00332A71">
              <w:rPr>
                <w:rFonts w:ascii="Times New Roman" w:hAnsi="Times New Roman" w:cs="Times New Roman"/>
                <w:sz w:val="20"/>
                <w:szCs w:val="20"/>
              </w:rPr>
              <w:instrText>ADDIN CSL_CITATION {"citationItems":[{"id":"ITEM-1","itemData":{"DOI":"10.1080/09286580600681347","ISSN":"09286586","PMID":"16877280","abstract":"Aims: Prior to establishing a national prevention of blindness program a population based survey was conducted in Cape Verde Islands in1998. The objectives of the survey were to estimate the overall and age-specific prevalence of blindness and low vision, to identify the main disorders causing blindness and low vision, and to estimate the population need for basic eye care services. Methods: A two-level cluster random sampling procedure was used, selecting 30 clusters from the nine inhabited islands and 3,803 persons of all ages were included in the sample. Results: 3,374 persons were examined (coverage 88.7%). The prevalence of bilateral blindness (visual acuity in the better eye less than 3/60) was 0.8% (95% confidence interval [CI] 0.5-1.1), of bilateral low vision (6/18 to 3/60 in the better eye) 1.7% (95% CI: 1.3-2.2) and of monocular blindness 1.5% (95% CI: 1.2-2.0). The major causes of blindness were age related cataract and glaucoma (57.7% and 15.4%, respectively, of blind people recruited). The major causes of bilateral low vision were cataract, refractive errors, and macular disorders (46.2%, 26.8%, and 8.9%, respectively, of persons with low vision). Nontrachomatous corneal opacities accounted for 7.7% of bilateral and for 11.5% of monocular blindness. Vascular retinopathy was responsible for 7.7% of bilateral and for 9.6% of monocular blindness. Trachoma is not a public health problem as only 2.3% of children less than 10 years of age were suffering from active trachoma. Palpebral or limbal vernal conjunctivitis were encountered in 4.5% of persons under 25. Conclusion: More than half of the visual impairments are treatable by provision of cataract surgery and cataract has been indicated as a priority target in the recently designed National Blindness Program of the Cape Verde Republic. Pathologic conditions such as diabetes are emerging as serious burden for ageing populations and account for most of the retinal vascular disease. Copyright © Informa Healthcare.","author":[{"dropping-particle":"","family":"Schémann","given":"Jean","non-dropping-particle":"","parse-names":false,"suffix":""},{"dropping-particle":"","family":"Inocencio","given":"Francesca","non-dropping-particle":"","parse-names":false,"suffix":""},{"dropping-particle":"","family":"Lourdes Monteiro","given":"Maria","non-dropping-particle":"De","parse-names":false,"suffix":""},{"dropping-particle":"","family":"Andrade","given":"Julio","non-dropping-particle":"","parse-names":false,"suffix":""},{"dropping-particle":"","family":"Auzemery","given":"Alain","non-dropping-particle":"","parse-names":false,"suffix":""},{"dropping-particle":"","family":"Guelfi","given":"Yves","non-dropping-particle":"","parse-names":false,"suffix":""}],"container-title":"Ophthalmic Epidemiology","id":"ITEM-1","issue":"4","issued":{"date-parts":[["2006"]]},"page":"219-226","title":"Blindness and low vision in Cape Verde Islands: Results of a national eye survey","type":"article-journal","volume":"13"},"uris":["http://www.mendeley.com/documents/?uuid=2a609ec4-f213-495c-8d20-f380aea705cd"]}],"mendeley":{"formattedCitation":"(20)","plainTextFormattedCitation":"(20)","previouslyFormattedCitation":"(20)"},"properties":{"noteIndex":0},"schema":"https://github.com/citation-style-language/schema/raw/master/csl-citation.json"}</w:instrText>
            </w:r>
            <w:r w:rsidRPr="00332A71">
              <w:rPr>
                <w:rFonts w:ascii="Times New Roman" w:hAnsi="Times New Roman" w:cs="Times New Roman"/>
                <w:sz w:val="20"/>
                <w:szCs w:val="20"/>
              </w:rPr>
              <w:fldChar w:fldCharType="separate"/>
            </w:r>
            <w:r w:rsidRPr="00332A71">
              <w:rPr>
                <w:rFonts w:ascii="Times New Roman" w:hAnsi="Times New Roman" w:cs="Times New Roman"/>
                <w:noProof/>
                <w:sz w:val="20"/>
                <w:szCs w:val="20"/>
              </w:rPr>
              <w:t>(20)</w:t>
            </w:r>
            <w:r w:rsidRPr="00332A71">
              <w:rPr>
                <w:rFonts w:ascii="Times New Roman" w:hAnsi="Times New Roman" w:cs="Times New Roman"/>
                <w:sz w:val="20"/>
                <w:szCs w:val="20"/>
              </w:rPr>
              <w:fldChar w:fldCharType="end"/>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 (National Eye Care Plan)</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(Later stage)</w:t>
            </w: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information</w:t>
            </w:r>
          </w:p>
        </w:tc>
        <w:tc>
          <w:tcPr>
            <w:tcW w:w="1843"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eastAsia="Times New Roman" w:hAnsi="Times New Roman" w:cs="Times New Roman"/>
                <w:color w:val="000000"/>
                <w:sz w:val="20"/>
                <w:szCs w:val="20"/>
                <w:lang w:eastAsia="en-GB"/>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Cambodia</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Cameroon</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IDF 2020</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Not sure</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information</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Not sure</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843"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DESP</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Comoros</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Congo, Rep.</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IDF, 2020</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 (National DM Policy)</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 (D</w:t>
            </w:r>
            <w:r>
              <w:rPr>
                <w:rFonts w:ascii="Times New Roman" w:hAnsi="Times New Roman" w:cs="Times New Roman"/>
                <w:sz w:val="20"/>
                <w:szCs w:val="20"/>
              </w:rPr>
              <w:t>R</w:t>
            </w:r>
            <w:r w:rsidRPr="00332A71">
              <w:rPr>
                <w:rFonts w:ascii="Times New Roman" w:hAnsi="Times New Roman" w:cs="Times New Roman"/>
                <w:sz w:val="20"/>
                <w:szCs w:val="20"/>
              </w:rPr>
              <w:t xml:space="preserve"> included in </w:t>
            </w:r>
            <w:r w:rsidRPr="00332A71">
              <w:rPr>
                <w:rFonts w:ascii="Times New Roman" w:hAnsi="Times New Roman" w:cs="Times New Roman"/>
                <w:sz w:val="20"/>
                <w:szCs w:val="20"/>
              </w:rPr>
              <w:lastRenderedPageBreak/>
              <w:t>national DM policy)</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eastAsia="Times New Roman" w:hAnsi="Times New Roman" w:cs="Times New Roman"/>
                <w:color w:val="000000"/>
                <w:sz w:val="20"/>
                <w:szCs w:val="20"/>
                <w:lang w:eastAsia="en-GB"/>
              </w:rPr>
              <w:lastRenderedPageBreak/>
              <w:t>No data identified</w:t>
            </w:r>
          </w:p>
        </w:tc>
        <w:tc>
          <w:tcPr>
            <w:tcW w:w="1560" w:type="dxa"/>
            <w:shd w:val="clear" w:color="auto" w:fill="FFC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Policy formation</w:t>
            </w: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Photographic screening</w:t>
            </w:r>
          </w:p>
        </w:tc>
        <w:tc>
          <w:tcPr>
            <w:tcW w:w="1843" w:type="dxa"/>
            <w:shd w:val="clear" w:color="auto" w:fill="92D05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 (National)</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Côte d'Ivoire</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Djibouti</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Egypt</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IDF,2020</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 (National DM Policy)</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Not sure</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eastAsia="Times New Roman" w:hAnsi="Times New Roman" w:cs="Times New Roman"/>
                <w:color w:val="000000"/>
                <w:sz w:val="20"/>
                <w:szCs w:val="20"/>
                <w:lang w:eastAsia="en-GB"/>
              </w:rPr>
              <w:t>No data identified</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843"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DESP</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El Salvador</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roofErr w:type="spellStart"/>
            <w:r w:rsidRPr="00332A71">
              <w:rPr>
                <w:rFonts w:ascii="Times New Roman" w:hAnsi="Times New Roman" w:cs="Times New Roman"/>
                <w:sz w:val="20"/>
                <w:szCs w:val="20"/>
              </w:rPr>
              <w:t>Eswatini</w:t>
            </w:r>
            <w:proofErr w:type="spellEnd"/>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Ghana</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 xml:space="preserve">CECH, 2019 </w:t>
            </w:r>
            <w:r w:rsidRPr="00332A71">
              <w:rPr>
                <w:rFonts w:ascii="Times New Roman" w:hAnsi="Times New Roman" w:cs="Times New Roman"/>
                <w:sz w:val="20"/>
                <w:szCs w:val="20"/>
              </w:rPr>
              <w:fldChar w:fldCharType="begin" w:fldLock="1"/>
            </w:r>
            <w:r w:rsidRPr="00332A71">
              <w:rPr>
                <w:rFonts w:ascii="Times New Roman" w:hAnsi="Times New Roman" w:cs="Times New Roman"/>
                <w:sz w:val="20"/>
                <w:szCs w:val="20"/>
              </w:rPr>
              <w:instrText>ADDIN CSL_CITATION {"citationItems":[{"id":"ITEM-1","itemData":{"DOI":"10.1057/978-1-349-95943-3_270","author":[{"dropping-particle":"","family":"Evaluation","given":"Final","non-dropping-particle":"","parse-names":false,"suffix":""}],"container-title":"The Grants Register 2020","id":"ITEM-1","issue":"March","issued":{"date-parts":[["2019"]]},"page":"266-267","title":"Commonwealth Eye Health Consortium","type":"article-journal"},"uris":["http://www.mendeley.com/documents/?uuid=9857305f-358f-4819-a81b-899fbdc36ab3"]}],"mendeley":{"formattedCitation":"(46)","plainTextFormattedCitation":"(46)","previouslyFormattedCitation":"(46)"},"properties":{"noteIndex":0},"schema":"https://github.com/citation-style-language/schema/raw/master/csl-citation.json"}</w:instrText>
            </w:r>
            <w:r w:rsidRPr="00332A71">
              <w:rPr>
                <w:rFonts w:ascii="Times New Roman" w:hAnsi="Times New Roman" w:cs="Times New Roman"/>
                <w:sz w:val="20"/>
                <w:szCs w:val="20"/>
              </w:rPr>
              <w:fldChar w:fldCharType="separate"/>
            </w:r>
            <w:r w:rsidRPr="00332A71">
              <w:rPr>
                <w:rFonts w:ascii="Times New Roman" w:hAnsi="Times New Roman" w:cs="Times New Roman"/>
                <w:noProof/>
                <w:sz w:val="20"/>
                <w:szCs w:val="20"/>
              </w:rPr>
              <w:t>(46)</w:t>
            </w:r>
            <w:r w:rsidRPr="00332A71">
              <w:rPr>
                <w:rFonts w:ascii="Times New Roman" w:hAnsi="Times New Roman" w:cs="Times New Roman"/>
                <w:sz w:val="20"/>
                <w:szCs w:val="20"/>
              </w:rPr>
              <w:fldChar w:fldCharType="end"/>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eastAsia="Times New Roman" w:hAnsi="Times New Roman" w:cs="Times New Roman"/>
                <w:color w:val="000000"/>
                <w:sz w:val="20"/>
                <w:szCs w:val="20"/>
                <w:lang w:eastAsia="en-GB"/>
              </w:rPr>
              <w:t>No data identified</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eastAsia="Times New Roman" w:hAnsi="Times New Roman" w:cs="Times New Roman"/>
                <w:color w:val="000000"/>
                <w:sz w:val="20"/>
                <w:szCs w:val="20"/>
                <w:lang w:eastAsia="en-GB"/>
              </w:rPr>
              <w:t>No data identified</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National DR framework in place</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(Later stage)</w:t>
            </w: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eastAsia="Times New Roman" w:hAnsi="Times New Roman" w:cs="Times New Roman"/>
                <w:color w:val="000000"/>
                <w:sz w:val="20"/>
                <w:szCs w:val="20"/>
                <w:lang w:eastAsia="en-GB"/>
              </w:rPr>
              <w:t>No data identified</w:t>
            </w:r>
          </w:p>
        </w:tc>
        <w:tc>
          <w:tcPr>
            <w:tcW w:w="1843"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eastAsia="Times New Roman" w:hAnsi="Times New Roman" w:cs="Times New Roman"/>
                <w:color w:val="000000"/>
                <w:sz w:val="20"/>
                <w:szCs w:val="20"/>
                <w:lang w:eastAsia="en-GB"/>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Honduras</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IDF,2020</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Not sure</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information</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Not sure</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Screening primarily by eye doctors in clinics</w:t>
            </w:r>
          </w:p>
        </w:tc>
        <w:tc>
          <w:tcPr>
            <w:tcW w:w="1843" w:type="dxa"/>
            <w:shd w:val="clear" w:color="auto" w:fill="FFFF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Partially implemented (Nationally)</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vMerge w:val="restart"/>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India</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 xml:space="preserve">Murthy GVS et al, 2020 </w:t>
            </w:r>
            <w:r w:rsidRPr="00332A71">
              <w:rPr>
                <w:rFonts w:ascii="Times New Roman" w:hAnsi="Times New Roman" w:cs="Times New Roman"/>
                <w:sz w:val="20"/>
                <w:szCs w:val="20"/>
              </w:rPr>
              <w:fldChar w:fldCharType="begin" w:fldLock="1"/>
            </w:r>
            <w:r w:rsidRPr="00332A71">
              <w:rPr>
                <w:rFonts w:ascii="Times New Roman" w:hAnsi="Times New Roman" w:cs="Times New Roman"/>
                <w:sz w:val="20"/>
                <w:szCs w:val="20"/>
              </w:rPr>
              <w:instrText>ADDIN CSL_CITATION {"citationItems":[{"id":"ITEM-1","itemData":{"DOI":"10.4103/ijo.IJO_1964_19","ISSN":"19983689","PMID":"31937722","abstract":"Purpose: Diabetes is a public health concern in India and diabetic retinopathy (DR) is an emerging cause of visual impairment and blindness. Approximately 3.35-4.55 million people with diabetes mellitus (PwDM) are at risk of vision-threatening DR (VTDR) in India. More than 2/3 of India's population resides in rural areas where penetration of modern medicine is mostly limited to the government public health system. Despite the increasing magnitude, there is no systematic screening for the complications of diabetes, including DR in the public health system. Therefore, a pilot project was initiated with the major objectives of management of DR at all levels of the government health system, initiating a comprehensive program for the detection of eye complications among PwDM at public health noncommunicable disease (NCD) clinics, augmenting the capacity of physicians, ophthalmologists and health support personnel and empowering carers/PwDM to control the risk of DR through increased awareness and self-management. Methods: A national task force (NTF) was constituted to oversee policy formulation and provide strategic direction. 10 districts were identified for implementation across 10 states. Protocols were developed to help implement training and service delivery. Results: Overall, 66,455 PwDM were screened and DR was detected in 16.2% (10,765) while VTDR was detected in 7.5%. 10.1% of those initially screened returned for the next annual assessment. There was a 7-fold increase in the number of PwDM screened and a 7.6-fold increase in the number of PwDM treated between 2016 and 2018. Conclusion: Services for detecting and managing DR can be successfully integrated into the existing public health system.","author":[{"dropping-particle":"","family":"Murthy","given":"G. V.S.","non-dropping-particle":"","parse-names":false,"suffix":""},{"dropping-particle":"","family":"Gilbert","given":"Clare","non-dropping-particle":"","parse-names":false,"suffix":""},{"dropping-particle":"","family":"Shukla","given":"Rajan","non-dropping-particle":"","parse-names":false,"suffix":""},{"dropping-particle":"","family":"Bala","given":"Vidyadhar","non-dropping-particle":"","parse-names":false,"suffix":""},{"dropping-particle":"","family":"Anirudh","given":"Gaurang","non-dropping-particle":"","parse-names":false,"suffix":""},{"dropping-particle":"","family":"Mukpalkar","given":"Sridivya","non-dropping-particle":"","parse-names":false,"suffix":""},{"dropping-particle":"","family":"Yamarthi","given":"Pavani","non-dropping-particle":"","parse-names":false,"suffix":""},{"dropping-particle":"","family":"Pendyala","given":"Suneetha","non-dropping-particle":"","parse-names":false,"suffix":""},{"dropping-particle":"","family":"Puppala","given":"Anusha","non-dropping-particle":"","parse-names":false,"suffix":""},{"dropping-particle":"","family":"Supriya","given":"Edla","non-dropping-particle":"","parse-names":false,"suffix":""},{"dropping-particle":"","family":"Batchu","given":"Tripura","non-dropping-particle":"","parse-names":false,"suffix":""}],"container-title":"Indian Journal of Ophthalmology","id":"ITEM-1","issued":{"date-parts":[["2020"]]},"title":"Overview and project highlights of an initiative to integrate diabetic retinopathy screening and management in the public health system in India","type":"article-journal"},"uris":["http://www.mendeley.com/documents/?uuid=267ecb1c-7544-43f1-a09d-ef69521a9c80"]}],"mendeley":{"formattedCitation":"(34)","plainTextFormattedCitation":"(34)","previouslyFormattedCitation":"(34)"},"properties":{"noteIndex":0},"schema":"https://github.com/citation-style-language/schema/raw/master/csl-citation.json"}</w:instrText>
            </w:r>
            <w:r w:rsidRPr="00332A71">
              <w:rPr>
                <w:rFonts w:ascii="Times New Roman" w:hAnsi="Times New Roman" w:cs="Times New Roman"/>
                <w:sz w:val="20"/>
                <w:szCs w:val="20"/>
              </w:rPr>
              <w:fldChar w:fldCharType="separate"/>
            </w:r>
            <w:r w:rsidRPr="00332A71">
              <w:rPr>
                <w:rFonts w:ascii="Times New Roman" w:hAnsi="Times New Roman" w:cs="Times New Roman"/>
                <w:noProof/>
                <w:sz w:val="20"/>
                <w:szCs w:val="20"/>
              </w:rPr>
              <w:t>(34)</w:t>
            </w:r>
            <w:r w:rsidRPr="00332A71">
              <w:rPr>
                <w:rFonts w:ascii="Times New Roman" w:hAnsi="Times New Roman" w:cs="Times New Roman"/>
                <w:sz w:val="20"/>
                <w:szCs w:val="20"/>
              </w:rPr>
              <w:fldChar w:fldCharType="end"/>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 NCD guidelines including DM prepared</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 DR guidelines (not legal documentation)</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Various modalities from static to mobile</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843" w:type="dxa"/>
            <w:shd w:val="clear" w:color="auto" w:fill="FFFF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Partially implemented (Sub-national)</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IDF,2020</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 (National DM Policy)</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eastAsia="Times New Roman" w:hAnsi="Times New Roman" w:cs="Times New Roman"/>
                <w:color w:val="000000"/>
                <w:sz w:val="20"/>
                <w:szCs w:val="20"/>
                <w:lang w:eastAsia="en-GB"/>
              </w:rPr>
              <w:t>No data identified</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843"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DESP</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vMerge w:val="restart"/>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Kenya</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roofErr w:type="spellStart"/>
            <w:r w:rsidRPr="00332A71">
              <w:rPr>
                <w:rFonts w:ascii="Times New Roman" w:hAnsi="Times New Roman" w:cs="Times New Roman"/>
                <w:sz w:val="20"/>
                <w:szCs w:val="20"/>
              </w:rPr>
              <w:t>Mwangi</w:t>
            </w:r>
            <w:proofErr w:type="spellEnd"/>
            <w:r w:rsidRPr="00332A71">
              <w:rPr>
                <w:rFonts w:ascii="Times New Roman" w:hAnsi="Times New Roman" w:cs="Times New Roman"/>
                <w:sz w:val="20"/>
                <w:szCs w:val="20"/>
              </w:rPr>
              <w:t xml:space="preserve"> et al, 2018 </w:t>
            </w:r>
            <w:r w:rsidRPr="00332A71">
              <w:rPr>
                <w:rFonts w:ascii="Times New Roman" w:hAnsi="Times New Roman" w:cs="Times New Roman"/>
                <w:sz w:val="20"/>
                <w:szCs w:val="20"/>
              </w:rPr>
              <w:fldChar w:fldCharType="begin" w:fldLock="1"/>
            </w:r>
            <w:r w:rsidRPr="00332A71">
              <w:rPr>
                <w:rFonts w:ascii="Times New Roman" w:hAnsi="Times New Roman" w:cs="Times New Roman"/>
                <w:sz w:val="20"/>
                <w:szCs w:val="20"/>
              </w:rPr>
              <w:instrText>ADDIN CSL_CITATION {"citationItems":[{"id":"ITEM-1","itemData":{"DOI":"10.1186/s12889-018-5761-6","ISSN":"14712458","PMID":"30005643","abstract":"Background: All patients with diabetes are at risk of developing diabetic retinopathy (DR), a progressive and potentially blinding condition. Early treatment of DR prevents visual impairment and blindness. The natural history of DR is that it is asymptomatic until the advanced stages, thus annual retinal examination is recommended for early detection. Previous studies show that the uptake of regular retinal examination among people living with diabetes (PLWD) is low. In the Uptake of Retinal Examination in Diabetes (DURE) study, we will investigate the effectiveness of a complex intervention delivered within diabetes support groups to increase uptake of retinal examination. Methods: The DURE study will be a two-arm pragmatic cluster randomized clinical trial in Kirinyaga County, Kenya. Diabetes support groups will be randomly assigned to either the intervention or usual care conditions in a 1:1 ratio. The participants will be 700 PLWD who are members of support groups in Kirinyaga. To reduce contamination, the unit of randomization will be the support group. Peer supporters in the intervention arm will receive training to deliver the intervention. The intervention will include monthly group education on DR and individual member reminders to take the eye examination. The effectiveness of this intervention plus usual care will be compared to usual care practices alone. Participant data will be collected at baseline. The primary outcome is the proportion of PLWD who take up the eye examination at six months. Secondary outcomes include the characteristics of participants and peer supporters associated with uptake of eye examination for DR. Intention-to-treat analysis will be used to evaluate the primary and secondary outcomes. Discussion: Eye care programs need evidence of the effectiveness of peer supporter-led health education to improve attendance to retinal screening for the early detection of DR in an African setting. Given that the intervention combines standardization and flexibility, it has the potential to be adopted in other settings and to inform policies to promote DR screening.","author":[{"dropping-particle":"","family":"Mwangi","given":"Nyawira","non-dropping-particle":"","parse-names":false,"suffix":""},{"dropping-particle":"","family":"Ng'Ang'A","given":"Mark","non-dropping-particle":"","parse-names":false,"suffix":""},{"dropping-particle":"","family":"Gakuo","given":"Esbon","non-dropping-particle":"","parse-names":false,"suffix":""},{"dropping-particle":"","family":"Gichuhi","given":"Stephen","non-dropping-particle":"","parse-names":false,"suffix":""},{"dropping-particle":"","family":"Macleod","given":"David","non-dropping-particle":"","parse-names":false,"suffix":""},{"dropping-particle":"","family":"Moorman","given":"Consuela","non-dropping-particle":"","parse-names":false,"suffix":""},{"dropping-particle":"","family":"Muthami","given":"Lawrence","non-dropping-particle":"","parse-names":false,"suffix":""},{"dropping-particle":"","family":"Tum","given":"Peter","non-dropping-particle":"","parse-names":false,"suffix":""},{"dropping-particle":"","family":"Jalango","given":"Atieno","non-dropping-particle":"","parse-names":false,"suffix":""},{"dropping-particle":"","family":"Githeko","given":"Kibata","non-dropping-particle":"","parse-names":false,"suffix":""},{"dropping-particle":"","family":"Gichangi","given":"Michael","non-dropping-particle":"","parse-names":false,"suffix":""},{"dropping-particle":"","family":"Kibachio","given":"Joseph","non-dropping-particle":"","parse-names":false,"suffix":""},{"dropping-particle":"","family":"Bascaran","given":"Covadonga","non-dropping-particle":"","parse-names":false,"suffix":""},{"dropping-particle":"","family":"Foster","given":"Allen","non-dropping-particle":"","parse-names":false,"suffix":""}],"container-title":"BMC Public Health","id":"ITEM-1","issue":"1","issued":{"date-parts":[["2018"]]},"page":"1-11","publisher":"BMC Public Health","title":"Effectiveness of peer support to increase uptake of retinal examination for diabetic retinopathy: Study protocol for the DURE pragmatic cluster randomized clinical trial in Kirinyaga, Kenya","type":"article-journal","volume":"18"},"uris":["http://www.mendeley.com/documents/?uuid=216cf68e-6405-49f8-81b0-16e51415b442"]}],"mendeley":{"formattedCitation":"(47)","plainTextFormattedCitation":"(47)","previouslyFormattedCitation":"(47)"},"properties":{"noteIndex":0},"schema":"https://github.com/citation-style-language/schema/raw/master/csl-citation.json"}</w:instrText>
            </w:r>
            <w:r w:rsidRPr="00332A71">
              <w:rPr>
                <w:rFonts w:ascii="Times New Roman" w:hAnsi="Times New Roman" w:cs="Times New Roman"/>
                <w:sz w:val="20"/>
                <w:szCs w:val="20"/>
              </w:rPr>
              <w:fldChar w:fldCharType="separate"/>
            </w:r>
            <w:r w:rsidRPr="00332A71">
              <w:rPr>
                <w:rFonts w:ascii="Times New Roman" w:hAnsi="Times New Roman" w:cs="Times New Roman"/>
                <w:noProof/>
                <w:sz w:val="20"/>
                <w:szCs w:val="20"/>
              </w:rPr>
              <w:t>(47)</w:t>
            </w:r>
            <w:r w:rsidRPr="00332A71">
              <w:rPr>
                <w:rFonts w:ascii="Times New Roman" w:hAnsi="Times New Roman" w:cs="Times New Roman"/>
                <w:sz w:val="20"/>
                <w:szCs w:val="20"/>
              </w:rPr>
              <w:fldChar w:fldCharType="end"/>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Opportunistic DES</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843" w:type="dxa"/>
            <w:shd w:val="clear" w:color="auto" w:fill="FFFF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Partially implemented (Sub-national)</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roofErr w:type="spellStart"/>
            <w:r w:rsidRPr="00332A71">
              <w:rPr>
                <w:rFonts w:ascii="Times New Roman" w:hAnsi="Times New Roman" w:cs="Times New Roman"/>
                <w:sz w:val="20"/>
                <w:szCs w:val="20"/>
              </w:rPr>
              <w:t>Mwangi</w:t>
            </w:r>
            <w:proofErr w:type="spellEnd"/>
            <w:r w:rsidRPr="00332A71">
              <w:rPr>
                <w:rFonts w:ascii="Times New Roman" w:hAnsi="Times New Roman" w:cs="Times New Roman"/>
                <w:sz w:val="20"/>
                <w:szCs w:val="20"/>
              </w:rPr>
              <w:t xml:space="preserve"> et al, 2020 </w:t>
            </w:r>
            <w:r w:rsidRPr="00332A71">
              <w:rPr>
                <w:rFonts w:ascii="Times New Roman" w:hAnsi="Times New Roman" w:cs="Times New Roman"/>
                <w:sz w:val="20"/>
                <w:szCs w:val="20"/>
              </w:rPr>
              <w:fldChar w:fldCharType="begin" w:fldLock="1"/>
            </w:r>
            <w:r w:rsidRPr="00332A71">
              <w:rPr>
                <w:rFonts w:ascii="Times New Roman" w:hAnsi="Times New Roman" w:cs="Times New Roman"/>
                <w:sz w:val="20"/>
                <w:szCs w:val="20"/>
              </w:rPr>
              <w:instrText>ADDIN CSL_CITATION {"citationItems":[{"id":"ITEM-1","itemData":{"DOI":"10.1186/s41182-019-0188-z","ISSN":"13494147","abstract":"Background: There is limited evidence on how implementation of peer support interventions influences effectiveness, particularly for individuals with diabetes. We conducted a cluster randomized controlled trial to compare the effectiveness of a peer-led health education package versus usual care to increase uptake of screening for diabetic retinopathy (DR). Methods: Our process evaluation used a mixed-method design to investigate the recruitment and retention, reach, dose, fidelity, acceptability, and context of implementation, and was guided by the Consolidated Framework for Implementation Research (CFIR). We reviewed trial documents, conducted semi-structured interviews with key informants (n = 10) and conducted four focus group discussions with participants in both arms of the trial. Three analysts undertook CFIR theory-driven content analysis of the qualitative data. Quantitative data was analyzed to provide descriptive statistics relevant to the objectives of the process evaluation. Results: The trial had positive implementation outcomes, 100% retention of clusters and 96% retention for participants, 83% adherence to delivery of content of group talks (fidelity), and 78% attendance (reach) to at least 50% (3/6) of the group talks (dose). The data revealed that intervention characteristics, outer setting, inner setting, individual characteristics, and process (all the constructs of CFIR) influenced the implementation. There were more facilitators than barriers to the implementation. Facilitators included the relative advantage of the intervention compared with current practice (intervention characteristics); awareness of the growing prioritization of diabetes in the national health policy framework (outer setting); tension for change due to the realization of the vulnerability to vision loss from DR (inner setting); a strong collective sense of accountability of peer supporters to implement the intervention (individual characteristics); and regular feedback on the progress with implementation (process). Potential barriers included the need to queue at the eye clinic (intervention characteristic), travel inconveniences (inner setting), and socio-political disruption (outer setting). Conclusions: The intervention was implemented with high retention, reach, fidelity, and dose. The CFIR provided a valuable framework for evaluating contextual factors that influenced implementation and helped to understand what adaptations may be needed during scale up. T…","author":[{"dropping-particle":"","family":"Mwangi","given":"Nyawira","non-dropping-particle":"","parse-names":false,"suffix":""},{"dropping-particle":"","family":"Bascaran","given":"Covadonga","non-dropping-particle":"","parse-names":false,"suffix":""},{"dropping-particle":"","family":"Ramke","given":"Jacqueline","non-dropping-particle":"","parse-names":false,"suffix":""},{"dropping-particle":"","family":"Kipturgo","given":"Mathew","non-dropping-particle":"","parse-names":false,"suffix":""},{"dropping-particle":"","family":"Kim","given":"Min","non-dropping-particle":"","parse-names":false,"suffix":""},{"dropping-particle":"","family":"Ng'Ang'A","given":"Mark","non-dropping-particle":"","parse-names":false,"suffix":""},{"dropping-particle":"","family":"Gichuhi","given":"Stephen","non-dropping-particle":"","parse-names":false,"suffix":""},{"dropping-particle":"","family":"Mutie","given":"Dorothy","non-dropping-particle":"","parse-names":false,"suffix":""},{"dropping-particle":"","family":"Moorman","given":"Consuela","non-dropping-particle":"","parse-names":false,"suffix":""},{"dropping-particle":"","family":"Muthami","given":"Lawrence","non-dropping-particle":"","parse-names":false,"suffix":""},{"dropping-particle":"","family":"Foster","given":"Allen","non-dropping-particle":"","parse-names":false,"suffix":""}],"container-title":"Tropical Medicine and Health","id":"ITEM-1","issue":"1","issued":{"date-parts":[["2020"]]},"page":"1-17","publisher":"Tropical Medicine and Health","title":"Peer-support to increase uptake of screening for diabetic retinopathy: Process evaluation of the DURE cluster randomized trial","type":"article-journal","volume":"48"},"uris":["http://www.mendeley.com/documents/?uuid=0603a4c0-c267-45cd-8612-a84d14fe38c2"]}],"mendeley":{"formattedCitation":"(45)","plainTextFormattedCitation":"(45)","previouslyFormattedCitation":"(45)"},"properties":{"noteIndex":0},"schema":"https://github.com/citation-style-language/schema/raw/master/csl-citation.json"}</w:instrText>
            </w:r>
            <w:r w:rsidRPr="00332A71">
              <w:rPr>
                <w:rFonts w:ascii="Times New Roman" w:hAnsi="Times New Roman" w:cs="Times New Roman"/>
                <w:sz w:val="20"/>
                <w:szCs w:val="20"/>
              </w:rPr>
              <w:fldChar w:fldCharType="separate"/>
            </w:r>
            <w:r w:rsidRPr="00332A71">
              <w:rPr>
                <w:rFonts w:ascii="Times New Roman" w:hAnsi="Times New Roman" w:cs="Times New Roman"/>
                <w:noProof/>
                <w:sz w:val="20"/>
                <w:szCs w:val="20"/>
              </w:rPr>
              <w:t>(45)</w:t>
            </w:r>
            <w:r w:rsidRPr="00332A71">
              <w:rPr>
                <w:rFonts w:ascii="Times New Roman" w:hAnsi="Times New Roman" w:cs="Times New Roman"/>
                <w:sz w:val="20"/>
                <w:szCs w:val="20"/>
              </w:rPr>
              <w:fldChar w:fldCharType="end"/>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 – Diabetes included in national health policy framework</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 xml:space="preserve">No data identified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 - clinical guidelines for DR available</w:t>
            </w:r>
          </w:p>
        </w:tc>
        <w:tc>
          <w:tcPr>
            <w:tcW w:w="1560" w:type="dxa"/>
            <w:tcBorders>
              <w:top w:val="single" w:sz="4" w:space="0" w:color="auto"/>
              <w:left w:val="single" w:sz="4" w:space="0" w:color="auto"/>
              <w:bottom w:val="single" w:sz="4" w:space="0" w:color="auto"/>
              <w:right w:val="single" w:sz="4" w:space="0" w:color="auto"/>
            </w:tcBorders>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 xml:space="preserve">Agenda setting (Later stage) </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843" w:type="dxa"/>
            <w:tcBorders>
              <w:top w:val="single" w:sz="4" w:space="0" w:color="auto"/>
              <w:left w:val="single" w:sz="4" w:space="0" w:color="auto"/>
              <w:bottom w:val="single" w:sz="4" w:space="0" w:color="auto"/>
              <w:right w:val="single" w:sz="4" w:space="0" w:color="auto"/>
            </w:tcBorders>
            <w:shd w:val="clear" w:color="auto" w:fill="FFFF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Partially implemented</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 xml:space="preserve">(Sub-national) </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IDF,2020</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 (National DM Policy)</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 (D</w:t>
            </w:r>
            <w:r>
              <w:rPr>
                <w:rFonts w:ascii="Times New Roman" w:hAnsi="Times New Roman" w:cs="Times New Roman"/>
                <w:sz w:val="20"/>
                <w:szCs w:val="20"/>
              </w:rPr>
              <w:t>R</w:t>
            </w:r>
            <w:r w:rsidRPr="00332A71">
              <w:rPr>
                <w:rFonts w:ascii="Times New Roman" w:hAnsi="Times New Roman" w:cs="Times New Roman"/>
                <w:sz w:val="20"/>
                <w:szCs w:val="20"/>
              </w:rPr>
              <w:t xml:space="preserve"> included in national DM policy)</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eastAsia="Times New Roman" w:hAnsi="Times New Roman" w:cs="Times New Roman"/>
                <w:color w:val="000000"/>
                <w:sz w:val="20"/>
                <w:szCs w:val="20"/>
                <w:lang w:eastAsia="en-GB"/>
              </w:rPr>
              <w:t>No data identified</w:t>
            </w:r>
          </w:p>
        </w:tc>
        <w:tc>
          <w:tcPr>
            <w:tcW w:w="1560" w:type="dxa"/>
            <w:shd w:val="clear" w:color="auto" w:fill="FFC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Policy formation</w:t>
            </w: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Photographic screening</w:t>
            </w:r>
          </w:p>
        </w:tc>
        <w:tc>
          <w:tcPr>
            <w:tcW w:w="1843" w:type="dxa"/>
            <w:shd w:val="clear" w:color="auto" w:fill="FFFF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Partially implemented (Regionally)</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Kiribati</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 xml:space="preserve">Clark M, White E, 2019 </w:t>
            </w:r>
            <w:r w:rsidRPr="00332A71">
              <w:rPr>
                <w:rFonts w:ascii="Times New Roman" w:hAnsi="Times New Roman" w:cs="Times New Roman"/>
                <w:sz w:val="20"/>
                <w:szCs w:val="20"/>
              </w:rPr>
              <w:fldChar w:fldCharType="begin" w:fldLock="1"/>
            </w:r>
            <w:r w:rsidRPr="00332A71">
              <w:rPr>
                <w:rFonts w:ascii="Times New Roman" w:hAnsi="Times New Roman" w:cs="Times New Roman"/>
                <w:sz w:val="20"/>
                <w:szCs w:val="20"/>
              </w:rPr>
              <w:instrText>ADDIN CSL_CITATION {"citationItems":[{"id":"ITEM-1","itemData":{"author":[{"dropping-particle":"","family":"Marion","given":"Authors","non-dropping-particle":"","parse-names":false,"suffix":""},{"dropping-particle":"","family":"Clark","given":"Clark","non-dropping-particle":"","parse-names":false,"suffix":""},{"dropping-particle":"","family":"White","given":"Esther","non-dropping-particle":"","parse-names":false,"suffix":""},{"dropping-particle":"","family":"Clarke","given":"Allen","non-dropping-particle":"","parse-names":false,"suffix":""}],"id":"ITEM-1","issue":"November 2018","issued":{"date-parts":[["2019"]]},"title":"Pacific Diabetic Retinopathy Programme Evaluation report","type":"article-journal","volume":"2018"},"uris":["http://www.mendeley.com/documents/?uuid=4c8f707d-95c4-4950-87ef-0f165e091e80"]}],"mendeley":{"formattedCitation":"(8)","plainTextFormattedCitation":"(8)","previouslyFormattedCitation":"(8)"},"properties":{"noteIndex":0},"schema":"https://github.com/citation-style-language/schema/raw/master/csl-citation.json"}</w:instrText>
            </w:r>
            <w:r w:rsidRPr="00332A71">
              <w:rPr>
                <w:rFonts w:ascii="Times New Roman" w:hAnsi="Times New Roman" w:cs="Times New Roman"/>
                <w:sz w:val="20"/>
                <w:szCs w:val="20"/>
              </w:rPr>
              <w:fldChar w:fldCharType="separate"/>
            </w:r>
            <w:r w:rsidRPr="00332A71">
              <w:rPr>
                <w:rFonts w:ascii="Times New Roman" w:hAnsi="Times New Roman" w:cs="Times New Roman"/>
                <w:noProof/>
                <w:sz w:val="20"/>
                <w:szCs w:val="20"/>
              </w:rPr>
              <w:t>(8)</w:t>
            </w:r>
            <w:r w:rsidRPr="00332A71">
              <w:rPr>
                <w:rFonts w:ascii="Times New Roman" w:hAnsi="Times New Roman" w:cs="Times New Roman"/>
                <w:sz w:val="20"/>
                <w:szCs w:val="20"/>
              </w:rPr>
              <w:fldChar w:fldCharType="end"/>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 xml:space="preserve">Yes –DM included in NCD Strategic </w:t>
            </w:r>
            <w:r w:rsidRPr="00332A71">
              <w:rPr>
                <w:rFonts w:ascii="Times New Roman" w:hAnsi="Times New Roman" w:cs="Times New Roman"/>
                <w:sz w:val="20"/>
                <w:szCs w:val="20"/>
              </w:rPr>
              <w:lastRenderedPageBreak/>
              <w:t>Plan 2016-2019.</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lastRenderedPageBreak/>
              <w:t>DR included as health indicator.</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 - National Eye Care Strategy Plan 2015-2018,</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60" w:type="dxa"/>
            <w:shd w:val="clear" w:color="auto" w:fill="FFC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lastRenderedPageBreak/>
              <w:t>Policy Formation</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lastRenderedPageBreak/>
              <w:t xml:space="preserve">DR programme is coordinated by eye health nurses who are employed by the </w:t>
            </w:r>
            <w:r w:rsidRPr="00332A71">
              <w:rPr>
                <w:rFonts w:ascii="Times New Roman" w:hAnsi="Times New Roman" w:cs="Times New Roman"/>
                <w:sz w:val="20"/>
                <w:szCs w:val="20"/>
              </w:rPr>
              <w:lastRenderedPageBreak/>
              <w:t>government and, therefore, fully integrated within government</w:t>
            </w:r>
          </w:p>
        </w:tc>
        <w:tc>
          <w:tcPr>
            <w:tcW w:w="1843"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lastRenderedPageBreak/>
              <w:t>No DESP</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Kyrgyzstan (Kyrgyz Republic)</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 xml:space="preserve">Mueller B et al, 2020 </w:t>
            </w:r>
            <w:r w:rsidRPr="00332A71">
              <w:rPr>
                <w:rFonts w:ascii="Times New Roman" w:hAnsi="Times New Roman" w:cs="Times New Roman"/>
                <w:sz w:val="20"/>
                <w:szCs w:val="20"/>
              </w:rPr>
              <w:fldChar w:fldCharType="begin" w:fldLock="1"/>
            </w:r>
            <w:r w:rsidRPr="00332A71">
              <w:rPr>
                <w:rFonts w:ascii="Times New Roman" w:hAnsi="Times New Roman" w:cs="Times New Roman"/>
                <w:sz w:val="20"/>
                <w:szCs w:val="20"/>
              </w:rPr>
              <w:instrText>ADDIN CSL_CITATION {"citationItems":[{"id":"ITEM-1","itemData":{"DOI":"10.1080/09286586.2019.1701040","ISSN":"17445086","PMID":"31813309","abstract":"Purpose: Reliable data on eye care needs in Kyrgyzstan are not readily available. The purpose of this study was to determine the prevalence and causes of blindness and visual impairment in persons aged 50 and above in the southwest of Kyrgyzstan and to support the Ministry of Health (MoH) in the planning of eye care in the region. Methods: A population-based survey was conducted in three states (Oblast) in the southwest region of Kyrgyzstan. Sixty clusters of 50 people aged 50 years and older were selected by probability proportionate to size sampling. Ethical approval was obtained from the MoH, consent was obtained from each participant. Results: A total number of 3,000 persons aged 50 and older were sampled. Among these 2,897 (95.9%) were examined. The prevalence of bilateral blindness was 1.7% [95%CI: 1.1–2.4]. Cataract (43.3%) was the main cause of blindness, followed by glaucoma (30%), age-related macular degeneration (ARMD) (8.3%), other posterior segment diseases (6.7%) and non-trachomatous corneal opacities (5%). The prevalence of blindness and visual impairment increased strongly with age. The cataract surgical coverage in blind persons was 59%. Conclusion: Cataract and glaucoma were the major causes of blindness and visual impairment in persons 50 and above. The majority of the causes (85%) were avoidable, with 45% (cataract and uncorrected aphakia) treatable, 6.7% (corneal opacity and phthisis) preventable by primary health care/eye care services and 33.3% (cataract surgical complications, glaucoma) preventable by specialized ophthalmic services. The data suggest that an expansion of eye care services to reduce avoidable blindness is needed, as ageing will lead to an increase in older people at risk and a higher demand for eye care in the future.","author":[{"dropping-particle":"","family":"Mueller","given":"Brigitte","non-dropping-particle":"","parse-names":false,"suffix":""},{"dropping-particle":"","family":"Ibraimova","given":"Sabina","non-dropping-particle":"","parse-names":false,"suffix":""},{"dropping-particle":"","family":"Mamutalieva","given":"Elzat","non-dropping-particle":"","parse-names":false,"suffix":""},{"dropping-particle":"","family":"Limburg","given":"Hans","non-dropping-particle":"","parse-names":false,"suffix":""},{"dropping-particle":"","family":"Ibraimova","given":"Aigul","non-dropping-particle":"","parse-names":false,"suffix":""},{"dropping-particle":"","family":"Paduca","given":"Ala","non-dropping-particle":"","parse-names":false,"suffix":""}],"container-title":"Ophthalmic Epidemiology","id":"ITEM-1","issue":"2","issued":{"date-parts":[["2020"]]},"page":"141-147","publisher":"Taylor &amp; Francis","title":"Findings from a Rapid Assessment of Avoidable Blindness (RAAB) in the Southwest Region of Kyrgyzstan","type":"article-journal","volume":"27"},"uris":["http://www.mendeley.com/documents/?uuid=d4374463-7590-46af-9d82-58e1595f9b17"]}],"mendeley":{"formattedCitation":"(15)","plainTextFormattedCitation":"(15)","previouslyFormattedCitation":"(15)"},"properties":{"noteIndex":0},"schema":"https://github.com/citation-style-language/schema/raw/master/csl-citation.json"}</w:instrText>
            </w:r>
            <w:r w:rsidRPr="00332A71">
              <w:rPr>
                <w:rFonts w:ascii="Times New Roman" w:hAnsi="Times New Roman" w:cs="Times New Roman"/>
                <w:sz w:val="20"/>
                <w:szCs w:val="20"/>
              </w:rPr>
              <w:fldChar w:fldCharType="separate"/>
            </w:r>
            <w:r w:rsidRPr="00332A71">
              <w:rPr>
                <w:rFonts w:ascii="Times New Roman" w:hAnsi="Times New Roman" w:cs="Times New Roman"/>
                <w:noProof/>
                <w:sz w:val="20"/>
                <w:szCs w:val="20"/>
              </w:rPr>
              <w:t>(15)</w:t>
            </w:r>
            <w:r w:rsidRPr="00332A71">
              <w:rPr>
                <w:rFonts w:ascii="Times New Roman" w:hAnsi="Times New Roman" w:cs="Times New Roman"/>
                <w:sz w:val="20"/>
                <w:szCs w:val="20"/>
              </w:rPr>
              <w:fldChar w:fldCharType="end"/>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New initiatives introduced by MOH to put eye health, including DR on agenda.</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843"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DESP</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Lao PDR (Laos)</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Lesotho</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IDF,2020</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N/A</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eastAsia="Times New Roman" w:hAnsi="Times New Roman" w:cs="Times New Roman"/>
                <w:color w:val="000000"/>
                <w:sz w:val="20"/>
                <w:szCs w:val="20"/>
                <w:lang w:eastAsia="en-GB"/>
              </w:rPr>
              <w:t>No data identified</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Screening primarily by eye doctors in clinics</w:t>
            </w:r>
          </w:p>
        </w:tc>
        <w:tc>
          <w:tcPr>
            <w:tcW w:w="1843" w:type="dxa"/>
            <w:shd w:val="clear" w:color="auto" w:fill="FFFF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Partially implemented (Sub-national)</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Mauritania</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 xml:space="preserve">Micronesia, Fed. </w:t>
            </w:r>
            <w:proofErr w:type="spellStart"/>
            <w:r w:rsidRPr="00332A71">
              <w:rPr>
                <w:rFonts w:ascii="Times New Roman" w:hAnsi="Times New Roman" w:cs="Times New Roman"/>
                <w:sz w:val="20"/>
                <w:szCs w:val="20"/>
              </w:rPr>
              <w:t>Sts</w:t>
            </w:r>
            <w:proofErr w:type="spellEnd"/>
            <w:r w:rsidRPr="00332A71">
              <w:rPr>
                <w:rFonts w:ascii="Times New Roman" w:hAnsi="Times New Roman" w:cs="Times New Roman"/>
                <w:sz w:val="20"/>
                <w:szCs w:val="20"/>
              </w:rPr>
              <w:t>.</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Moldova</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Mongolia</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IDF,2020,</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N/A</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information</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Screening primarily by eye doctors in clinics</w:t>
            </w:r>
          </w:p>
        </w:tc>
        <w:tc>
          <w:tcPr>
            <w:tcW w:w="1843" w:type="dxa"/>
            <w:shd w:val="clear" w:color="auto" w:fill="FFFF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Partially implemented (Regionally)</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Morocco</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Myanmar</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Nepal</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roofErr w:type="spellStart"/>
            <w:r w:rsidRPr="00332A71">
              <w:rPr>
                <w:rFonts w:ascii="Times New Roman" w:hAnsi="Times New Roman" w:cs="Times New Roman"/>
                <w:sz w:val="20"/>
                <w:szCs w:val="20"/>
              </w:rPr>
              <w:t>Upreti</w:t>
            </w:r>
            <w:proofErr w:type="spellEnd"/>
            <w:r w:rsidRPr="00332A71">
              <w:rPr>
                <w:rFonts w:ascii="Times New Roman" w:hAnsi="Times New Roman" w:cs="Times New Roman"/>
                <w:sz w:val="20"/>
                <w:szCs w:val="20"/>
              </w:rPr>
              <w:t xml:space="preserve"> SR et al, 2016 </w:t>
            </w:r>
            <w:r w:rsidRPr="00332A71">
              <w:rPr>
                <w:rFonts w:ascii="Times New Roman" w:hAnsi="Times New Roman" w:cs="Times New Roman"/>
                <w:sz w:val="20"/>
                <w:szCs w:val="20"/>
              </w:rPr>
              <w:fldChar w:fldCharType="begin" w:fldLock="1"/>
            </w:r>
            <w:r w:rsidRPr="00332A71">
              <w:rPr>
                <w:rFonts w:ascii="Times New Roman" w:hAnsi="Times New Roman" w:cs="Times New Roman"/>
                <w:sz w:val="20"/>
                <w:szCs w:val="20"/>
              </w:rPr>
              <w:instrText>ADDIN CSL_CITATION {"citationItems":[{"id":"ITEM-1","itemData":{"DOI":"10.4103/2224-3151.206551","ISSN":"23045272","abstract":"Diabetes poses a major challenge to Nepal's health-care system. Deaths due to noncommunicable diseases (NCDs) have increased from 51% of all deaths in the country in 2010 to 60% in 2014. In 2014, diabetes and other essential NCDs accounted for 46% of the total deaths and 22% of premature deaths in the country. As diabetes is common in adults of working age, the impact will further impoverish individuals and families in Nepal, where out-of-pocket expenditure for health remains high. To halt the rise in diabetes and obesity, the government of Nepal will have to adopt a public health approach that balances individual and population-level interventions. Awareness, early diagnosis and prevention are key to management and control of diabetes. To date, there has been no nationwide robust programme for diabetes prevention in the country and services are inaccessible to much of the Nepalese population. However, under the NCD Multisectoral Action Plan (2014-2020), there will be phase-wise implementation of the World Health Organization Package of Essential Noncommunicable (PEN) disease interventions for primary health care in low-resource settings. The NCD PEN brings opportunities to strengthen the health workforce, diagnostics, medicines and supplies, the health information system, and research and surveillance and to reduce inequity in diabetes care in Nepal.","author":[{"dropping-particle":"","family":"Upreti","given":"Senendra Raj","non-dropping-particle":"","parse-names":false,"suffix":""},{"dropping-particle":"","family":"Lohani","given":"Guna Raj","non-dropping-particle":"","parse-names":false,"suffix":""},{"dropping-particle":"","family":"Magtymova","given":"Akjemal","non-dropping-particle":"","parse-names":false,"suffix":""},{"dropping-particle":"","family":"Dixit","given":"Lonim Prasai","non-dropping-particle":"","parse-names":false,"suffix":""}],"container-title":"WHO South-East Asia journal of public health","id":"ITEM-1","issue":"1","issued":{"date-parts":[["2016"]]},"page":"40-43","title":"Strengthening policy and governance to address the growing burden of diabetes in Nepal","type":"article-journal","volume":"5"},"uris":["http://www.mendeley.com/documents/?uuid=3962934c-5b2e-462c-aa65-5a12794ebdac"]}],"mendeley":{"formattedCitation":"(41)","plainTextFormattedCitation":"(41)","previouslyFormattedCitation":"(41)"},"properties":{"noteIndex":0},"schema":"https://github.com/citation-style-language/schema/raw/master/csl-citation.json"}</w:instrText>
            </w:r>
            <w:r w:rsidRPr="00332A71">
              <w:rPr>
                <w:rFonts w:ascii="Times New Roman" w:hAnsi="Times New Roman" w:cs="Times New Roman"/>
                <w:sz w:val="20"/>
                <w:szCs w:val="20"/>
              </w:rPr>
              <w:fldChar w:fldCharType="separate"/>
            </w:r>
            <w:r w:rsidRPr="00332A71">
              <w:rPr>
                <w:rFonts w:ascii="Times New Roman" w:hAnsi="Times New Roman" w:cs="Times New Roman"/>
                <w:noProof/>
                <w:sz w:val="20"/>
                <w:szCs w:val="20"/>
              </w:rPr>
              <w:t>(41)</w:t>
            </w:r>
            <w:r w:rsidRPr="00332A71">
              <w:rPr>
                <w:rFonts w:ascii="Times New Roman" w:hAnsi="Times New Roman" w:cs="Times New Roman"/>
                <w:sz w:val="20"/>
                <w:szCs w:val="20"/>
              </w:rPr>
              <w:fldChar w:fldCharType="end"/>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 xml:space="preserve">Yes –NCD </w:t>
            </w:r>
            <w:proofErr w:type="spellStart"/>
            <w:r w:rsidRPr="00332A71">
              <w:rPr>
                <w:rFonts w:ascii="Times New Roman" w:hAnsi="Times New Roman" w:cs="Times New Roman"/>
                <w:sz w:val="20"/>
                <w:szCs w:val="20"/>
              </w:rPr>
              <w:t>Multisectoral</w:t>
            </w:r>
            <w:proofErr w:type="spellEnd"/>
            <w:r w:rsidRPr="00332A71">
              <w:rPr>
                <w:rFonts w:ascii="Times New Roman" w:hAnsi="Times New Roman" w:cs="Times New Roman"/>
                <w:sz w:val="20"/>
                <w:szCs w:val="20"/>
              </w:rPr>
              <w:t xml:space="preserve"> Action Plan (2014-2020</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At public hospitals, DR services are available at zonal, regional and tertiary-level health care centres.</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843" w:type="dxa"/>
            <w:shd w:val="clear" w:color="auto" w:fill="FFFF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Partially implemented (zonal, regional and tertiary level)</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r>
      <w:tr w:rsidR="00BD1CEF" w:rsidRPr="00332A71" w:rsidTr="00CB137C">
        <w:trPr>
          <w:trHeight w:val="534"/>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Nicaragua</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vMerge w:val="restart"/>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Nigeria</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IDF,2020,</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Not sure</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information</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Not sure</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843"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 xml:space="preserve">CECH, 2019 </w:t>
            </w:r>
            <w:r w:rsidRPr="00332A71">
              <w:rPr>
                <w:rFonts w:ascii="Times New Roman" w:hAnsi="Times New Roman" w:cs="Times New Roman"/>
                <w:sz w:val="20"/>
                <w:szCs w:val="20"/>
              </w:rPr>
              <w:fldChar w:fldCharType="begin" w:fldLock="1"/>
            </w:r>
            <w:r w:rsidRPr="00332A71">
              <w:rPr>
                <w:rFonts w:ascii="Times New Roman" w:hAnsi="Times New Roman" w:cs="Times New Roman"/>
                <w:sz w:val="20"/>
                <w:szCs w:val="20"/>
              </w:rPr>
              <w:instrText>ADDIN CSL_CITATION {"citationItems":[{"id":"ITEM-1","itemData":{"DOI":"10.1057/978-1-349-95943-3_270","author":[{"dropping-particle":"","family":"Evaluation","given":"Final","non-dropping-particle":"","parse-names":false,"suffix":""}],"container-title":"The Grants Register 2020","id":"ITEM-1","issue":"March","issued":{"date-parts":[["2019"]]},"page":"266-267","title":"Commonwealth Eye Health Consortium","type":"article-journal"},"uris":["http://www.mendeley.com/documents/?uuid=9857305f-358f-4819-a81b-899fbdc36ab3"]}],"mendeley":{"formattedCitation":"(46)","plainTextFormattedCitation":"(46)","previouslyFormattedCitation":"(46)"},"properties":{"noteIndex":0},"schema":"https://github.com/citation-style-language/schema/raw/master/csl-citation.json"}</w:instrText>
            </w:r>
            <w:r w:rsidRPr="00332A71">
              <w:rPr>
                <w:rFonts w:ascii="Times New Roman" w:hAnsi="Times New Roman" w:cs="Times New Roman"/>
                <w:sz w:val="20"/>
                <w:szCs w:val="20"/>
              </w:rPr>
              <w:fldChar w:fldCharType="separate"/>
            </w:r>
            <w:r w:rsidRPr="00332A71">
              <w:rPr>
                <w:rFonts w:ascii="Times New Roman" w:hAnsi="Times New Roman" w:cs="Times New Roman"/>
                <w:noProof/>
                <w:sz w:val="20"/>
                <w:szCs w:val="20"/>
              </w:rPr>
              <w:t>(46)</w:t>
            </w:r>
            <w:r w:rsidRPr="00332A71">
              <w:rPr>
                <w:rFonts w:ascii="Times New Roman" w:hAnsi="Times New Roman" w:cs="Times New Roman"/>
                <w:sz w:val="20"/>
                <w:szCs w:val="20"/>
              </w:rPr>
              <w:fldChar w:fldCharType="end"/>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Developing national DR framework</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Developing national DR framework</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Pr>
                <w:rFonts w:ascii="Times New Roman" w:hAnsi="Times New Roman" w:cs="Times New Roman"/>
                <w:sz w:val="20"/>
                <w:szCs w:val="20"/>
              </w:rPr>
              <w:t>Agenda setting (Later stage)</w:t>
            </w: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843"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vMerge w:val="restart"/>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Pakistan</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roofErr w:type="spellStart"/>
            <w:r w:rsidRPr="00332A71">
              <w:rPr>
                <w:rFonts w:ascii="Times New Roman" w:hAnsi="Times New Roman" w:cs="Times New Roman"/>
                <w:sz w:val="20"/>
                <w:szCs w:val="20"/>
              </w:rPr>
              <w:t>Jawa</w:t>
            </w:r>
            <w:proofErr w:type="spellEnd"/>
            <w:r w:rsidRPr="00332A71">
              <w:rPr>
                <w:rFonts w:ascii="Times New Roman" w:hAnsi="Times New Roman" w:cs="Times New Roman"/>
                <w:sz w:val="20"/>
                <w:szCs w:val="20"/>
              </w:rPr>
              <w:t xml:space="preserve"> A et al, 2016 </w:t>
            </w:r>
            <w:r w:rsidRPr="00332A71">
              <w:rPr>
                <w:rFonts w:ascii="Times New Roman" w:hAnsi="Times New Roman" w:cs="Times New Roman"/>
                <w:sz w:val="20"/>
                <w:szCs w:val="20"/>
              </w:rPr>
              <w:fldChar w:fldCharType="begin" w:fldLock="1"/>
            </w:r>
            <w:r w:rsidRPr="00332A71">
              <w:rPr>
                <w:rFonts w:ascii="Times New Roman" w:hAnsi="Times New Roman" w:cs="Times New Roman"/>
                <w:sz w:val="20"/>
                <w:szCs w:val="20"/>
              </w:rPr>
              <w:instrText>ADDIN CSL_CITATION {"citationItems":[{"id":"ITEM-1","itemData":{"DOI":"10.12669/pjms.325.10955","ISSN":"1682024X","abstract":"Objective: To find out prevalence of Diabetic Retinopathy in general population of three districts in Pakistan. Methods: A community based cross-sectional survey was conducted in three large districts of Pakistan namely Rawalpindi in Punjab, Peshawar in Khyber Pakhtoonkhwa and Hyderabad in Sindh between January 2013 and August 2015. Lady Health Workers identified individuals at high risk for diabetes based on predefined criteria. High risk population was tested for dysglycemia. Fundoscopic evaluation for evidence of DR was performed in all individuals with a random blood glucose &gt;190mg/dl. Individuals with the evidence of DR were referred to affiliated tertiary care ophthalmology departments. Results: A total of 42,629 individuals reported at the project sites and 63% (n=26,859) were female. Fifty one percent (n=21,989) individuals met high risk criteria. Out of these 21,989 individuals, dysglycemia was found in 3,869 (17.6%). Fundoscopy showed evidence of DR in 1,042 (27%) individuals. Amongst high risk population, dysglycemia was significantly more common in females as compared to males. The frequency of DR in dysglycemic patients was comparable across both gender groups. Conclusion: The prevalence of DR in Pakistani population is alarmingly high. This preventable cause of blindness is largely undiagnosed in our population and a simple integrated model based on primary health care facilities can help identify and treat a large population of DR patients.","author":[{"dropping-particle":"","family":"Jawa","given":"Ali","non-dropping-particle":"","parse-names":false,"suffix":""},{"dropping-particle":"","family":"Assir","given":"Muhammad Zaman Khan","non-dropping-particle":"","parse-names":false,"suffix":""},{"dropping-particle":"","family":"Riaz","given":"Syed Hunain","non-dropping-particle":"","parse-names":false,"suffix":""},{"dropping-particle":"","family":"Chaudhary","given":"Rashin","non-dropping-particle":"","parse-names":false,"suffix":""},{"dropping-particle":"","family":"Awan","given":"Farooq","non-dropping-particle":"","parse-names":false,"suffix":""},{"dropping-particle":"","family":"Akram","given":"Javed","non-dropping-particle":"","parse-names":false,"suffix":""}],"container-title":"Pakistan Journal of Medical Sciences","id":"ITEM-1","issue":"5","issued":{"date-parts":[["2016"]]},"page":"1102-1106","title":"A simple integrated primary health care based model for detection of diabetic retinopathy in resource-limited settings in Pakistani population","type":"article-journal","volume":"32"},"uris":["http://www.mendeley.com/documents/?uuid=15d45c23-c1ea-4f17-a16f-d7e251d8c73e"]}],"mendeley":{"formattedCitation":"(17)","plainTextFormattedCitation":"(17)","previouslyFormattedCitation":"(17)"},"properties":{"noteIndex":0},"schema":"https://github.com/citation-style-language/schema/raw/master/csl-citation.json"}</w:instrText>
            </w:r>
            <w:r w:rsidRPr="00332A71">
              <w:rPr>
                <w:rFonts w:ascii="Times New Roman" w:hAnsi="Times New Roman" w:cs="Times New Roman"/>
                <w:sz w:val="20"/>
                <w:szCs w:val="20"/>
              </w:rPr>
              <w:fldChar w:fldCharType="separate"/>
            </w:r>
            <w:r w:rsidRPr="00332A71">
              <w:rPr>
                <w:rFonts w:ascii="Times New Roman" w:hAnsi="Times New Roman" w:cs="Times New Roman"/>
                <w:noProof/>
                <w:sz w:val="20"/>
                <w:szCs w:val="20"/>
              </w:rPr>
              <w:t>(17)</w:t>
            </w:r>
            <w:r w:rsidRPr="00332A71">
              <w:rPr>
                <w:rFonts w:ascii="Times New Roman" w:hAnsi="Times New Roman" w:cs="Times New Roman"/>
                <w:sz w:val="20"/>
                <w:szCs w:val="20"/>
              </w:rPr>
              <w:fldChar w:fldCharType="end"/>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Integrated primary care model (optometrists examined patients with ophthalmoscope)</w:t>
            </w:r>
          </w:p>
        </w:tc>
        <w:tc>
          <w:tcPr>
            <w:tcW w:w="1843" w:type="dxa"/>
            <w:shd w:val="clear" w:color="auto" w:fill="FFFF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Partially implemented (Sub-national)</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 xml:space="preserve">Shah SP et al, 2008 </w:t>
            </w:r>
            <w:r w:rsidRPr="00332A71">
              <w:rPr>
                <w:rFonts w:ascii="Times New Roman" w:hAnsi="Times New Roman" w:cs="Times New Roman"/>
                <w:sz w:val="20"/>
                <w:szCs w:val="20"/>
              </w:rPr>
              <w:fldChar w:fldCharType="begin" w:fldLock="1"/>
            </w:r>
            <w:r w:rsidRPr="00332A71">
              <w:rPr>
                <w:rFonts w:ascii="Times New Roman" w:hAnsi="Times New Roman" w:cs="Times New Roman"/>
                <w:sz w:val="20"/>
                <w:szCs w:val="20"/>
              </w:rPr>
              <w:instrText>ADDIN CSL_CITATION {"citationItems":[{"id":"ITEM-1","itemData":{"DOI":"10.1167/iovs.07-0646","ISSN":"01460404","PMID":"18326708","abstract":"PURPOSE. TO determine the prevalence and causes of functional low vision (FLV) and total blindness and to estimate the assessment needs for low-vision services in Pakistan. METHODS. Multistage, cluster random sampling was used to select a nationally representative sample of adults (age, ≥30 years). Participants underwent visual acuity measurement and detailed ophthalmic examination. Functional low vision was defined as a corrected visual acuity in the better eye of less than 6/18 to more than no perception of light (NPL) in individuals with untreatable causes of visual loss. Total blindness was defined as NPL in both eyes. Needs assessments were categorized into three groups; optical services, nonoptical/environmental interventions, and rehabilitation. RESULTS. A sample of 16,507 adults (95.3% response rate) was examined. The standardized prevalence of FLV and total blindness were 1.7% (95% CI: 1.5%-1.9%) and 0.2% (95% CI: 0.1%-0.2%), respectively. More than 90% of those with FLV were illiterate and 35.3% were of working age (i.e., &lt;60 years). An estimated 727,000 (586,000-891,000) adults in Pakistan had FLV. Retinal conditions were the commonest cause in urban populations (39.8% vs. 26.5% rural) compared with corneal opacity in rural areas (38.0% vs. 25.5% urban). It was estimated that 565,000 adults require assessment for optical services, 735,000 for nonoptical interventions, and 424,000 for rehabilitation. CONCLUSIONS. As VISION 2020 enters its second 5-year phase, the provision of low-vision services and their integration into national eyecare programs is a priority. In Pakistan, planning must take account of the magnitude along with the demographic and educational characteristics of those affected. Copyright © Association for Research in Vision and Ophthalmology.","author":[{"dropping-particle":"","family":"Shah","given":"Shaheen P.","non-dropping-particle":"","parse-names":false,"suffix":""},{"dropping-particle":"","family":"Minto","given":"Hasan","non-dropping-particle":"","parse-names":false,"suffix":""},{"dropping-particle":"","family":"Jadoon","given":"Mohammad Z.","non-dropping-particle":"","parse-names":false,"suffix":""},{"dropping-particle":"","family":"Bourne","given":"Rupert R.A.","non-dropping-particle":"","parse-names":false,"suffix":""},{"dropping-particle":"","family":"Dineen","given":"Brendan","non-dropping-particle":"","parse-names":false,"suffix":""},{"dropping-particle":"","family":"Gilbert","given":"Clare E.","non-dropping-particle":"","parse-names":false,"suffix":""},{"dropping-particle":"","family":"Khan","given":"Mohammad D.","non-dropping-particle":"","parse-names":false,"suffix":""}],"container-title":"Investigative Ophthalmology and Visual Science","id":"ITEM-1","issued":{"date-parts":[["2008"]]},"title":"Prevalence and causes of functional low vision and implications for services: The Pakistan national blindness and visual impairment survey","type":"article-journal"},"uris":["http://www.mendeley.com/documents/?uuid=2d3abcc6-dca7-4a0b-be41-056afc764dce"]}],"mendeley":{"formattedCitation":"(25)","plainTextFormattedCitation":"(25)","previouslyFormattedCitation":"(25)"},"properties":{"noteIndex":0},"schema":"https://github.com/citation-style-language/schema/raw/master/csl-citation.json"}</w:instrText>
            </w:r>
            <w:r w:rsidRPr="00332A71">
              <w:rPr>
                <w:rFonts w:ascii="Times New Roman" w:hAnsi="Times New Roman" w:cs="Times New Roman"/>
                <w:sz w:val="20"/>
                <w:szCs w:val="20"/>
              </w:rPr>
              <w:fldChar w:fldCharType="separate"/>
            </w:r>
            <w:r w:rsidRPr="00332A71">
              <w:rPr>
                <w:rFonts w:ascii="Times New Roman" w:hAnsi="Times New Roman" w:cs="Times New Roman"/>
                <w:noProof/>
                <w:sz w:val="20"/>
                <w:szCs w:val="20"/>
              </w:rPr>
              <w:t>(25)</w:t>
            </w:r>
            <w:r w:rsidRPr="00332A71">
              <w:rPr>
                <w:rFonts w:ascii="Times New Roman" w:hAnsi="Times New Roman" w:cs="Times New Roman"/>
                <w:sz w:val="20"/>
                <w:szCs w:val="20"/>
              </w:rPr>
              <w:fldChar w:fldCharType="end"/>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843"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Papua New Guinea</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 xml:space="preserve">Burnett A et al, 2019 (RAAB) </w:t>
            </w:r>
            <w:r w:rsidRPr="00332A71">
              <w:rPr>
                <w:rFonts w:ascii="Times New Roman" w:hAnsi="Times New Roman" w:cs="Times New Roman"/>
                <w:sz w:val="20"/>
                <w:szCs w:val="20"/>
              </w:rPr>
              <w:fldChar w:fldCharType="begin" w:fldLock="1"/>
            </w:r>
            <w:r w:rsidRPr="00332A71">
              <w:rPr>
                <w:rFonts w:ascii="Times New Roman" w:hAnsi="Times New Roman" w:cs="Times New Roman"/>
                <w:sz w:val="20"/>
                <w:szCs w:val="20"/>
              </w:rPr>
              <w:instrText>ADDIN CSL_CITATION {"citationItems":[{"id":"ITEM-1","itemData":{"DOI":"10.1136/bjophthalmol-2017-311803","ISSN":"14682079","PMID":"29973367","abstract":"background/aims To conduct an assessment of avoidable blindness, diabetes mellitus and diabetic retinopathy (DR) in adults aged 50 years and older in the National Capital District (NCD) region of Papua New Guinea (PNG). Methods A cross-sectional population-based survey was performed for which 25 clusters of 50 people aged ≥50 years were randomly selected from the NCD region. The standardised rapid assessment of avoidable blindness (RAAB) with diabetic retinopathy (+DR) methodology was used. Blindness was defined as presenting visual acuity &lt;3/60 in the better eye. Participants were classified as having diabetes if they were known to have diabetes or if their random blood glucose level was ≥200 mg/dL. Dilated fundus examination and Scottish DR grading were performed. results In total, 1192 out of 1250 eligible participants (95.4%) were examined. Of these, 7.8% had known or newly diagnosed diabetes. Seventy-one per cent of participants with known diabetes had a blood glucose level ≥200 mg/dL, and 82.9% had never had an ophthalmological examination for DR. Prevalence of DR and/or maculopathy was 46.4%. The age-adjusted and sex-adjusted prevalence of diabetes was estimated at 8.1% (95% CI 5.7% to 10.4%) in the population aged 50 years or older in the NCD region of PNG. Conclusions Prevalence of diabetes in adults aged 50 years and older was lower than reported elsewhere in the region, and lower than other RAAB+DR surveys. Despite this, the prevalence of DR is high compared with other RAAB+DR surveys and demonstrates the need for increased awareness and accessibility to eye services for people with diabetes.","author":[{"dropping-particle":"","family":"Burnett","given":"Anthea","non-dropping-particle":"","parse-names":false,"suffix":""},{"dropping-particle":"","family":"Lee","given":"Ling","non-dropping-particle":"","parse-names":false,"suffix":""},{"dropping-particle":"","family":"D’Esposito","given":"Fabrizio","non-dropping-particle":"","parse-names":false,"suffix":""},{"dropping-particle":"","family":"Wabulembo","given":"Geoffrey","non-dropping-particle":"","parse-names":false,"suffix":""},{"dropping-particle":"","family":"Cama","given":"Anaseini","non-dropping-particle":"","parse-names":false,"suffix":""},{"dropping-particle":"","family":"Guldan","given":"Georgia","non-dropping-particle":"","parse-names":false,"suffix":""},{"dropping-particle":"","family":"Nelisse","given":"Marleen","non-dropping-particle":"","parse-names":false,"suffix":""},{"dropping-particle":"","family":"Koim","given":"Samuel Peter","non-dropping-particle":"","parse-names":false,"suffix":""},{"dropping-particle":"","family":"Keys","given":"Drew","non-dropping-particle":"","parse-names":false,"suffix":""},{"dropping-particle":"","family":"Poffley","given":"Alison J.","non-dropping-particle":"","parse-names":false,"suffix":""},{"dropping-particle":"","family":"Limburg","given":"Hans","non-dropping-particle":"","parse-names":false,"suffix":""},{"dropping-particle":"","family":"Garap","given":"Jambi","non-dropping-particle":"","parse-names":false,"suffix":""}],"container-title":"British Journal of Ophthalmology","id":"ITEM-1","issue":"6","issued":{"date-parts":[["2019"]]},"page":"743-747","title":"Rapid assessment of avoidable blindness and diabetic retinopathy in people aged 50 years and older in the National Capital District of Papua New Guinea","type":"article-journal","volume":"103"},"uris":["http://www.mendeley.com/documents/?uuid=8ff5ea4c-337f-49c9-8f75-4802c9e8f85e"]}],"mendeley":{"formattedCitation":"(22)","plainTextFormattedCitation":"(22)","previouslyFormattedCitation":"(22)"},"properties":{"noteIndex":0},"schema":"https://github.com/citation-style-language/schema/raw/master/csl-citation.json"}</w:instrText>
            </w:r>
            <w:r w:rsidRPr="00332A71">
              <w:rPr>
                <w:rFonts w:ascii="Times New Roman" w:hAnsi="Times New Roman" w:cs="Times New Roman"/>
                <w:sz w:val="20"/>
                <w:szCs w:val="20"/>
              </w:rPr>
              <w:fldChar w:fldCharType="separate"/>
            </w:r>
            <w:r w:rsidRPr="00332A71">
              <w:rPr>
                <w:rFonts w:ascii="Times New Roman" w:hAnsi="Times New Roman" w:cs="Times New Roman"/>
                <w:noProof/>
                <w:sz w:val="20"/>
                <w:szCs w:val="20"/>
              </w:rPr>
              <w:t>(22)</w:t>
            </w:r>
            <w:r w:rsidRPr="00332A71">
              <w:rPr>
                <w:rFonts w:ascii="Times New Roman" w:hAnsi="Times New Roman" w:cs="Times New Roman"/>
                <w:sz w:val="20"/>
                <w:szCs w:val="20"/>
              </w:rPr>
              <w:fldChar w:fldCharType="end"/>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information</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843"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vMerge w:val="restart"/>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Philippines</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roofErr w:type="spellStart"/>
            <w:r w:rsidRPr="00332A71">
              <w:rPr>
                <w:rFonts w:ascii="Times New Roman" w:hAnsi="Times New Roman" w:cs="Times New Roman"/>
                <w:sz w:val="20"/>
                <w:szCs w:val="20"/>
              </w:rPr>
              <w:t>Beran</w:t>
            </w:r>
            <w:proofErr w:type="spellEnd"/>
            <w:r w:rsidRPr="00332A71">
              <w:rPr>
                <w:rFonts w:ascii="Times New Roman" w:hAnsi="Times New Roman" w:cs="Times New Roman"/>
                <w:sz w:val="20"/>
                <w:szCs w:val="20"/>
              </w:rPr>
              <w:t xml:space="preserve"> D, Higuchi M, 2013 </w:t>
            </w:r>
            <w:r w:rsidRPr="00332A71">
              <w:rPr>
                <w:rFonts w:ascii="Times New Roman" w:hAnsi="Times New Roman" w:cs="Times New Roman"/>
                <w:sz w:val="20"/>
                <w:szCs w:val="20"/>
              </w:rPr>
              <w:fldChar w:fldCharType="begin" w:fldLock="1"/>
            </w:r>
            <w:r w:rsidRPr="00332A71">
              <w:rPr>
                <w:rFonts w:ascii="Times New Roman" w:hAnsi="Times New Roman" w:cs="Times New Roman"/>
                <w:sz w:val="20"/>
                <w:szCs w:val="20"/>
              </w:rPr>
              <w:instrText>ADDIN CSL_CITATION {"citationItems":[{"id":"ITEM-1","itemData":{"DOI":"10.1177/1010539511412177","ISSN":"10105395","abstract":"The aim of this study is the comparison of 2 studies looking at the barriers to access of diabetes care and medicines in the Philippines and Vietnam. These studies used the Rapid Assessment Protocol for Insulin Access. Diabetes care is provided in specialized facilities and appropriate referral systems are lacking. In Vietnam, no problems were reported with regard to diagnostic tools, whereas this was a concern in the public sector in the Philippines. Both countries had high prices for medicines in comparison to international standards. Availability of medicines was better in Vietnam than in the Philippines, especially with regard to insulin. This affected adherence as did a lack of patient education. As countries aim to provide health care to the majority of their populations through universal coverage, the challenge of diabetes cannot be neglected. Trying to achieve universal coverage in parallel to decentralization, national and local governments need adapted guidance for this. © 2013 APJPH.","author":[{"dropping-particle":"","family":"Beran","given":"David","non-dropping-particle":"","parse-names":false,"suffix":""},{"dropping-particle":"","family":"Higuchi","given":"Michiyo","non-dropping-particle":"","parse-names":false,"suffix":""}],"container-title":"Asia-Pacific Journal of Public Health","id":"ITEM-1","issue":"1","issued":{"date-parts":[["2013"]]},"page":"92-101","title":"Delivering diabetes care in the Philippines and Vietnam: Policy and practice issues","type":"article-journal","volume":"25"},"uris":["http://www.mendeley.com/documents/?uuid=17864444-343f-4040-a5ec-de0214a5d466"]}],"mendeley":{"formattedCitation":"(43)","plainTextFormattedCitation":"(43)","previouslyFormattedCitation":"(43)"},"properties":{"noteIndex":0},"schema":"https://github.com/citation-style-language/schema/raw/master/csl-citation.json"}</w:instrText>
            </w:r>
            <w:r w:rsidRPr="00332A71">
              <w:rPr>
                <w:rFonts w:ascii="Times New Roman" w:hAnsi="Times New Roman" w:cs="Times New Roman"/>
                <w:sz w:val="20"/>
                <w:szCs w:val="20"/>
              </w:rPr>
              <w:fldChar w:fldCharType="separate"/>
            </w:r>
            <w:r w:rsidRPr="00332A71">
              <w:rPr>
                <w:rFonts w:ascii="Times New Roman" w:hAnsi="Times New Roman" w:cs="Times New Roman"/>
                <w:noProof/>
                <w:sz w:val="20"/>
                <w:szCs w:val="20"/>
              </w:rPr>
              <w:t>(43)</w:t>
            </w:r>
            <w:r w:rsidRPr="00332A71">
              <w:rPr>
                <w:rFonts w:ascii="Times New Roman" w:hAnsi="Times New Roman" w:cs="Times New Roman"/>
                <w:sz w:val="20"/>
                <w:szCs w:val="20"/>
              </w:rPr>
              <w:fldChar w:fldCharType="end"/>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 – (National Objectives for Health 2005-2010)</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843"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IDF,2020,</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N/A</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843"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DESP</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São Tomé and Principe</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Senegal</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Solomon Islands</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 xml:space="preserve">Clark M, White E, 2019 </w:t>
            </w:r>
            <w:r w:rsidRPr="00332A71">
              <w:rPr>
                <w:rFonts w:ascii="Times New Roman" w:hAnsi="Times New Roman" w:cs="Times New Roman"/>
                <w:sz w:val="20"/>
                <w:szCs w:val="20"/>
              </w:rPr>
              <w:fldChar w:fldCharType="begin" w:fldLock="1"/>
            </w:r>
            <w:r w:rsidRPr="00332A71">
              <w:rPr>
                <w:rFonts w:ascii="Times New Roman" w:hAnsi="Times New Roman" w:cs="Times New Roman"/>
                <w:sz w:val="20"/>
                <w:szCs w:val="20"/>
              </w:rPr>
              <w:instrText>ADDIN CSL_CITATION {"citationItems":[{"id":"ITEM-1","itemData":{"author":[{"dropping-particle":"","family":"Marion","given":"Authors","non-dropping-particle":"","parse-names":false,"suffix":""},{"dropping-particle":"","family":"Clark","given":"Clark","non-dropping-particle":"","parse-names":false,"suffix":""},{"dropping-particle":"","family":"White","given":"Esther","non-dropping-particle":"","parse-names":false,"suffix":""},{"dropping-particle":"","family":"Clarke","given":"Allen","non-dropping-particle":"","parse-names":false,"suffix":""}],"id":"ITEM-1","issue":"November 2018","issued":{"date-parts":[["2019"]]},"title":"Pacific Diabetic Retinopathy Programme Evaluation report","type":"article-journal","volume":"2018"},"uris":["http://www.mendeley.com/documents/?uuid=4c8f707d-95c4-4950-87ef-0f165e091e80"]}],"mendeley":{"formattedCitation":"(8)","plainTextFormattedCitation":"(8)","previouslyFormattedCitation":"(8)"},"properties":{"noteIndex":0},"schema":"https://github.com/citation-style-language/schema/raw/master/csl-citation.json"}</w:instrText>
            </w:r>
            <w:r w:rsidRPr="00332A71">
              <w:rPr>
                <w:rFonts w:ascii="Times New Roman" w:hAnsi="Times New Roman" w:cs="Times New Roman"/>
                <w:sz w:val="20"/>
                <w:szCs w:val="20"/>
              </w:rPr>
              <w:fldChar w:fldCharType="separate"/>
            </w:r>
            <w:r w:rsidRPr="00332A71">
              <w:rPr>
                <w:rFonts w:ascii="Times New Roman" w:hAnsi="Times New Roman" w:cs="Times New Roman"/>
                <w:noProof/>
                <w:sz w:val="20"/>
                <w:szCs w:val="20"/>
              </w:rPr>
              <w:t>(8)</w:t>
            </w:r>
            <w:r w:rsidRPr="00332A71">
              <w:rPr>
                <w:rFonts w:ascii="Times New Roman" w:hAnsi="Times New Roman" w:cs="Times New Roman"/>
                <w:sz w:val="20"/>
                <w:szCs w:val="20"/>
              </w:rPr>
              <w:fldChar w:fldCharType="end"/>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 - National Health Strategic Plan 2016-2020 identifies NCD, including DM, as a key priority for action</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 - The National Eye Care Strategic 2015-2019</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60" w:type="dxa"/>
            <w:shd w:val="clear" w:color="auto" w:fill="FFC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Policy formation</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Outreach screening</w:t>
            </w:r>
          </w:p>
        </w:tc>
        <w:tc>
          <w:tcPr>
            <w:tcW w:w="1843" w:type="dxa"/>
            <w:shd w:val="clear" w:color="auto" w:fill="FFFF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Partially implemented (Sub-national)</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Sri Lanka</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IDF, 2020</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Not sure</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 xml:space="preserve">No </w:t>
            </w:r>
            <w:r>
              <w:rPr>
                <w:rFonts w:ascii="Times New Roman" w:hAnsi="Times New Roman" w:cs="Times New Roman"/>
                <w:sz w:val="20"/>
                <w:szCs w:val="20"/>
              </w:rPr>
              <w:t>data identified</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Pr>
                <w:rFonts w:ascii="Times New Roman" w:hAnsi="Times New Roman" w:cs="Times New Roman"/>
                <w:sz w:val="20"/>
                <w:szCs w:val="20"/>
              </w:rPr>
              <w:t>No data identified</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Photographic screening</w:t>
            </w:r>
          </w:p>
        </w:tc>
        <w:tc>
          <w:tcPr>
            <w:tcW w:w="1843" w:type="dxa"/>
            <w:shd w:val="clear" w:color="auto" w:fill="FFFF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Partially implemented (Regionally)</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vMerge w:val="restart"/>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Tanzania</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 xml:space="preserve">Cleland CR et al, 2016 </w:t>
            </w:r>
            <w:r w:rsidRPr="00332A71">
              <w:rPr>
                <w:rFonts w:ascii="Times New Roman" w:hAnsi="Times New Roman" w:cs="Times New Roman"/>
                <w:sz w:val="20"/>
                <w:szCs w:val="20"/>
              </w:rPr>
              <w:fldChar w:fldCharType="begin" w:fldLock="1"/>
            </w:r>
            <w:r w:rsidRPr="00332A71">
              <w:rPr>
                <w:rFonts w:ascii="Times New Roman" w:hAnsi="Times New Roman" w:cs="Times New Roman"/>
                <w:sz w:val="20"/>
                <w:szCs w:val="20"/>
              </w:rPr>
              <w:instrText>ADDIN CSL_CITATION {"citationItems":[{"id":"ITEM-1","itemData":{"DOI":"10.1111/tmi.12652","ISSN":"13653156","PMID":"26644361","abstract":"Objective: The number of adults with diabetes in sub-Saharan Africa (SSA) is expected to almost double by 2035. This study investigated the prevalence of diabetic retinopathy (DR) and its risk factors at entry into a community-based screening programme. Methods: All persons with diabetes screened for retinopathy at entry into a screening programme in Kilimanjaro Region, Tanzania between November 2010 and December 2014 were included. Fundus photographs were taken with a Topcon retinal camera following pupil dilation. Data were collected on BP, random blood sugar, duration of diabetes, BMI and visual acuity on entry. Results: A total of 3187 persons were screened for DR. The prevalence of any DR was 27.9% (95%CI 26.4-29.5%) with background diabetic retinopathy (BDR), pre-proliferative diabetic retinopathy (PPDR) and proliferative diabetic retinopathy (PDR) having a prevalence of 19.1% (95% CI 17.7-20.4%), 6.0% (95%CI 5.2-6.8%) and 2.9% (95%CI 2.3-3.5%), respectively. Maculopathy was present in 16.1% (95%CI 14.8-17.4%) of participants. Multivariable logistic regression analysis for the presence of any DR found independent associations with duration of diabetes (P &lt; 0.0001), systolic BP (P &lt; 0.0001), random blood sugar (P &lt; 0.0001) and attending a government hospital diabetic clinic (P = 0.0339). Conclusions: This study is the first to present data from a DR screening programme in SSA. The results will provide policymakers with data to aid planning of DR screening and treatment services in the African region. The study highlights the importance of managing comorbidities within DR screening programmes.","author":[{"dropping-particle":"","family":"Cleland","given":"Charles R.","non-dropping-particle":"","parse-names":false,"suffix":""},{"dropping-particle":"","family":"Burton","given":"Matthew J.","non-dropping-particle":"","parse-names":false,"suffix":""},{"dropping-particle":"","family":"Hall","given":"Claudette","non-dropping-particle":"","parse-names":false,"suffix":""},{"dropping-particle":"","family":"Hall","given":"Anthony","non-dropping-particle":"","parse-names":false,"suffix":""},{"dropping-particle":"","family":"Courtright","given":"Paul","non-dropping-particle":"","parse-names":false,"suffix":""},{"dropping-particle":"","family":"Makupa","given":"William U.","non-dropping-particle":"","parse-names":false,"suffix":""},{"dropping-particle":"","family":"Philippin","given":"Heiko","non-dropping-particle":"","parse-names":false,"suffix":""}],"container-title":"Tropical Medicine and International Health","id":"ITEM-1","issue":"3","issued":{"date-parts":[["2016"]]},"page":"417-426","title":"Diabetic retinopathy in Tanzania: Prevalence and risk factors at entry into a regional screening programme","type":"article-journal","volume":"21"},"uris":["http://www.mendeley.com/documents/?uuid=d628e8d0-adde-42ef-bb39-5c4e64441b5b"]}],"mendeley":{"formattedCitation":"(32)","plainTextFormattedCitation":"(32)","previouslyFormattedCitation":"(32)"},"properties":{"noteIndex":0},"schema":"https://github.com/citation-style-language/schema/raw/master/csl-citation.json"}</w:instrText>
            </w:r>
            <w:r w:rsidRPr="00332A71">
              <w:rPr>
                <w:rFonts w:ascii="Times New Roman" w:hAnsi="Times New Roman" w:cs="Times New Roman"/>
                <w:sz w:val="20"/>
                <w:szCs w:val="20"/>
              </w:rPr>
              <w:fldChar w:fldCharType="separate"/>
            </w:r>
            <w:r w:rsidRPr="00332A71">
              <w:rPr>
                <w:rFonts w:ascii="Times New Roman" w:hAnsi="Times New Roman" w:cs="Times New Roman"/>
                <w:noProof/>
                <w:sz w:val="20"/>
                <w:szCs w:val="20"/>
              </w:rPr>
              <w:t>(32)</w:t>
            </w:r>
            <w:r w:rsidRPr="00332A71">
              <w:rPr>
                <w:rFonts w:ascii="Times New Roman" w:hAnsi="Times New Roman" w:cs="Times New Roman"/>
                <w:sz w:val="20"/>
                <w:szCs w:val="20"/>
              </w:rPr>
              <w:fldChar w:fldCharType="end"/>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Integrated clinic-based mobile retinal screening)</w:t>
            </w:r>
          </w:p>
        </w:tc>
        <w:tc>
          <w:tcPr>
            <w:tcW w:w="1843" w:type="dxa"/>
            <w:vMerge w:val="restart"/>
            <w:shd w:val="clear" w:color="auto" w:fill="FFFF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Partially implemented (Sub-national)</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 xml:space="preserve">CECH, 2019 </w:t>
            </w:r>
            <w:r w:rsidRPr="00332A71">
              <w:rPr>
                <w:rFonts w:ascii="Times New Roman" w:hAnsi="Times New Roman" w:cs="Times New Roman"/>
                <w:sz w:val="20"/>
                <w:szCs w:val="20"/>
              </w:rPr>
              <w:fldChar w:fldCharType="begin" w:fldLock="1"/>
            </w:r>
            <w:r w:rsidRPr="00332A71">
              <w:rPr>
                <w:rFonts w:ascii="Times New Roman" w:hAnsi="Times New Roman" w:cs="Times New Roman"/>
                <w:sz w:val="20"/>
                <w:szCs w:val="20"/>
              </w:rPr>
              <w:instrText>ADDIN CSL_CITATION {"citationItems":[{"id":"ITEM-1","itemData":{"DOI":"10.1057/978-1-349-95943-3_270","author":[{"dropping-particle":"","family":"Evaluation","given":"Final","non-dropping-particle":"","parse-names":false,"suffix":""}],"container-title":"The Grants Register 2020","id":"ITEM-1","issue":"March","issued":{"date-parts":[["2019"]]},"page":"266-267","title":"Commonwealth Eye Health Consortium","type":"article-journal"},"uris":["http://www.mendeley.com/documents/?uuid=9857305f-358f-4819-a81b-899fbdc36ab3"]}],"mendeley":{"formattedCitation":"(46)","plainTextFormattedCitation":"(46)","previouslyFormattedCitation":"(46)"},"properties":{"noteIndex":0},"schema":"https://github.com/citation-style-language/schema/raw/master/csl-citation.json"}</w:instrText>
            </w:r>
            <w:r w:rsidRPr="00332A71">
              <w:rPr>
                <w:rFonts w:ascii="Times New Roman" w:hAnsi="Times New Roman" w:cs="Times New Roman"/>
                <w:sz w:val="20"/>
                <w:szCs w:val="20"/>
              </w:rPr>
              <w:fldChar w:fldCharType="separate"/>
            </w:r>
            <w:r w:rsidRPr="00332A71">
              <w:rPr>
                <w:rFonts w:ascii="Times New Roman" w:hAnsi="Times New Roman" w:cs="Times New Roman"/>
                <w:noProof/>
                <w:sz w:val="20"/>
                <w:szCs w:val="20"/>
              </w:rPr>
              <w:t>(46)</w:t>
            </w:r>
            <w:r w:rsidRPr="00332A71">
              <w:rPr>
                <w:rFonts w:ascii="Times New Roman" w:hAnsi="Times New Roman" w:cs="Times New Roman"/>
                <w:sz w:val="20"/>
                <w:szCs w:val="20"/>
              </w:rPr>
              <w:fldChar w:fldCharType="end"/>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National DR framework in place</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(Later stage)</w:t>
            </w: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843" w:type="dxa"/>
            <w:vMerge/>
            <w:shd w:val="clear" w:color="auto" w:fill="FFFF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Timor-Leste</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roofErr w:type="spellStart"/>
            <w:r w:rsidRPr="00332A71">
              <w:rPr>
                <w:rFonts w:ascii="Times New Roman" w:hAnsi="Times New Roman" w:cs="Times New Roman"/>
                <w:sz w:val="20"/>
                <w:szCs w:val="20"/>
              </w:rPr>
              <w:t>Sugnanam</w:t>
            </w:r>
            <w:proofErr w:type="spellEnd"/>
            <w:r w:rsidRPr="00332A71">
              <w:rPr>
                <w:rFonts w:ascii="Times New Roman" w:hAnsi="Times New Roman" w:cs="Times New Roman"/>
                <w:sz w:val="20"/>
                <w:szCs w:val="20"/>
              </w:rPr>
              <w:t xml:space="preserve"> KK et al, 2016 </w:t>
            </w:r>
            <w:r w:rsidRPr="00332A71">
              <w:rPr>
                <w:rFonts w:ascii="Times New Roman" w:hAnsi="Times New Roman" w:cs="Times New Roman"/>
                <w:sz w:val="20"/>
                <w:szCs w:val="20"/>
              </w:rPr>
              <w:fldChar w:fldCharType="begin" w:fldLock="1"/>
            </w:r>
            <w:r w:rsidRPr="00332A71">
              <w:rPr>
                <w:rFonts w:ascii="Times New Roman" w:hAnsi="Times New Roman" w:cs="Times New Roman"/>
                <w:sz w:val="20"/>
                <w:szCs w:val="20"/>
              </w:rPr>
              <w:instrText>ADDIN CSL_CITATION {"citationItems":[{"id":"ITEM-1","itemData":{"DOI":"10.1097/APO.0000000000000164","ISBN":"0000000000000","ISSN":"21620989","abstract":"Purpose This study aimed to present the methodology of the East Timor Eye Program and report the prevalence of eye disease seen at the National Eye Centre during a 3-month sample period between June and August 2012. Design Two hundred ninety-three new patients aged 17 years or older were assessed at the National Eye Centre in Dili, Timor-Leste. Methods All participants received a comprehensive dilated eye examination that included distance visual acuity measurements, indirect fundoscopy, and a complete slit lamp assessment including gonioscopy and intraocular pressure measurement. Each patient completed an interview-administered general questionnaire, and information on general health, ocular history, and medication was obtained. Anthropometric measurements were also taken and recorded. Results A total of 293 patients, 183 males (62.5%) and 110 females (37.5%), aged between 17 and 88 years (mean, 47.66 years) were recruited and examined. The 3 most common clinical eye presentations were conjunctival disorders (60.41%), followed by lens disorders (48.12%) and scleral, corneal, iris, and ciliary body disorders (46.42%). The 3 most common conditions causing blindness (visual acuity less than 3/60 as defined by the World Health Organization) were lens disorders (45.9%), choroidal and retinal disorders (18.9%), and other disorders of the eye and adnexa (13.5%). Conclusions The East Timor Eye Program is an effective program that has enabled the management and treatment of various eye conditions in residents of Timor-Leste. The program set high standards for stringent and accurate data collection and ophthalmic diagnoses in a low-resource setting. Lens disorders and choroidal and retinal disorders were the most common conditions causing blindness.","author":[{"dropping-particle":"","family":"Sugnanam","given":"Kirthi Kumar Naidu","non-dropping-particle":"","parse-names":false,"suffix":""},{"dropping-particle":"","family":"Ma","given":"Shirley","non-dropping-particle":"","parse-names":false,"suffix":""},{"dropping-particle":"","family":"Kreis","given":"Andreas","non-dropping-particle":"","parse-names":false,"suffix":""},{"dropping-particle":"","family":"Correia","given":"Marcelino","non-dropping-particle":"","parse-names":false,"suffix":""},{"dropping-particle":"","family":"Verma","given":"Nitin","non-dropping-particle":"","parse-names":false,"suffix":""},{"dropping-particle":"","family":"Dirani","given":"Mohamed","non-dropping-particle":"","parse-names":false,"suffix":""}],"container-title":"Asia-Pacific Journal of Ophthalmology","id":"ITEM-1","issue":"5","issued":{"date-parts":[["2016"]]},"page":"349-353","title":"Prospective Study of Eye Disease in Timor-Leste: The East Timor Eye Program","type":"article-journal","volume":"5"},"uris":["http://www.mendeley.com/documents/?uuid=327a265f-4c6c-4c3f-be09-d926d72d5738"]}],"mendeley":{"formattedCitation":"(38)","plainTextFormattedCitation":"(38)","previouslyFormattedCitation":"(38)"},"properties":{"noteIndex":0},"schema":"https://github.com/citation-style-language/schema/raw/master/csl-citation.json"}</w:instrText>
            </w:r>
            <w:r w:rsidRPr="00332A71">
              <w:rPr>
                <w:rFonts w:ascii="Times New Roman" w:hAnsi="Times New Roman" w:cs="Times New Roman"/>
                <w:sz w:val="20"/>
                <w:szCs w:val="20"/>
              </w:rPr>
              <w:fldChar w:fldCharType="separate"/>
            </w:r>
            <w:r w:rsidRPr="00332A71">
              <w:rPr>
                <w:rFonts w:ascii="Times New Roman" w:hAnsi="Times New Roman" w:cs="Times New Roman"/>
                <w:noProof/>
                <w:sz w:val="20"/>
                <w:szCs w:val="20"/>
              </w:rPr>
              <w:t>(38)</w:t>
            </w:r>
            <w:r w:rsidRPr="00332A71">
              <w:rPr>
                <w:rFonts w:ascii="Times New Roman" w:hAnsi="Times New Roman" w:cs="Times New Roman"/>
                <w:sz w:val="20"/>
                <w:szCs w:val="20"/>
              </w:rPr>
              <w:fldChar w:fldCharType="end"/>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843"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Tunisia</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IDF,2020</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 (National DM Policy)</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 (D</w:t>
            </w:r>
            <w:r>
              <w:rPr>
                <w:rFonts w:ascii="Times New Roman" w:hAnsi="Times New Roman" w:cs="Times New Roman"/>
                <w:sz w:val="20"/>
                <w:szCs w:val="20"/>
              </w:rPr>
              <w:t>R</w:t>
            </w:r>
            <w:r w:rsidRPr="00332A71">
              <w:rPr>
                <w:rFonts w:ascii="Times New Roman" w:hAnsi="Times New Roman" w:cs="Times New Roman"/>
                <w:sz w:val="20"/>
                <w:szCs w:val="20"/>
              </w:rPr>
              <w:t xml:space="preserve"> included in national DM policy)</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560" w:type="dxa"/>
            <w:shd w:val="clear" w:color="auto" w:fill="FFC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Policy formation</w:t>
            </w: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Photographic screening</w:t>
            </w:r>
          </w:p>
        </w:tc>
        <w:tc>
          <w:tcPr>
            <w:tcW w:w="1843" w:type="dxa"/>
            <w:shd w:val="clear" w:color="auto" w:fill="FFFF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Partially implemented (nationally)</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Ukraine</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Uzbekistan</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IDF,2020</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 (National DM Policy)</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 (D</w:t>
            </w:r>
            <w:r>
              <w:rPr>
                <w:rFonts w:ascii="Times New Roman" w:hAnsi="Times New Roman" w:cs="Times New Roman"/>
                <w:sz w:val="20"/>
                <w:szCs w:val="20"/>
              </w:rPr>
              <w:t>R</w:t>
            </w:r>
            <w:r w:rsidRPr="00332A71">
              <w:rPr>
                <w:rFonts w:ascii="Times New Roman" w:hAnsi="Times New Roman" w:cs="Times New Roman"/>
                <w:sz w:val="20"/>
                <w:szCs w:val="20"/>
              </w:rPr>
              <w:t xml:space="preserve"> included in national DM policy)</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560" w:type="dxa"/>
            <w:shd w:val="clear" w:color="auto" w:fill="FFC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Policy formation</w:t>
            </w: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Photographic screening</w:t>
            </w:r>
          </w:p>
        </w:tc>
        <w:tc>
          <w:tcPr>
            <w:tcW w:w="1843" w:type="dxa"/>
            <w:shd w:val="clear" w:color="auto" w:fill="FFFF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Partially implemented (Locally)</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Vanuatu</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 xml:space="preserve">Clark M, White, 2019 </w:t>
            </w:r>
            <w:r w:rsidRPr="00332A71">
              <w:rPr>
                <w:rFonts w:ascii="Times New Roman" w:hAnsi="Times New Roman" w:cs="Times New Roman"/>
                <w:sz w:val="20"/>
                <w:szCs w:val="20"/>
              </w:rPr>
              <w:fldChar w:fldCharType="begin" w:fldLock="1"/>
            </w:r>
            <w:r w:rsidRPr="00332A71">
              <w:rPr>
                <w:rFonts w:ascii="Times New Roman" w:hAnsi="Times New Roman" w:cs="Times New Roman"/>
                <w:sz w:val="20"/>
                <w:szCs w:val="20"/>
              </w:rPr>
              <w:instrText>ADDIN CSL_CITATION {"citationItems":[{"id":"ITEM-1","itemData":{"author":[{"dropping-particle":"","family":"Marion","given":"Authors","non-dropping-particle":"","parse-names":false,"suffix":""},{"dropping-particle":"","family":"Clark","given":"Clark","non-dropping-particle":"","parse-names":false,"suffix":""},{"dropping-particle":"","family":"White","given":"Esther","non-dropping-particle":"","parse-names":false,"suffix":""},{"dropping-particle":"","family":"Clarke","given":"Allen","non-dropping-particle":"","parse-names":false,"suffix":""}],"id":"ITEM-1","issue":"November 2018","issued":{"date-parts":[["2019"]]},"title":"Pacific Diabetic Retinopathy Programme Evaluation report","type":"article-journal","volume":"2018"},"uris":["http://www.mendeley.com/documents/?uuid=4c8f707d-95c4-4950-87ef-0f165e091e80"]}],"mendeley":{"formattedCitation":"(8)","plainTextFormattedCitation":"(8)","previouslyFormattedCitation":"(8)"},"properties":{"noteIndex":0},"schema":"https://github.com/citation-style-language/schema/raw/master/csl-citation.json"}</w:instrText>
            </w:r>
            <w:r w:rsidRPr="00332A71">
              <w:rPr>
                <w:rFonts w:ascii="Times New Roman" w:hAnsi="Times New Roman" w:cs="Times New Roman"/>
                <w:sz w:val="20"/>
                <w:szCs w:val="20"/>
              </w:rPr>
              <w:fldChar w:fldCharType="separate"/>
            </w:r>
            <w:r w:rsidRPr="00332A71">
              <w:rPr>
                <w:rFonts w:ascii="Times New Roman" w:hAnsi="Times New Roman" w:cs="Times New Roman"/>
                <w:noProof/>
                <w:sz w:val="20"/>
                <w:szCs w:val="20"/>
              </w:rPr>
              <w:t>(8)</w:t>
            </w:r>
            <w:r w:rsidRPr="00332A71">
              <w:rPr>
                <w:rFonts w:ascii="Times New Roman" w:hAnsi="Times New Roman" w:cs="Times New Roman"/>
                <w:sz w:val="20"/>
                <w:szCs w:val="20"/>
              </w:rPr>
              <w:fldChar w:fldCharType="end"/>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 (Health Sector Strategy 2017-2020)</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 - The NCD Policy and Strategic Plan 2016-2020 has a specific strategic objective on eye health, including DR.</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60" w:type="dxa"/>
            <w:shd w:val="clear" w:color="auto" w:fill="FFC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Policy Formation</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Outreach screening</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843" w:type="dxa"/>
            <w:shd w:val="clear" w:color="auto" w:fill="FFFF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Partially implemented (Sub-national)</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Vietnam</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roofErr w:type="spellStart"/>
            <w:r w:rsidRPr="00332A71">
              <w:rPr>
                <w:rFonts w:ascii="Times New Roman" w:hAnsi="Times New Roman" w:cs="Times New Roman"/>
                <w:sz w:val="20"/>
                <w:szCs w:val="20"/>
              </w:rPr>
              <w:t>Beran</w:t>
            </w:r>
            <w:proofErr w:type="spellEnd"/>
            <w:r w:rsidRPr="00332A71">
              <w:rPr>
                <w:rFonts w:ascii="Times New Roman" w:hAnsi="Times New Roman" w:cs="Times New Roman"/>
                <w:sz w:val="20"/>
                <w:szCs w:val="20"/>
              </w:rPr>
              <w:t xml:space="preserve"> D, Higuchi M, 2013 </w:t>
            </w:r>
            <w:r w:rsidRPr="00332A71">
              <w:rPr>
                <w:rFonts w:ascii="Times New Roman" w:hAnsi="Times New Roman" w:cs="Times New Roman"/>
                <w:sz w:val="20"/>
                <w:szCs w:val="20"/>
              </w:rPr>
              <w:fldChar w:fldCharType="begin" w:fldLock="1"/>
            </w:r>
            <w:r w:rsidRPr="00332A71">
              <w:rPr>
                <w:rFonts w:ascii="Times New Roman" w:hAnsi="Times New Roman" w:cs="Times New Roman"/>
                <w:sz w:val="20"/>
                <w:szCs w:val="20"/>
              </w:rPr>
              <w:instrText>ADDIN CSL_CITATION {"citationItems":[{"id":"ITEM-1","itemData":{"DOI":"10.1177/1010539511412177","ISSN":"10105395","abstract":"The aim of this study is the comparison of 2 studies looking at the barriers to access of diabetes care and medicines in the Philippines and Vietnam. These studies used the Rapid Assessment Protocol for Insulin Access. Diabetes care is provided in specialized facilities and appropriate referral systems are lacking. In Vietnam, no problems were reported with regard to diagnostic tools, whereas this was a concern in the public sector in the Philippines. Both countries had high prices for medicines in comparison to international standards. Availability of medicines was better in Vietnam than in the Philippines, especially with regard to insulin. This affected adherence as did a lack of patient education. As countries aim to provide health care to the majority of their populations through universal coverage, the challenge of diabetes cannot be neglected. Trying to achieve universal coverage in parallel to decentralization, national and local governments need adapted guidance for this. © 2013 APJPH.","author":[{"dropping-particle":"","family":"Beran","given":"David","non-dropping-particle":"","parse-names":false,"suffix":""},{"dropping-particle":"","family":"Higuchi","given":"Michiyo","non-dropping-particle":"","parse-names":false,"suffix":""}],"container-title":"Asia-Pacific Journal of Public Health","id":"ITEM-1","issue":"1","issued":{"date-parts":[["2013"]]},"page":"92-101","title":"Delivering diabetes care in the Philippines and Vietnam: Policy and practice issues","type":"article-journal","volume":"25"},"uris":["http://www.mendeley.com/documents/?uuid=17864444-343f-4040-a5ec-de0214a5d466"]}],"mendeley":{"formattedCitation":"(43)","plainTextFormattedCitation":"(43)","previouslyFormattedCitation":"(43)"},"properties":{"noteIndex":0},"schema":"https://github.com/citation-style-language/schema/raw/master/csl-citation.json"}</w:instrText>
            </w:r>
            <w:r w:rsidRPr="00332A71">
              <w:rPr>
                <w:rFonts w:ascii="Times New Roman" w:hAnsi="Times New Roman" w:cs="Times New Roman"/>
                <w:sz w:val="20"/>
                <w:szCs w:val="20"/>
              </w:rPr>
              <w:fldChar w:fldCharType="separate"/>
            </w:r>
            <w:r w:rsidRPr="00332A71">
              <w:rPr>
                <w:rFonts w:ascii="Times New Roman" w:hAnsi="Times New Roman" w:cs="Times New Roman"/>
                <w:noProof/>
                <w:sz w:val="20"/>
                <w:szCs w:val="20"/>
              </w:rPr>
              <w:t>(43)</w:t>
            </w:r>
            <w:r w:rsidRPr="00332A71">
              <w:rPr>
                <w:rFonts w:ascii="Times New Roman" w:hAnsi="Times New Roman" w:cs="Times New Roman"/>
                <w:sz w:val="20"/>
                <w:szCs w:val="20"/>
              </w:rPr>
              <w:fldChar w:fldCharType="end"/>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 (Preliminary National Plan for DM)</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 xml:space="preserve">Photographic Screening </w:t>
            </w:r>
          </w:p>
        </w:tc>
        <w:tc>
          <w:tcPr>
            <w:tcW w:w="1843" w:type="dxa"/>
            <w:shd w:val="clear" w:color="auto" w:fill="FFFF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Partially implemented (Sub-national)</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West Bank and Gaza (Palestine)</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IDF, 2020</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560" w:type="dxa"/>
            <w:shd w:val="clear" w:color="auto" w:fill="FFC000" w:themeFill="accent4"/>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Policy formation</w:t>
            </w: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Photographic screening</w:t>
            </w:r>
          </w:p>
        </w:tc>
        <w:tc>
          <w:tcPr>
            <w:tcW w:w="1843" w:type="dxa"/>
            <w:shd w:val="clear" w:color="auto" w:fill="FFFF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Partially implemented (locally)</w:t>
            </w:r>
          </w:p>
        </w:tc>
      </w:tr>
      <w:tr w:rsidR="00BD1CEF" w:rsidRPr="00332A71" w:rsidTr="00CB137C">
        <w:trPr>
          <w:trHeight w:val="1408"/>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vMerge w:val="restart"/>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Zambia</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 xml:space="preserve">Lewis AD, 2018 </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 – NCDs including DM included in National Health Strategy Plan.</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 xml:space="preserve">Mobile DR screening </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843" w:type="dxa"/>
            <w:shd w:val="clear" w:color="auto" w:fill="FFFF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Partially implemented (Sub-national)</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IDF, 2020</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N/A</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843"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DESP</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Zimbabwe</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val="restart"/>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b/>
                <w:sz w:val="20"/>
                <w:szCs w:val="20"/>
              </w:rPr>
            </w:pPr>
            <w:r w:rsidRPr="00332A71">
              <w:rPr>
                <w:rFonts w:ascii="Times New Roman" w:hAnsi="Times New Roman" w:cs="Times New Roman"/>
                <w:b/>
                <w:sz w:val="20"/>
                <w:szCs w:val="20"/>
              </w:rPr>
              <w:t>UMIC (Upper middle income countries)</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(n=58)</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Albania</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IDF, 2020</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N/A</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843"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DESP</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American Samoa</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vMerge w:val="restart"/>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Argentina</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roofErr w:type="spellStart"/>
            <w:r w:rsidRPr="00332A71">
              <w:rPr>
                <w:rFonts w:ascii="Times New Roman" w:hAnsi="Times New Roman" w:cs="Times New Roman"/>
                <w:sz w:val="20"/>
                <w:szCs w:val="20"/>
              </w:rPr>
              <w:t>Caporale</w:t>
            </w:r>
            <w:proofErr w:type="spellEnd"/>
            <w:r w:rsidRPr="00332A71">
              <w:rPr>
                <w:rFonts w:ascii="Times New Roman" w:hAnsi="Times New Roman" w:cs="Times New Roman"/>
                <w:sz w:val="20"/>
                <w:szCs w:val="20"/>
              </w:rPr>
              <w:t xml:space="preserve"> JE et al, 2013 </w:t>
            </w:r>
            <w:r w:rsidRPr="00332A71">
              <w:rPr>
                <w:rFonts w:ascii="Times New Roman" w:hAnsi="Times New Roman" w:cs="Times New Roman"/>
                <w:sz w:val="20"/>
                <w:szCs w:val="20"/>
              </w:rPr>
              <w:fldChar w:fldCharType="begin" w:fldLock="1"/>
            </w:r>
            <w:r w:rsidRPr="00332A71">
              <w:rPr>
                <w:rFonts w:ascii="Times New Roman" w:hAnsi="Times New Roman" w:cs="Times New Roman"/>
                <w:sz w:val="20"/>
                <w:szCs w:val="20"/>
              </w:rPr>
              <w:instrText>ADDIN CSL_CITATION {"citationItems":[{"id":"ITEM-1","itemData":{"DOI":"10.1186/1744-8603-9-54","ISSN":"17448603","PMID":"24168330","abstract":"Background: Diabetes is an expensive disease in Argentina as well as worldwide, and its prevalence is continuously rising affecting the quality of life of people with the disease and their life expectancy. It also imposes a heavy burden to the national health care budget and on the economy in the form of productivity losses.Aims: To review and discuss a) the reported evidence on diabetes prevalence, the degree of control, the cost of care and outcomes, b) available strategies to decrease the health and economic disease burden, and c) how the disease fits in the Argentinian health care system and policy. Finally, to propose evidence-based policy options to reduce the burden of diabetes, both from an epidemiological as well as an economic perspective, on the Argentinian society. The evidence presented is expected to help the local authorities to develop and implement effective diabetes care programmes.Methodology: A comprehensive literature review was performed using databases such as MEDLINE, EMBASE and LILACS (Latin American and Caribbean Health Sciences). Literature published from 1980 to 2011 was included. This information was complemented with grey literature, including data from national and provincial official sources, personal communications and contacts with health authorities and diabetes experts in Argentina.Results: Overall diabetes prevalence increased from 8.4% in 2005 to 9.6% 2009 at national level. In 2009, diabetes was the seventh leading cause of death with a mortality rate of 19.2 per 100,000 inhabitants, and it accounted for 1,328,802 DALYs lost in the adult population, mainly affecting women aged over fifty. The per capita hospitalisation cost for people with diabetes was significantly higher than for people without the disease, US$ 1,628 vs. US$ 833 in 2004. Evidence shows that implementation of combined educative interventions improved quality of care and outcomes, decreased treatment costs and optimised the use of economic resources.Conclusions: Based on the evidence reviewed, we believe that the implementation of structured health care programmes including diabetes education at every level, could improve quality of care as well as its clinical, metabolic and economic outcomes. If implemented across the country, these programmes could decrease the disease burden and optimise the use of human and economic resources. © 2013 Caporale et al.; licensee BioMed Central Ltd.","author":[{"dropping-particle":"","family":"Caporale","given":"Joaquín E.","non-dropping-particle":"","parse-names":false,"suffix":""},{"dropping-particle":"","family":"Elgart","given":"Jorge F.","non-dropping-particle":"","parse-names":false,"suffix":""},{"dropping-particle":"","family":"Gagliardino","given":"Juan J.","non-dropping-particle":"","parse-names":false,"suffix":""}],"container-title":"Globalization and Health","id":"ITEM-1","issue":"1","issued":{"date-parts":[["2013"]]},"page":"1-10","title":"Diabetes in Argentina: Cost and management of diabetes and its complications and challenges for health policy","type":"article-journal","volume":"9"},"uris":["http://www.mendeley.com/documents/?uuid=4aa1f55d-3fd2-4b02-b7f6-6698b899dc03"]}],"mendeley":{"formattedCitation":"(36)","plainTextFormattedCitation":"(36)","previouslyFormattedCitation":"(36)"},"properties":{"noteIndex":0},"schema":"https://github.com/citation-style-language/schema/raw/master/csl-citation.json"}</w:instrText>
            </w:r>
            <w:r w:rsidRPr="00332A71">
              <w:rPr>
                <w:rFonts w:ascii="Times New Roman" w:hAnsi="Times New Roman" w:cs="Times New Roman"/>
                <w:sz w:val="20"/>
                <w:szCs w:val="20"/>
              </w:rPr>
              <w:fldChar w:fldCharType="separate"/>
            </w:r>
            <w:r w:rsidRPr="00332A71">
              <w:rPr>
                <w:rFonts w:ascii="Times New Roman" w:hAnsi="Times New Roman" w:cs="Times New Roman"/>
                <w:noProof/>
                <w:sz w:val="20"/>
                <w:szCs w:val="20"/>
              </w:rPr>
              <w:t>(36)</w:t>
            </w:r>
            <w:r w:rsidRPr="00332A71">
              <w:rPr>
                <w:rFonts w:ascii="Times New Roman" w:hAnsi="Times New Roman" w:cs="Times New Roman"/>
                <w:sz w:val="20"/>
                <w:szCs w:val="20"/>
              </w:rPr>
              <w:fldChar w:fldCharType="end"/>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Pr>
                <w:rFonts w:ascii="Times New Roman" w:hAnsi="Times New Roman" w:cs="Times New Roman"/>
                <w:sz w:val="20"/>
                <w:szCs w:val="20"/>
              </w:rPr>
              <w:t xml:space="preserve">No </w:t>
            </w:r>
            <w:r w:rsidRPr="00332A71">
              <w:rPr>
                <w:rFonts w:ascii="Times New Roman" w:hAnsi="Times New Roman" w:cs="Times New Roman"/>
                <w:sz w:val="20"/>
                <w:szCs w:val="20"/>
              </w:rPr>
              <w:t>(National DM guidelines)</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843"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r>
              <w:rPr>
                <w:rFonts w:ascii="Times New Roman" w:hAnsi="Times New Roman" w:cs="Times New Roman"/>
                <w:sz w:val="20"/>
                <w:szCs w:val="20"/>
              </w:rPr>
              <w:t xml:space="preserve"> DESP</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vMerge/>
            <w:shd w:val="clear" w:color="auto" w:fill="auto"/>
          </w:tcPr>
          <w:p w:rsidR="00BD1CEF" w:rsidRPr="00332A71" w:rsidRDefault="00BD1CEF" w:rsidP="00CB137C">
            <w:pPr>
              <w:spacing w:before="100" w:beforeAutospacing="1" w:after="100" w:afterAutospacing="1"/>
              <w:ind w:left="360"/>
              <w:contextualSpacing/>
              <w:rPr>
                <w:rFonts w:ascii="Times New Roman" w:hAnsi="Times New Roman" w:cs="Times New Roman"/>
                <w:sz w:val="20"/>
                <w:szCs w:val="20"/>
              </w:rPr>
            </w:pP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IDF,2020</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 (National DM Policy)</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Not sure</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Not sure</w:t>
            </w:r>
          </w:p>
        </w:tc>
        <w:tc>
          <w:tcPr>
            <w:tcW w:w="1843"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Armenia</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Azerbaijan</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Belarus</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Belize</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IDF,2020</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Not sure</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843"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DESP</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Bosnia and Herzegovina</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IDF,2020</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Not sure</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Screening primarily by eye doctors in clinics</w:t>
            </w:r>
          </w:p>
        </w:tc>
        <w:tc>
          <w:tcPr>
            <w:tcW w:w="1843" w:type="dxa"/>
            <w:shd w:val="clear" w:color="auto" w:fill="FFFF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Partially implemented (Sub-national)</w:t>
            </w:r>
          </w:p>
        </w:tc>
      </w:tr>
      <w:tr w:rsidR="00BD1CEF" w:rsidRPr="00332A71" w:rsidTr="00CB137C">
        <w:trPr>
          <w:trHeight w:val="70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vMerge w:val="restart"/>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Botswana</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 xml:space="preserve">Blake AM et al, year, 2015 </w:t>
            </w:r>
            <w:r w:rsidRPr="00332A71">
              <w:rPr>
                <w:rFonts w:ascii="Times New Roman" w:hAnsi="Times New Roman" w:cs="Times New Roman"/>
                <w:sz w:val="20"/>
                <w:szCs w:val="20"/>
              </w:rPr>
              <w:fldChar w:fldCharType="begin" w:fldLock="1"/>
            </w:r>
            <w:r w:rsidRPr="00332A71">
              <w:rPr>
                <w:rFonts w:ascii="Times New Roman" w:hAnsi="Times New Roman" w:cs="Times New Roman"/>
                <w:sz w:val="20"/>
                <w:szCs w:val="20"/>
              </w:rPr>
              <w:instrText>ADDIN CSL_CITATION {"citationItems":[{"id":"ITEM-1","itemData":{"DOI":"10.4314/thrb.v17i1.10","ISSN":"18216404","abstract":"Background: Diabetic retinopathy is a cause of preventable blindness globally and is an increasing public health problem in the developing countries. The Botswana National Screening Programme for diabetic retinopathy was launched in October 2009. We report the descriptive epidemiology of diabetic retinopathy in Botswana.\nMethods: The study population comprised patients on the National Diabetic Retinopathy Screening register at Princess Marina Hospital, Gaborone. Prevalence of diabetic retinopathy, maculopathy and visual impairment were estimated. Associations of diabetic retinopathy and explanatory variables were explored using logistic regression.\nResults: Of the 1,307 patients screened for diabetic retinopathy between October 2009 and August 2011, 67.9% were female and mean age (standard deviation) was 55.0 (14.1) years. The prevalence of DR and maculopathy was 17.7% (95% CI=15.6–19.9) and 14.7% (95% CI=12.7–16.7), respectively. The prevalence of low vision (presenting visual acuity [VA] ≥3/60 but &lt;6/18 in the better eye) and blindness (presenting VA of &lt;3/60 in the better eye) was 15.0% (95% CI=13.3–18.9) and 1.5% (95% CI=0.83–2.9), respectively. Increasing odds of DR were associated with increasing age (Ptrend=0.004), low vision (odds ratio [OR] =2.2; 95% CI=1.6–3.0), blindness (OR=4.6; 95%CI=2.6–8.1) and maculopathy (OR=15.2; 95% CI=10.9–21.3).\nConclusion: Diabetic retinopathy is a common complication of diabetes amongst Batswana patients. Our findings are consistent with prevzlence rates in other developing countries and underscore the importance of screening for diabetic retinopathy in developing nations.","author":[{"dropping-particle":"","family":"Blake","given":"Alastair M.","non-dropping-particle":"","parse-names":false,"suffix":""},{"dropping-particle":"","family":"Munby","given":"Henry N.","non-dropping-particle":"","parse-names":false,"suffix":""},{"dropping-particle":"","family":"Katlego","given":"Pearl M.","non-dropping-particle":"","parse-names":false,"suffix":""},{"dropping-particle":"","family":"Sebuyuyu","given":"Peggy M.","non-dropping-particle":"","parse-names":false,"suffix":""},{"dropping-particle":"","family":"Nkomozana","given":"Oathokwa","non-dropping-particle":"","parse-names":false,"suffix":""},{"dropping-particle":"","family":"Bangure","given":"Raphael","non-dropping-particle":"","parse-names":false,"suffix":""},{"dropping-particle":"","family":"Kerr-Muir","given":"Malcolm","non-dropping-particle":"","parse-names":false,"suffix":""},{"dropping-particle":"","family":"Ngondi","given":"Jeremiah M.","non-dropping-particle":"","parse-names":false,"suffix":""}],"container-title":"Tanzania Journal of Health Research","id":"ITEM-1","issue":"1","issued":{"date-parts":[["2015"]]},"page":"1-7","title":"Characteristics of patients with diabetic retinopathy in gaborone, botswana","type":"article-journal","volume":"17"},"uris":["http://www.mendeley.com/documents/?uuid=e2d6515d-12eb-4990-b67d-9822ab057aca"]}],"mendeley":{"formattedCitation":"(21)","plainTextFormattedCitation":"(21)","previouslyFormattedCitation":"(21)"},"properties":{"noteIndex":0},"schema":"https://github.com/citation-style-language/schema/raw/master/csl-citation.json"}</w:instrText>
            </w:r>
            <w:r w:rsidRPr="00332A71">
              <w:rPr>
                <w:rFonts w:ascii="Times New Roman" w:hAnsi="Times New Roman" w:cs="Times New Roman"/>
                <w:sz w:val="20"/>
                <w:szCs w:val="20"/>
              </w:rPr>
              <w:fldChar w:fldCharType="separate"/>
            </w:r>
            <w:r w:rsidRPr="00332A71">
              <w:rPr>
                <w:rFonts w:ascii="Times New Roman" w:hAnsi="Times New Roman" w:cs="Times New Roman"/>
                <w:noProof/>
                <w:sz w:val="20"/>
                <w:szCs w:val="20"/>
              </w:rPr>
              <w:t>(21)</w:t>
            </w:r>
            <w:r w:rsidRPr="00332A71">
              <w:rPr>
                <w:rFonts w:ascii="Times New Roman" w:hAnsi="Times New Roman" w:cs="Times New Roman"/>
                <w:sz w:val="20"/>
                <w:szCs w:val="20"/>
              </w:rPr>
              <w:fldChar w:fldCharType="end"/>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560"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984"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Photographic screening by ophthalmic nurses</w:t>
            </w:r>
          </w:p>
        </w:tc>
        <w:tc>
          <w:tcPr>
            <w:tcW w:w="1843" w:type="dxa"/>
            <w:vMerge w:val="restart"/>
            <w:shd w:val="clear" w:color="auto" w:fill="92D05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 xml:space="preserve">Yes </w:t>
            </w:r>
            <w:r>
              <w:rPr>
                <w:rFonts w:ascii="Times New Roman" w:hAnsi="Times New Roman" w:cs="Times New Roman"/>
                <w:sz w:val="20"/>
                <w:szCs w:val="20"/>
              </w:rPr>
              <w:t>–</w:t>
            </w:r>
            <w:r w:rsidRPr="00332A71">
              <w:rPr>
                <w:rFonts w:ascii="Times New Roman" w:hAnsi="Times New Roman" w:cs="Times New Roman"/>
                <w:sz w:val="20"/>
                <w:szCs w:val="20"/>
              </w:rPr>
              <w:t xml:space="preserve"> National</w:t>
            </w:r>
            <w:r>
              <w:rPr>
                <w:rFonts w:ascii="Times New Roman" w:hAnsi="Times New Roman" w:cs="Times New Roman"/>
                <w:sz w:val="20"/>
                <w:szCs w:val="20"/>
              </w:rPr>
              <w:t xml:space="preserve"> DESP</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r>
      <w:tr w:rsidR="00BD1CEF" w:rsidRPr="00332A71" w:rsidTr="00CB137C">
        <w:trPr>
          <w:trHeight w:val="481"/>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vMerge/>
            <w:shd w:val="clear" w:color="auto" w:fill="auto"/>
          </w:tcPr>
          <w:p w:rsidR="00BD1CEF" w:rsidRPr="00332A71" w:rsidRDefault="00BD1CEF" w:rsidP="00CB137C">
            <w:pPr>
              <w:spacing w:before="100" w:beforeAutospacing="1" w:after="100" w:afterAutospacing="1"/>
              <w:ind w:left="360"/>
              <w:contextualSpacing/>
              <w:rPr>
                <w:rFonts w:ascii="Times New Roman" w:hAnsi="Times New Roman" w:cs="Times New Roman"/>
                <w:sz w:val="20"/>
                <w:szCs w:val="20"/>
              </w:rPr>
            </w:pP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 xml:space="preserve">CECH, 2019 </w:t>
            </w:r>
            <w:r w:rsidRPr="00332A71">
              <w:rPr>
                <w:rFonts w:ascii="Times New Roman" w:hAnsi="Times New Roman" w:cs="Times New Roman"/>
                <w:sz w:val="20"/>
                <w:szCs w:val="20"/>
              </w:rPr>
              <w:fldChar w:fldCharType="begin" w:fldLock="1"/>
            </w:r>
            <w:r w:rsidRPr="00332A71">
              <w:rPr>
                <w:rFonts w:ascii="Times New Roman" w:hAnsi="Times New Roman" w:cs="Times New Roman"/>
                <w:sz w:val="20"/>
                <w:szCs w:val="20"/>
              </w:rPr>
              <w:instrText>ADDIN CSL_CITATION {"citationItems":[{"id":"ITEM-1","itemData":{"DOI":"10.1057/978-1-349-95943-3_270","author":[{"dropping-particle":"","family":"Evaluation","given":"Final","non-dropping-particle":"","parse-names":false,"suffix":""}],"container-title":"The Grants Register 2020","id":"ITEM-1","issue":"March","issued":{"date-parts":[["2019"]]},"page":"266-267","title":"Commonwealth Eye Health Consortium","type":"article-journal"},"uris":["http://www.mendeley.com/documents/?uuid=9857305f-358f-4819-a81b-899fbdc36ab3"]}],"mendeley":{"formattedCitation":"(46)","plainTextFormattedCitation":"(46)","previouslyFormattedCitation":"(46)"},"properties":{"noteIndex":0},"schema":"https://github.com/citation-style-language/schema/raw/master/csl-citation.json"}</w:instrText>
            </w:r>
            <w:r w:rsidRPr="00332A71">
              <w:rPr>
                <w:rFonts w:ascii="Times New Roman" w:hAnsi="Times New Roman" w:cs="Times New Roman"/>
                <w:sz w:val="20"/>
                <w:szCs w:val="20"/>
              </w:rPr>
              <w:fldChar w:fldCharType="separate"/>
            </w:r>
            <w:r w:rsidRPr="00332A71">
              <w:rPr>
                <w:rFonts w:ascii="Times New Roman" w:hAnsi="Times New Roman" w:cs="Times New Roman"/>
                <w:noProof/>
                <w:sz w:val="20"/>
                <w:szCs w:val="20"/>
              </w:rPr>
              <w:t>(46)</w:t>
            </w:r>
            <w:r w:rsidRPr="00332A71">
              <w:rPr>
                <w:rFonts w:ascii="Times New Roman" w:hAnsi="Times New Roman" w:cs="Times New Roman"/>
                <w:sz w:val="20"/>
                <w:szCs w:val="20"/>
              </w:rPr>
              <w:fldChar w:fldCharType="end"/>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 – National DR framework in place</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(Later stage)</w:t>
            </w:r>
          </w:p>
        </w:tc>
        <w:tc>
          <w:tcPr>
            <w:tcW w:w="1984"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843" w:type="dxa"/>
            <w:vMerge/>
            <w:shd w:val="clear" w:color="auto" w:fill="92D050"/>
          </w:tcPr>
          <w:p w:rsidR="00BD1CEF" w:rsidRPr="00332A71" w:rsidRDefault="00BD1CEF" w:rsidP="00CB137C">
            <w:pPr>
              <w:spacing w:before="100" w:beforeAutospacing="1" w:after="100" w:afterAutospacing="1"/>
              <w:ind w:left="360"/>
              <w:contextualSpacing/>
              <w:rPr>
                <w:rFonts w:ascii="Times New Roman" w:hAnsi="Times New Roman" w:cs="Times New Roman"/>
                <w:sz w:val="20"/>
                <w:szCs w:val="20"/>
              </w:rPr>
            </w:pPr>
          </w:p>
        </w:tc>
      </w:tr>
      <w:tr w:rsidR="00BD1CEF" w:rsidRPr="00332A71" w:rsidTr="00CB137C">
        <w:trPr>
          <w:trHeight w:val="481"/>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Brazil</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IDF,2020,</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 (National DM Policy)</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 (</w:t>
            </w:r>
            <w:r>
              <w:rPr>
                <w:rFonts w:ascii="Times New Roman" w:hAnsi="Times New Roman" w:cs="Times New Roman"/>
                <w:sz w:val="20"/>
                <w:szCs w:val="20"/>
              </w:rPr>
              <w:t>DR</w:t>
            </w:r>
            <w:r w:rsidRPr="00332A71">
              <w:rPr>
                <w:rFonts w:ascii="Times New Roman" w:hAnsi="Times New Roman" w:cs="Times New Roman"/>
                <w:sz w:val="20"/>
                <w:szCs w:val="20"/>
              </w:rPr>
              <w:t xml:space="preserve"> included in national DM policy)</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560" w:type="dxa"/>
            <w:shd w:val="clear" w:color="auto" w:fill="FFC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Policy formation</w:t>
            </w:r>
          </w:p>
        </w:tc>
        <w:tc>
          <w:tcPr>
            <w:tcW w:w="1984"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Photographic screening</w:t>
            </w:r>
          </w:p>
        </w:tc>
        <w:tc>
          <w:tcPr>
            <w:tcW w:w="1843" w:type="dxa"/>
            <w:shd w:val="clear" w:color="auto" w:fill="92D05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 xml:space="preserve">Yes </w:t>
            </w:r>
            <w:r>
              <w:rPr>
                <w:rFonts w:ascii="Times New Roman" w:hAnsi="Times New Roman" w:cs="Times New Roman"/>
                <w:sz w:val="20"/>
                <w:szCs w:val="20"/>
              </w:rPr>
              <w:t>–</w:t>
            </w:r>
            <w:r w:rsidRPr="00332A71">
              <w:rPr>
                <w:rFonts w:ascii="Times New Roman" w:hAnsi="Times New Roman" w:cs="Times New Roman"/>
                <w:sz w:val="20"/>
                <w:szCs w:val="20"/>
              </w:rPr>
              <w:t xml:space="preserve"> National</w:t>
            </w:r>
            <w:r>
              <w:rPr>
                <w:rFonts w:ascii="Times New Roman" w:hAnsi="Times New Roman" w:cs="Times New Roman"/>
                <w:sz w:val="20"/>
                <w:szCs w:val="20"/>
              </w:rPr>
              <w:t xml:space="preserve"> DESP</w:t>
            </w:r>
          </w:p>
        </w:tc>
      </w:tr>
      <w:tr w:rsidR="00BD1CEF" w:rsidRPr="00332A71" w:rsidTr="00CB137C">
        <w:trPr>
          <w:trHeight w:val="481"/>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Bulgaria</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481"/>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China</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 xml:space="preserve">Peng J et al, 2011 </w:t>
            </w:r>
            <w:r w:rsidRPr="00332A71">
              <w:rPr>
                <w:rFonts w:ascii="Times New Roman" w:hAnsi="Times New Roman" w:cs="Times New Roman"/>
                <w:sz w:val="20"/>
                <w:szCs w:val="20"/>
              </w:rPr>
              <w:fldChar w:fldCharType="begin" w:fldLock="1"/>
            </w:r>
            <w:r w:rsidRPr="00332A71">
              <w:rPr>
                <w:rFonts w:ascii="Times New Roman" w:hAnsi="Times New Roman" w:cs="Times New Roman"/>
                <w:sz w:val="20"/>
                <w:szCs w:val="20"/>
              </w:rPr>
              <w:instrText>ADDIN CSL_CITATION {"citationItems":[{"id":"ITEM-1","itemData":{"DOI":"10.1186/1472-6963-11-250","ISSN":"14726963","PMID":"21970365","abstract":"Background: To describe implementation and first-year screening results of the first Chinese telehealth system for diabetic retinopathy (DR) - the Beixinjing Community Diabetic Retinopathy Telehealth system (BCDRT). Methods. BCDRT implementation was based on the acquisition of adequate digital retinographs, secure digital transmission, storage and retrieval of participants' data and reader-generated medical reports. Local diabetic residents meeting inclusion criteria were enrolled into the BCDRT system beginning in 2009. Participants recommended for further in-person examination with ophthalmologists were followed, and the consistencies in diagnoses between BCDRT and ophthalmologists for DR or macular edema were calculated. Results: A total of 471 diabetic residents participated in BCDRT screening in 2009. The proportions of total DR, proliferative DR, and diabetic macular edema were 24.42% (115 patients), 2.12% (10 patients) and 6.47% (24 patients), respectively: 56 patients consulted ophthalmologists for further in-person retinal examination with funduscopy after pupil dilation. High rates of consistency between BCDRT screening and ophthalmologists were observed for macular edema (Kappa = 0.81), moderate or severe non-proliferative DR grade (Kappa = 0.92), and other DR grades (Kappa = 1). A total of 456 (96.82%) patients were willing to participate in the next BCDRT screening. Conclusions: BCDRT was a reliable and valid system for DR screening, and offers the potential to increase DR annual screening rates in local residents. © 2011 Peng et al; licensee BioMed Central Ltd.","author":[{"dropping-particle":"","family":"Peng","given":"Jinjuan","non-dropping-particle":"","parse-names":false,"suffix":""},{"dropping-particle":"","family":"Zou","given":"Haidong","non-dropping-particle":"","parse-names":false,"suffix":""},{"dropping-particle":"","family":"Wang","given":"Weiwei","non-dropping-particle":"","parse-names":false,"suffix":""},{"dropping-particle":"","family":"Fu","given":"Jiong","non-dropping-particle":"","parse-names":false,"suffix":""},{"dropping-particle":"","family":"Shen","given":"Bingjie","non-dropping-particle":"","parse-names":false,"suffix":""},{"dropping-particle":"","family":"Bai","given":"Xuelin","non-dropping-particle":"","parse-names":false,"suffix":""},{"dropping-particle":"","family":"Xu","given":"Xun","non-dropping-particle":"","parse-names":false,"suffix":""},{"dropping-particle":"","family":"Zhang","given":"Xi","non-dropping-particle":"","parse-names":false,"suffix":""}],"container-title":"BMC Health Services Research","id":"ITEM-1","issued":{"date-parts":[["2011"]]},"title":"Implementation and first-year screening results of an ocular telehealth system for diabetic retinopathy in China","type":"article-journal","volume":"11"},"uris":["http://www.mendeley.com/documents/?uuid=11238a71-cc86-4a5e-ba1a-0e003fd2d767"]}],"mendeley":{"formattedCitation":"(18)","plainTextFormattedCitation":"(18)","previouslyFormattedCitation":"(18)"},"properties":{"noteIndex":0},"schema":"https://github.com/citation-style-language/schema/raw/master/csl-citation.json"}</w:instrText>
            </w:r>
            <w:r w:rsidRPr="00332A71">
              <w:rPr>
                <w:rFonts w:ascii="Times New Roman" w:hAnsi="Times New Roman" w:cs="Times New Roman"/>
                <w:sz w:val="20"/>
                <w:szCs w:val="20"/>
              </w:rPr>
              <w:fldChar w:fldCharType="separate"/>
            </w:r>
            <w:r w:rsidRPr="00332A71">
              <w:rPr>
                <w:rFonts w:ascii="Times New Roman" w:hAnsi="Times New Roman" w:cs="Times New Roman"/>
                <w:noProof/>
                <w:sz w:val="20"/>
                <w:szCs w:val="20"/>
              </w:rPr>
              <w:t>(18)</w:t>
            </w:r>
            <w:r w:rsidRPr="00332A71">
              <w:rPr>
                <w:rFonts w:ascii="Times New Roman" w:hAnsi="Times New Roman" w:cs="Times New Roman"/>
                <w:sz w:val="20"/>
                <w:szCs w:val="20"/>
              </w:rPr>
              <w:fldChar w:fldCharType="end"/>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 xml:space="preserve">Community DR telehealth system (Dilated </w:t>
            </w:r>
            <w:proofErr w:type="spellStart"/>
            <w:r w:rsidRPr="00332A71">
              <w:rPr>
                <w:rFonts w:ascii="Times New Roman" w:hAnsi="Times New Roman" w:cs="Times New Roman"/>
                <w:sz w:val="20"/>
                <w:szCs w:val="20"/>
              </w:rPr>
              <w:t>fundoscopy</w:t>
            </w:r>
            <w:proofErr w:type="spellEnd"/>
            <w:r w:rsidRPr="00332A71">
              <w:rPr>
                <w:rFonts w:ascii="Times New Roman" w:hAnsi="Times New Roman" w:cs="Times New Roman"/>
                <w:sz w:val="20"/>
                <w:szCs w:val="20"/>
              </w:rPr>
              <w:t>)</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843" w:type="dxa"/>
            <w:shd w:val="clear" w:color="auto" w:fill="FFFF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Partially implemented (Sub-national)</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Colombia</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1083"/>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Costa Rica</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 xml:space="preserve">Castellon RIA, 2019 (RAAB) </w:t>
            </w:r>
            <w:r w:rsidRPr="00332A71">
              <w:rPr>
                <w:rFonts w:ascii="Times New Roman" w:hAnsi="Times New Roman" w:cs="Times New Roman"/>
                <w:sz w:val="20"/>
                <w:szCs w:val="20"/>
              </w:rPr>
              <w:fldChar w:fldCharType="begin" w:fldLock="1"/>
            </w:r>
            <w:r w:rsidRPr="00332A71">
              <w:rPr>
                <w:rFonts w:ascii="Times New Roman" w:hAnsi="Times New Roman" w:cs="Times New Roman"/>
                <w:sz w:val="20"/>
                <w:szCs w:val="20"/>
              </w:rPr>
              <w:instrText>ADDIN CSL_CITATION {"citationItems":[{"id":"ITEM-1","itemData":{"DOI":"10.1371/journal.pone.0212660","ISBN":"1111111111","ISSN":"19326203","abstract":"In the present study, we examined the causes and the prevalence of avoidable blindness and visual impairment, as well as the prevalence of diabetic retinopathy in individuals aged 50 years in Costa Rica, in order to provide baseline data for the initial planning and monitoring of ongoing blindness intervention programs. The assessment was based on the standardized methodology of the Rapid Assessment of Avoidable Blindness and Diabetic Retinopathy, a population-based survey for blindness and visual impairment. From 3,255 eligible subjects, 76.6% were examined. The adjusted prevalence of bilateral blindness [presenting visual acuity (VA) in the better eye of less than 3/60] was 1.7% (95% confidence interval, 1.2%–2.2%), with avoidable causes (treatable and preventable) accounting for 68.8% of cases. The main causes of blindness were cataract (52.1%), glaucoma (6.3%), and diabetic retinopathy (6.3%); these data were similar to those for other neighboring countries. Cataract surgical coverage (CSC) in the survey area was estimated as 88.9% for individuals with blindness (VA, &lt;3/60), 76.6% for those with a VA of &lt;6/60, and 60.3% for those with a VA of &lt;6/18. The most common barriers against cataract surgery in individuals with a best-corrected VA of 6/60 included “need not felt” (48.8%) and “fear” (14.6%). Among individuals with a past history of cataract surgery, only 57.1% showed a “good” or “very good” outcome (VA, 6/18). Finally, 23.5% individuals with known or newly diagnosed diabetes showed retinopathy and/or maculopathy, with 6.2% exhibiting sight-threatening diabetic retinopathy (proliferative retinopathy, referable maculopathy, or both). Our findings indicate the need to overcome barriers against surgery for cataract, which is the main cause of avoidable blindness, to increase CSC, and to improve surgical outcomes. Moreover, improved methods for diabetic retinopathy screening can ensure prompt identification of patients with a risk of blindness. Glaucoma screening is also necessary for areas with a high prevalence.","author":[{"dropping-particle":"","family":"Castellón","given":"Róger Iván Acevedo","non-dropping-particle":"","parse-names":false,"suffix":""},{"dropping-particle":"","family":"Vargas","given":"Esteban Carranza","non-dropping-particle":"","parse-names":false,"suffix":""},{"dropping-particle":"","family":"Chavarría","given":"Ritzi Elena Cortés","non-dropping-particle":"","parse-names":false,"suffix":""},{"dropping-particle":"","family":"Vargas","given":"Gabriel Andrés Rodríguez","non-dropping-particle":"","parse-names":false,"suffix":""}],"container-title":"PLoS ONE","id":"ITEM-1","issue":"2","issued":{"date-parts":[["2019"]]},"page":"1-11","title":"Rapid assessment of avoidable blindness and diabetic retinopathy in individuals aged 50 years or older in Costa Rica","type":"article-journal","volume":"14"},"uris":["http://www.mendeley.com/documents/?uuid=5f06bc4f-f114-41ab-a159-e74d4c91a7e1"]}],"mendeley":{"formattedCitation":"(16)","plainTextFormattedCitation":"(16)","previouslyFormattedCitation":"(16)"},"properties":{"noteIndex":0},"schema":"https://github.com/citation-style-language/schema/raw/master/csl-citation.json"}</w:instrText>
            </w:r>
            <w:r w:rsidRPr="00332A71">
              <w:rPr>
                <w:rFonts w:ascii="Times New Roman" w:hAnsi="Times New Roman" w:cs="Times New Roman"/>
                <w:sz w:val="20"/>
                <w:szCs w:val="20"/>
              </w:rPr>
              <w:fldChar w:fldCharType="separate"/>
            </w:r>
            <w:r w:rsidRPr="00332A71">
              <w:rPr>
                <w:rFonts w:ascii="Times New Roman" w:hAnsi="Times New Roman" w:cs="Times New Roman"/>
                <w:noProof/>
                <w:sz w:val="20"/>
                <w:szCs w:val="20"/>
              </w:rPr>
              <w:t>(16)</w:t>
            </w:r>
            <w:r w:rsidRPr="00332A71">
              <w:rPr>
                <w:rFonts w:ascii="Times New Roman" w:hAnsi="Times New Roman" w:cs="Times New Roman"/>
                <w:sz w:val="20"/>
                <w:szCs w:val="20"/>
              </w:rPr>
              <w:fldChar w:fldCharType="end"/>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 xml:space="preserve">Developing an Eye Healthcare National Programme </w:t>
            </w:r>
            <w:proofErr w:type="spellStart"/>
            <w:r w:rsidRPr="00332A71">
              <w:rPr>
                <w:rFonts w:ascii="Times New Roman" w:hAnsi="Times New Roman" w:cs="Times New Roman"/>
                <w:sz w:val="20"/>
                <w:szCs w:val="20"/>
              </w:rPr>
              <w:t>inc</w:t>
            </w:r>
            <w:proofErr w:type="spellEnd"/>
            <w:r w:rsidRPr="00332A71">
              <w:rPr>
                <w:rFonts w:ascii="Times New Roman" w:hAnsi="Times New Roman" w:cs="Times New Roman"/>
                <w:sz w:val="20"/>
                <w:szCs w:val="20"/>
              </w:rPr>
              <w:t xml:space="preserve"> DR (Action Plan)</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(Later stage)</w:t>
            </w:r>
          </w:p>
        </w:tc>
        <w:tc>
          <w:tcPr>
            <w:tcW w:w="1984"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843"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Cuba</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Dominica</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Dominican Republic</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Equatorial Guinea</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Ecuador</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IDF, 2020</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N/A</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Not sure</w:t>
            </w:r>
          </w:p>
        </w:tc>
        <w:tc>
          <w:tcPr>
            <w:tcW w:w="1843" w:type="dxa"/>
            <w:shd w:val="clear" w:color="auto" w:fill="FFFF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Partially implemented (Locally)</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vMerge w:val="restart"/>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Fiji</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 xml:space="preserve">Clark M, White E, 2019 </w:t>
            </w:r>
            <w:r w:rsidRPr="00332A71">
              <w:rPr>
                <w:rFonts w:ascii="Times New Roman" w:hAnsi="Times New Roman" w:cs="Times New Roman"/>
                <w:sz w:val="20"/>
                <w:szCs w:val="20"/>
              </w:rPr>
              <w:fldChar w:fldCharType="begin" w:fldLock="1"/>
            </w:r>
            <w:r w:rsidRPr="00332A71">
              <w:rPr>
                <w:rFonts w:ascii="Times New Roman" w:hAnsi="Times New Roman" w:cs="Times New Roman"/>
                <w:sz w:val="20"/>
                <w:szCs w:val="20"/>
              </w:rPr>
              <w:instrText>ADDIN CSL_CITATION {"citationItems":[{"id":"ITEM-1","itemData":{"author":[{"dropping-particle":"","family":"Marion","given":"Authors","non-dropping-particle":"","parse-names":false,"suffix":""},{"dropping-particle":"","family":"Clark","given":"Clark","non-dropping-particle":"","parse-names":false,"suffix":""},{"dropping-particle":"","family":"White","given":"Esther","non-dropping-particle":"","parse-names":false,"suffix":""},{"dropping-particle":"","family":"Clarke","given":"Allen","non-dropping-particle":"","parse-names":false,"suffix":""}],"id":"ITEM-1","issue":"November 2018","issued":{"date-parts":[["2019"]]},"title":"Pacific Diabetic Retinopathy Programme Evaluation report","type":"article-journal","volume":"2018"},"uris":["http://www.mendeley.com/documents/?uuid=4c8f707d-95c4-4950-87ef-0f165e091e80"]}],"mendeley":{"formattedCitation":"(8)","plainTextFormattedCitation":"(8)","previouslyFormattedCitation":"(8)"},"properties":{"noteIndex":0},"schema":"https://github.com/citation-style-language/schema/raw/master/csl-citation.json"}</w:instrText>
            </w:r>
            <w:r w:rsidRPr="00332A71">
              <w:rPr>
                <w:rFonts w:ascii="Times New Roman" w:hAnsi="Times New Roman" w:cs="Times New Roman"/>
                <w:sz w:val="20"/>
                <w:szCs w:val="20"/>
              </w:rPr>
              <w:fldChar w:fldCharType="separate"/>
            </w:r>
            <w:r w:rsidRPr="00332A71">
              <w:rPr>
                <w:rFonts w:ascii="Times New Roman" w:hAnsi="Times New Roman" w:cs="Times New Roman"/>
                <w:noProof/>
                <w:sz w:val="20"/>
                <w:szCs w:val="20"/>
              </w:rPr>
              <w:t>(8)</w:t>
            </w:r>
            <w:r w:rsidRPr="00332A71">
              <w:rPr>
                <w:rFonts w:ascii="Times New Roman" w:hAnsi="Times New Roman" w:cs="Times New Roman"/>
                <w:sz w:val="20"/>
                <w:szCs w:val="20"/>
              </w:rPr>
              <w:fldChar w:fldCharType="end"/>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 ( National Strategic NCD Plan)</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843"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vMerge/>
            <w:shd w:val="clear" w:color="auto" w:fill="auto"/>
          </w:tcPr>
          <w:p w:rsidR="00BD1CEF" w:rsidRPr="00332A71" w:rsidRDefault="00BD1CEF" w:rsidP="00CB137C">
            <w:pPr>
              <w:spacing w:before="100" w:beforeAutospacing="1" w:after="100" w:afterAutospacing="1"/>
              <w:ind w:left="360"/>
              <w:contextualSpacing/>
              <w:rPr>
                <w:rFonts w:ascii="Times New Roman" w:hAnsi="Times New Roman" w:cs="Times New Roman"/>
                <w:sz w:val="20"/>
                <w:szCs w:val="20"/>
              </w:rPr>
            </w:pP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roofErr w:type="spellStart"/>
            <w:r w:rsidRPr="00332A71">
              <w:rPr>
                <w:rFonts w:ascii="Times New Roman" w:hAnsi="Times New Roman" w:cs="Times New Roman"/>
                <w:sz w:val="20"/>
                <w:szCs w:val="20"/>
              </w:rPr>
              <w:t>Damato</w:t>
            </w:r>
            <w:proofErr w:type="spellEnd"/>
            <w:r w:rsidRPr="00332A71">
              <w:rPr>
                <w:rFonts w:ascii="Times New Roman" w:hAnsi="Times New Roman" w:cs="Times New Roman"/>
                <w:sz w:val="20"/>
                <w:szCs w:val="20"/>
              </w:rPr>
              <w:t xml:space="preserve"> EM et al, 2014 </w:t>
            </w:r>
            <w:r w:rsidRPr="00332A71">
              <w:rPr>
                <w:rFonts w:ascii="Times New Roman" w:hAnsi="Times New Roman" w:cs="Times New Roman"/>
                <w:sz w:val="20"/>
                <w:szCs w:val="20"/>
              </w:rPr>
              <w:fldChar w:fldCharType="begin" w:fldLock="1"/>
            </w:r>
            <w:r w:rsidRPr="00332A71">
              <w:rPr>
                <w:rFonts w:ascii="Times New Roman" w:hAnsi="Times New Roman" w:cs="Times New Roman"/>
                <w:sz w:val="20"/>
                <w:szCs w:val="20"/>
              </w:rPr>
              <w:instrText>ADDIN CSL_CITATION {"citationItems":[{"id":"ITEM-1","itemData":{"DOI":"10.3109/09286586.2014.949781","ISSN":"17445086","abstract":"Purpose: To report the spectrum of retinopathy at first presentation to photoscreening services, to determine the proportion of patients that present with sight-threatening diabetic retinopathy (STDR), and to raise awareness of the burden of diabetic eye disease in Fiji. Methods: This retrospective observational cohort study used data from the initial visit of all new patients presenting to the diabetes retinal screening service at the Pacific Eye Institute in Fiji over the 3-month period between July and September 2012. Patients were assessed using a detailed questionnaire regarding diabetes type, duration of disease, medications, complications and co-morbidities, and blood sugar control. Patients subsequently underwent non-mydriatic fundus photography according to Pacific diabetes retinal screening guidelines. Images were graded at the time of acquisition, and data were entered onto a computerized database. For the purposes of this study, information regarding retinopathy grading, visual acuity and patient demographics was used. Results: A total of 522 new patients were screened over the 3-month period. STDR was observed in 27% of patients, with 15% observed to have bilateral STDR. Diabetes control was generally poor. Blindness and visual impairment were observed in 2.7% and 6.7% of the cohort, respectively. Conclusion: Severe and advanced diabetic retinopathy was present in this population presenting to screening. This was observed 4 years after the formal expansion of the screening services and reflects the high prevalence of diabetes in the population. The need for increased public awareness and greater resource allocation into diabetes and its complications is emphasized.","author":[{"dropping-particle":"","family":"Damato","given":"Erika M.","non-dropping-particle":"","parse-names":false,"suffix":""},{"dropping-particle":"","family":"Murray","given":"Neil","non-dropping-particle":"","parse-names":false,"suffix":""},{"dropping-particle":"","family":"Szetu","given":"John","non-dropping-particle":"","parse-names":false,"suffix":""},{"dropping-particle":"","family":"Sikivou","given":"Biu Telaite","non-dropping-particle":"","parse-names":false,"suffix":""},{"dropping-particle":"","family":"Emma","given":"Stephanie","non-dropping-particle":"","parse-names":false,"suffix":""},{"dropping-particle":"","family":"McGhee","given":"Charles N.J.","non-dropping-particle":"","parse-names":false,"suffix":""}],"container-title":"Ophthalmic Epidemiology","id":"ITEM-1","issue":"5","issued":{"date-parts":[["2014"]]},"page":"318-326","title":"Sight-threatening diabetic retinopathy at presentation to screening services in Fiji","type":"article-journal","volume":"21"},"uris":["http://www.mendeley.com/documents/?uuid=0c998f04-1bb4-40dc-aa53-6b3822aba668"]}],"mendeley":{"formattedCitation":"(39)","plainTextFormattedCitation":"(39)","previouslyFormattedCitation":"(39)"},"properties":{"noteIndex":0},"schema":"https://github.com/citation-style-language/schema/raw/master/csl-citation.json"}</w:instrText>
            </w:r>
            <w:r w:rsidRPr="00332A71">
              <w:rPr>
                <w:rFonts w:ascii="Times New Roman" w:hAnsi="Times New Roman" w:cs="Times New Roman"/>
                <w:sz w:val="20"/>
                <w:szCs w:val="20"/>
              </w:rPr>
              <w:fldChar w:fldCharType="separate"/>
            </w:r>
            <w:r w:rsidRPr="00332A71">
              <w:rPr>
                <w:rFonts w:ascii="Times New Roman" w:hAnsi="Times New Roman" w:cs="Times New Roman"/>
                <w:noProof/>
                <w:sz w:val="20"/>
                <w:szCs w:val="20"/>
              </w:rPr>
              <w:t>(39)</w:t>
            </w:r>
            <w:r w:rsidRPr="00332A71">
              <w:rPr>
                <w:rFonts w:ascii="Times New Roman" w:hAnsi="Times New Roman" w:cs="Times New Roman"/>
                <w:sz w:val="20"/>
                <w:szCs w:val="20"/>
              </w:rPr>
              <w:fldChar w:fldCharType="end"/>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roofErr w:type="spellStart"/>
            <w:r w:rsidRPr="00332A71">
              <w:rPr>
                <w:rFonts w:ascii="Times New Roman" w:hAnsi="Times New Roman" w:cs="Times New Roman"/>
                <w:sz w:val="20"/>
                <w:szCs w:val="20"/>
              </w:rPr>
              <w:t>Undilated</w:t>
            </w:r>
            <w:proofErr w:type="spellEnd"/>
            <w:r w:rsidRPr="00332A71">
              <w:rPr>
                <w:rFonts w:ascii="Times New Roman" w:hAnsi="Times New Roman" w:cs="Times New Roman"/>
                <w:sz w:val="20"/>
                <w:szCs w:val="20"/>
              </w:rPr>
              <w:t xml:space="preserve"> fundus photography at Pacific Eye Institute</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843" w:type="dxa"/>
            <w:shd w:val="clear" w:color="auto" w:fill="FFFF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Partially implemented (Locally)</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Gabon</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Georgia</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Grenada</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Guatemala</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Chávez GMG et al, 2015</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843"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Guyana</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Indonesia</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Iran, Islamic Rep.</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roofErr w:type="spellStart"/>
            <w:r w:rsidRPr="00332A71">
              <w:rPr>
                <w:rFonts w:ascii="Times New Roman" w:hAnsi="Times New Roman" w:cs="Times New Roman"/>
                <w:sz w:val="20"/>
                <w:szCs w:val="20"/>
              </w:rPr>
              <w:t>Katibeh</w:t>
            </w:r>
            <w:proofErr w:type="spellEnd"/>
            <w:r w:rsidRPr="00332A71">
              <w:rPr>
                <w:rFonts w:ascii="Times New Roman" w:hAnsi="Times New Roman" w:cs="Times New Roman"/>
                <w:sz w:val="20"/>
                <w:szCs w:val="20"/>
              </w:rPr>
              <w:t xml:space="preserve"> M et al, 2017 </w:t>
            </w:r>
            <w:r w:rsidRPr="00332A71">
              <w:rPr>
                <w:rFonts w:ascii="Times New Roman" w:hAnsi="Times New Roman" w:cs="Times New Roman"/>
                <w:sz w:val="20"/>
                <w:szCs w:val="20"/>
              </w:rPr>
              <w:fldChar w:fldCharType="begin" w:fldLock="1"/>
            </w:r>
            <w:r w:rsidRPr="00332A71">
              <w:rPr>
                <w:rFonts w:ascii="Times New Roman" w:hAnsi="Times New Roman" w:cs="Times New Roman"/>
                <w:sz w:val="20"/>
                <w:szCs w:val="20"/>
              </w:rPr>
              <w:instrText>ADDIN CSL_CITATION {"citationItems":[{"id":"ITEM-1","itemData":{"DOI":"10.1080/09286586.2017.1307993","ISSN":"17445086","PMID":"28422552","abstract":"Purpose: To conduct an assessment of avoidable blindness and diabetic retinopathy (DR) in Gilan, 2014. Methods: A cross-sectional population-based survey was performed on a representative sample of urban and rural individuals aged ≥50 years of the province. Blindness was defined as presenting visual acuity (PVA) &lt;3/60 in the better eye. Moderate visual impairment (MVI) and severe visual impairment (SVI) were defined as 6/60 ≤ PVA &lt;6/18 and 3/60 ≤ PVA &lt;6/60 in the better eye, respectively. Diabetes mellitus (DM) was determined based on random blood sugar (RBS) levels ≥200 mg/dL or a previous diagnosis. We used the Scottish grading system to grade DR. Results: We invited 2975 individuals from 85 clusters. Age- and sex-adjusted prevalence and 95% confidence interval (CI) of blindness, SVI, MVI, and DM in 2587 participants (response rate: 86.9%) were 1.5% (95% CI: 1.1–2.0), 1.5% (95% CI: 0.9–2.0), 11.3% (95% CI: 9.9–12.7) and 21.4% (95% CI: 19.2–23.7), respectively. The leading causes of blindness were cataract (47.1%), age-related macular degeneration (14.7%) and DR (8.8%). Cataract surgery (CS) coverage was 69.3%. The main challenges for CS were cost and unawareness. The outcome of CS was good in 66.9% of operated eyes. Any DR and/or maculopathy were observed in 25.3% (95% CI: 21.0–29.5) of subjects including 12.6% (95% CI: 9.7–15.6) sight-threatening DR. In previously known DM cases, 215 (41.7%) had never undergone an eye examination for DR. Conclusion: The proportion of avoidable blindness and DR is considerable in Gilan Province.","author":[{"dropping-particle":"","family":"Katibeh","given":"Marzieh","non-dropping-particle":"","parse-names":false,"suffix":""},{"dropping-particle":"","family":"Behboudi","given":"Hassan","non-dropping-particle":"","parse-names":false,"suffix":""},{"dropping-particle":"","family":"Moradian","given":"Siamak","non-dropping-particle":"","parse-names":false,"suffix":""},{"dropping-particle":"","family":"Alizadeh","given":"Yousef","non-dropping-particle":"","parse-names":false,"suffix":""},{"dropping-particle":"","family":"Beiranvand","given":"Ramin","non-dropping-particle":"","parse-names":false,"suffix":""},{"dropping-particle":"","family":"Sabbaghi","given":"Hamideh","non-dropping-particle":"","parse-names":false,"suffix":""},{"dropping-particle":"","family":"Ahmadieh","given":"Hamid","non-dropping-particle":"","parse-names":false,"suffix":""}],"container-title":"Ophthalmic Epidemiology","id":"ITEM-1","issue":"6","issued":{"date-parts":[["2017"]]},"page":"381-387","publisher":"Taylor &amp; Francis","title":"Rapid Assessment of Avoidable Blindness and Diabetic Retinopathy in Gilan Province, Iran","type":"article-journal","volume":"24"},"uris":["http://www.mendeley.com/documents/?uuid=3a471c37-dc98-414c-9c1d-9ffbbaf3d28b"]}],"mendeley":{"formattedCitation":"(31)","plainTextFormattedCitation":"(31)","previouslyFormattedCitation":"(31)"},"properties":{"noteIndex":0},"schema":"https://github.com/citation-style-language/schema/raw/master/csl-citation.json"}</w:instrText>
            </w:r>
            <w:r w:rsidRPr="00332A71">
              <w:rPr>
                <w:rFonts w:ascii="Times New Roman" w:hAnsi="Times New Roman" w:cs="Times New Roman"/>
                <w:sz w:val="20"/>
                <w:szCs w:val="20"/>
              </w:rPr>
              <w:fldChar w:fldCharType="separate"/>
            </w:r>
            <w:r w:rsidRPr="00332A71">
              <w:rPr>
                <w:rFonts w:ascii="Times New Roman" w:hAnsi="Times New Roman" w:cs="Times New Roman"/>
                <w:noProof/>
                <w:sz w:val="20"/>
                <w:szCs w:val="20"/>
              </w:rPr>
              <w:t>(31)</w:t>
            </w:r>
            <w:r w:rsidRPr="00332A71">
              <w:rPr>
                <w:rFonts w:ascii="Times New Roman" w:hAnsi="Times New Roman" w:cs="Times New Roman"/>
                <w:sz w:val="20"/>
                <w:szCs w:val="20"/>
              </w:rPr>
              <w:fldChar w:fldCharType="end"/>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843"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Iraq</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IDF, 2020</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Not sure</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843"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DESP</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Jamaica</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 xml:space="preserve">CECH, 2019 </w:t>
            </w:r>
            <w:r w:rsidRPr="00332A71">
              <w:rPr>
                <w:rFonts w:ascii="Times New Roman" w:hAnsi="Times New Roman" w:cs="Times New Roman"/>
                <w:sz w:val="20"/>
                <w:szCs w:val="20"/>
              </w:rPr>
              <w:fldChar w:fldCharType="begin" w:fldLock="1"/>
            </w:r>
            <w:r w:rsidRPr="00332A71">
              <w:rPr>
                <w:rFonts w:ascii="Times New Roman" w:hAnsi="Times New Roman" w:cs="Times New Roman"/>
                <w:sz w:val="20"/>
                <w:szCs w:val="20"/>
              </w:rPr>
              <w:instrText>ADDIN CSL_CITATION {"citationItems":[{"id":"ITEM-1","itemData":{"DOI":"10.1057/978-1-349-95943-3_270","author":[{"dropping-particle":"","family":"Evaluation","given":"Final","non-dropping-particle":"","parse-names":false,"suffix":""}],"container-title":"The Grants Register 2020","id":"ITEM-1","issue":"March","issued":{"date-parts":[["2019"]]},"page":"266-267","title":"Commonwealth Eye Health Consortium","type":"article-journal"},"uris":["http://www.mendeley.com/documents/?uuid=9857305f-358f-4819-a81b-899fbdc36ab3"]}],"mendeley":{"formattedCitation":"(46)","plainTextFormattedCitation":"(46)","previouslyFormattedCitation":"(46)"},"properties":{"noteIndex":0},"schema":"https://github.com/citation-style-language/schema/raw/master/csl-citation.json"}</w:instrText>
            </w:r>
            <w:r w:rsidRPr="00332A71">
              <w:rPr>
                <w:rFonts w:ascii="Times New Roman" w:hAnsi="Times New Roman" w:cs="Times New Roman"/>
                <w:sz w:val="20"/>
                <w:szCs w:val="20"/>
              </w:rPr>
              <w:fldChar w:fldCharType="separate"/>
            </w:r>
            <w:r w:rsidRPr="00332A71">
              <w:rPr>
                <w:rFonts w:ascii="Times New Roman" w:hAnsi="Times New Roman" w:cs="Times New Roman"/>
                <w:noProof/>
                <w:sz w:val="20"/>
                <w:szCs w:val="20"/>
              </w:rPr>
              <w:t>(46)</w:t>
            </w:r>
            <w:r w:rsidRPr="00332A71">
              <w:rPr>
                <w:rFonts w:ascii="Times New Roman" w:hAnsi="Times New Roman" w:cs="Times New Roman"/>
                <w:sz w:val="20"/>
                <w:szCs w:val="20"/>
              </w:rPr>
              <w:fldChar w:fldCharType="end"/>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National DR framework in place</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 xml:space="preserve">Agenda setting (Later stage) </w:t>
            </w:r>
          </w:p>
        </w:tc>
        <w:tc>
          <w:tcPr>
            <w:tcW w:w="1984"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843"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Jordan</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Kazakhstan</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Kosovo</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Lebanon</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IDF, 2020</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Not sure</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Photographic screening</w:t>
            </w:r>
          </w:p>
        </w:tc>
        <w:tc>
          <w:tcPr>
            <w:tcW w:w="1843" w:type="dxa"/>
            <w:shd w:val="clear" w:color="auto" w:fill="FFFF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Partially implemented (Regionally)</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Libya</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Malaysia</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IDF, 2020</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 (National DM Policy)</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 (D</w:t>
            </w:r>
            <w:r>
              <w:rPr>
                <w:rFonts w:ascii="Times New Roman" w:hAnsi="Times New Roman" w:cs="Times New Roman"/>
                <w:sz w:val="20"/>
                <w:szCs w:val="20"/>
              </w:rPr>
              <w:t>R</w:t>
            </w:r>
            <w:r w:rsidRPr="00332A71">
              <w:rPr>
                <w:rFonts w:ascii="Times New Roman" w:hAnsi="Times New Roman" w:cs="Times New Roman"/>
                <w:sz w:val="20"/>
                <w:szCs w:val="20"/>
              </w:rPr>
              <w:t xml:space="preserve"> included in national DM policy)</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560" w:type="dxa"/>
            <w:shd w:val="clear" w:color="auto" w:fill="FFC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Policy formation</w:t>
            </w:r>
          </w:p>
        </w:tc>
        <w:tc>
          <w:tcPr>
            <w:tcW w:w="1984"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Photographic screening</w:t>
            </w:r>
          </w:p>
        </w:tc>
        <w:tc>
          <w:tcPr>
            <w:tcW w:w="1843" w:type="dxa"/>
            <w:shd w:val="clear" w:color="auto" w:fill="92D05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Pr>
                <w:rFonts w:ascii="Times New Roman" w:hAnsi="Times New Roman" w:cs="Times New Roman"/>
                <w:sz w:val="20"/>
                <w:szCs w:val="20"/>
              </w:rPr>
              <w:t>Yes – National DESP</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Maldives</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Marshall Islands</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Mauritius</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IDF, 2020</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N/A</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information</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Photographic screening</w:t>
            </w:r>
          </w:p>
        </w:tc>
        <w:tc>
          <w:tcPr>
            <w:tcW w:w="1843" w:type="dxa"/>
            <w:shd w:val="clear" w:color="auto" w:fill="92D05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Pr>
                <w:rFonts w:ascii="Times New Roman" w:hAnsi="Times New Roman" w:cs="Times New Roman"/>
                <w:sz w:val="20"/>
                <w:szCs w:val="20"/>
              </w:rPr>
              <w:t>Yes - National DESP</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vMerge w:val="restart"/>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Mexico</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Polack S et al, 2012 (33)</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843"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DESP</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vMerge/>
            <w:shd w:val="clear" w:color="auto" w:fill="auto"/>
          </w:tcPr>
          <w:p w:rsidR="00BD1CEF" w:rsidRPr="00332A71" w:rsidRDefault="00BD1CEF" w:rsidP="00CB137C">
            <w:pPr>
              <w:spacing w:before="100" w:beforeAutospacing="1" w:after="100" w:afterAutospacing="1"/>
              <w:ind w:left="360"/>
              <w:contextualSpacing/>
              <w:rPr>
                <w:rFonts w:ascii="Times New Roman" w:hAnsi="Times New Roman" w:cs="Times New Roman"/>
                <w:sz w:val="20"/>
                <w:szCs w:val="20"/>
              </w:rPr>
            </w:pP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roofErr w:type="spellStart"/>
            <w:r w:rsidRPr="00332A71">
              <w:rPr>
                <w:rFonts w:ascii="Times New Roman" w:hAnsi="Times New Roman" w:cs="Times New Roman"/>
                <w:sz w:val="20"/>
                <w:szCs w:val="20"/>
              </w:rPr>
              <w:t>Barquera</w:t>
            </w:r>
            <w:proofErr w:type="spellEnd"/>
            <w:r w:rsidRPr="00332A71">
              <w:rPr>
                <w:rFonts w:ascii="Times New Roman" w:hAnsi="Times New Roman" w:cs="Times New Roman"/>
                <w:sz w:val="20"/>
                <w:szCs w:val="20"/>
              </w:rPr>
              <w:t xml:space="preserve"> S et al, 2013 </w:t>
            </w:r>
            <w:r w:rsidRPr="00332A71">
              <w:rPr>
                <w:rFonts w:ascii="Times New Roman" w:hAnsi="Times New Roman" w:cs="Times New Roman"/>
                <w:sz w:val="20"/>
                <w:szCs w:val="20"/>
              </w:rPr>
              <w:fldChar w:fldCharType="begin" w:fldLock="1"/>
            </w:r>
            <w:r w:rsidRPr="00332A71">
              <w:rPr>
                <w:rFonts w:ascii="Times New Roman" w:hAnsi="Times New Roman" w:cs="Times New Roman"/>
                <w:sz w:val="20"/>
                <w:szCs w:val="20"/>
              </w:rPr>
              <w:instrText>ADDIN CSL_CITATION {"citationItems":[{"id":"ITEM-1","itemData":{"DOI":"10.1186/1744-8603-9-3","ISSN":"17448603","PMID":"23374611","abstract":"Background: Mexico has been experiencing some of the most rapid shifts ever recorded in dietary and physical activity patterns leading to obesity. Diabetes mellitus has played a crucial role causing nearly 14% of all deaths. We wanted to make a comprehensive study of the role of diabetes in terms of burden of disease, prevalence, cost of diabetes, cost of complications and health policy.Method: We review the quantitative data that provides evidence of the extent to which the Mexican health economy is affected by the disease and its complications. We then discuss the current situation of diabetes in Mexico with experts in the field.Results: There was a significant increase in the prevalence of diabetes from 1994 to 2006 with rising direct costs (2006: outpatient USD$ 717,764,787, inpatient USD$ 223,581,099) and indirect costs (2005: USD$ 177,220,390), and rising costs of complications (2010: Retinopathy USD$ 10,323,421; Cardiovascular disease USD$ 12,843,134; Nephropathy USD$ 81,814,501; Neuropathy USD$ 2,760,271; Peripheral vascular disease USD$ 2,042,601). The health policy focused on screening and the creation of self-support groups across the country.Conclusions: The increasing diabetes mortality and lack of control among diagnosed patients make quality of treatment a major concern in Mexico. The growing prevalence of childhood and adult obesity and the metabolic syndrome suggest that the situation could be even worse in the coming years. The government has reacted strongly with national actions to address the growing burden posed by diabetes. However our research suggests that the prevalence and mortality of diabetes will continue to rise in the future. © 2013 Barquera et al; licensee BioMed Central Ltd.","author":[{"dropping-particle":"","family":"Barquera","given":"Simon","non-dropping-particle":"","parse-names":false,"suffix":""},{"dropping-particle":"","family":"Campos-Nonato","given":"Ismael","non-dropping-particle":"","parse-names":false,"suffix":""},{"dropping-particle":"","family":"Aguilar-Salinas","given":"Carlos","non-dropping-particle":"","parse-names":false,"suffix":""},{"dropping-particle":"","family":"Lopez-Ridaura","given":"Ruy","non-dropping-particle":"","parse-names":false,"suffix":""},{"dropping-particle":"","family":"Arredondo","given":"Armando","non-dropping-particle":"","parse-names":false,"suffix":""},{"dropping-particle":"","family":"Rivera-Dommarco","given":"Juan","non-dropping-particle":"","parse-names":false,"suffix":""}],"container-title":"Globalization and Health","id":"ITEM-1","issue":"1","issued":{"date-parts":[["2013"]]},"title":"Diabetes in Mexico: Cost and management of diabetes and its complications and challenges for health policy","type":"article-journal","volume":"9"},"uris":["http://www.mendeley.com/documents/?uuid=d575d64a-9621-4e98-ab07-a6b18fc2d1c3"]}],"mendeley":{"formattedCitation":"(37)","plainTextFormattedCitation":"(37)","previouslyFormattedCitation":"(37)"},"properties":{"noteIndex":0},"schema":"https://github.com/citation-style-language/schema/raw/master/csl-citation.json"}</w:instrText>
            </w:r>
            <w:r w:rsidRPr="00332A71">
              <w:rPr>
                <w:rFonts w:ascii="Times New Roman" w:hAnsi="Times New Roman" w:cs="Times New Roman"/>
                <w:sz w:val="20"/>
                <w:szCs w:val="20"/>
              </w:rPr>
              <w:fldChar w:fldCharType="separate"/>
            </w:r>
            <w:r w:rsidRPr="00332A71">
              <w:rPr>
                <w:rFonts w:ascii="Times New Roman" w:hAnsi="Times New Roman" w:cs="Times New Roman"/>
                <w:noProof/>
                <w:sz w:val="20"/>
                <w:szCs w:val="20"/>
              </w:rPr>
              <w:t>(37)</w:t>
            </w:r>
            <w:r w:rsidRPr="00332A71">
              <w:rPr>
                <w:rFonts w:ascii="Times New Roman" w:hAnsi="Times New Roman" w:cs="Times New Roman"/>
                <w:sz w:val="20"/>
                <w:szCs w:val="20"/>
              </w:rPr>
              <w:fldChar w:fldCharType="end"/>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 – National DM action programme. NCDs included in National Health Plan</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843"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vMerge/>
            <w:shd w:val="clear" w:color="auto" w:fill="auto"/>
          </w:tcPr>
          <w:p w:rsidR="00BD1CEF" w:rsidRPr="00332A71" w:rsidRDefault="00BD1CEF" w:rsidP="00CB137C">
            <w:pPr>
              <w:spacing w:before="100" w:beforeAutospacing="1" w:after="100" w:afterAutospacing="1"/>
              <w:ind w:left="360"/>
              <w:contextualSpacing/>
              <w:rPr>
                <w:rFonts w:ascii="Times New Roman" w:hAnsi="Times New Roman" w:cs="Times New Roman"/>
                <w:sz w:val="20"/>
                <w:szCs w:val="20"/>
              </w:rPr>
            </w:pP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IDF 2020</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 (National DM Policy)</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843"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vMerge/>
            <w:shd w:val="clear" w:color="auto" w:fill="auto"/>
          </w:tcPr>
          <w:p w:rsidR="00BD1CEF" w:rsidRPr="00332A71" w:rsidRDefault="00BD1CEF" w:rsidP="00CB137C">
            <w:pPr>
              <w:spacing w:before="100" w:beforeAutospacing="1" w:after="100" w:afterAutospacing="1"/>
              <w:ind w:left="360"/>
              <w:contextualSpacing/>
              <w:rPr>
                <w:rFonts w:ascii="Times New Roman" w:hAnsi="Times New Roman" w:cs="Times New Roman"/>
                <w:sz w:val="20"/>
                <w:szCs w:val="20"/>
              </w:rPr>
            </w:pP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noProof/>
                <w:sz w:val="20"/>
                <w:szCs w:val="20"/>
              </w:rPr>
              <w:t xml:space="preserve">Lopez-Star EM et al, 2018 </w:t>
            </w:r>
            <w:r w:rsidRPr="00332A71">
              <w:rPr>
                <w:rFonts w:ascii="Times New Roman" w:hAnsi="Times New Roman" w:cs="Times New Roman"/>
                <w:noProof/>
                <w:sz w:val="20"/>
                <w:szCs w:val="20"/>
              </w:rPr>
              <w:fldChar w:fldCharType="begin" w:fldLock="1"/>
            </w:r>
            <w:r w:rsidRPr="00332A71">
              <w:rPr>
                <w:rFonts w:ascii="Times New Roman" w:hAnsi="Times New Roman" w:cs="Times New Roman"/>
                <w:noProof/>
                <w:sz w:val="20"/>
                <w:szCs w:val="20"/>
              </w:rPr>
              <w:instrText>ADDIN CSL_CITATION {"citationItems":[{"id":"ITEM-1","itemData":{"DOI":"10.24875/RMOE.M18000005","ISSN":"01874519","abstract":"Objective: To determine the prevalence and causes of blindness and visual impairment and the prevalence of diabetes and diabetic retinopathy (DR) in the state of Queretaro, Mexico. Materials and Methods: 180 clusters of 35 people aged ≥ 50 years were randomly selected. Participants had their visual acuity measured and lens examined and had a random blood glucose test to assess their diabetes status. Participants with diabetes had a dilated fundus examination and digital fundus photographs taken. DR was graded using the Scottish DR grading system. results: The prevalence of blindness among the 5935 survey participants was 1.0% (95% confidence interval [CI]: 0.7-1.2%). The sample prevalence of severe, moderate, and early visual impairment and functional low vision were 1.6%, 3.2%, 12.7%, and 1.4%, respectively. The most common cause of blindness was cataract representing 29.8% of the cases, followed by DR (17.5%). The most common cause of functional low vision was DR (32.9%). There were 1115 participants with diabetes (18.8%, 95% CI: 17.4-20.2%), 92 of whom were newly diagnosed during this study. The prevalence of retinopathy and/or maculopathy among these patients was 22.5% (95% CI: 19.0-26.1%), and 3.6% (95% CI: 2.4-4.8%) had sight-threatening DR. conclusion: Although cataract is the primary cause of blindness among people aged ≥ 50 years in Queretaro, Mexico, DR is the second cause of blindness and the leading cause of functional low vision. There is a need to expand and improve eye care services in Queretaro and to ensure early diagnosis and treatment of diabetes and DR.","author":[{"dropping-particle":"","family":"Lopez-Star","given":"Ellery M.","non-dropping-particle":"","parse-names":false,"suffix":""},{"dropping-particle":"","family":"Allison-Eckert","given":"Kristen","non-dropping-particle":"","parse-names":false,"suffix":""},{"dropping-particle":"","family":"Limburg","given":"Hans","non-dropping-particle":"","parse-names":false,"suffix":""},{"dropping-particle":"","family":"Brea-Rodriguez","given":"Ileana","non-dropping-particle":"","parse-names":false,"suffix":""},{"dropping-particle":"","family":"Lansingh","given":"Van Charles","non-dropping-particle":"","parse-names":false,"suffix":""}],"container-title":"Revista Mexicana de Oftalmologia","id":"ITEM-1","issue":"2","issued":{"date-parts":[["2018"]]},"page":"70-79","title":"Rapid assessment of avoidable blindness including diabetic retinopathy in Queretaro, Mexico","type":"article-journal","volume":"92"},"uris":["http://www.mendeley.com/documents/?uuid=22c3b10c-aca8-4ee6-ae13-87d13f393e79"]}],"mendeley":{"formattedCitation":"(26)","plainTextFormattedCitation":"(26)","previouslyFormattedCitation":"(26)"},"properties":{"noteIndex":0},"schema":"https://github.com/citation-style-language/schema/raw/master/csl-citation.json"}</w:instrText>
            </w:r>
            <w:r w:rsidRPr="00332A71">
              <w:rPr>
                <w:rFonts w:ascii="Times New Roman" w:hAnsi="Times New Roman" w:cs="Times New Roman"/>
                <w:noProof/>
                <w:sz w:val="20"/>
                <w:szCs w:val="20"/>
              </w:rPr>
              <w:fldChar w:fldCharType="separate"/>
            </w:r>
            <w:r w:rsidRPr="00332A71">
              <w:rPr>
                <w:rFonts w:ascii="Times New Roman" w:hAnsi="Times New Roman" w:cs="Times New Roman"/>
                <w:noProof/>
                <w:sz w:val="20"/>
                <w:szCs w:val="20"/>
              </w:rPr>
              <w:t>(26)</w:t>
            </w:r>
            <w:r w:rsidRPr="00332A71">
              <w:rPr>
                <w:rFonts w:ascii="Times New Roman" w:hAnsi="Times New Roman" w:cs="Times New Roman"/>
                <w:noProof/>
                <w:sz w:val="20"/>
                <w:szCs w:val="20"/>
              </w:rPr>
              <w:fldChar w:fldCharType="end"/>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843"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DESP</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Montenegro</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Namibia</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North Macedonia</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IDF, 2020</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 (National DM Policy)</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 (</w:t>
            </w:r>
            <w:r>
              <w:rPr>
                <w:rFonts w:ascii="Times New Roman" w:hAnsi="Times New Roman" w:cs="Times New Roman"/>
                <w:sz w:val="20"/>
                <w:szCs w:val="20"/>
              </w:rPr>
              <w:t xml:space="preserve">DR </w:t>
            </w:r>
            <w:r w:rsidRPr="00332A71">
              <w:rPr>
                <w:rFonts w:ascii="Times New Roman" w:hAnsi="Times New Roman" w:cs="Times New Roman"/>
                <w:sz w:val="20"/>
                <w:szCs w:val="20"/>
              </w:rPr>
              <w:t>included in national DM policy)</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560" w:type="dxa"/>
            <w:shd w:val="clear" w:color="auto" w:fill="FFC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Policy formation</w:t>
            </w:r>
          </w:p>
        </w:tc>
        <w:tc>
          <w:tcPr>
            <w:tcW w:w="1984"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Screening primarily by eye doctors in clinics</w:t>
            </w:r>
          </w:p>
        </w:tc>
        <w:tc>
          <w:tcPr>
            <w:tcW w:w="1843" w:type="dxa"/>
            <w:shd w:val="clear" w:color="auto" w:fill="FFFF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Partially implemented (Regionally)</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Nauru</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 xml:space="preserve">No data identified </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Paraguay</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vMerge w:val="restart"/>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Peru</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Salamanca O et al, 2018 (29)</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 xml:space="preserve">Yes - Peru's concerted national health plan 2007–2020 provided </w:t>
            </w:r>
            <w:r w:rsidRPr="00332A71">
              <w:rPr>
                <w:rFonts w:ascii="Times New Roman" w:hAnsi="Times New Roman" w:cs="Times New Roman"/>
                <w:sz w:val="20"/>
                <w:szCs w:val="20"/>
              </w:rPr>
              <w:lastRenderedPageBreak/>
              <w:t>technical advice at the national level and identified DM as a priority for the health agenda.</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lastRenderedPageBreak/>
              <w:t>No</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Non-</w:t>
            </w:r>
            <w:proofErr w:type="spellStart"/>
            <w:r w:rsidRPr="00332A71">
              <w:rPr>
                <w:rFonts w:ascii="Times New Roman" w:hAnsi="Times New Roman" w:cs="Times New Roman"/>
                <w:sz w:val="20"/>
                <w:szCs w:val="20"/>
              </w:rPr>
              <w:t>mydriatic</w:t>
            </w:r>
            <w:proofErr w:type="spellEnd"/>
            <w:r w:rsidRPr="00332A71">
              <w:rPr>
                <w:rFonts w:ascii="Times New Roman" w:hAnsi="Times New Roman" w:cs="Times New Roman"/>
                <w:sz w:val="20"/>
                <w:szCs w:val="20"/>
              </w:rPr>
              <w:t xml:space="preserve"> screening (secondary and tertiary level hospital)</w:t>
            </w:r>
          </w:p>
        </w:tc>
        <w:tc>
          <w:tcPr>
            <w:tcW w:w="1843" w:type="dxa"/>
            <w:shd w:val="clear" w:color="auto" w:fill="FFFF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highlight w:val="yellow"/>
              </w:rPr>
              <w:t>Partially implemented (Sub-national</w:t>
            </w:r>
            <w:r w:rsidRPr="00332A71">
              <w:rPr>
                <w:rFonts w:ascii="Times New Roman" w:hAnsi="Times New Roman" w:cs="Times New Roman"/>
                <w:sz w:val="20"/>
                <w:szCs w:val="20"/>
              </w:rPr>
              <w:t>)</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vMerge/>
            <w:shd w:val="clear" w:color="auto" w:fill="auto"/>
          </w:tcPr>
          <w:p w:rsidR="00BD1CEF" w:rsidRPr="00332A71" w:rsidRDefault="00BD1CEF" w:rsidP="00CB137C">
            <w:pPr>
              <w:spacing w:before="100" w:beforeAutospacing="1" w:after="100" w:afterAutospacing="1"/>
              <w:ind w:left="360"/>
              <w:contextualSpacing/>
              <w:rPr>
                <w:rFonts w:ascii="Times New Roman" w:hAnsi="Times New Roman" w:cs="Times New Roman"/>
                <w:sz w:val="20"/>
                <w:szCs w:val="20"/>
              </w:rPr>
            </w:pP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IDF, 2020</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 (National DM Policy)</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Not sure</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843"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DESP</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Romania</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Russian Federation</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Samoa</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 xml:space="preserve">Clark M, White E, 2019 </w:t>
            </w:r>
            <w:r w:rsidRPr="00332A71">
              <w:rPr>
                <w:rFonts w:ascii="Times New Roman" w:hAnsi="Times New Roman" w:cs="Times New Roman"/>
                <w:sz w:val="20"/>
                <w:szCs w:val="20"/>
              </w:rPr>
              <w:fldChar w:fldCharType="begin" w:fldLock="1"/>
            </w:r>
            <w:r w:rsidRPr="00332A71">
              <w:rPr>
                <w:rFonts w:ascii="Times New Roman" w:hAnsi="Times New Roman" w:cs="Times New Roman"/>
                <w:sz w:val="20"/>
                <w:szCs w:val="20"/>
              </w:rPr>
              <w:instrText>ADDIN CSL_CITATION {"citationItems":[{"id":"ITEM-1","itemData":{"author":[{"dropping-particle":"","family":"Marion","given":"Authors","non-dropping-particle":"","parse-names":false,"suffix":""},{"dropping-particle":"","family":"Clark","given":"Clark","non-dropping-particle":"","parse-names":false,"suffix":""},{"dropping-particle":"","family":"White","given":"Esther","non-dropping-particle":"","parse-names":false,"suffix":""},{"dropping-particle":"","family":"Clarke","given":"Allen","non-dropping-particle":"","parse-names":false,"suffix":""}],"id":"ITEM-1","issue":"November 2018","issued":{"date-parts":[["2019"]]},"title":"Pacific Diabetic Retinopathy Programme Evaluation report","type":"article-journal","volume":"2018"},"uris":["http://www.mendeley.com/documents/?uuid=4c8f707d-95c4-4950-87ef-0f165e091e80"]}],"mendeley":{"formattedCitation":"(8)","plainTextFormattedCitation":"(8)","previouslyFormattedCitation":"(8)"},"properties":{"noteIndex":0},"schema":"https://github.com/citation-style-language/schema/raw/master/csl-citation.json"}</w:instrText>
            </w:r>
            <w:r w:rsidRPr="00332A71">
              <w:rPr>
                <w:rFonts w:ascii="Times New Roman" w:hAnsi="Times New Roman" w:cs="Times New Roman"/>
                <w:sz w:val="20"/>
                <w:szCs w:val="20"/>
              </w:rPr>
              <w:fldChar w:fldCharType="separate"/>
            </w:r>
            <w:r w:rsidRPr="00332A71">
              <w:rPr>
                <w:rFonts w:ascii="Times New Roman" w:hAnsi="Times New Roman" w:cs="Times New Roman"/>
                <w:noProof/>
                <w:sz w:val="20"/>
                <w:szCs w:val="20"/>
              </w:rPr>
              <w:t>(8)</w:t>
            </w:r>
            <w:r w:rsidRPr="00332A71">
              <w:rPr>
                <w:rFonts w:ascii="Times New Roman" w:hAnsi="Times New Roman" w:cs="Times New Roman"/>
                <w:sz w:val="20"/>
                <w:szCs w:val="20"/>
              </w:rPr>
              <w:fldChar w:fldCharType="end"/>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 No current strategic plan although a draft NCD plan is in development</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Outreach screening (binocular indirect-ophthalmoscope)</w:t>
            </w:r>
          </w:p>
        </w:tc>
        <w:tc>
          <w:tcPr>
            <w:tcW w:w="1843" w:type="dxa"/>
            <w:shd w:val="clear" w:color="auto" w:fill="FFFF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Partially implemented (Sub-national)</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Serbia</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IDF, 2020</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 (National DM Policy)</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 (D</w:t>
            </w:r>
            <w:r>
              <w:rPr>
                <w:rFonts w:ascii="Times New Roman" w:hAnsi="Times New Roman" w:cs="Times New Roman"/>
                <w:sz w:val="20"/>
                <w:szCs w:val="20"/>
              </w:rPr>
              <w:t>R</w:t>
            </w:r>
            <w:r w:rsidRPr="00332A71">
              <w:rPr>
                <w:rFonts w:ascii="Times New Roman" w:hAnsi="Times New Roman" w:cs="Times New Roman"/>
                <w:sz w:val="20"/>
                <w:szCs w:val="20"/>
              </w:rPr>
              <w:t xml:space="preserve"> included in national DM policy)</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560" w:type="dxa"/>
            <w:shd w:val="clear" w:color="auto" w:fill="FFC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Policy formation</w:t>
            </w:r>
          </w:p>
        </w:tc>
        <w:tc>
          <w:tcPr>
            <w:tcW w:w="1984"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Screening primarily by eye doctors in clinics</w:t>
            </w:r>
          </w:p>
        </w:tc>
        <w:tc>
          <w:tcPr>
            <w:tcW w:w="1843" w:type="dxa"/>
            <w:shd w:val="clear" w:color="auto" w:fill="92D05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Pr>
                <w:rFonts w:ascii="Times New Roman" w:hAnsi="Times New Roman" w:cs="Times New Roman"/>
                <w:sz w:val="20"/>
                <w:szCs w:val="20"/>
              </w:rPr>
              <w:t>Yes – National DESP</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vMerge w:val="restart"/>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South Africa</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Cook S et al, 2013</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Opportunistic model</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843" w:type="dxa"/>
            <w:tcBorders>
              <w:top w:val="nil"/>
            </w:tcBorders>
            <w:shd w:val="clear" w:color="auto" w:fill="FFFF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Partially implemented (National DESP in planning)</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vMerge/>
            <w:shd w:val="clear" w:color="auto" w:fill="auto"/>
          </w:tcPr>
          <w:p w:rsidR="00BD1CEF" w:rsidRPr="00332A71" w:rsidRDefault="00BD1CEF" w:rsidP="00CB137C">
            <w:pPr>
              <w:spacing w:before="100" w:beforeAutospacing="1" w:after="100" w:afterAutospacing="1"/>
              <w:ind w:left="360"/>
              <w:contextualSpacing/>
              <w:rPr>
                <w:rFonts w:ascii="Times New Roman" w:hAnsi="Times New Roman" w:cs="Times New Roman"/>
                <w:sz w:val="20"/>
                <w:szCs w:val="20"/>
              </w:rPr>
            </w:pP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 xml:space="preserve">Cook S et al, 2014 </w:t>
            </w:r>
            <w:r w:rsidRPr="00332A71">
              <w:rPr>
                <w:rFonts w:ascii="Times New Roman" w:hAnsi="Times New Roman" w:cs="Times New Roman"/>
                <w:sz w:val="20"/>
                <w:szCs w:val="20"/>
              </w:rPr>
              <w:fldChar w:fldCharType="begin" w:fldLock="1"/>
            </w:r>
            <w:r w:rsidRPr="00332A71">
              <w:rPr>
                <w:rFonts w:ascii="Times New Roman" w:hAnsi="Times New Roman" w:cs="Times New Roman"/>
                <w:sz w:val="20"/>
                <w:szCs w:val="20"/>
              </w:rPr>
              <w:instrText>ADDIN CSL_CITATION {"citationItems":[{"id":"ITEM-1","itemData":{"DOI":"10.7196/SAMJ.8678","ISSN":"20785135","abstract":"Conclusions. This is the first quality assurance study conducted with SA healthcare professionals. The outcomes are of interest to all stakeholders dealing with the diabetes epidemic. The disparity in grader performance indicates room for improvement. The results demonstrate a high referral rate to ophthalmology, suggesting that on average graders are performing safely, but with a high number of inappropriate referrals.\nBackground. Diabetic retinopathy (DR) is an important biomarker for microvascular disease and blindness. Digital fundus photography is a cost-effective way of screening for DR. Access to DR screening is difficult for many South Africans with diabetes.\nObjective. To perform external quality assurance (EQA) on graders registered in the Ophthalmological Society of South Africa DR screening programme.\nMethods. Graders registered on the South African (SA) Diabetic Register website were invited to participate in the study. The Scottish EQA software system was used to enable on-line grading of 100 retinal photographs. Expert National Health Service graders provided the consensus expert grading for the image set.\nResults. Two hundred and sixty-one participants completed the EQA process, including nine ophthalmologists, 243 optometrists, and nine other graders. A wide range of outcomes were demonstrated, with a mean sensitivity of 0.905 (range 0.286 - 1.000) and mean specificity of 0.507 (0.000 - 0.935). The mean diagnostic odds ratio was calculated to be 12.3 (range 0.147 - 148.2).","author":[{"dropping-particle":"","family":"Cook","given":"S.","non-dropping-particle":"","parse-names":false,"suffix":""},{"dropping-particle":"","family":"Staf","given":"R. T.","non-dropping-particle":"","parse-names":false,"suffix":""},{"dropping-particle":"","family":"Goatman","given":"K. A.","non-dropping-particle":"","parse-names":false,"suffix":""},{"dropping-particle":"","family":"Olson","given":"J. A.","non-dropping-particle":"","parse-names":false,"suffix":""},{"dropping-particle":"","family":"Bow","given":"Alison","non-dropping-particle":"","parse-names":false,"suffix":""},{"dropping-particle":"","family":"Fairley","given":"Anne","non-dropping-particle":"","parse-names":false,"suffix":""},{"dropping-particle":"","family":"Sinclair","given":"Anne","non-dropping-particle":"","parse-names":false,"suffix":""},{"dropping-particle":"","family":"Power","given":"Brian","non-dropping-particle":"","parse-names":false,"suffix":""},{"dropping-particle":"","family":"Varikkara","given":"Mohan","non-dropping-particle":"","parse-names":false,"suffix":""},{"dropping-particle":"","family":"Hanumanthu","given":"Saileela","non-dropping-particle":"","parse-names":false,"suffix":""},{"dropping-particle":"","family":"Zachariah","given":"Sonia","non-dropping-particle":"","parse-names":false,"suffix":""},{"dropping-particle":"","family":"Zamvar","given":"Usha","non-dropping-particle":"","parse-names":false,"suffix":""},{"dropping-particle":"","family":"Wykes","given":"William","non-dropping-particle":"","parse-names":false,"suffix":""}],"container-title":"South African Medical Journal","id":"ITEM-1","issue":"10","issued":{"date-parts":[["2014"]]},"page":"700-704","title":"Quality assurance in diabetic retinal screening in South Africa","type":"article-journal","volume":"104"},"uris":["http://www.mendeley.com/documents/?uuid=279c985f-59ec-43db-844e-59e41dda5b1b"]}],"mendeley":{"formattedCitation":"(24)","plainTextFormattedCitation":"(24)","previouslyFormattedCitation":"(24)"},"properties":{"noteIndex":0},"schema":"https://github.com/citation-style-language/schema/raw/master/csl-citation.json"}</w:instrText>
            </w:r>
            <w:r w:rsidRPr="00332A71">
              <w:rPr>
                <w:rFonts w:ascii="Times New Roman" w:hAnsi="Times New Roman" w:cs="Times New Roman"/>
                <w:sz w:val="20"/>
                <w:szCs w:val="20"/>
              </w:rPr>
              <w:fldChar w:fldCharType="separate"/>
            </w:r>
            <w:r w:rsidRPr="00332A71">
              <w:rPr>
                <w:rFonts w:ascii="Times New Roman" w:hAnsi="Times New Roman" w:cs="Times New Roman"/>
                <w:noProof/>
                <w:sz w:val="20"/>
                <w:szCs w:val="20"/>
              </w:rPr>
              <w:t>(24)</w:t>
            </w:r>
            <w:r w:rsidRPr="00332A71">
              <w:rPr>
                <w:rFonts w:ascii="Times New Roman" w:hAnsi="Times New Roman" w:cs="Times New Roman"/>
                <w:sz w:val="20"/>
                <w:szCs w:val="20"/>
              </w:rPr>
              <w:fldChar w:fldCharType="end"/>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Photographic screening- opportunistic basis.</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843" w:type="dxa"/>
            <w:shd w:val="clear" w:color="auto" w:fill="FFFF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Partially implemented (Developed framework for national DR screening)</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St. Lucia</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IDF, 2020</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Pr>
                <w:rFonts w:ascii="Times New Roman" w:hAnsi="Times New Roman" w:cs="Times New Roman"/>
                <w:sz w:val="20"/>
                <w:szCs w:val="20"/>
              </w:rPr>
              <w:t>N/A</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Photographic screening</w:t>
            </w:r>
          </w:p>
        </w:tc>
        <w:tc>
          <w:tcPr>
            <w:tcW w:w="1843" w:type="dxa"/>
            <w:shd w:val="clear" w:color="auto" w:fill="FFFF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Partially implemented (Regionally)</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St. Vincent and the Grenadines</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Suriname</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vMerge w:val="restart"/>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Thailand</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roofErr w:type="spellStart"/>
            <w:r w:rsidRPr="00332A71">
              <w:rPr>
                <w:rFonts w:ascii="Times New Roman" w:hAnsi="Times New Roman" w:cs="Times New Roman"/>
                <w:sz w:val="20"/>
                <w:szCs w:val="20"/>
              </w:rPr>
              <w:t>Reutrakul</w:t>
            </w:r>
            <w:proofErr w:type="spellEnd"/>
            <w:r w:rsidRPr="00332A71">
              <w:rPr>
                <w:rFonts w:ascii="Times New Roman" w:hAnsi="Times New Roman" w:cs="Times New Roman"/>
                <w:sz w:val="20"/>
                <w:szCs w:val="20"/>
              </w:rPr>
              <w:t xml:space="preserve"> S et al, 2016 </w:t>
            </w:r>
            <w:r w:rsidRPr="00332A71">
              <w:rPr>
                <w:rFonts w:ascii="Times New Roman" w:hAnsi="Times New Roman" w:cs="Times New Roman"/>
                <w:sz w:val="20"/>
                <w:szCs w:val="20"/>
              </w:rPr>
              <w:fldChar w:fldCharType="begin" w:fldLock="1"/>
            </w:r>
            <w:r w:rsidRPr="00332A71">
              <w:rPr>
                <w:rFonts w:ascii="Times New Roman" w:hAnsi="Times New Roman" w:cs="Times New Roman"/>
                <w:sz w:val="20"/>
                <w:szCs w:val="20"/>
              </w:rPr>
              <w:instrText>ADDIN CSL_CITATION {"citationItems":[{"id":"ITEM-1","itemData":{"DOI":"10.1007/s11892-016-0725-7","ISBN":"1189201607","ISSN":"15390829","abstract":"Like other countries in the Western Pacific region, Thailand is facing increasing numbers of patients with diabetes due to unhealthy diets, high obesity rates, and an aging society. Diabetes is a considerable burden for developing countries as it reduces quality of life, increases mortality, and drives up healthcare costs. The disease detection rate in Thailand has improved in recent years, but glycemic control remains suboptimal and significant numbers of patients suffer from complications. Universal healthcare coverage has increased access to care, but inequality exists between different health plans and non-medication diabetes supplies are not yet widely covered. Diabetes self-management education has not yet been standardized and a multidisciplinary team approach is not widely utilized. The Thai government recognizes the burden of diabetes and has launched nationwide programs of health promotion and disease prevention. In addition, local initiatives have targeted reductions in specific complications, including retinopathy and diabetic foot problems, which has resulted in better disease prevention and treatment. Along with strategic public health planning, increased collaboration between private and public sectors, enhanced professional training, increased use of technology and data management, and equitable distribution of care are all needed to improve outcomes of patients with diabetes in Thailand.","author":[{"dropping-particle":"","family":"Reutrakul","given":"Sirimon","non-dropping-particle":"","parse-names":false,"suffix":""},{"dropping-particle":"","family":"Deerochanawong","given":"Chaicharn","non-dropping-particle":"","parse-names":false,"suffix":""}],"container-title":"Current Diabetes Reports","id":"ITEM-1","issue":"3","issued":{"date-parts":[["2016"]]},"page":"1-10","title":"Diabetes in Thailand: Status and Policy","type":"article-journal","volume":"16"},"uris":["http://www.mendeley.com/documents/?uuid=d74fe14d-7820-4f9d-a1e0-6893ea7be7fe"]}],"mendeley":{"formattedCitation":"(35)","plainTextFormattedCitation":"(35)","previouslyFormattedCitation":"(35)"},"properties":{"noteIndex":0},"schema":"https://github.com/citation-style-language/schema/raw/master/csl-citation.json"}</w:instrText>
            </w:r>
            <w:r w:rsidRPr="00332A71">
              <w:rPr>
                <w:rFonts w:ascii="Times New Roman" w:hAnsi="Times New Roman" w:cs="Times New Roman"/>
                <w:sz w:val="20"/>
                <w:szCs w:val="20"/>
              </w:rPr>
              <w:fldChar w:fldCharType="separate"/>
            </w:r>
            <w:r w:rsidRPr="00332A71">
              <w:rPr>
                <w:rFonts w:ascii="Times New Roman" w:hAnsi="Times New Roman" w:cs="Times New Roman"/>
                <w:noProof/>
                <w:sz w:val="20"/>
                <w:szCs w:val="20"/>
              </w:rPr>
              <w:t>(35)</w:t>
            </w:r>
            <w:r w:rsidRPr="00332A71">
              <w:rPr>
                <w:rFonts w:ascii="Times New Roman" w:hAnsi="Times New Roman" w:cs="Times New Roman"/>
                <w:sz w:val="20"/>
                <w:szCs w:val="20"/>
              </w:rPr>
              <w:fldChar w:fldCharType="end"/>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 – Thailand Healthy Lifestyle Strategic Plan</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984"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Mobile Eye Clinics</w:t>
            </w:r>
          </w:p>
        </w:tc>
        <w:tc>
          <w:tcPr>
            <w:tcW w:w="1843" w:type="dxa"/>
            <w:shd w:val="clear" w:color="auto" w:fill="FFFF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highlight w:val="yellow"/>
              </w:rPr>
              <w:t>Partially implemented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vMerge/>
            <w:shd w:val="clear" w:color="auto" w:fill="auto"/>
          </w:tcPr>
          <w:p w:rsidR="00BD1CEF" w:rsidRPr="00332A71" w:rsidRDefault="00BD1CEF" w:rsidP="00CB137C">
            <w:pPr>
              <w:spacing w:before="100" w:beforeAutospacing="1" w:after="100" w:afterAutospacing="1"/>
              <w:ind w:left="360"/>
              <w:contextualSpacing/>
              <w:rPr>
                <w:rFonts w:ascii="Times New Roman" w:hAnsi="Times New Roman" w:cs="Times New Roman"/>
                <w:sz w:val="20"/>
                <w:szCs w:val="20"/>
              </w:rPr>
            </w:pP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roofErr w:type="spellStart"/>
            <w:r w:rsidRPr="00332A71">
              <w:rPr>
                <w:rFonts w:ascii="Times New Roman" w:hAnsi="Times New Roman" w:cs="Times New Roman"/>
                <w:sz w:val="20"/>
                <w:szCs w:val="20"/>
              </w:rPr>
              <w:t>Isipradit</w:t>
            </w:r>
            <w:proofErr w:type="spellEnd"/>
            <w:r w:rsidRPr="00332A71">
              <w:rPr>
                <w:rFonts w:ascii="Times New Roman" w:hAnsi="Times New Roman" w:cs="Times New Roman"/>
                <w:sz w:val="20"/>
                <w:szCs w:val="20"/>
              </w:rPr>
              <w:t xml:space="preserve"> S et al, 2014 (RAAB) (27)</w:t>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 – (Designated VI as national health policy, including DR)</w:t>
            </w:r>
          </w:p>
        </w:tc>
        <w:tc>
          <w:tcPr>
            <w:tcW w:w="1560" w:type="dxa"/>
            <w:shd w:val="clear" w:color="auto" w:fill="FFC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Policy formation</w:t>
            </w:r>
          </w:p>
        </w:tc>
        <w:tc>
          <w:tcPr>
            <w:tcW w:w="1984"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843"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vMerge/>
            <w:shd w:val="clear" w:color="auto" w:fill="auto"/>
          </w:tcPr>
          <w:p w:rsidR="00BD1CEF" w:rsidRPr="00332A71" w:rsidRDefault="00BD1CEF" w:rsidP="00CB137C">
            <w:pPr>
              <w:spacing w:before="100" w:beforeAutospacing="1" w:after="100" w:afterAutospacing="1"/>
              <w:ind w:left="360"/>
              <w:contextualSpacing/>
              <w:rPr>
                <w:rFonts w:ascii="Times New Roman" w:hAnsi="Times New Roman" w:cs="Times New Roman"/>
                <w:sz w:val="20"/>
                <w:szCs w:val="20"/>
              </w:rPr>
            </w:pP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roofErr w:type="spellStart"/>
            <w:r w:rsidRPr="00332A71">
              <w:rPr>
                <w:rFonts w:ascii="Times New Roman" w:hAnsi="Times New Roman" w:cs="Times New Roman"/>
                <w:sz w:val="20"/>
                <w:szCs w:val="20"/>
              </w:rPr>
              <w:t>Chetthakul</w:t>
            </w:r>
            <w:proofErr w:type="spellEnd"/>
            <w:r w:rsidRPr="00332A71">
              <w:rPr>
                <w:rFonts w:ascii="Times New Roman" w:hAnsi="Times New Roman" w:cs="Times New Roman"/>
                <w:sz w:val="20"/>
                <w:szCs w:val="20"/>
              </w:rPr>
              <w:t xml:space="preserve"> T et al, 2006 </w:t>
            </w:r>
            <w:r w:rsidRPr="00332A71">
              <w:rPr>
                <w:rFonts w:ascii="Times New Roman" w:hAnsi="Times New Roman" w:cs="Times New Roman"/>
                <w:sz w:val="20"/>
                <w:szCs w:val="20"/>
              </w:rPr>
              <w:fldChar w:fldCharType="begin" w:fldLock="1"/>
            </w:r>
            <w:r w:rsidRPr="00332A71">
              <w:rPr>
                <w:rFonts w:ascii="Times New Roman" w:hAnsi="Times New Roman" w:cs="Times New Roman"/>
                <w:sz w:val="20"/>
                <w:szCs w:val="20"/>
              </w:rPr>
              <w:instrText>ADDIN CSL_CITATION {"citationItems":[{"id":"ITEM-1","itemData":{"ISSN":"01252208","PMID":"17715831","abstract":"Objective: To determine the prevalence of and factors associated with Diabetic Retinopathy (DR) in type 2 diabetes in Thailand. Material and Method: A cross-sectional, multicenter, hospital-based study was carried out between April and December 2003. Diabetic patients in diabetic clinics of 11 tertiary centers in Thailand were registered. Retinal examination of the participants was performed by ophthalmologists. Results: 7,119 of 9,419 (75.6%) diabetic patients received retinal examination using direct ophthalmoscopy after full dilatation of pupils. 6,707 cases were type 2 diabetic patients. The prevalence of DR was 31.4% (N = 2105) which consisted of Non-Proliferative DR (NPDR) 22% (N = 1475), Proliferative DR (PDR) 9.4% (N = 630). Patients with DR were significantly older, had longer duration of diabetes, and higher Fasting Plasma Glucose (FPG), HbA1c, serum LDL, serum Tri Glyceride (TG) and systolic Blood Pressure (BP) levels than those without DR. Nephropathy (which consisted of positive microalbuminuria, proteinuria or renal insufficiency). The patients with DR presented in a significantly higher number of than those without DR. A. The factors associated with DR (adjusted Odds Ratio (OR) [95% CI]) were 1) duration of diabetes 1.4 [1.04-1.82] for duration of 5-9.9 years, 1.9 [1.47-2.58] for duration of 10-14.9 years, 2.9 [2.11-3.95] for duration of 15-19.9 years, 3.5 [2.58-4.79] for duration of ≥ 20 years when compared with duration of diabetes of less than 5 years, 2) latest HbA1c &gt; 7% (1.5 [1.24-1.88]) when compared with HbA1c ≤ 7%, 3) systolic BP &gt; 140 mmHg (1.4 [1.18-1.71]) when compared with systolic BP ≤ 140 mmHg, 4) nephropathy status i.e. positive microalbuminuria (1.5 [1.21-1.93]), positive proteinuria (1.9 [1.45-2.35]) and renal insufficiency (3.3 [2.29-4.70]) when compared with no nephropathy. Conclusion: Diabetic retinopathy was present in about one third of type 2 diabetic patients in Thailand. The authors found the factors associated with DR were duration of diabetes, latest HbA1c level, systolic BP and diabetic nephropathy. Regular screening for DR and more aggressive management of associated factors should be done to reduce the prevalence of DR.","author":[{"dropping-particle":"","family":"Chetthakul","given":"Thanya","non-dropping-particle":"","parse-names":false,"suffix":""},{"dropping-particle":"","family":"Deerochanawong","given":"Chaicharn","non-dropping-particle":"","parse-names":false,"suffix":""},{"dropping-particle":"","family":"Suwanwalaikorn","given":"Sompongse","non-dropping-particle":"","parse-names":false,"suffix":""},{"dropping-particle":"","family":"Kosachunhanun","given":"Natapong","non-dropping-particle":"","parse-names":false,"suffix":""},{"dropping-particle":"","family":"Ngarmukos","given":"Chardpraorn","non-dropping-particle":"","parse-names":false,"suffix":""},{"dropping-particle":"","family":"Rawdaree","given":"Petch","non-dropping-particle":"","parse-names":false,"suffix":""},{"dropping-particle":"","family":"Krittiyawong","given":"Sirinate","non-dropping-particle":"","parse-names":false,"suffix":""},{"dropping-particle":"","family":"Leelawatana","given":"Rattana","non-dropping-particle":"","parse-names":false,"suffix":""},{"dropping-particle":"","family":"Bunnag","given":"Pongamorn","non-dropping-particle":"","parse-names":false,"suffix":""},{"dropping-particle":"","family":"Plengvidhya","given":"Nattachet","non-dropping-particle":"","parse-names":false,"suffix":""},{"dropping-particle":"","family":"Pratipanawatr","given":"Thongchai","non-dropping-particle":"","parse-names":false,"suffix":""},{"dropping-particle":"","family":"Benjasuratwong","given":"Yupin","non-dropping-particle":"","parse-names":false,"suffix":""},{"dropping-particle":"","family":"Mongkolsomlit","given":"Sirima","non-dropping-particle":"","parse-names":false,"suffix":""}],"container-title":"Journal of the Medical Association of Thailand","id":"ITEM-1","issue":"SUPPL. 1","issued":{"date-parts":[["2006"]]},"page":"27-36","title":"Thailand Diabetes Registry Project: Prevalence of diabetic retinopathy and associated factors in type 2 diabetes mellitus","type":"article-journal","volume":"89"},"uris":["http://www.mendeley.com/documents/?uuid=c4a04114-debf-4e22-8a10-fcd6a9aa7180"]}],"mendeley":{"formattedCitation":"(19)","plainTextFormattedCitation":"(19)","previouslyFormattedCitation":"(19)"},"properties":{"noteIndex":0},"schema":"https://github.com/citation-style-language/schema/raw/master/csl-citation.json"}</w:instrText>
            </w:r>
            <w:r w:rsidRPr="00332A71">
              <w:rPr>
                <w:rFonts w:ascii="Times New Roman" w:hAnsi="Times New Roman" w:cs="Times New Roman"/>
                <w:sz w:val="20"/>
                <w:szCs w:val="20"/>
              </w:rPr>
              <w:fldChar w:fldCharType="separate"/>
            </w:r>
            <w:r w:rsidRPr="00332A71">
              <w:rPr>
                <w:rFonts w:ascii="Times New Roman" w:hAnsi="Times New Roman" w:cs="Times New Roman"/>
                <w:noProof/>
                <w:sz w:val="20"/>
                <w:szCs w:val="20"/>
              </w:rPr>
              <w:t>(19)</w:t>
            </w:r>
            <w:r w:rsidRPr="00332A71">
              <w:rPr>
                <w:rFonts w:ascii="Times New Roman" w:hAnsi="Times New Roman" w:cs="Times New Roman"/>
                <w:sz w:val="20"/>
                <w:szCs w:val="20"/>
              </w:rPr>
              <w:fldChar w:fldCharType="end"/>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Mobile eye clinics</w:t>
            </w:r>
          </w:p>
        </w:tc>
        <w:tc>
          <w:tcPr>
            <w:tcW w:w="1843" w:type="dxa"/>
            <w:shd w:val="clear" w:color="auto" w:fill="FFFF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Partially implemented (Sub-national)</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Tonga</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 xml:space="preserve">Clark M, White E, 2019 </w:t>
            </w:r>
            <w:r w:rsidRPr="00332A71">
              <w:rPr>
                <w:rFonts w:ascii="Times New Roman" w:hAnsi="Times New Roman" w:cs="Times New Roman"/>
                <w:sz w:val="20"/>
                <w:szCs w:val="20"/>
              </w:rPr>
              <w:fldChar w:fldCharType="begin" w:fldLock="1"/>
            </w:r>
            <w:r w:rsidRPr="00332A71">
              <w:rPr>
                <w:rFonts w:ascii="Times New Roman" w:hAnsi="Times New Roman" w:cs="Times New Roman"/>
                <w:sz w:val="20"/>
                <w:szCs w:val="20"/>
              </w:rPr>
              <w:instrText>ADDIN CSL_CITATION {"citationItems":[{"id":"ITEM-1","itemData":{"author":[{"dropping-particle":"","family":"Marion","given":"Authors","non-dropping-particle":"","parse-names":false,"suffix":""},{"dropping-particle":"","family":"Clark","given":"Clark","non-dropping-particle":"","parse-names":false,"suffix":""},{"dropping-particle":"","family":"White","given":"Esther","non-dropping-particle":"","parse-names":false,"suffix":""},{"dropping-particle":"","family":"Clarke","given":"Allen","non-dropping-particle":"","parse-names":false,"suffix":""}],"id":"ITEM-1","issue":"November 2018","issued":{"date-parts":[["2019"]]},"title":"Pacific Diabetic Retinopathy Programme Evaluation report","type":"article-journal","volume":"2018"},"uris":["http://www.mendeley.com/documents/?uuid=4c8f707d-95c4-4950-87ef-0f165e091e80"]}],"mendeley":{"formattedCitation":"(8)","plainTextFormattedCitation":"(8)","previouslyFormattedCitation":"(8)"},"properties":{"noteIndex":0},"schema":"https://github.com/citation-style-language/schema/raw/master/csl-citation.json"}</w:instrText>
            </w:r>
            <w:r w:rsidRPr="00332A71">
              <w:rPr>
                <w:rFonts w:ascii="Times New Roman" w:hAnsi="Times New Roman" w:cs="Times New Roman"/>
                <w:sz w:val="20"/>
                <w:szCs w:val="20"/>
              </w:rPr>
              <w:fldChar w:fldCharType="separate"/>
            </w:r>
            <w:r w:rsidRPr="00332A71">
              <w:rPr>
                <w:rFonts w:ascii="Times New Roman" w:hAnsi="Times New Roman" w:cs="Times New Roman"/>
                <w:noProof/>
                <w:sz w:val="20"/>
                <w:szCs w:val="20"/>
              </w:rPr>
              <w:t>(8)</w:t>
            </w:r>
            <w:r w:rsidRPr="00332A71">
              <w:rPr>
                <w:rFonts w:ascii="Times New Roman" w:hAnsi="Times New Roman" w:cs="Times New Roman"/>
                <w:sz w:val="20"/>
                <w:szCs w:val="20"/>
              </w:rPr>
              <w:fldChar w:fldCharType="end"/>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 - National Health Strategic Plan 2015-2020 identifies NCD as a key priority.</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843"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Turkey</w:t>
            </w:r>
          </w:p>
        </w:tc>
        <w:tc>
          <w:tcPr>
            <w:tcW w:w="1560"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roofErr w:type="spellStart"/>
            <w:r w:rsidRPr="00332A71">
              <w:rPr>
                <w:rFonts w:ascii="Times New Roman" w:hAnsi="Times New Roman" w:cs="Times New Roman"/>
                <w:sz w:val="20"/>
                <w:szCs w:val="20"/>
              </w:rPr>
              <w:t>Kilic</w:t>
            </w:r>
            <w:proofErr w:type="spellEnd"/>
            <w:r w:rsidRPr="00332A71">
              <w:rPr>
                <w:rFonts w:ascii="Times New Roman" w:hAnsi="Times New Roman" w:cs="Times New Roman"/>
                <w:sz w:val="20"/>
                <w:szCs w:val="20"/>
              </w:rPr>
              <w:t xml:space="preserve"> B et al, 2014 </w:t>
            </w:r>
            <w:r w:rsidRPr="00332A71">
              <w:rPr>
                <w:rFonts w:ascii="Times New Roman" w:hAnsi="Times New Roman" w:cs="Times New Roman"/>
                <w:sz w:val="20"/>
                <w:szCs w:val="20"/>
              </w:rPr>
              <w:fldChar w:fldCharType="begin" w:fldLock="1"/>
            </w:r>
            <w:r w:rsidRPr="00332A71">
              <w:rPr>
                <w:rFonts w:ascii="Times New Roman" w:hAnsi="Times New Roman" w:cs="Times New Roman"/>
                <w:sz w:val="20"/>
                <w:szCs w:val="20"/>
              </w:rPr>
              <w:instrText>ADDIN CSL_CITATION {"citationItems":[{"id":"ITEM-1","itemData":{"DOI":"10.1007/s00038-014-0557-7","ISSN":"1420911X","PMID":"24817009","abstract":"Objectives: Current capacity of the Turkish health system is reviewed to evaluate and develop appropriate policies for cardiovascular diseases (CVD), diabetes mellitus (DM) and related risk factors.Methods: This paper qualitatively evaluates existing policies; interviews with key informants (KIs); and rapid appraisal fieldwork in clinical settings about CVD–DM through the framework of Walt and Gilson (Health Policy Plan 9:353–370, 1994).Results: Document review shows that prevention and control of CVD–DM were strongly addressed in Turkey, yet no document mentioned country-wide early detection or screening programs. KIs indicated over-fragmented management of CVD–DM by the Ministry of Health (MoH). Coordination among the MoH, organizational structure at provincial level and civil society organizations are poor where mutual trust is a significant problem according to KIs. Clinical setting findings point to a complete lack of a referral structure and a lack of follow-up, compounding the absence of functioning health information systems for patient records.Conclusions: Primary care services for CVD–DM require urgent attention, focusing particularly on the training of staff in public facilities, the integration of patient data, referrals and follow-up across all levels of the health system.","author":[{"dropping-particle":"","family":"Kilic","given":"Bulent","non-dropping-particle":"","parse-names":false,"suffix":""},{"dropping-particle":"","family":"Kalaca","given":"Sibel","non-dropping-particle":"","parse-names":false,"suffix":""},{"dropping-particle":"","family":"Unal","given":"Belgin","non-dropping-particle":"","parse-names":false,"suffix":""},{"dropping-particle":"","family":"Phillimore","given":"Peter","non-dropping-particle":"","parse-names":false,"suffix":""},{"dropping-particle":"","family":"Zaman","given":"Shahaduz","non-dropping-particle":"","parse-names":false,"suffix":""}],"container-title":"International Journal of Public Health","id":"ITEM-1","issue":"1","issued":{"date-parts":[["2014"]]},"page":"47-53","title":"Health policy analysis for prevention and control of cardiovascular diseases and diabetes mellitus in Turkey","type":"article-journal","volume":"60"},"uris":["http://www.mendeley.com/documents/?uuid=fc76882b-0c81-44f4-9438-4b08a9e50001"]}],"mendeley":{"formattedCitation":"(42)","plainTextFormattedCitation":"(42)","previouslyFormattedCitation":"(42)"},"properties":{"noteIndex":0},"schema":"https://github.com/citation-style-language/schema/raw/master/csl-citation.json"}</w:instrText>
            </w:r>
            <w:r w:rsidRPr="00332A71">
              <w:rPr>
                <w:rFonts w:ascii="Times New Roman" w:hAnsi="Times New Roman" w:cs="Times New Roman"/>
                <w:sz w:val="20"/>
                <w:szCs w:val="20"/>
              </w:rPr>
              <w:fldChar w:fldCharType="separate"/>
            </w:r>
            <w:r w:rsidRPr="00332A71">
              <w:rPr>
                <w:rFonts w:ascii="Times New Roman" w:hAnsi="Times New Roman" w:cs="Times New Roman"/>
                <w:noProof/>
                <w:sz w:val="20"/>
                <w:szCs w:val="20"/>
              </w:rPr>
              <w:t>(42)</w:t>
            </w:r>
            <w:r w:rsidRPr="00332A71">
              <w:rPr>
                <w:rFonts w:ascii="Times New Roman" w:hAnsi="Times New Roman" w:cs="Times New Roman"/>
                <w:sz w:val="20"/>
                <w:szCs w:val="20"/>
              </w:rPr>
              <w:fldChar w:fldCharType="end"/>
            </w:r>
          </w:p>
        </w:tc>
        <w:tc>
          <w:tcPr>
            <w:tcW w:w="1417"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Yes – Strategic Plan</w:t>
            </w: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701"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w:t>
            </w:r>
          </w:p>
        </w:tc>
        <w:tc>
          <w:tcPr>
            <w:tcW w:w="1560" w:type="dxa"/>
            <w:shd w:val="clear" w:color="auto" w:fill="FF0000"/>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Agenda setting (Early stage)</w:t>
            </w:r>
          </w:p>
        </w:tc>
        <w:tc>
          <w:tcPr>
            <w:tcW w:w="1984"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c>
          <w:tcPr>
            <w:tcW w:w="1843" w:type="dxa"/>
            <w:shd w:val="clear" w:color="auto" w:fill="FFFFFF" w:themeFill="background1"/>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Turkmenistan</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20"/>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Tuvalu</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558"/>
        </w:trPr>
        <w:tc>
          <w:tcPr>
            <w:tcW w:w="1271" w:type="dxa"/>
            <w:vMerge/>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p>
        </w:tc>
        <w:tc>
          <w:tcPr>
            <w:tcW w:w="1559" w:type="dxa"/>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Venezuela, RB</w:t>
            </w:r>
          </w:p>
        </w:tc>
        <w:tc>
          <w:tcPr>
            <w:tcW w:w="11624" w:type="dxa"/>
            <w:gridSpan w:val="7"/>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No data identified</w:t>
            </w:r>
          </w:p>
        </w:tc>
      </w:tr>
      <w:tr w:rsidR="00BD1CEF" w:rsidRPr="00332A71" w:rsidTr="00CB137C">
        <w:trPr>
          <w:trHeight w:val="558"/>
        </w:trPr>
        <w:tc>
          <w:tcPr>
            <w:tcW w:w="14454" w:type="dxa"/>
            <w:gridSpan w:val="9"/>
            <w:shd w:val="clear" w:color="auto" w:fill="auto"/>
          </w:tcPr>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Policy cycle consists of 4 main stages: (1) agenda setting is divided into an early stage (situational analysis) and late stages (action plans), (2) policy formation, (3) implementation and, (4) evaluation</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National DESP implementation, Red = No DESP, Yellow= partially implemented (sub-national, regional), Green = national DESP available</w:t>
            </w:r>
          </w:p>
          <w:p w:rsidR="00BD1CEF" w:rsidRPr="00332A71" w:rsidRDefault="00BD1CEF" w:rsidP="00CB137C">
            <w:pPr>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Regionally = DESPs are implemented in different regions in the country (not a national level)</w:t>
            </w:r>
          </w:p>
          <w:p w:rsidR="00BD1CEF" w:rsidRPr="00332A71" w:rsidRDefault="00BD1CEF" w:rsidP="00CB137C">
            <w:pPr>
              <w:keepNext/>
              <w:spacing w:before="100" w:beforeAutospacing="1" w:after="100" w:afterAutospacing="1"/>
              <w:contextualSpacing/>
              <w:rPr>
                <w:rFonts w:ascii="Times New Roman" w:hAnsi="Times New Roman" w:cs="Times New Roman"/>
                <w:sz w:val="20"/>
                <w:szCs w:val="20"/>
              </w:rPr>
            </w:pPr>
            <w:r w:rsidRPr="00332A71">
              <w:rPr>
                <w:rFonts w:ascii="Times New Roman" w:hAnsi="Times New Roman" w:cs="Times New Roman"/>
                <w:sz w:val="20"/>
                <w:szCs w:val="20"/>
              </w:rPr>
              <w:t>*If more than one resource was obtained for a single country, the most positive finding was applied to the table.</w:t>
            </w:r>
          </w:p>
        </w:tc>
      </w:tr>
    </w:tbl>
    <w:p w:rsidR="00BD1CEF" w:rsidRPr="0075734B" w:rsidRDefault="00BD1CEF" w:rsidP="00BD1CEF"/>
    <w:p w:rsidR="00BD1CEF" w:rsidRDefault="00BD1CEF" w:rsidP="00BD1CEF"/>
    <w:p w:rsidR="00BD1CEF" w:rsidRDefault="00BD1CEF" w:rsidP="00BD1CEF"/>
    <w:p w:rsidR="006146BD" w:rsidRDefault="006146BD"/>
    <w:sectPr w:rsidR="006146BD" w:rsidSect="0052481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DE5AB328"/>
    <w:lvl w:ilvl="0">
      <w:start w:val="1"/>
      <w:numFmt w:val="decimal"/>
      <w:pStyle w:val="ListNumber"/>
      <w:lvlText w:val="%1."/>
      <w:lvlJc w:val="left"/>
      <w:pPr>
        <w:tabs>
          <w:tab w:val="num" w:pos="3054"/>
        </w:tabs>
        <w:ind w:left="3054" w:hanging="360"/>
      </w:pPr>
    </w:lvl>
  </w:abstractNum>
  <w:abstractNum w:abstractNumId="1" w15:restartNumberingAfterBreak="0">
    <w:nsid w:val="02ED68FA"/>
    <w:multiLevelType w:val="hybridMultilevel"/>
    <w:tmpl w:val="025CEA92"/>
    <w:lvl w:ilvl="0" w:tplc="991A076C">
      <w:start w:val="1"/>
      <w:numFmt w:val="bullet"/>
      <w:lvlText w:val="-"/>
      <w:lvlJc w:val="left"/>
      <w:pPr>
        <w:ind w:left="720" w:hanging="360"/>
      </w:pPr>
      <w:rPr>
        <w:rFonts w:ascii="Times New Roman" w:eastAsiaTheme="maj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04346E"/>
    <w:multiLevelType w:val="multilevel"/>
    <w:tmpl w:val="18BE9524"/>
    <w:lvl w:ilvl="0">
      <w:start w:val="1"/>
      <w:numFmt w:val="decimal"/>
      <w:lvlText w:val="%1"/>
      <w:lvlJc w:val="left"/>
      <w:pPr>
        <w:ind w:left="432" w:hanging="432"/>
      </w:pPr>
      <w:rPr>
        <w:rFonts w:hint="default"/>
      </w:rPr>
    </w:lvl>
    <w:lvl w:ilvl="1">
      <w:start w:val="1"/>
      <w:numFmt w:val="decimal"/>
      <w:pStyle w:val="Heading2"/>
      <w:lvlText w:val="%1.%2"/>
      <w:lvlJc w:val="left"/>
      <w:pPr>
        <w:ind w:left="1286" w:hanging="576"/>
      </w:pPr>
      <w:rPr>
        <w:rFonts w:hint="default"/>
        <w:b/>
      </w:rPr>
    </w:lvl>
    <w:lvl w:ilvl="2">
      <w:start w:val="1"/>
      <w:numFmt w:val="decimal"/>
      <w:pStyle w:val="Heading3"/>
      <w:lvlText w:val="%1.%2.%3"/>
      <w:lvlJc w:val="left"/>
      <w:pPr>
        <w:ind w:left="720" w:hanging="720"/>
      </w:pPr>
      <w:rPr>
        <w:rFonts w:hint="default"/>
        <w:b/>
        <w:i w:val="0"/>
        <w:color w:val="auto"/>
      </w:rPr>
    </w:lvl>
    <w:lvl w:ilvl="3">
      <w:start w:val="1"/>
      <w:numFmt w:val="decimal"/>
      <w:pStyle w:val="Heading4"/>
      <w:lvlText w:val="%1.%2.%3.%4"/>
      <w:lvlJc w:val="left"/>
      <w:pPr>
        <w:ind w:left="2707" w:hanging="864"/>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lvlText w:val="%1.%2.%3.%4.%5.%6.%7.%8"/>
      <w:lvlJc w:val="left"/>
      <w:pPr>
        <w:ind w:left="1582" w:hanging="1440"/>
      </w:pPr>
      <w:rPr>
        <w:rFonts w:hint="default"/>
      </w:rPr>
    </w:lvl>
    <w:lvl w:ilvl="8">
      <w:start w:val="1"/>
      <w:numFmt w:val="decimal"/>
      <w:pStyle w:val="Heading9"/>
      <w:lvlText w:val="%1.%2.%3.%4.%5.%6.%7.%8.%9"/>
      <w:lvlJc w:val="left"/>
      <w:pPr>
        <w:ind w:left="1584" w:hanging="1584"/>
      </w:pPr>
      <w:rPr>
        <w:rFonts w:hint="default"/>
      </w:rPr>
    </w:lvl>
  </w:abstractNum>
  <w:abstractNum w:abstractNumId="3" w15:restartNumberingAfterBreak="0">
    <w:nsid w:val="365A6638"/>
    <w:multiLevelType w:val="hybridMultilevel"/>
    <w:tmpl w:val="F62461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566193"/>
    <w:multiLevelType w:val="hybridMultilevel"/>
    <w:tmpl w:val="2174DF2E"/>
    <w:lvl w:ilvl="0" w:tplc="17486CE2">
      <w:start w:val="1"/>
      <w:numFmt w:val="decimal"/>
      <w:pStyle w:val="NoSpacing"/>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FBB3565"/>
    <w:multiLevelType w:val="hybridMultilevel"/>
    <w:tmpl w:val="4522B69E"/>
    <w:styleLink w:val="ImportedStyle1"/>
    <w:lvl w:ilvl="0" w:tplc="6EBCB66E">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06ADE32">
      <w:start w:val="1"/>
      <w:numFmt w:val="bullet"/>
      <w:lvlText w:val="o"/>
      <w:lvlJc w:val="left"/>
      <w:pPr>
        <w:ind w:left="144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2C4811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CE4D482">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2964ACA">
      <w:start w:val="1"/>
      <w:numFmt w:val="bullet"/>
      <w:lvlText w:val="o"/>
      <w:lvlJc w:val="left"/>
      <w:pPr>
        <w:ind w:left="360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D80395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C925506">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BF484E8">
      <w:start w:val="1"/>
      <w:numFmt w:val="bullet"/>
      <w:lvlText w:val="o"/>
      <w:lvlJc w:val="left"/>
      <w:pPr>
        <w:ind w:left="576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352CB1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46DF1BC1"/>
    <w:multiLevelType w:val="hybridMultilevel"/>
    <w:tmpl w:val="E056079C"/>
    <w:styleLink w:val="ImportedStyle2"/>
    <w:lvl w:ilvl="0" w:tplc="3B9AEB78">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DB2B7E0">
      <w:start w:val="1"/>
      <w:numFmt w:val="bullet"/>
      <w:lvlText w:val="o"/>
      <w:lvlJc w:val="left"/>
      <w:pPr>
        <w:ind w:left="144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CEA288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8BEF050">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26041DE">
      <w:start w:val="1"/>
      <w:numFmt w:val="bullet"/>
      <w:lvlText w:val="o"/>
      <w:lvlJc w:val="left"/>
      <w:pPr>
        <w:ind w:left="360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5E00A6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19CD98A">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406BF7C">
      <w:start w:val="1"/>
      <w:numFmt w:val="bullet"/>
      <w:lvlText w:val="o"/>
      <w:lvlJc w:val="left"/>
      <w:pPr>
        <w:ind w:left="576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25AB6F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4AB255A1"/>
    <w:multiLevelType w:val="multilevel"/>
    <w:tmpl w:val="A8A2C0BE"/>
    <w:lvl w:ilvl="0">
      <w:start w:val="3"/>
      <w:numFmt w:val="decimal"/>
      <w:lvlText w:val="%1"/>
      <w:lvlJc w:val="left"/>
      <w:pPr>
        <w:tabs>
          <w:tab w:val="num" w:pos="435"/>
        </w:tabs>
        <w:ind w:left="435" w:hanging="435"/>
      </w:pPr>
      <w:rPr>
        <w:rFonts w:hint="default"/>
      </w:rPr>
    </w:lvl>
    <w:lvl w:ilvl="1">
      <w:start w:val="1"/>
      <w:numFmt w:val="decimal"/>
      <w:pStyle w:val="Para3"/>
      <w:lvlText w:val="%1.%2"/>
      <w:lvlJc w:val="left"/>
      <w:pPr>
        <w:tabs>
          <w:tab w:val="num" w:pos="719"/>
        </w:tabs>
        <w:ind w:left="719" w:hanging="435"/>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8" w15:restartNumberingAfterBreak="0">
    <w:nsid w:val="55DD3709"/>
    <w:multiLevelType w:val="hybridMultilevel"/>
    <w:tmpl w:val="2D30F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E92EEE"/>
    <w:multiLevelType w:val="hybridMultilevel"/>
    <w:tmpl w:val="26EED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572689"/>
    <w:multiLevelType w:val="hybridMultilevel"/>
    <w:tmpl w:val="1AD48222"/>
    <w:lvl w:ilvl="0" w:tplc="16CA8E6A">
      <w:start w:val="1"/>
      <w:numFmt w:val="decimal"/>
      <w:pStyle w:val="Table11"/>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642255C"/>
    <w:multiLevelType w:val="hybridMultilevel"/>
    <w:tmpl w:val="F402AA54"/>
    <w:lvl w:ilvl="0" w:tplc="438C9DA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86C2421"/>
    <w:multiLevelType w:val="hybridMultilevel"/>
    <w:tmpl w:val="8E34EF20"/>
    <w:lvl w:ilvl="0" w:tplc="10D29168">
      <w:start w:val="1"/>
      <w:numFmt w:val="decimal"/>
      <w:pStyle w:val="Title"/>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AE457F7"/>
    <w:multiLevelType w:val="hybridMultilevel"/>
    <w:tmpl w:val="DFB01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C475E6"/>
    <w:multiLevelType w:val="hybridMultilevel"/>
    <w:tmpl w:val="CD802D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0"/>
  </w:num>
  <w:num w:numId="3">
    <w:abstractNumId w:val="2"/>
  </w:num>
  <w:num w:numId="4">
    <w:abstractNumId w:val="4"/>
  </w:num>
  <w:num w:numId="5">
    <w:abstractNumId w:val="10"/>
  </w:num>
  <w:num w:numId="6">
    <w:abstractNumId w:val="8"/>
  </w:num>
  <w:num w:numId="7">
    <w:abstractNumId w:val="9"/>
  </w:num>
  <w:num w:numId="8">
    <w:abstractNumId w:val="5"/>
  </w:num>
  <w:num w:numId="9">
    <w:abstractNumId w:val="6"/>
  </w:num>
  <w:num w:numId="10">
    <w:abstractNumId w:val="12"/>
  </w:num>
  <w:num w:numId="11">
    <w:abstractNumId w:val="1"/>
  </w:num>
  <w:num w:numId="12">
    <w:abstractNumId w:val="13"/>
  </w:num>
  <w:num w:numId="13">
    <w:abstractNumId w:val="3"/>
  </w:num>
  <w:num w:numId="14">
    <w:abstractNumId w:val="1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CEF"/>
    <w:rsid w:val="00000D1A"/>
    <w:rsid w:val="00017243"/>
    <w:rsid w:val="0002794E"/>
    <w:rsid w:val="000575F7"/>
    <w:rsid w:val="00061A05"/>
    <w:rsid w:val="00062A75"/>
    <w:rsid w:val="00062CE4"/>
    <w:rsid w:val="00087187"/>
    <w:rsid w:val="000964B0"/>
    <w:rsid w:val="000A325F"/>
    <w:rsid w:val="000B0BED"/>
    <w:rsid w:val="000B2A10"/>
    <w:rsid w:val="000B7C14"/>
    <w:rsid w:val="000E20ED"/>
    <w:rsid w:val="000F2DF4"/>
    <w:rsid w:val="000F5C99"/>
    <w:rsid w:val="00107DAF"/>
    <w:rsid w:val="00136174"/>
    <w:rsid w:val="00137DB2"/>
    <w:rsid w:val="00144B0C"/>
    <w:rsid w:val="00146F26"/>
    <w:rsid w:val="00151990"/>
    <w:rsid w:val="00164162"/>
    <w:rsid w:val="001A2DF6"/>
    <w:rsid w:val="001A4BB1"/>
    <w:rsid w:val="001B6E14"/>
    <w:rsid w:val="001D7C23"/>
    <w:rsid w:val="001F3098"/>
    <w:rsid w:val="0020469E"/>
    <w:rsid w:val="00210E80"/>
    <w:rsid w:val="00213922"/>
    <w:rsid w:val="00214026"/>
    <w:rsid w:val="0022502F"/>
    <w:rsid w:val="0023413C"/>
    <w:rsid w:val="00234AA9"/>
    <w:rsid w:val="00234D20"/>
    <w:rsid w:val="00240649"/>
    <w:rsid w:val="00245248"/>
    <w:rsid w:val="00255852"/>
    <w:rsid w:val="00257F6E"/>
    <w:rsid w:val="002847AF"/>
    <w:rsid w:val="002855F9"/>
    <w:rsid w:val="002856A6"/>
    <w:rsid w:val="002B4590"/>
    <w:rsid w:val="002B667C"/>
    <w:rsid w:val="002C0794"/>
    <w:rsid w:val="002C1D43"/>
    <w:rsid w:val="002D4585"/>
    <w:rsid w:val="002E0DB0"/>
    <w:rsid w:val="00302426"/>
    <w:rsid w:val="00305730"/>
    <w:rsid w:val="00306937"/>
    <w:rsid w:val="00350E7F"/>
    <w:rsid w:val="003521B1"/>
    <w:rsid w:val="00352B34"/>
    <w:rsid w:val="003601D0"/>
    <w:rsid w:val="003611AF"/>
    <w:rsid w:val="00385CDF"/>
    <w:rsid w:val="00386AF6"/>
    <w:rsid w:val="0039314D"/>
    <w:rsid w:val="00393F68"/>
    <w:rsid w:val="003A7DBD"/>
    <w:rsid w:val="003B7BDE"/>
    <w:rsid w:val="003C4A4F"/>
    <w:rsid w:val="003C5ED0"/>
    <w:rsid w:val="003C6E80"/>
    <w:rsid w:val="003E14D1"/>
    <w:rsid w:val="003E49B5"/>
    <w:rsid w:val="003E4A93"/>
    <w:rsid w:val="00404012"/>
    <w:rsid w:val="00420E09"/>
    <w:rsid w:val="00431616"/>
    <w:rsid w:val="00435F51"/>
    <w:rsid w:val="0044197A"/>
    <w:rsid w:val="00443079"/>
    <w:rsid w:val="0046262B"/>
    <w:rsid w:val="00463664"/>
    <w:rsid w:val="00474ADF"/>
    <w:rsid w:val="0048003A"/>
    <w:rsid w:val="004937AE"/>
    <w:rsid w:val="004A1BE8"/>
    <w:rsid w:val="004A1D5A"/>
    <w:rsid w:val="004B0F03"/>
    <w:rsid w:val="004C398B"/>
    <w:rsid w:val="004D2608"/>
    <w:rsid w:val="004D69F8"/>
    <w:rsid w:val="004E3E75"/>
    <w:rsid w:val="004F50E3"/>
    <w:rsid w:val="005023B3"/>
    <w:rsid w:val="00504759"/>
    <w:rsid w:val="005125B4"/>
    <w:rsid w:val="005201BD"/>
    <w:rsid w:val="00526103"/>
    <w:rsid w:val="005329DF"/>
    <w:rsid w:val="00533F6E"/>
    <w:rsid w:val="0055012D"/>
    <w:rsid w:val="00571823"/>
    <w:rsid w:val="00571C1C"/>
    <w:rsid w:val="00587005"/>
    <w:rsid w:val="005A03B4"/>
    <w:rsid w:val="005A174D"/>
    <w:rsid w:val="005A3E52"/>
    <w:rsid w:val="005A791B"/>
    <w:rsid w:val="005B1611"/>
    <w:rsid w:val="005B28C5"/>
    <w:rsid w:val="005B6F8D"/>
    <w:rsid w:val="005C122A"/>
    <w:rsid w:val="005C5597"/>
    <w:rsid w:val="005F6906"/>
    <w:rsid w:val="006146BD"/>
    <w:rsid w:val="00617B14"/>
    <w:rsid w:val="006205BD"/>
    <w:rsid w:val="00624EF2"/>
    <w:rsid w:val="00636A56"/>
    <w:rsid w:val="0063781D"/>
    <w:rsid w:val="0064100D"/>
    <w:rsid w:val="006521DC"/>
    <w:rsid w:val="0069790A"/>
    <w:rsid w:val="006A72F9"/>
    <w:rsid w:val="006D0FE0"/>
    <w:rsid w:val="006D151F"/>
    <w:rsid w:val="006D4F0A"/>
    <w:rsid w:val="006F4247"/>
    <w:rsid w:val="00700740"/>
    <w:rsid w:val="00714FF6"/>
    <w:rsid w:val="00723AAB"/>
    <w:rsid w:val="00734803"/>
    <w:rsid w:val="00734D0A"/>
    <w:rsid w:val="00736CDC"/>
    <w:rsid w:val="00745200"/>
    <w:rsid w:val="007554F3"/>
    <w:rsid w:val="00756A9B"/>
    <w:rsid w:val="007624AF"/>
    <w:rsid w:val="00775A51"/>
    <w:rsid w:val="00781BBA"/>
    <w:rsid w:val="00782F04"/>
    <w:rsid w:val="00795D11"/>
    <w:rsid w:val="007D68FA"/>
    <w:rsid w:val="007E2504"/>
    <w:rsid w:val="00801364"/>
    <w:rsid w:val="00806CBD"/>
    <w:rsid w:val="00821BE9"/>
    <w:rsid w:val="00825410"/>
    <w:rsid w:val="00827FCD"/>
    <w:rsid w:val="0083768C"/>
    <w:rsid w:val="0084014A"/>
    <w:rsid w:val="0084570F"/>
    <w:rsid w:val="00851BB3"/>
    <w:rsid w:val="00853E5F"/>
    <w:rsid w:val="0085407D"/>
    <w:rsid w:val="00862E32"/>
    <w:rsid w:val="008668FF"/>
    <w:rsid w:val="00880395"/>
    <w:rsid w:val="00893F4D"/>
    <w:rsid w:val="008954B0"/>
    <w:rsid w:val="008C1E3F"/>
    <w:rsid w:val="008F6468"/>
    <w:rsid w:val="009066F6"/>
    <w:rsid w:val="00911F5F"/>
    <w:rsid w:val="00912034"/>
    <w:rsid w:val="00913221"/>
    <w:rsid w:val="009452D4"/>
    <w:rsid w:val="00952860"/>
    <w:rsid w:val="009701A2"/>
    <w:rsid w:val="00970A2A"/>
    <w:rsid w:val="00971D98"/>
    <w:rsid w:val="009900EE"/>
    <w:rsid w:val="00992DDF"/>
    <w:rsid w:val="00994C00"/>
    <w:rsid w:val="0099559C"/>
    <w:rsid w:val="009B2BF3"/>
    <w:rsid w:val="009C2378"/>
    <w:rsid w:val="009D505B"/>
    <w:rsid w:val="00A22999"/>
    <w:rsid w:val="00A302ED"/>
    <w:rsid w:val="00A401F3"/>
    <w:rsid w:val="00A501F8"/>
    <w:rsid w:val="00A864A6"/>
    <w:rsid w:val="00A914A4"/>
    <w:rsid w:val="00A97B1C"/>
    <w:rsid w:val="00AC645E"/>
    <w:rsid w:val="00AD26FF"/>
    <w:rsid w:val="00AD6B55"/>
    <w:rsid w:val="00AE289D"/>
    <w:rsid w:val="00AE7A06"/>
    <w:rsid w:val="00AF4014"/>
    <w:rsid w:val="00B12AC9"/>
    <w:rsid w:val="00B33B54"/>
    <w:rsid w:val="00B33DB2"/>
    <w:rsid w:val="00B476A6"/>
    <w:rsid w:val="00B501D0"/>
    <w:rsid w:val="00B8471F"/>
    <w:rsid w:val="00BB1C95"/>
    <w:rsid w:val="00BB63EF"/>
    <w:rsid w:val="00BC2586"/>
    <w:rsid w:val="00BD1CEF"/>
    <w:rsid w:val="00BE0D62"/>
    <w:rsid w:val="00BE4D26"/>
    <w:rsid w:val="00BF31D4"/>
    <w:rsid w:val="00BF326D"/>
    <w:rsid w:val="00BF68A0"/>
    <w:rsid w:val="00C01DDA"/>
    <w:rsid w:val="00C02EF8"/>
    <w:rsid w:val="00C02F19"/>
    <w:rsid w:val="00C119A5"/>
    <w:rsid w:val="00C2136F"/>
    <w:rsid w:val="00C27105"/>
    <w:rsid w:val="00C4667C"/>
    <w:rsid w:val="00C5570D"/>
    <w:rsid w:val="00C746F8"/>
    <w:rsid w:val="00C823BB"/>
    <w:rsid w:val="00CB018A"/>
    <w:rsid w:val="00CB6BE8"/>
    <w:rsid w:val="00CC4195"/>
    <w:rsid w:val="00CC497D"/>
    <w:rsid w:val="00CD22C6"/>
    <w:rsid w:val="00CE270E"/>
    <w:rsid w:val="00CF0CD6"/>
    <w:rsid w:val="00CF0DB5"/>
    <w:rsid w:val="00D16E71"/>
    <w:rsid w:val="00D367DF"/>
    <w:rsid w:val="00D37E6C"/>
    <w:rsid w:val="00D41C88"/>
    <w:rsid w:val="00D44BED"/>
    <w:rsid w:val="00D569F0"/>
    <w:rsid w:val="00D56F56"/>
    <w:rsid w:val="00D62B14"/>
    <w:rsid w:val="00D73BE8"/>
    <w:rsid w:val="00D84D54"/>
    <w:rsid w:val="00D920C5"/>
    <w:rsid w:val="00DB3736"/>
    <w:rsid w:val="00DB414D"/>
    <w:rsid w:val="00DC4C61"/>
    <w:rsid w:val="00DD5C7E"/>
    <w:rsid w:val="00DE3429"/>
    <w:rsid w:val="00DE6267"/>
    <w:rsid w:val="00E0190A"/>
    <w:rsid w:val="00E07CC9"/>
    <w:rsid w:val="00E179E8"/>
    <w:rsid w:val="00E2130A"/>
    <w:rsid w:val="00E30FFB"/>
    <w:rsid w:val="00E47C34"/>
    <w:rsid w:val="00E535EF"/>
    <w:rsid w:val="00E61F8B"/>
    <w:rsid w:val="00E63439"/>
    <w:rsid w:val="00E71832"/>
    <w:rsid w:val="00E83D87"/>
    <w:rsid w:val="00E90A66"/>
    <w:rsid w:val="00E9234C"/>
    <w:rsid w:val="00E95784"/>
    <w:rsid w:val="00EA39E4"/>
    <w:rsid w:val="00EA3D74"/>
    <w:rsid w:val="00EB0AC7"/>
    <w:rsid w:val="00ED3376"/>
    <w:rsid w:val="00EE1E15"/>
    <w:rsid w:val="00F12C10"/>
    <w:rsid w:val="00F1755F"/>
    <w:rsid w:val="00F3164C"/>
    <w:rsid w:val="00F43022"/>
    <w:rsid w:val="00F52FE9"/>
    <w:rsid w:val="00F60A3A"/>
    <w:rsid w:val="00F745F6"/>
    <w:rsid w:val="00F807E3"/>
    <w:rsid w:val="00F83B01"/>
    <w:rsid w:val="00F90F9E"/>
    <w:rsid w:val="00F97BA7"/>
    <w:rsid w:val="00FA7872"/>
    <w:rsid w:val="00FC625A"/>
    <w:rsid w:val="00FC75E3"/>
    <w:rsid w:val="00FC7C78"/>
    <w:rsid w:val="00FD3C8D"/>
    <w:rsid w:val="00FE7FF2"/>
    <w:rsid w:val="00FF20E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84E9A3-2F12-418E-B864-C64095F27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1CEF"/>
    <w:rPr>
      <w:lang w:val="en-GB"/>
    </w:rPr>
  </w:style>
  <w:style w:type="paragraph" w:styleId="Heading1">
    <w:name w:val="heading 1"/>
    <w:aliases w:val="INTRODUCTION,Main topics"/>
    <w:basedOn w:val="Normal"/>
    <w:next w:val="Normal"/>
    <w:link w:val="Heading1Char"/>
    <w:uiPriority w:val="9"/>
    <w:qFormat/>
    <w:rsid w:val="00BD1CEF"/>
    <w:pPr>
      <w:keepNext/>
      <w:keepLines/>
      <w:spacing w:before="240" w:after="0"/>
      <w:outlineLvl w:val="0"/>
    </w:pPr>
    <w:rPr>
      <w:rFonts w:ascii="Times New Roman" w:eastAsiaTheme="majorEastAsia" w:hAnsi="Times New Roman" w:cstheme="majorBidi"/>
      <w:b/>
      <w:szCs w:val="32"/>
    </w:rPr>
  </w:style>
  <w:style w:type="paragraph" w:styleId="Heading2">
    <w:name w:val="heading 2"/>
    <w:basedOn w:val="Normal"/>
    <w:next w:val="Normal"/>
    <w:link w:val="Heading2Char"/>
    <w:uiPriority w:val="9"/>
    <w:unhideWhenUsed/>
    <w:qFormat/>
    <w:rsid w:val="00BD1CEF"/>
    <w:pPr>
      <w:keepNext/>
      <w:keepLines/>
      <w:numPr>
        <w:ilvl w:val="1"/>
        <w:numId w:val="3"/>
      </w:numPr>
      <w:spacing w:before="40" w:after="0"/>
      <w:outlineLvl w:val="1"/>
    </w:pPr>
    <w:rPr>
      <w:rFonts w:ascii="Times New Roman" w:eastAsiaTheme="majorEastAsia" w:hAnsi="Times New Roman" w:cs="Times New Roman"/>
      <w:b/>
      <w:color w:val="000000" w:themeColor="text1"/>
    </w:rPr>
  </w:style>
  <w:style w:type="paragraph" w:styleId="Heading3">
    <w:name w:val="heading 3"/>
    <w:basedOn w:val="Normal"/>
    <w:next w:val="Normal"/>
    <w:link w:val="Heading3Char"/>
    <w:autoRedefine/>
    <w:uiPriority w:val="9"/>
    <w:unhideWhenUsed/>
    <w:qFormat/>
    <w:rsid w:val="00BD1CEF"/>
    <w:pPr>
      <w:keepNext/>
      <w:keepLines/>
      <w:numPr>
        <w:ilvl w:val="2"/>
        <w:numId w:val="3"/>
      </w:numPr>
      <w:spacing w:after="0" w:line="480" w:lineRule="auto"/>
      <w:outlineLvl w:val="2"/>
    </w:pPr>
    <w:rPr>
      <w:rFonts w:ascii="Times New Roman" w:eastAsiaTheme="majorEastAsia" w:hAnsi="Times New Roman" w:cs="Times New Roman"/>
      <w:b/>
      <w:color w:val="000000" w:themeColor="text1"/>
    </w:rPr>
  </w:style>
  <w:style w:type="paragraph" w:styleId="Heading4">
    <w:name w:val="heading 4"/>
    <w:basedOn w:val="Normal"/>
    <w:next w:val="Normal"/>
    <w:link w:val="Heading4Char"/>
    <w:autoRedefine/>
    <w:uiPriority w:val="9"/>
    <w:unhideWhenUsed/>
    <w:qFormat/>
    <w:rsid w:val="00BD1CEF"/>
    <w:pPr>
      <w:keepNext/>
      <w:keepLines/>
      <w:numPr>
        <w:ilvl w:val="3"/>
        <w:numId w:val="3"/>
      </w:numPr>
      <w:spacing w:before="100" w:beforeAutospacing="1" w:after="100" w:afterAutospacing="1" w:line="360" w:lineRule="auto"/>
      <w:ind w:left="2304"/>
      <w:outlineLvl w:val="3"/>
    </w:pPr>
    <w:rPr>
      <w:rFonts w:ascii="Times New Roman" w:eastAsiaTheme="majorEastAsia" w:hAnsi="Times New Roman" w:cs="Times New Roman"/>
      <w:b/>
      <w:iCs/>
      <w:color w:val="000000" w:themeColor="text1"/>
    </w:rPr>
  </w:style>
  <w:style w:type="paragraph" w:styleId="Heading5">
    <w:name w:val="heading 5"/>
    <w:basedOn w:val="Normal"/>
    <w:next w:val="Normal"/>
    <w:link w:val="Heading5Char"/>
    <w:autoRedefine/>
    <w:uiPriority w:val="9"/>
    <w:unhideWhenUsed/>
    <w:qFormat/>
    <w:rsid w:val="00BD1CEF"/>
    <w:pPr>
      <w:keepNext/>
      <w:keepLines/>
      <w:numPr>
        <w:ilvl w:val="4"/>
        <w:numId w:val="3"/>
      </w:numPr>
      <w:spacing w:before="40" w:after="0"/>
      <w:ind w:left="2448"/>
      <w:outlineLvl w:val="4"/>
    </w:pPr>
    <w:rPr>
      <w:rFonts w:ascii="Times New Roman" w:eastAsiaTheme="majorEastAsia" w:hAnsi="Times New Roman" w:cstheme="majorBidi"/>
      <w:b/>
    </w:rPr>
  </w:style>
  <w:style w:type="paragraph" w:styleId="Heading6">
    <w:name w:val="heading 6"/>
    <w:basedOn w:val="Normal"/>
    <w:next w:val="Normal"/>
    <w:link w:val="Heading6Char"/>
    <w:uiPriority w:val="9"/>
    <w:unhideWhenUsed/>
    <w:qFormat/>
    <w:rsid w:val="00BD1CEF"/>
    <w:pPr>
      <w:keepNext/>
      <w:keepLines/>
      <w:numPr>
        <w:ilvl w:val="5"/>
        <w:numId w:val="3"/>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BD1CEF"/>
    <w:pPr>
      <w:keepNext/>
      <w:keepLines/>
      <w:numPr>
        <w:ilvl w:val="6"/>
        <w:numId w:val="3"/>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autoRedefine/>
    <w:uiPriority w:val="9"/>
    <w:unhideWhenUsed/>
    <w:qFormat/>
    <w:rsid w:val="00BD1CEF"/>
    <w:pPr>
      <w:keepNext/>
      <w:keepLines/>
      <w:spacing w:before="40" w:after="0"/>
      <w:outlineLvl w:val="7"/>
    </w:pPr>
    <w:rPr>
      <w:rFonts w:ascii="Times New Roman" w:eastAsiaTheme="majorEastAsia" w:hAnsi="Times New Roman" w:cstheme="majorBidi"/>
      <w:color w:val="272727" w:themeColor="text1" w:themeTint="D8"/>
      <w:sz w:val="56"/>
      <w:szCs w:val="21"/>
    </w:rPr>
  </w:style>
  <w:style w:type="paragraph" w:styleId="Heading9">
    <w:name w:val="heading 9"/>
    <w:basedOn w:val="Normal"/>
    <w:next w:val="Normal"/>
    <w:link w:val="Heading9Char"/>
    <w:uiPriority w:val="9"/>
    <w:semiHidden/>
    <w:unhideWhenUsed/>
    <w:qFormat/>
    <w:rsid w:val="00BD1CEF"/>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INTRODUCTION Char,Main topics Char"/>
    <w:basedOn w:val="DefaultParagraphFont"/>
    <w:link w:val="Heading1"/>
    <w:uiPriority w:val="9"/>
    <w:rsid w:val="00BD1CEF"/>
    <w:rPr>
      <w:rFonts w:ascii="Times New Roman" w:eastAsiaTheme="majorEastAsia" w:hAnsi="Times New Roman" w:cstheme="majorBidi"/>
      <w:b/>
      <w:szCs w:val="32"/>
      <w:lang w:val="en-GB"/>
    </w:rPr>
  </w:style>
  <w:style w:type="character" w:customStyle="1" w:styleId="Heading2Char">
    <w:name w:val="Heading 2 Char"/>
    <w:basedOn w:val="DefaultParagraphFont"/>
    <w:link w:val="Heading2"/>
    <w:uiPriority w:val="9"/>
    <w:rsid w:val="00BD1CEF"/>
    <w:rPr>
      <w:rFonts w:ascii="Times New Roman" w:eastAsiaTheme="majorEastAsia" w:hAnsi="Times New Roman" w:cs="Times New Roman"/>
      <w:b/>
      <w:color w:val="000000" w:themeColor="text1"/>
      <w:lang w:val="en-GB"/>
    </w:rPr>
  </w:style>
  <w:style w:type="character" w:customStyle="1" w:styleId="Heading3Char">
    <w:name w:val="Heading 3 Char"/>
    <w:basedOn w:val="DefaultParagraphFont"/>
    <w:link w:val="Heading3"/>
    <w:uiPriority w:val="9"/>
    <w:rsid w:val="00BD1CEF"/>
    <w:rPr>
      <w:rFonts w:ascii="Times New Roman" w:eastAsiaTheme="majorEastAsia" w:hAnsi="Times New Roman" w:cs="Times New Roman"/>
      <w:b/>
      <w:color w:val="000000" w:themeColor="text1"/>
      <w:lang w:val="en-GB"/>
    </w:rPr>
  </w:style>
  <w:style w:type="character" w:customStyle="1" w:styleId="Heading4Char">
    <w:name w:val="Heading 4 Char"/>
    <w:basedOn w:val="DefaultParagraphFont"/>
    <w:link w:val="Heading4"/>
    <w:uiPriority w:val="9"/>
    <w:rsid w:val="00BD1CEF"/>
    <w:rPr>
      <w:rFonts w:ascii="Times New Roman" w:eastAsiaTheme="majorEastAsia" w:hAnsi="Times New Roman" w:cs="Times New Roman"/>
      <w:b/>
      <w:iCs/>
      <w:color w:val="000000" w:themeColor="text1"/>
      <w:lang w:val="en-GB"/>
    </w:rPr>
  </w:style>
  <w:style w:type="character" w:customStyle="1" w:styleId="Heading5Char">
    <w:name w:val="Heading 5 Char"/>
    <w:basedOn w:val="DefaultParagraphFont"/>
    <w:link w:val="Heading5"/>
    <w:uiPriority w:val="9"/>
    <w:rsid w:val="00BD1CEF"/>
    <w:rPr>
      <w:rFonts w:ascii="Times New Roman" w:eastAsiaTheme="majorEastAsia" w:hAnsi="Times New Roman" w:cstheme="majorBidi"/>
      <w:b/>
      <w:lang w:val="en-GB"/>
    </w:rPr>
  </w:style>
  <w:style w:type="character" w:customStyle="1" w:styleId="Heading6Char">
    <w:name w:val="Heading 6 Char"/>
    <w:basedOn w:val="DefaultParagraphFont"/>
    <w:link w:val="Heading6"/>
    <w:uiPriority w:val="9"/>
    <w:rsid w:val="00BD1CEF"/>
    <w:rPr>
      <w:rFonts w:asciiTheme="majorHAnsi" w:eastAsiaTheme="majorEastAsia" w:hAnsiTheme="majorHAnsi" w:cstheme="majorBidi"/>
      <w:color w:val="1F4D78" w:themeColor="accent1" w:themeShade="7F"/>
      <w:lang w:val="en-GB"/>
    </w:rPr>
  </w:style>
  <w:style w:type="character" w:customStyle="1" w:styleId="Heading7Char">
    <w:name w:val="Heading 7 Char"/>
    <w:basedOn w:val="DefaultParagraphFont"/>
    <w:link w:val="Heading7"/>
    <w:uiPriority w:val="9"/>
    <w:rsid w:val="00BD1CEF"/>
    <w:rPr>
      <w:rFonts w:asciiTheme="majorHAnsi" w:eastAsiaTheme="majorEastAsia" w:hAnsiTheme="majorHAnsi" w:cstheme="majorBidi"/>
      <w:i/>
      <w:iCs/>
      <w:color w:val="1F4D78" w:themeColor="accent1" w:themeShade="7F"/>
      <w:lang w:val="en-GB"/>
    </w:rPr>
  </w:style>
  <w:style w:type="character" w:customStyle="1" w:styleId="Heading8Char">
    <w:name w:val="Heading 8 Char"/>
    <w:basedOn w:val="DefaultParagraphFont"/>
    <w:link w:val="Heading8"/>
    <w:uiPriority w:val="9"/>
    <w:rsid w:val="00BD1CEF"/>
    <w:rPr>
      <w:rFonts w:ascii="Times New Roman" w:eastAsiaTheme="majorEastAsia" w:hAnsi="Times New Roman" w:cstheme="majorBidi"/>
      <w:color w:val="272727" w:themeColor="text1" w:themeTint="D8"/>
      <w:sz w:val="56"/>
      <w:szCs w:val="21"/>
      <w:lang w:val="en-GB"/>
    </w:rPr>
  </w:style>
  <w:style w:type="character" w:customStyle="1" w:styleId="Heading9Char">
    <w:name w:val="Heading 9 Char"/>
    <w:basedOn w:val="DefaultParagraphFont"/>
    <w:link w:val="Heading9"/>
    <w:uiPriority w:val="9"/>
    <w:semiHidden/>
    <w:rsid w:val="00BD1CEF"/>
    <w:rPr>
      <w:rFonts w:asciiTheme="majorHAnsi" w:eastAsiaTheme="majorEastAsia" w:hAnsiTheme="majorHAnsi" w:cstheme="majorBidi"/>
      <w:i/>
      <w:iCs/>
      <w:color w:val="272727" w:themeColor="text1" w:themeTint="D8"/>
      <w:sz w:val="21"/>
      <w:szCs w:val="21"/>
      <w:lang w:val="en-GB"/>
    </w:rPr>
  </w:style>
  <w:style w:type="paragraph" w:styleId="Subtitle">
    <w:name w:val="Subtitle"/>
    <w:aliases w:val="Subtopics"/>
    <w:basedOn w:val="Normal"/>
    <w:next w:val="Normal"/>
    <w:link w:val="SubtitleChar"/>
    <w:uiPriority w:val="11"/>
    <w:qFormat/>
    <w:rsid w:val="00BD1CEF"/>
    <w:pPr>
      <w:numPr>
        <w:ilvl w:val="1"/>
      </w:numPr>
    </w:pPr>
    <w:rPr>
      <w:rFonts w:ascii="Times New Roman" w:eastAsiaTheme="minorEastAsia" w:hAnsi="Times New Roman"/>
      <w:color w:val="000000" w:themeColor="text1"/>
      <w:spacing w:val="15"/>
    </w:rPr>
  </w:style>
  <w:style w:type="character" w:customStyle="1" w:styleId="SubtitleChar">
    <w:name w:val="Subtitle Char"/>
    <w:aliases w:val="Subtopics Char"/>
    <w:basedOn w:val="DefaultParagraphFont"/>
    <w:link w:val="Subtitle"/>
    <w:uiPriority w:val="11"/>
    <w:rsid w:val="00BD1CEF"/>
    <w:rPr>
      <w:rFonts w:ascii="Times New Roman" w:eastAsiaTheme="minorEastAsia" w:hAnsi="Times New Roman"/>
      <w:color w:val="000000" w:themeColor="text1"/>
      <w:spacing w:val="15"/>
      <w:lang w:val="en-GB"/>
    </w:rPr>
  </w:style>
  <w:style w:type="paragraph" w:styleId="CommentText">
    <w:name w:val="annotation text"/>
    <w:basedOn w:val="Normal"/>
    <w:link w:val="CommentTextChar"/>
    <w:uiPriority w:val="99"/>
    <w:unhideWhenUsed/>
    <w:rsid w:val="00BD1CEF"/>
    <w:pPr>
      <w:spacing w:line="240" w:lineRule="auto"/>
    </w:pPr>
    <w:rPr>
      <w:sz w:val="20"/>
      <w:szCs w:val="20"/>
    </w:rPr>
  </w:style>
  <w:style w:type="character" w:customStyle="1" w:styleId="CommentTextChar">
    <w:name w:val="Comment Text Char"/>
    <w:basedOn w:val="DefaultParagraphFont"/>
    <w:link w:val="CommentText"/>
    <w:uiPriority w:val="99"/>
    <w:rsid w:val="00BD1CEF"/>
    <w:rPr>
      <w:sz w:val="20"/>
      <w:szCs w:val="20"/>
      <w:lang w:val="en-GB"/>
    </w:rPr>
  </w:style>
  <w:style w:type="paragraph" w:customStyle="1" w:styleId="Para3">
    <w:name w:val="Para 3"/>
    <w:basedOn w:val="BodyText"/>
    <w:rsid w:val="00BD1CEF"/>
    <w:pPr>
      <w:numPr>
        <w:ilvl w:val="1"/>
        <w:numId w:val="1"/>
      </w:numPr>
      <w:tabs>
        <w:tab w:val="clear" w:pos="719"/>
        <w:tab w:val="num" w:pos="360"/>
        <w:tab w:val="num" w:pos="851"/>
      </w:tabs>
      <w:spacing w:after="240" w:line="240" w:lineRule="auto"/>
      <w:ind w:left="851" w:right="567" w:hanging="567"/>
      <w:jc w:val="both"/>
    </w:pPr>
    <w:rPr>
      <w:rFonts w:ascii="Arial" w:eastAsia="Times New Roman" w:hAnsi="Arial" w:cs="Times New Roman"/>
      <w:szCs w:val="20"/>
    </w:rPr>
  </w:style>
  <w:style w:type="paragraph" w:styleId="BodyText">
    <w:name w:val="Body Text"/>
    <w:basedOn w:val="Normal"/>
    <w:link w:val="BodyTextChar"/>
    <w:uiPriority w:val="99"/>
    <w:semiHidden/>
    <w:unhideWhenUsed/>
    <w:rsid w:val="00BD1CEF"/>
    <w:pPr>
      <w:spacing w:after="120"/>
    </w:pPr>
  </w:style>
  <w:style w:type="character" w:customStyle="1" w:styleId="BodyTextChar">
    <w:name w:val="Body Text Char"/>
    <w:basedOn w:val="DefaultParagraphFont"/>
    <w:link w:val="BodyText"/>
    <w:uiPriority w:val="99"/>
    <w:semiHidden/>
    <w:rsid w:val="00BD1CEF"/>
    <w:rPr>
      <w:lang w:val="en-GB"/>
    </w:rPr>
  </w:style>
  <w:style w:type="character" w:styleId="CommentReference">
    <w:name w:val="annotation reference"/>
    <w:basedOn w:val="DefaultParagraphFont"/>
    <w:uiPriority w:val="99"/>
    <w:semiHidden/>
    <w:unhideWhenUsed/>
    <w:rsid w:val="00BD1CEF"/>
    <w:rPr>
      <w:sz w:val="16"/>
      <w:szCs w:val="16"/>
    </w:rPr>
  </w:style>
  <w:style w:type="paragraph" w:styleId="BalloonText">
    <w:name w:val="Balloon Text"/>
    <w:basedOn w:val="Normal"/>
    <w:link w:val="BalloonTextChar"/>
    <w:uiPriority w:val="99"/>
    <w:semiHidden/>
    <w:unhideWhenUsed/>
    <w:rsid w:val="00BD1C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1CEF"/>
    <w:rPr>
      <w:rFonts w:ascii="Segoe UI" w:hAnsi="Segoe UI" w:cs="Segoe UI"/>
      <w:sz w:val="18"/>
      <w:szCs w:val="18"/>
      <w:lang w:val="en-GB"/>
    </w:rPr>
  </w:style>
  <w:style w:type="paragraph" w:styleId="ListParagraph">
    <w:name w:val="List Paragraph"/>
    <w:basedOn w:val="Normal"/>
    <w:uiPriority w:val="99"/>
    <w:qFormat/>
    <w:rsid w:val="00BD1CEF"/>
    <w:pPr>
      <w:ind w:left="720"/>
      <w:contextualSpacing/>
    </w:pPr>
  </w:style>
  <w:style w:type="paragraph" w:styleId="NormalWeb">
    <w:name w:val="Normal (Web)"/>
    <w:basedOn w:val="Normal"/>
    <w:uiPriority w:val="99"/>
    <w:semiHidden/>
    <w:unhideWhenUsed/>
    <w:rsid w:val="00BD1C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D1CEF"/>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BD1CEF"/>
    <w:rPr>
      <w:b/>
      <w:bCs/>
    </w:rPr>
  </w:style>
  <w:style w:type="character" w:customStyle="1" w:styleId="CommentSubjectChar">
    <w:name w:val="Comment Subject Char"/>
    <w:basedOn w:val="CommentTextChar"/>
    <w:link w:val="CommentSubject"/>
    <w:uiPriority w:val="99"/>
    <w:semiHidden/>
    <w:rsid w:val="00BD1CEF"/>
    <w:rPr>
      <w:b/>
      <w:bCs/>
      <w:sz w:val="20"/>
      <w:szCs w:val="20"/>
      <w:lang w:val="en-GB"/>
    </w:rPr>
  </w:style>
  <w:style w:type="table" w:styleId="TableGrid">
    <w:name w:val="Table Grid"/>
    <w:basedOn w:val="TableNormal"/>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D1CEF"/>
    <w:rPr>
      <w:color w:val="954F72" w:themeColor="followedHyperlink"/>
      <w:u w:val="single"/>
    </w:rPr>
  </w:style>
  <w:style w:type="table" w:styleId="PlainTable2">
    <w:name w:val="Plain Table 2"/>
    <w:basedOn w:val="TableNormal"/>
    <w:uiPriority w:val="42"/>
    <w:rsid w:val="00BD1CEF"/>
    <w:pPr>
      <w:spacing w:after="0" w:line="240" w:lineRule="auto"/>
    </w:pPr>
    <w:rPr>
      <w:lang w:val="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3-Accent3">
    <w:name w:val="Grid Table 3 Accent 3"/>
    <w:basedOn w:val="TableNormal"/>
    <w:uiPriority w:val="48"/>
    <w:rsid w:val="00BD1CEF"/>
    <w:pPr>
      <w:spacing w:after="0" w:line="240" w:lineRule="auto"/>
    </w:pPr>
    <w:rPr>
      <w:lang w:val="en-GB"/>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paragraph" w:styleId="Header">
    <w:name w:val="header"/>
    <w:basedOn w:val="Normal"/>
    <w:link w:val="HeaderChar"/>
    <w:uiPriority w:val="99"/>
    <w:unhideWhenUsed/>
    <w:rsid w:val="00BD1C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1CEF"/>
    <w:rPr>
      <w:lang w:val="en-GB"/>
    </w:rPr>
  </w:style>
  <w:style w:type="paragraph" w:styleId="Footer">
    <w:name w:val="footer"/>
    <w:basedOn w:val="Normal"/>
    <w:link w:val="FooterChar"/>
    <w:uiPriority w:val="99"/>
    <w:unhideWhenUsed/>
    <w:rsid w:val="00BD1C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1CEF"/>
    <w:rPr>
      <w:lang w:val="en-GB"/>
    </w:rPr>
  </w:style>
  <w:style w:type="paragraph" w:styleId="Revision">
    <w:name w:val="Revision"/>
    <w:hidden/>
    <w:uiPriority w:val="99"/>
    <w:semiHidden/>
    <w:rsid w:val="00BD1CEF"/>
    <w:pPr>
      <w:spacing w:after="0" w:line="240" w:lineRule="auto"/>
    </w:pPr>
    <w:rPr>
      <w:lang w:val="en-GB"/>
    </w:rPr>
  </w:style>
  <w:style w:type="paragraph" w:customStyle="1" w:styleId="Default">
    <w:name w:val="Default"/>
    <w:rsid w:val="00BD1CEF"/>
    <w:pPr>
      <w:autoSpaceDE w:val="0"/>
      <w:autoSpaceDN w:val="0"/>
      <w:adjustRightInd w:val="0"/>
      <w:spacing w:after="0" w:line="240" w:lineRule="auto"/>
    </w:pPr>
    <w:rPr>
      <w:rFonts w:ascii="Calibri" w:hAnsi="Calibri" w:cs="Calibri"/>
      <w:color w:val="000000"/>
      <w:sz w:val="24"/>
      <w:szCs w:val="24"/>
      <w:lang w:val="en-GB"/>
    </w:rPr>
  </w:style>
  <w:style w:type="character" w:customStyle="1" w:styleId="mixed-citation">
    <w:name w:val="mixed-citation"/>
    <w:basedOn w:val="DefaultParagraphFont"/>
    <w:rsid w:val="00BD1CEF"/>
  </w:style>
  <w:style w:type="character" w:customStyle="1" w:styleId="ref-title">
    <w:name w:val="ref-title"/>
    <w:basedOn w:val="DefaultParagraphFont"/>
    <w:rsid w:val="00BD1CEF"/>
  </w:style>
  <w:style w:type="paragraph" w:styleId="FootnoteText">
    <w:name w:val="footnote text"/>
    <w:basedOn w:val="Normal"/>
    <w:link w:val="FootnoteTextChar"/>
    <w:uiPriority w:val="99"/>
    <w:unhideWhenUsed/>
    <w:rsid w:val="00BD1CEF"/>
    <w:pPr>
      <w:spacing w:after="0" w:line="240" w:lineRule="auto"/>
    </w:pPr>
    <w:rPr>
      <w:sz w:val="20"/>
      <w:szCs w:val="20"/>
    </w:rPr>
  </w:style>
  <w:style w:type="character" w:customStyle="1" w:styleId="FootnoteTextChar">
    <w:name w:val="Footnote Text Char"/>
    <w:basedOn w:val="DefaultParagraphFont"/>
    <w:link w:val="FootnoteText"/>
    <w:uiPriority w:val="99"/>
    <w:rsid w:val="00BD1CEF"/>
    <w:rPr>
      <w:sz w:val="20"/>
      <w:szCs w:val="20"/>
      <w:lang w:val="en-GB"/>
    </w:rPr>
  </w:style>
  <w:style w:type="character" w:styleId="FootnoteReference">
    <w:name w:val="footnote reference"/>
    <w:basedOn w:val="DefaultParagraphFont"/>
    <w:uiPriority w:val="99"/>
    <w:semiHidden/>
    <w:unhideWhenUsed/>
    <w:rsid w:val="00BD1CEF"/>
    <w:rPr>
      <w:vertAlign w:val="superscript"/>
    </w:rPr>
  </w:style>
  <w:style w:type="paragraph" w:styleId="Title">
    <w:name w:val="Title"/>
    <w:basedOn w:val="Normal"/>
    <w:next w:val="Normal"/>
    <w:link w:val="TitleChar"/>
    <w:autoRedefine/>
    <w:uiPriority w:val="10"/>
    <w:qFormat/>
    <w:rsid w:val="00BD1CEF"/>
    <w:pPr>
      <w:numPr>
        <w:numId w:val="10"/>
      </w:numPr>
      <w:spacing w:after="0" w:line="240" w:lineRule="auto"/>
      <w:contextualSpacing/>
    </w:pPr>
    <w:rPr>
      <w:rFonts w:ascii="Times New Roman" w:eastAsiaTheme="majorEastAsia" w:hAnsi="Times New Roman" w:cstheme="majorBidi"/>
      <w:spacing w:val="-10"/>
      <w:kern w:val="28"/>
      <w:sz w:val="72"/>
      <w:szCs w:val="56"/>
    </w:rPr>
  </w:style>
  <w:style w:type="character" w:customStyle="1" w:styleId="TitleChar">
    <w:name w:val="Title Char"/>
    <w:basedOn w:val="DefaultParagraphFont"/>
    <w:link w:val="Title"/>
    <w:uiPriority w:val="10"/>
    <w:rsid w:val="00BD1CEF"/>
    <w:rPr>
      <w:rFonts w:ascii="Times New Roman" w:eastAsiaTheme="majorEastAsia" w:hAnsi="Times New Roman" w:cstheme="majorBidi"/>
      <w:spacing w:val="-10"/>
      <w:kern w:val="28"/>
      <w:sz w:val="72"/>
      <w:szCs w:val="56"/>
      <w:lang w:val="en-GB"/>
    </w:rPr>
  </w:style>
  <w:style w:type="paragraph" w:styleId="ListNumber">
    <w:name w:val="List Number"/>
    <w:basedOn w:val="Normal"/>
    <w:uiPriority w:val="99"/>
    <w:semiHidden/>
    <w:unhideWhenUsed/>
    <w:rsid w:val="00BD1CEF"/>
    <w:pPr>
      <w:numPr>
        <w:numId w:val="2"/>
      </w:numPr>
      <w:contextualSpacing/>
    </w:pPr>
  </w:style>
  <w:style w:type="character" w:styleId="SubtleEmphasis">
    <w:name w:val="Subtle Emphasis"/>
    <w:basedOn w:val="DefaultParagraphFont"/>
    <w:uiPriority w:val="19"/>
    <w:qFormat/>
    <w:rsid w:val="00BD1CEF"/>
    <w:rPr>
      <w:i/>
      <w:iCs/>
      <w:color w:val="404040" w:themeColor="text1" w:themeTint="BF"/>
    </w:rPr>
  </w:style>
  <w:style w:type="table" w:styleId="PlainTable3">
    <w:name w:val="Plain Table 3"/>
    <w:basedOn w:val="TableNormal"/>
    <w:uiPriority w:val="43"/>
    <w:rsid w:val="00BD1CEF"/>
    <w:pPr>
      <w:spacing w:after="0" w:line="240" w:lineRule="auto"/>
    </w:pPr>
    <w:rPr>
      <w:lang w:val="en-GB"/>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Grid1">
    <w:name w:val="Table Grid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BD1CEF"/>
  </w:style>
  <w:style w:type="table" w:customStyle="1" w:styleId="TableGrid2">
    <w:name w:val="Table Grid2"/>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f-journal">
    <w:name w:val="ref-journal"/>
    <w:basedOn w:val="DefaultParagraphFont"/>
    <w:rsid w:val="00BD1CEF"/>
  </w:style>
  <w:style w:type="numbering" w:customStyle="1" w:styleId="NoList1">
    <w:name w:val="No List1"/>
    <w:next w:val="NoList"/>
    <w:uiPriority w:val="99"/>
    <w:semiHidden/>
    <w:unhideWhenUsed/>
    <w:rsid w:val="00BD1CEF"/>
  </w:style>
  <w:style w:type="table" w:customStyle="1" w:styleId="TableGrid3">
    <w:name w:val="Table Grid3"/>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31">
    <w:name w:val="Plain Table 31"/>
    <w:basedOn w:val="TableNormal"/>
    <w:next w:val="PlainTable3"/>
    <w:uiPriority w:val="43"/>
    <w:rsid w:val="00BD1CEF"/>
    <w:pPr>
      <w:spacing w:after="0" w:line="240" w:lineRule="auto"/>
    </w:pPr>
    <w:rPr>
      <w:lang w:val="en-GB"/>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Grid11">
    <w:name w:val="Table Grid1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BD1CEF"/>
    <w:pPr>
      <w:spacing w:after="0" w:line="240" w:lineRule="auto"/>
    </w:pPr>
    <w:rPr>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
    <w:name w:val="No List11"/>
    <w:next w:val="NoList"/>
    <w:uiPriority w:val="99"/>
    <w:semiHidden/>
    <w:unhideWhenUsed/>
    <w:rsid w:val="00BD1CEF"/>
  </w:style>
  <w:style w:type="character" w:styleId="EndnoteReference">
    <w:name w:val="endnote reference"/>
    <w:basedOn w:val="DefaultParagraphFont"/>
    <w:uiPriority w:val="99"/>
    <w:semiHidden/>
    <w:unhideWhenUsed/>
    <w:rsid w:val="00BD1CEF"/>
    <w:rPr>
      <w:vertAlign w:val="superscript"/>
    </w:rPr>
  </w:style>
  <w:style w:type="paragraph" w:styleId="Caption">
    <w:name w:val="caption"/>
    <w:basedOn w:val="Normal"/>
    <w:next w:val="Normal"/>
    <w:link w:val="CaptionChar"/>
    <w:uiPriority w:val="35"/>
    <w:unhideWhenUsed/>
    <w:qFormat/>
    <w:rsid w:val="00BD1CEF"/>
    <w:pPr>
      <w:spacing w:after="200" w:line="240" w:lineRule="auto"/>
    </w:pPr>
    <w:rPr>
      <w:i/>
      <w:iCs/>
      <w:color w:val="44546A" w:themeColor="text2"/>
      <w:sz w:val="18"/>
      <w:szCs w:val="18"/>
    </w:rPr>
  </w:style>
  <w:style w:type="table" w:styleId="GridTable1Light">
    <w:name w:val="Grid Table 1 Light"/>
    <w:basedOn w:val="TableNormal"/>
    <w:uiPriority w:val="46"/>
    <w:rsid w:val="00BD1CEF"/>
    <w:pPr>
      <w:spacing w:after="0" w:line="240" w:lineRule="auto"/>
    </w:pPr>
    <w:rPr>
      <w:lang w:val="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ormaltextrun">
    <w:name w:val="normaltextrun"/>
    <w:basedOn w:val="DefaultParagraphFont"/>
    <w:rsid w:val="00BD1CEF"/>
  </w:style>
  <w:style w:type="numbering" w:customStyle="1" w:styleId="NoList2">
    <w:name w:val="No List2"/>
    <w:next w:val="NoList"/>
    <w:uiPriority w:val="99"/>
    <w:semiHidden/>
    <w:unhideWhenUsed/>
    <w:rsid w:val="00BD1CEF"/>
  </w:style>
  <w:style w:type="character" w:styleId="Emphasis">
    <w:name w:val="Emphasis"/>
    <w:basedOn w:val="DefaultParagraphFont"/>
    <w:uiPriority w:val="20"/>
    <w:qFormat/>
    <w:rsid w:val="00BD1CEF"/>
    <w:rPr>
      <w:i/>
      <w:iCs/>
    </w:rPr>
  </w:style>
  <w:style w:type="table" w:customStyle="1" w:styleId="TableGrid6">
    <w:name w:val="Table Grid6"/>
    <w:basedOn w:val="TableNormal"/>
    <w:next w:val="TableGrid"/>
    <w:uiPriority w:val="39"/>
    <w:rsid w:val="00BD1CEF"/>
    <w:pPr>
      <w:spacing w:after="0" w:line="240" w:lineRule="auto"/>
    </w:pPr>
    <w:rPr>
      <w:rFonts w:eastAsiaTheme="minorEastAsia"/>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D1CEF"/>
    <w:rPr>
      <w:b/>
      <w:bCs/>
    </w:rPr>
  </w:style>
  <w:style w:type="paragraph" w:styleId="NoSpacing">
    <w:name w:val="No Spacing"/>
    <w:aliases w:val="Table"/>
    <w:basedOn w:val="TableofFigures"/>
    <w:next w:val="TableofFigures"/>
    <w:link w:val="NoSpacingChar"/>
    <w:qFormat/>
    <w:rsid w:val="00BD1CEF"/>
    <w:pPr>
      <w:numPr>
        <w:numId w:val="4"/>
      </w:numPr>
      <w:spacing w:line="240" w:lineRule="auto"/>
    </w:pPr>
    <w:rPr>
      <w:rFonts w:ascii="Times New Roman" w:eastAsiaTheme="minorEastAsia" w:hAnsi="Times New Roman"/>
      <w:szCs w:val="20"/>
      <w:lang w:val="en-GB"/>
    </w:rPr>
  </w:style>
  <w:style w:type="paragraph" w:styleId="Quote">
    <w:name w:val="Quote"/>
    <w:basedOn w:val="Normal"/>
    <w:next w:val="Normal"/>
    <w:link w:val="QuoteChar"/>
    <w:uiPriority w:val="29"/>
    <w:qFormat/>
    <w:rsid w:val="00BD1CEF"/>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BD1CEF"/>
    <w:rPr>
      <w:rFonts w:eastAsiaTheme="minorEastAsia"/>
      <w:i/>
      <w:iCs/>
      <w:color w:val="404040" w:themeColor="text1" w:themeTint="BF"/>
      <w:sz w:val="20"/>
      <w:szCs w:val="20"/>
      <w:lang w:val="en-GB"/>
    </w:rPr>
  </w:style>
  <w:style w:type="paragraph" w:styleId="IntenseQuote">
    <w:name w:val="Intense Quote"/>
    <w:basedOn w:val="Normal"/>
    <w:next w:val="Normal"/>
    <w:link w:val="IntenseQuoteChar"/>
    <w:uiPriority w:val="30"/>
    <w:qFormat/>
    <w:rsid w:val="00BD1CEF"/>
    <w:pPr>
      <w:pBdr>
        <w:left w:val="single" w:sz="18" w:space="12" w:color="5B9BD5" w:themeColor="accent1"/>
      </w:pBdr>
      <w:spacing w:before="100" w:beforeAutospacing="1" w:after="120"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BD1CEF"/>
    <w:rPr>
      <w:rFonts w:asciiTheme="majorHAnsi" w:eastAsiaTheme="majorEastAsia" w:hAnsiTheme="majorHAnsi" w:cstheme="majorBidi"/>
      <w:color w:val="5B9BD5" w:themeColor="accent1"/>
      <w:sz w:val="28"/>
      <w:szCs w:val="28"/>
      <w:lang w:val="en-GB"/>
    </w:rPr>
  </w:style>
  <w:style w:type="character" w:styleId="IntenseEmphasis">
    <w:name w:val="Intense Emphasis"/>
    <w:basedOn w:val="DefaultParagraphFont"/>
    <w:uiPriority w:val="21"/>
    <w:qFormat/>
    <w:rsid w:val="00BD1CEF"/>
    <w:rPr>
      <w:b/>
      <w:bCs/>
      <w:i/>
      <w:iCs/>
    </w:rPr>
  </w:style>
  <w:style w:type="character" w:styleId="SubtleReference">
    <w:name w:val="Subtle Reference"/>
    <w:basedOn w:val="DefaultParagraphFont"/>
    <w:uiPriority w:val="31"/>
    <w:qFormat/>
    <w:rsid w:val="00BD1CEF"/>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D1CEF"/>
    <w:rPr>
      <w:b/>
      <w:bCs/>
      <w:smallCaps/>
      <w:spacing w:val="5"/>
      <w:u w:val="single"/>
    </w:rPr>
  </w:style>
  <w:style w:type="character" w:styleId="BookTitle">
    <w:name w:val="Book Title"/>
    <w:basedOn w:val="DefaultParagraphFont"/>
    <w:uiPriority w:val="33"/>
    <w:qFormat/>
    <w:rsid w:val="00BD1CEF"/>
    <w:rPr>
      <w:b/>
      <w:bCs/>
      <w:smallCaps/>
    </w:rPr>
  </w:style>
  <w:style w:type="paragraph" w:styleId="TOCHeading">
    <w:name w:val="TOC Heading"/>
    <w:basedOn w:val="Heading1"/>
    <w:next w:val="Normal"/>
    <w:uiPriority w:val="39"/>
    <w:unhideWhenUsed/>
    <w:qFormat/>
    <w:rsid w:val="00BD1CEF"/>
    <w:pPr>
      <w:spacing w:before="320" w:line="240" w:lineRule="auto"/>
      <w:outlineLvl w:val="9"/>
    </w:pPr>
    <w:rPr>
      <w:rFonts w:asciiTheme="majorHAnsi" w:hAnsiTheme="majorHAnsi"/>
      <w:b w:val="0"/>
      <w:color w:val="2E74B5" w:themeColor="accent1" w:themeShade="BF"/>
      <w:sz w:val="32"/>
    </w:rPr>
  </w:style>
  <w:style w:type="table" w:customStyle="1" w:styleId="TableGrid41">
    <w:name w:val="Table Grid41"/>
    <w:basedOn w:val="TableNormal"/>
    <w:next w:val="TableGrid"/>
    <w:uiPriority w:val="39"/>
    <w:rsid w:val="00BD1CEF"/>
    <w:pPr>
      <w:spacing w:after="0" w:line="240" w:lineRule="auto"/>
    </w:pPr>
    <w:rPr>
      <w:rFonts w:eastAsiaTheme="minorEastAsia"/>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D1CE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D1CEF"/>
    <w:rPr>
      <w:sz w:val="20"/>
      <w:szCs w:val="20"/>
      <w:lang w:val="en-GB"/>
    </w:rPr>
  </w:style>
  <w:style w:type="character" w:customStyle="1" w:styleId="title-text">
    <w:name w:val="title-text"/>
    <w:basedOn w:val="DefaultParagraphFont"/>
    <w:rsid w:val="00BD1CEF"/>
  </w:style>
  <w:style w:type="table" w:customStyle="1" w:styleId="PlainTable21">
    <w:name w:val="Plain Table 21"/>
    <w:basedOn w:val="TableNormal"/>
    <w:next w:val="PlainTable2"/>
    <w:uiPriority w:val="42"/>
    <w:rsid w:val="00BD1CEF"/>
    <w:pPr>
      <w:spacing w:after="0" w:line="240" w:lineRule="auto"/>
    </w:pPr>
    <w:rPr>
      <w:lang w:val="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2">
    <w:name w:val="Plain Table 22"/>
    <w:basedOn w:val="TableNormal"/>
    <w:next w:val="PlainTable2"/>
    <w:uiPriority w:val="42"/>
    <w:rsid w:val="00BD1CEF"/>
    <w:pPr>
      <w:spacing w:after="0" w:line="240" w:lineRule="auto"/>
    </w:pPr>
    <w:rPr>
      <w:lang w:val="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2">
    <w:name w:val="Table Grid12"/>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BD1C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BD1CEF"/>
  </w:style>
  <w:style w:type="numbering" w:customStyle="1" w:styleId="NoList3">
    <w:name w:val="No List3"/>
    <w:next w:val="NoList"/>
    <w:uiPriority w:val="99"/>
    <w:semiHidden/>
    <w:unhideWhenUsed/>
    <w:rsid w:val="00BD1CEF"/>
  </w:style>
  <w:style w:type="table" w:customStyle="1" w:styleId="TableGrid14">
    <w:name w:val="Table Grid14"/>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BD1CEF"/>
  </w:style>
  <w:style w:type="table" w:customStyle="1" w:styleId="TableGrid15">
    <w:name w:val="Table Grid15"/>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D1CEF"/>
  </w:style>
  <w:style w:type="table" w:customStyle="1" w:styleId="TableGrid17">
    <w:name w:val="Table Grid17"/>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
    <w:name w:val="Table Grid119"/>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
    <w:name w:val="Table Grid120"/>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124"/>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125"/>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
    <w:name w:val="Table Grid126"/>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
    <w:name w:val="Table Grid127"/>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
    <w:name w:val="Table Grid128"/>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9">
    <w:name w:val="Table Grid129"/>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
    <w:name w:val="Table Grid130"/>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
    <w:name w:val="Table Grid134"/>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5">
    <w:name w:val="Table Grid135"/>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6">
    <w:name w:val="Table Grid136"/>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7">
    <w:name w:val="Table Grid137"/>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BD1CEF"/>
    <w:pPr>
      <w:spacing w:after="0" w:line="240" w:lineRule="auto"/>
    </w:pPr>
    <w:rPr>
      <w:lang w:val="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4">
    <w:name w:val="Plain Table 4"/>
    <w:basedOn w:val="TableNormal"/>
    <w:uiPriority w:val="44"/>
    <w:rsid w:val="00BD1CEF"/>
    <w:pPr>
      <w:spacing w:after="0" w:line="240" w:lineRule="auto"/>
    </w:pPr>
    <w:rPr>
      <w:lang w:val="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ableofFiguresChar">
    <w:name w:val="Table of Figures Char"/>
    <w:basedOn w:val="DefaultParagraphFont"/>
    <w:link w:val="TableofFigures"/>
    <w:uiPriority w:val="99"/>
    <w:rsid w:val="00BD1CEF"/>
  </w:style>
  <w:style w:type="paragraph" w:styleId="TableofFigures">
    <w:name w:val="table of figures"/>
    <w:basedOn w:val="Normal"/>
    <w:next w:val="Normal"/>
    <w:link w:val="TableofFiguresChar"/>
    <w:uiPriority w:val="99"/>
    <w:unhideWhenUsed/>
    <w:rsid w:val="00BD1CEF"/>
    <w:pPr>
      <w:spacing w:after="0"/>
    </w:pPr>
    <w:rPr>
      <w:lang w:val="en-IN"/>
    </w:rPr>
  </w:style>
  <w:style w:type="character" w:customStyle="1" w:styleId="NoSpacingChar">
    <w:name w:val="No Spacing Char"/>
    <w:aliases w:val="Table Char"/>
    <w:basedOn w:val="TableofFiguresChar"/>
    <w:link w:val="NoSpacing"/>
    <w:rsid w:val="00BD1CEF"/>
    <w:rPr>
      <w:rFonts w:ascii="Times New Roman" w:eastAsiaTheme="minorEastAsia" w:hAnsi="Times New Roman"/>
      <w:szCs w:val="20"/>
      <w:lang w:val="en-GB"/>
    </w:rPr>
  </w:style>
  <w:style w:type="paragraph" w:customStyle="1" w:styleId="Table11">
    <w:name w:val="Table 1:1"/>
    <w:basedOn w:val="Caption"/>
    <w:link w:val="Table11Char"/>
    <w:qFormat/>
    <w:rsid w:val="00BD1CEF"/>
    <w:pPr>
      <w:keepNext/>
      <w:numPr>
        <w:numId w:val="5"/>
      </w:numPr>
    </w:pPr>
    <w:rPr>
      <w:rFonts w:ascii="Times New Roman" w:hAnsi="Times New Roman"/>
      <w:i w:val="0"/>
      <w:color w:val="000000" w:themeColor="text1"/>
    </w:rPr>
  </w:style>
  <w:style w:type="paragraph" w:styleId="TOC2">
    <w:name w:val="toc 2"/>
    <w:basedOn w:val="Normal"/>
    <w:next w:val="Normal"/>
    <w:autoRedefine/>
    <w:uiPriority w:val="39"/>
    <w:unhideWhenUsed/>
    <w:rsid w:val="00BD1CEF"/>
    <w:pPr>
      <w:tabs>
        <w:tab w:val="left" w:pos="880"/>
        <w:tab w:val="right" w:leader="dot" w:pos="8788"/>
      </w:tabs>
      <w:spacing w:after="100" w:line="360" w:lineRule="auto"/>
      <w:ind w:left="221" w:right="-285"/>
    </w:pPr>
    <w:rPr>
      <w:rFonts w:ascii="Times New Roman" w:eastAsia="Times New Roman" w:hAnsi="Times New Roman" w:cs="Times New Roman"/>
      <w:noProof/>
      <w:sz w:val="24"/>
    </w:rPr>
  </w:style>
  <w:style w:type="character" w:customStyle="1" w:styleId="CaptionChar">
    <w:name w:val="Caption Char"/>
    <w:basedOn w:val="DefaultParagraphFont"/>
    <w:link w:val="Caption"/>
    <w:uiPriority w:val="35"/>
    <w:rsid w:val="00BD1CEF"/>
    <w:rPr>
      <w:i/>
      <w:iCs/>
      <w:color w:val="44546A" w:themeColor="text2"/>
      <w:sz w:val="18"/>
      <w:szCs w:val="18"/>
      <w:lang w:val="en-GB"/>
    </w:rPr>
  </w:style>
  <w:style w:type="character" w:customStyle="1" w:styleId="Table11Char">
    <w:name w:val="Table 1:1 Char"/>
    <w:basedOn w:val="CaptionChar"/>
    <w:link w:val="Table11"/>
    <w:rsid w:val="00BD1CEF"/>
    <w:rPr>
      <w:rFonts w:ascii="Times New Roman" w:hAnsi="Times New Roman"/>
      <w:i w:val="0"/>
      <w:iCs/>
      <w:color w:val="000000" w:themeColor="text1"/>
      <w:sz w:val="18"/>
      <w:szCs w:val="18"/>
      <w:lang w:val="en-GB"/>
    </w:rPr>
  </w:style>
  <w:style w:type="paragraph" w:styleId="TOC3">
    <w:name w:val="toc 3"/>
    <w:basedOn w:val="Normal"/>
    <w:next w:val="Normal"/>
    <w:autoRedefine/>
    <w:uiPriority w:val="39"/>
    <w:unhideWhenUsed/>
    <w:rsid w:val="00BD1CEF"/>
    <w:pPr>
      <w:tabs>
        <w:tab w:val="right" w:leader="dot" w:pos="8787"/>
      </w:tabs>
      <w:spacing w:after="100"/>
      <w:ind w:left="1320" w:hanging="894"/>
    </w:pPr>
  </w:style>
  <w:style w:type="numbering" w:customStyle="1" w:styleId="NoList6">
    <w:name w:val="No List6"/>
    <w:next w:val="NoList"/>
    <w:uiPriority w:val="99"/>
    <w:semiHidden/>
    <w:unhideWhenUsed/>
    <w:rsid w:val="00BD1CEF"/>
  </w:style>
  <w:style w:type="table" w:customStyle="1" w:styleId="TableGrid8">
    <w:name w:val="Table Grid8"/>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3">
    <w:name w:val="Plain Table 23"/>
    <w:basedOn w:val="TableNormal"/>
    <w:next w:val="PlainTable2"/>
    <w:uiPriority w:val="42"/>
    <w:rsid w:val="00BD1CEF"/>
    <w:pPr>
      <w:spacing w:after="0" w:line="240" w:lineRule="auto"/>
    </w:pPr>
    <w:rPr>
      <w:lang w:val="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3-Accent31">
    <w:name w:val="Grid Table 3 - Accent 31"/>
    <w:basedOn w:val="TableNormal"/>
    <w:next w:val="GridTable3-Accent3"/>
    <w:uiPriority w:val="48"/>
    <w:rsid w:val="00BD1CEF"/>
    <w:pPr>
      <w:spacing w:after="0" w:line="240" w:lineRule="auto"/>
    </w:pPr>
    <w:rPr>
      <w:lang w:val="en-GB"/>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PlainTable32">
    <w:name w:val="Plain Table 32"/>
    <w:basedOn w:val="TableNormal"/>
    <w:next w:val="PlainTable3"/>
    <w:uiPriority w:val="43"/>
    <w:rsid w:val="00BD1CEF"/>
    <w:pPr>
      <w:spacing w:after="0" w:line="240" w:lineRule="auto"/>
    </w:pPr>
    <w:rPr>
      <w:lang w:val="en-GB"/>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Grid138">
    <w:name w:val="Table Grid138"/>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BD1CEF"/>
  </w:style>
  <w:style w:type="table" w:customStyle="1" w:styleId="TableGrid31">
    <w:name w:val="Table Grid3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311">
    <w:name w:val="Plain Table 311"/>
    <w:basedOn w:val="TableNormal"/>
    <w:next w:val="PlainTable3"/>
    <w:uiPriority w:val="43"/>
    <w:rsid w:val="00BD1CEF"/>
    <w:pPr>
      <w:spacing w:after="0" w:line="240" w:lineRule="auto"/>
    </w:pPr>
    <w:rPr>
      <w:lang w:val="en-GB"/>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Grid1110">
    <w:name w:val="Table Grid1110"/>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1">
    <w:name w:val="Table Grid Light11"/>
    <w:basedOn w:val="TableNormal"/>
    <w:uiPriority w:val="40"/>
    <w:rsid w:val="00BD1CEF"/>
    <w:pPr>
      <w:spacing w:after="0" w:line="240" w:lineRule="auto"/>
    </w:pPr>
    <w:rPr>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
    <w:name w:val="No List111"/>
    <w:next w:val="NoList"/>
    <w:uiPriority w:val="99"/>
    <w:semiHidden/>
    <w:unhideWhenUsed/>
    <w:rsid w:val="00BD1CEF"/>
  </w:style>
  <w:style w:type="table" w:customStyle="1" w:styleId="GridTable1Light1">
    <w:name w:val="Grid Table 1 Light1"/>
    <w:basedOn w:val="TableNormal"/>
    <w:next w:val="GridTable1Light"/>
    <w:uiPriority w:val="46"/>
    <w:rsid w:val="00BD1CEF"/>
    <w:pPr>
      <w:spacing w:after="0" w:line="240" w:lineRule="auto"/>
    </w:pPr>
    <w:rPr>
      <w:lang w:val="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NoList21">
    <w:name w:val="No List21"/>
    <w:next w:val="NoList"/>
    <w:uiPriority w:val="99"/>
    <w:semiHidden/>
    <w:unhideWhenUsed/>
    <w:rsid w:val="00BD1CEF"/>
  </w:style>
  <w:style w:type="table" w:customStyle="1" w:styleId="TableGrid61">
    <w:name w:val="Table Grid61"/>
    <w:basedOn w:val="TableNormal"/>
    <w:next w:val="TableGrid"/>
    <w:uiPriority w:val="39"/>
    <w:rsid w:val="00BD1CEF"/>
    <w:pPr>
      <w:spacing w:after="0" w:line="240" w:lineRule="auto"/>
    </w:pPr>
    <w:rPr>
      <w:rFonts w:eastAsiaTheme="minorEastAsia"/>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next w:val="TableGrid"/>
    <w:uiPriority w:val="39"/>
    <w:rsid w:val="00BD1CEF"/>
    <w:pPr>
      <w:spacing w:after="0" w:line="240" w:lineRule="auto"/>
    </w:pPr>
    <w:rPr>
      <w:rFonts w:eastAsiaTheme="minorEastAsia"/>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1">
    <w:name w:val="Plain Table 211"/>
    <w:basedOn w:val="TableNormal"/>
    <w:next w:val="PlainTable2"/>
    <w:uiPriority w:val="42"/>
    <w:rsid w:val="00BD1CEF"/>
    <w:pPr>
      <w:spacing w:after="0" w:line="240" w:lineRule="auto"/>
    </w:pPr>
    <w:rPr>
      <w:lang w:val="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21">
    <w:name w:val="Plain Table 221"/>
    <w:basedOn w:val="TableNormal"/>
    <w:next w:val="PlainTable2"/>
    <w:uiPriority w:val="42"/>
    <w:rsid w:val="00BD1CEF"/>
    <w:pPr>
      <w:spacing w:after="0" w:line="240" w:lineRule="auto"/>
    </w:pPr>
    <w:rPr>
      <w:lang w:val="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210">
    <w:name w:val="Table Grid1210"/>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9">
    <w:name w:val="Table Grid139"/>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BD1CEF"/>
  </w:style>
  <w:style w:type="table" w:customStyle="1" w:styleId="TableGrid141">
    <w:name w:val="Table Grid14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BD1CEF"/>
  </w:style>
  <w:style w:type="table" w:customStyle="1" w:styleId="TableGrid151">
    <w:name w:val="Table Grid15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BD1CEF"/>
  </w:style>
  <w:style w:type="table" w:customStyle="1" w:styleId="TableGrid171">
    <w:name w:val="Table Grid17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
    <w:name w:val="Table Grid110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113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114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
    <w:name w:val="Table Grid115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
    <w:name w:val="Table Grid116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
    <w:name w:val="Table Grid117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1">
    <w:name w:val="Table Grid118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1">
    <w:name w:val="Table Grid119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1">
    <w:name w:val="Table Grid120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122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123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
    <w:name w:val="Table Grid124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
    <w:name w:val="Table Grid125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1">
    <w:name w:val="Table Grid126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1">
    <w:name w:val="Table Grid127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1">
    <w:name w:val="Table Grid128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91">
    <w:name w:val="Table Grid129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1">
    <w:name w:val="Table Grid130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
    <w:name w:val="Table Grid131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
    <w:name w:val="Table Grid132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1">
    <w:name w:val="Table Grid133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1">
    <w:name w:val="Table Grid134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51">
    <w:name w:val="Table Grid135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61">
    <w:name w:val="Table Grid136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71">
    <w:name w:val="Table Grid1371"/>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next w:val="PlainTable1"/>
    <w:uiPriority w:val="41"/>
    <w:rsid w:val="00BD1CEF"/>
    <w:pPr>
      <w:spacing w:after="0" w:line="240" w:lineRule="auto"/>
    </w:pPr>
    <w:rPr>
      <w:lang w:val="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41">
    <w:name w:val="Plain Table 41"/>
    <w:basedOn w:val="TableNormal"/>
    <w:next w:val="PlainTable4"/>
    <w:uiPriority w:val="44"/>
    <w:rsid w:val="00BD1CEF"/>
    <w:pPr>
      <w:spacing w:after="0" w:line="240" w:lineRule="auto"/>
    </w:pPr>
    <w:rPr>
      <w:lang w:val="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7">
    <w:name w:val="No List7"/>
    <w:next w:val="NoList"/>
    <w:uiPriority w:val="99"/>
    <w:semiHidden/>
    <w:unhideWhenUsed/>
    <w:rsid w:val="00BD1CEF"/>
  </w:style>
  <w:style w:type="table" w:customStyle="1" w:styleId="TableGrid9">
    <w:name w:val="Table Grid9"/>
    <w:basedOn w:val="TableNormal"/>
    <w:next w:val="TableGrid"/>
    <w:uiPriority w:val="39"/>
    <w:rsid w:val="00BD1CEF"/>
    <w:pPr>
      <w:spacing w:after="0" w:line="240" w:lineRule="auto"/>
    </w:pPr>
    <w:rPr>
      <w:rFonts w:eastAsiaTheme="minorEastAsia"/>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0">
    <w:name w:val="Table Grid140"/>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39"/>
    <w:rsid w:val="00BD1CEF"/>
    <w:pPr>
      <w:spacing w:after="0" w:line="240" w:lineRule="auto"/>
    </w:pPr>
    <w:rPr>
      <w:rFonts w:eastAsiaTheme="minorEastAsia"/>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BD1CEF"/>
  </w:style>
  <w:style w:type="table" w:customStyle="1" w:styleId="PlainTable24">
    <w:name w:val="Plain Table 24"/>
    <w:basedOn w:val="TableNormal"/>
    <w:next w:val="PlainTable2"/>
    <w:uiPriority w:val="42"/>
    <w:rsid w:val="00BD1CEF"/>
    <w:pPr>
      <w:spacing w:after="0" w:line="240" w:lineRule="auto"/>
    </w:pPr>
    <w:rPr>
      <w:lang w:val="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0">
    <w:name w:val="Table Grid10"/>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2">
    <w:name w:val="Grid Table 1 Light2"/>
    <w:basedOn w:val="TableNormal"/>
    <w:next w:val="GridTable1Light"/>
    <w:uiPriority w:val="46"/>
    <w:rsid w:val="00BD1CEF"/>
    <w:pPr>
      <w:spacing w:after="0" w:line="240" w:lineRule="auto"/>
    </w:pPr>
    <w:rPr>
      <w:lang w:val="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33">
    <w:name w:val="Plain Table 33"/>
    <w:basedOn w:val="TableNormal"/>
    <w:next w:val="PlainTable3"/>
    <w:uiPriority w:val="43"/>
    <w:rsid w:val="00BD1CEF"/>
    <w:pPr>
      <w:spacing w:after="0" w:line="240" w:lineRule="auto"/>
    </w:pPr>
    <w:rPr>
      <w:lang w:val="en-GB"/>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2">
    <w:name w:val="Plain Table 42"/>
    <w:basedOn w:val="TableNormal"/>
    <w:next w:val="PlainTable4"/>
    <w:uiPriority w:val="44"/>
    <w:rsid w:val="00BD1CEF"/>
    <w:pPr>
      <w:spacing w:after="0" w:line="240" w:lineRule="auto"/>
    </w:pPr>
    <w:rPr>
      <w:lang w:val="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cit-etal">
    <w:name w:val="cit-etal"/>
    <w:rsid w:val="00BD1CEF"/>
  </w:style>
  <w:style w:type="character" w:customStyle="1" w:styleId="ref-vol">
    <w:name w:val="ref-vol"/>
    <w:basedOn w:val="DefaultParagraphFont"/>
    <w:rsid w:val="00BD1CEF"/>
  </w:style>
  <w:style w:type="paragraph" w:customStyle="1" w:styleId="p">
    <w:name w:val="p"/>
    <w:basedOn w:val="Normal"/>
    <w:rsid w:val="00BD1C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wrap">
    <w:name w:val="nowrap"/>
    <w:basedOn w:val="DefaultParagraphFont"/>
    <w:rsid w:val="00BD1CEF"/>
  </w:style>
  <w:style w:type="paragraph" w:customStyle="1" w:styleId="Body">
    <w:name w:val="Body"/>
    <w:rsid w:val="00BD1CEF"/>
    <w:pPr>
      <w:pBdr>
        <w:top w:val="nil"/>
        <w:left w:val="nil"/>
        <w:bottom w:val="nil"/>
        <w:right w:val="nil"/>
        <w:between w:val="nil"/>
        <w:bar w:val="nil"/>
      </w:pBdr>
      <w:spacing w:after="200" w:line="276" w:lineRule="auto"/>
    </w:pPr>
    <w:rPr>
      <w:rFonts w:ascii="Calibri" w:eastAsia="Calibri" w:hAnsi="Calibri" w:cs="Calibri"/>
      <w:color w:val="000000"/>
      <w:u w:color="000000"/>
      <w:bdr w:val="nil"/>
      <w:lang w:val="en-US" w:eastAsia="en-GB"/>
    </w:rPr>
  </w:style>
  <w:style w:type="character" w:customStyle="1" w:styleId="None">
    <w:name w:val="None"/>
    <w:rsid w:val="00BD1CEF"/>
  </w:style>
  <w:style w:type="numbering" w:customStyle="1" w:styleId="ImportedStyle1">
    <w:name w:val="Imported Style 1"/>
    <w:rsid w:val="00BD1CEF"/>
    <w:pPr>
      <w:numPr>
        <w:numId w:val="8"/>
      </w:numPr>
    </w:pPr>
  </w:style>
  <w:style w:type="numbering" w:customStyle="1" w:styleId="ImportedStyle2">
    <w:name w:val="Imported Style 2"/>
    <w:rsid w:val="00BD1CEF"/>
    <w:pPr>
      <w:numPr>
        <w:numId w:val="9"/>
      </w:numPr>
    </w:pPr>
  </w:style>
  <w:style w:type="table" w:customStyle="1" w:styleId="TableGrid62">
    <w:name w:val="Table Grid62"/>
    <w:basedOn w:val="TableNormal"/>
    <w:next w:val="TableGrid"/>
    <w:uiPriority w:val="39"/>
    <w:rsid w:val="00BD1CE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BD1CEF"/>
    <w:pPr>
      <w:spacing w:after="120"/>
      <w:ind w:left="283"/>
    </w:pPr>
  </w:style>
  <w:style w:type="character" w:customStyle="1" w:styleId="BodyTextIndentChar">
    <w:name w:val="Body Text Indent Char"/>
    <w:basedOn w:val="DefaultParagraphFont"/>
    <w:link w:val="BodyTextIndent"/>
    <w:uiPriority w:val="99"/>
    <w:semiHidden/>
    <w:rsid w:val="00BD1CEF"/>
    <w:rPr>
      <w:lang w:val="en-GB"/>
    </w:rPr>
  </w:style>
  <w:style w:type="character" w:styleId="PlaceholderText">
    <w:name w:val="Placeholder Text"/>
    <w:basedOn w:val="DefaultParagraphFont"/>
    <w:uiPriority w:val="99"/>
    <w:semiHidden/>
    <w:rsid w:val="00BD1CEF"/>
    <w:rPr>
      <w:color w:val="808080"/>
    </w:rPr>
  </w:style>
  <w:style w:type="paragraph" w:styleId="TOC1">
    <w:name w:val="toc 1"/>
    <w:basedOn w:val="Normal"/>
    <w:next w:val="Normal"/>
    <w:autoRedefine/>
    <w:uiPriority w:val="39"/>
    <w:unhideWhenUsed/>
    <w:rsid w:val="00BD1CEF"/>
    <w:pPr>
      <w:spacing w:after="100"/>
    </w:pPr>
  </w:style>
  <w:style w:type="paragraph" w:styleId="TOC4">
    <w:name w:val="toc 4"/>
    <w:basedOn w:val="Normal"/>
    <w:next w:val="Normal"/>
    <w:autoRedefine/>
    <w:uiPriority w:val="39"/>
    <w:unhideWhenUsed/>
    <w:rsid w:val="00BD1CEF"/>
    <w:pPr>
      <w:spacing w:after="100"/>
      <w:ind w:left="660"/>
    </w:pPr>
    <w:rPr>
      <w:rFonts w:eastAsiaTheme="minorEastAsia"/>
      <w:lang w:eastAsia="en-GB"/>
    </w:rPr>
  </w:style>
  <w:style w:type="paragraph" w:styleId="TOC5">
    <w:name w:val="toc 5"/>
    <w:basedOn w:val="Normal"/>
    <w:next w:val="Normal"/>
    <w:autoRedefine/>
    <w:uiPriority w:val="39"/>
    <w:unhideWhenUsed/>
    <w:rsid w:val="00BD1CEF"/>
    <w:pPr>
      <w:spacing w:after="100"/>
      <w:ind w:left="880"/>
    </w:pPr>
    <w:rPr>
      <w:rFonts w:eastAsiaTheme="minorEastAsia"/>
      <w:lang w:eastAsia="en-GB"/>
    </w:rPr>
  </w:style>
  <w:style w:type="paragraph" w:styleId="TOC6">
    <w:name w:val="toc 6"/>
    <w:basedOn w:val="Normal"/>
    <w:next w:val="Normal"/>
    <w:autoRedefine/>
    <w:uiPriority w:val="39"/>
    <w:unhideWhenUsed/>
    <w:rsid w:val="00BD1CEF"/>
    <w:pPr>
      <w:spacing w:after="100"/>
      <w:ind w:left="1100"/>
    </w:pPr>
    <w:rPr>
      <w:rFonts w:eastAsiaTheme="minorEastAsia"/>
      <w:lang w:eastAsia="en-GB"/>
    </w:rPr>
  </w:style>
  <w:style w:type="paragraph" w:styleId="TOC7">
    <w:name w:val="toc 7"/>
    <w:basedOn w:val="Normal"/>
    <w:next w:val="Normal"/>
    <w:autoRedefine/>
    <w:uiPriority w:val="39"/>
    <w:unhideWhenUsed/>
    <w:rsid w:val="00BD1CEF"/>
    <w:pPr>
      <w:spacing w:after="100"/>
      <w:ind w:left="1320"/>
    </w:pPr>
    <w:rPr>
      <w:rFonts w:eastAsiaTheme="minorEastAsia"/>
      <w:lang w:eastAsia="en-GB"/>
    </w:rPr>
  </w:style>
  <w:style w:type="paragraph" w:styleId="TOC8">
    <w:name w:val="toc 8"/>
    <w:basedOn w:val="Normal"/>
    <w:next w:val="Normal"/>
    <w:autoRedefine/>
    <w:uiPriority w:val="39"/>
    <w:unhideWhenUsed/>
    <w:rsid w:val="00BD1CEF"/>
    <w:pPr>
      <w:spacing w:after="100"/>
      <w:ind w:left="1540"/>
    </w:pPr>
    <w:rPr>
      <w:rFonts w:eastAsiaTheme="minorEastAsia"/>
      <w:lang w:eastAsia="en-GB"/>
    </w:rPr>
  </w:style>
  <w:style w:type="paragraph" w:styleId="TOC9">
    <w:name w:val="toc 9"/>
    <w:basedOn w:val="Normal"/>
    <w:next w:val="Normal"/>
    <w:autoRedefine/>
    <w:uiPriority w:val="39"/>
    <w:unhideWhenUsed/>
    <w:rsid w:val="00BD1CEF"/>
    <w:pPr>
      <w:spacing w:after="100"/>
      <w:ind w:left="1760"/>
    </w:pPr>
    <w:rPr>
      <w:rFonts w:eastAsiaTheme="minorEastAsia"/>
      <w:lang w:eastAsia="en-GB"/>
    </w:rPr>
  </w:style>
  <w:style w:type="paragraph" w:customStyle="1" w:styleId="Acknowledgements">
    <w:name w:val="Acknowledgements"/>
    <w:basedOn w:val="Normal"/>
    <w:link w:val="AcknowledgementsChar"/>
    <w:autoRedefine/>
    <w:qFormat/>
    <w:rsid w:val="00BD1CEF"/>
    <w:pPr>
      <w:spacing w:before="100" w:beforeAutospacing="1" w:after="100" w:afterAutospacing="1" w:line="480" w:lineRule="auto"/>
      <w:contextualSpacing/>
    </w:pPr>
    <w:rPr>
      <w:rFonts w:ascii="Times New Roman" w:hAnsi="Times New Roman" w:cs="Times New Roman"/>
      <w:b/>
      <w:sz w:val="44"/>
    </w:rPr>
  </w:style>
  <w:style w:type="character" w:customStyle="1" w:styleId="AcknowledgementsChar">
    <w:name w:val="Acknowledgements Char"/>
    <w:basedOn w:val="DefaultParagraphFont"/>
    <w:link w:val="Acknowledgements"/>
    <w:rsid w:val="00BD1CEF"/>
    <w:rPr>
      <w:rFonts w:ascii="Times New Roman" w:hAnsi="Times New Roman" w:cs="Times New Roman"/>
      <w:b/>
      <w:sz w:val="44"/>
      <w:lang w:val="en-GB"/>
    </w:rPr>
  </w:style>
  <w:style w:type="character" w:customStyle="1" w:styleId="searchhistory-search-term">
    <w:name w:val="searchhistory-search-term"/>
    <w:basedOn w:val="DefaultParagraphFont"/>
    <w:rsid w:val="00BD1C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16529</Words>
  <Characters>94221</Characters>
  <Application>Microsoft Office Word</Application>
  <DocSecurity>0</DocSecurity>
  <Lines>785</Lines>
  <Paragraphs>221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Priya V.</dc:creator>
  <cp:keywords/>
  <dc:description/>
  <cp:lastModifiedBy>Priya V.</cp:lastModifiedBy>
  <cp:revision>1</cp:revision>
  <dcterms:created xsi:type="dcterms:W3CDTF">2022-11-19T04:37:00Z</dcterms:created>
  <dcterms:modified xsi:type="dcterms:W3CDTF">2022-11-19T04:38:00Z</dcterms:modified>
</cp:coreProperties>
</file>