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3750F" w14:textId="1280F2EC" w:rsidR="00391F22" w:rsidRDefault="00391F22" w:rsidP="00E50CC8">
      <w:pPr>
        <w:rPr>
          <w:rFonts w:asciiTheme="majorBidi" w:hAnsiTheme="majorBidi" w:cstheme="majorBidi"/>
          <w:b/>
          <w:bCs/>
          <w:sz w:val="24"/>
          <w:szCs w:val="24"/>
        </w:rPr>
      </w:pPr>
      <w:r w:rsidRPr="00391F22">
        <w:rPr>
          <w:rFonts w:asciiTheme="majorBidi" w:hAnsiTheme="majorBidi" w:cstheme="majorBidi"/>
          <w:b/>
          <w:bCs/>
          <w:sz w:val="24"/>
          <w:szCs w:val="24"/>
        </w:rPr>
        <w:t xml:space="preserve">Studies on </w:t>
      </w:r>
      <w:r w:rsidR="00671B8B">
        <w:rPr>
          <w:rFonts w:asciiTheme="majorBidi" w:hAnsiTheme="majorBidi" w:cstheme="majorBidi"/>
          <w:b/>
          <w:bCs/>
          <w:sz w:val="24"/>
          <w:szCs w:val="24"/>
        </w:rPr>
        <w:t xml:space="preserve">Indicators </w:t>
      </w:r>
      <w:r w:rsidR="009662B2">
        <w:rPr>
          <w:rFonts w:asciiTheme="majorBidi" w:hAnsiTheme="majorBidi" w:cstheme="majorBidi"/>
          <w:b/>
          <w:bCs/>
          <w:sz w:val="24"/>
          <w:szCs w:val="24"/>
        </w:rPr>
        <w:t>(n=</w:t>
      </w:r>
      <w:r w:rsidR="00746666">
        <w:rPr>
          <w:rFonts w:asciiTheme="majorBidi" w:hAnsiTheme="majorBidi" w:cstheme="majorBidi"/>
          <w:b/>
          <w:bCs/>
          <w:sz w:val="24"/>
          <w:szCs w:val="24"/>
        </w:rPr>
        <w:t>9</w:t>
      </w:r>
      <w:r w:rsidR="00401DAA">
        <w:rPr>
          <w:rFonts w:asciiTheme="majorBidi" w:hAnsiTheme="majorBidi" w:cstheme="majorBidi"/>
          <w:b/>
          <w:bCs/>
          <w:sz w:val="24"/>
          <w:szCs w:val="24"/>
        </w:rPr>
        <w:t>)</w:t>
      </w:r>
    </w:p>
    <w:p w14:paraId="6D1EA513" w14:textId="77777777" w:rsidR="00970843" w:rsidRPr="00391F22" w:rsidRDefault="00970843">
      <w:pPr>
        <w:rPr>
          <w:rFonts w:asciiTheme="majorBidi" w:hAnsiTheme="majorBidi" w:cstheme="majorBidi"/>
          <w:b/>
          <w:bCs/>
          <w:sz w:val="24"/>
          <w:szCs w:val="24"/>
        </w:rPr>
      </w:pPr>
    </w:p>
    <w:tbl>
      <w:tblPr>
        <w:tblW w:w="13760" w:type="dxa"/>
        <w:tblInd w:w="-10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19"/>
        <w:gridCol w:w="1384"/>
        <w:gridCol w:w="1497"/>
        <w:gridCol w:w="1551"/>
        <w:gridCol w:w="2062"/>
        <w:gridCol w:w="3137"/>
        <w:gridCol w:w="2610"/>
      </w:tblGrid>
      <w:tr w:rsidR="005470C1" w:rsidRPr="008D1FB9" w14:paraId="688354AE" w14:textId="77777777" w:rsidTr="005470C1">
        <w:trPr>
          <w:trHeight w:val="20"/>
        </w:trPr>
        <w:tc>
          <w:tcPr>
            <w:tcW w:w="1519" w:type="dxa"/>
            <w:shd w:val="clear" w:color="auto" w:fill="auto"/>
            <w:hideMark/>
          </w:tcPr>
          <w:p w14:paraId="4BAFC7EE" w14:textId="6AE1A85A" w:rsidR="005470C1" w:rsidRPr="008D1FB9" w:rsidRDefault="005470C1" w:rsidP="008D1FB9">
            <w:pPr>
              <w:spacing w:after="0" w:line="240" w:lineRule="auto"/>
              <w:rPr>
                <w:rFonts w:asciiTheme="majorBidi" w:eastAsia="Times New Roman" w:hAnsiTheme="majorBidi" w:cstheme="majorBidi"/>
                <w:b/>
                <w:bCs/>
                <w:color w:val="000000"/>
                <w:sz w:val="20"/>
                <w:szCs w:val="20"/>
              </w:rPr>
            </w:pPr>
            <w:r w:rsidRPr="008D1FB9">
              <w:rPr>
                <w:rFonts w:asciiTheme="majorBidi" w:eastAsia="Times New Roman" w:hAnsiTheme="majorBidi" w:cstheme="majorBidi"/>
                <w:b/>
                <w:bCs/>
                <w:color w:val="000000"/>
                <w:sz w:val="20"/>
                <w:szCs w:val="20"/>
              </w:rPr>
              <w:t>Author, Year</w:t>
            </w:r>
          </w:p>
        </w:tc>
        <w:tc>
          <w:tcPr>
            <w:tcW w:w="1384" w:type="dxa"/>
            <w:shd w:val="clear" w:color="auto" w:fill="auto"/>
            <w:hideMark/>
          </w:tcPr>
          <w:p w14:paraId="3195E362" w14:textId="747B8C90" w:rsidR="005470C1" w:rsidRPr="008D1FB9" w:rsidRDefault="005470C1" w:rsidP="008D1FB9">
            <w:pPr>
              <w:spacing w:after="0" w:line="240" w:lineRule="auto"/>
              <w:rPr>
                <w:rFonts w:asciiTheme="majorBidi" w:eastAsia="Times New Roman" w:hAnsiTheme="majorBidi" w:cstheme="majorBidi"/>
                <w:b/>
                <w:bCs/>
                <w:color w:val="000000"/>
                <w:sz w:val="20"/>
                <w:szCs w:val="20"/>
              </w:rPr>
            </w:pPr>
            <w:r w:rsidRPr="008D1FB9">
              <w:rPr>
                <w:rFonts w:asciiTheme="majorBidi" w:eastAsia="Times New Roman" w:hAnsiTheme="majorBidi" w:cstheme="majorBidi"/>
                <w:b/>
                <w:bCs/>
                <w:color w:val="000000"/>
                <w:sz w:val="20"/>
                <w:szCs w:val="20"/>
              </w:rPr>
              <w:t xml:space="preserve">Country </w:t>
            </w:r>
          </w:p>
        </w:tc>
        <w:tc>
          <w:tcPr>
            <w:tcW w:w="1497" w:type="dxa"/>
            <w:shd w:val="clear" w:color="auto" w:fill="auto"/>
            <w:hideMark/>
          </w:tcPr>
          <w:p w14:paraId="5E40EBFC" w14:textId="77777777" w:rsidR="005470C1" w:rsidRPr="008D1FB9" w:rsidRDefault="005470C1" w:rsidP="008D1FB9">
            <w:pPr>
              <w:spacing w:after="0" w:line="240" w:lineRule="auto"/>
              <w:rPr>
                <w:rFonts w:asciiTheme="majorBidi" w:eastAsia="Times New Roman" w:hAnsiTheme="majorBidi" w:cstheme="majorBidi"/>
                <w:b/>
                <w:bCs/>
                <w:color w:val="000000"/>
                <w:sz w:val="20"/>
                <w:szCs w:val="20"/>
              </w:rPr>
            </w:pPr>
            <w:r w:rsidRPr="008D1FB9">
              <w:rPr>
                <w:rFonts w:asciiTheme="majorBidi" w:eastAsia="Times New Roman" w:hAnsiTheme="majorBidi" w:cstheme="majorBidi"/>
                <w:b/>
                <w:bCs/>
                <w:color w:val="000000"/>
                <w:sz w:val="20"/>
                <w:szCs w:val="20"/>
              </w:rPr>
              <w:t>Study design</w:t>
            </w:r>
          </w:p>
        </w:tc>
        <w:tc>
          <w:tcPr>
            <w:tcW w:w="1551" w:type="dxa"/>
          </w:tcPr>
          <w:p w14:paraId="7BAA0406" w14:textId="0E411586" w:rsidR="005470C1" w:rsidRPr="008D1FB9" w:rsidRDefault="005470C1" w:rsidP="008D1FB9">
            <w:pPr>
              <w:spacing w:after="0" w:line="240" w:lineRule="auto"/>
              <w:rPr>
                <w:rFonts w:asciiTheme="majorBidi" w:eastAsia="Times New Roman" w:hAnsiTheme="majorBidi" w:cstheme="majorBidi"/>
                <w:b/>
                <w:bCs/>
                <w:color w:val="000000"/>
                <w:sz w:val="20"/>
                <w:szCs w:val="20"/>
              </w:rPr>
            </w:pPr>
            <w:r w:rsidRPr="008D1FB9">
              <w:rPr>
                <w:rFonts w:asciiTheme="majorBidi" w:eastAsia="Times New Roman" w:hAnsiTheme="majorBidi" w:cstheme="majorBidi"/>
                <w:b/>
                <w:bCs/>
                <w:color w:val="000000"/>
                <w:sz w:val="20"/>
                <w:szCs w:val="20"/>
              </w:rPr>
              <w:t>KM tool/Program</w:t>
            </w:r>
          </w:p>
        </w:tc>
        <w:tc>
          <w:tcPr>
            <w:tcW w:w="2062" w:type="dxa"/>
            <w:shd w:val="clear" w:color="auto" w:fill="auto"/>
            <w:hideMark/>
          </w:tcPr>
          <w:p w14:paraId="1A8BFE74" w14:textId="7642F264" w:rsidR="005470C1" w:rsidRPr="008D1FB9" w:rsidRDefault="005470C1" w:rsidP="008D1FB9">
            <w:pPr>
              <w:spacing w:after="0" w:line="240" w:lineRule="auto"/>
              <w:rPr>
                <w:rFonts w:asciiTheme="majorBidi" w:eastAsia="Times New Roman" w:hAnsiTheme="majorBidi" w:cstheme="majorBidi"/>
                <w:b/>
                <w:bCs/>
                <w:color w:val="000000"/>
                <w:sz w:val="20"/>
                <w:szCs w:val="20"/>
              </w:rPr>
            </w:pPr>
            <w:r w:rsidRPr="008D1FB9">
              <w:rPr>
                <w:rFonts w:asciiTheme="majorBidi" w:eastAsia="Times New Roman" w:hAnsiTheme="majorBidi" w:cstheme="majorBidi"/>
                <w:b/>
                <w:bCs/>
                <w:color w:val="000000"/>
                <w:sz w:val="20"/>
                <w:szCs w:val="20"/>
              </w:rPr>
              <w:t xml:space="preserve"> Policy Outcome(s)</w:t>
            </w:r>
          </w:p>
        </w:tc>
        <w:tc>
          <w:tcPr>
            <w:tcW w:w="3137" w:type="dxa"/>
          </w:tcPr>
          <w:p w14:paraId="4E06E7C7" w14:textId="77777777" w:rsidR="005470C1" w:rsidRPr="008D1FB9" w:rsidRDefault="005470C1" w:rsidP="008D1FB9">
            <w:pPr>
              <w:spacing w:after="0" w:line="240" w:lineRule="auto"/>
              <w:rPr>
                <w:rFonts w:asciiTheme="majorBidi" w:eastAsia="Times New Roman" w:hAnsiTheme="majorBidi" w:cstheme="majorBidi"/>
                <w:b/>
                <w:bCs/>
                <w:color w:val="000000"/>
                <w:sz w:val="20"/>
                <w:szCs w:val="20"/>
              </w:rPr>
            </w:pPr>
            <w:r w:rsidRPr="008D1FB9">
              <w:rPr>
                <w:rFonts w:asciiTheme="majorBidi" w:eastAsia="Times New Roman" w:hAnsiTheme="majorBidi" w:cstheme="majorBidi"/>
                <w:b/>
                <w:bCs/>
                <w:color w:val="000000"/>
                <w:sz w:val="20"/>
                <w:szCs w:val="20"/>
              </w:rPr>
              <w:t>Main Results</w:t>
            </w:r>
          </w:p>
          <w:p w14:paraId="07AD7638" w14:textId="79F69601" w:rsidR="005470C1" w:rsidRPr="008D1FB9" w:rsidRDefault="005470C1" w:rsidP="008D1FB9">
            <w:pPr>
              <w:spacing w:after="0" w:line="240" w:lineRule="auto"/>
              <w:rPr>
                <w:rFonts w:asciiTheme="majorBidi" w:eastAsia="Times New Roman" w:hAnsiTheme="majorBidi" w:cstheme="majorBidi"/>
                <w:b/>
                <w:bCs/>
                <w:color w:val="000000"/>
                <w:sz w:val="20"/>
                <w:szCs w:val="20"/>
              </w:rPr>
            </w:pPr>
            <w:r w:rsidRPr="008D1FB9">
              <w:rPr>
                <w:rFonts w:asciiTheme="majorBidi" w:eastAsia="Times New Roman" w:hAnsiTheme="majorBidi" w:cstheme="majorBidi"/>
                <w:b/>
                <w:bCs/>
                <w:color w:val="000000"/>
                <w:sz w:val="20"/>
                <w:szCs w:val="20"/>
              </w:rPr>
              <w:t>Is the intervention effective overall? (yes/no/inconclusive)</w:t>
            </w:r>
          </w:p>
        </w:tc>
        <w:tc>
          <w:tcPr>
            <w:tcW w:w="2610" w:type="dxa"/>
            <w:shd w:val="clear" w:color="auto" w:fill="auto"/>
            <w:hideMark/>
          </w:tcPr>
          <w:p w14:paraId="249D0029" w14:textId="64116F4C" w:rsidR="005470C1" w:rsidRPr="008D1FB9" w:rsidRDefault="005470C1" w:rsidP="008D1FB9">
            <w:pPr>
              <w:spacing w:after="0" w:line="240" w:lineRule="auto"/>
              <w:rPr>
                <w:rFonts w:asciiTheme="majorBidi" w:eastAsia="Times New Roman" w:hAnsiTheme="majorBidi" w:cstheme="majorBidi"/>
                <w:b/>
                <w:bCs/>
                <w:color w:val="000000"/>
                <w:sz w:val="20"/>
                <w:szCs w:val="20"/>
              </w:rPr>
            </w:pPr>
            <w:r w:rsidRPr="008D1FB9">
              <w:rPr>
                <w:rFonts w:asciiTheme="majorBidi" w:eastAsia="Times New Roman" w:hAnsiTheme="majorBidi" w:cstheme="majorBidi"/>
                <w:b/>
                <w:bCs/>
                <w:color w:val="000000"/>
                <w:sz w:val="20"/>
                <w:szCs w:val="20"/>
              </w:rPr>
              <w:t>Implementation considerations</w:t>
            </w:r>
          </w:p>
        </w:tc>
      </w:tr>
      <w:tr w:rsidR="005470C1" w:rsidRPr="008D1FB9" w14:paraId="4DEA3459" w14:textId="77777777" w:rsidTr="005470C1">
        <w:trPr>
          <w:trHeight w:val="20"/>
        </w:trPr>
        <w:tc>
          <w:tcPr>
            <w:tcW w:w="1519" w:type="dxa"/>
            <w:shd w:val="clear" w:color="auto" w:fill="auto"/>
          </w:tcPr>
          <w:p w14:paraId="055B97FC" w14:textId="48DBBEFB" w:rsidR="005470C1" w:rsidRPr="008D1FB9" w:rsidRDefault="005470C1" w:rsidP="008D1FB9">
            <w:pPr>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Costa 2019</w:t>
            </w:r>
          </w:p>
        </w:tc>
        <w:tc>
          <w:tcPr>
            <w:tcW w:w="1384" w:type="dxa"/>
            <w:shd w:val="clear" w:color="auto" w:fill="auto"/>
          </w:tcPr>
          <w:p w14:paraId="25E26282" w14:textId="7A9A26D7"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 xml:space="preserve">Regional </w:t>
            </w:r>
          </w:p>
        </w:tc>
        <w:tc>
          <w:tcPr>
            <w:tcW w:w="1497" w:type="dxa"/>
            <w:shd w:val="clear" w:color="auto" w:fill="auto"/>
          </w:tcPr>
          <w:p w14:paraId="78E9E566" w14:textId="628B8C4E"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Retrospective analysis</w:t>
            </w:r>
          </w:p>
        </w:tc>
        <w:tc>
          <w:tcPr>
            <w:tcW w:w="1551" w:type="dxa"/>
          </w:tcPr>
          <w:p w14:paraId="613A5CCB" w14:textId="77777777" w:rsidR="005470C1" w:rsidRPr="008D1FB9" w:rsidRDefault="005470C1" w:rsidP="008D1FB9">
            <w:pPr>
              <w:spacing w:after="0" w:line="240" w:lineRule="auto"/>
              <w:rPr>
                <w:rFonts w:asciiTheme="majorBidi" w:eastAsia="Times New Roman" w:hAnsiTheme="majorBidi" w:cstheme="majorBidi"/>
                <w:sz w:val="20"/>
                <w:szCs w:val="20"/>
              </w:rPr>
            </w:pPr>
            <w:bookmarkStart w:id="0" w:name="_Hlk94439393"/>
            <w:r w:rsidRPr="008D1FB9">
              <w:rPr>
                <w:rFonts w:asciiTheme="majorBidi" w:eastAsia="Times New Roman" w:hAnsiTheme="majorBidi" w:cstheme="majorBidi"/>
                <w:sz w:val="20"/>
                <w:szCs w:val="20"/>
              </w:rPr>
              <w:t>EURO-HEALTHY, a Population Health Index (PHI</w:t>
            </w:r>
            <w:bookmarkEnd w:id="0"/>
            <w:r w:rsidRPr="008D1FB9">
              <w:rPr>
                <w:rFonts w:asciiTheme="majorBidi" w:eastAsia="Times New Roman" w:hAnsiTheme="majorBidi" w:cstheme="majorBidi"/>
                <w:sz w:val="20"/>
                <w:szCs w:val="20"/>
              </w:rPr>
              <w:t>), (39 indicators)</w:t>
            </w:r>
          </w:p>
          <w:p w14:paraId="789804FC" w14:textId="77777777" w:rsidR="005470C1" w:rsidRPr="008D1FB9" w:rsidRDefault="005470C1" w:rsidP="008D1FB9">
            <w:pPr>
              <w:spacing w:after="0" w:line="240" w:lineRule="auto"/>
              <w:rPr>
                <w:rFonts w:asciiTheme="majorBidi" w:eastAsia="Times New Roman" w:hAnsiTheme="majorBidi" w:cstheme="majorBidi"/>
                <w:sz w:val="20"/>
                <w:szCs w:val="20"/>
              </w:rPr>
            </w:pPr>
          </w:p>
          <w:p w14:paraId="40126188" w14:textId="7B044096"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Knowledge storage</w:t>
            </w:r>
          </w:p>
        </w:tc>
        <w:tc>
          <w:tcPr>
            <w:tcW w:w="2062" w:type="dxa"/>
            <w:shd w:val="clear" w:color="auto" w:fill="auto"/>
          </w:tcPr>
          <w:p w14:paraId="1C347267" w14:textId="6B49B40C"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Agenda-setting</w:t>
            </w:r>
          </w:p>
        </w:tc>
        <w:tc>
          <w:tcPr>
            <w:tcW w:w="3137" w:type="dxa"/>
          </w:tcPr>
          <w:p w14:paraId="2315A4A6" w14:textId="4E7BE2E9" w:rsidR="005470C1" w:rsidRPr="008D1FB9" w:rsidRDefault="00B413E3" w:rsidP="008D1FB9">
            <w:pPr>
              <w:autoSpaceDE w:val="0"/>
              <w:autoSpaceDN w:val="0"/>
              <w:adjustRightInd w:val="0"/>
              <w:spacing w:after="0" w:line="240" w:lineRule="auto"/>
              <w:rPr>
                <w:rFonts w:asciiTheme="majorBidi" w:hAnsiTheme="majorBidi" w:cstheme="majorBidi"/>
                <w:sz w:val="20"/>
                <w:szCs w:val="20"/>
                <w:shd w:val="clear" w:color="auto" w:fill="FFFFFF"/>
              </w:rPr>
            </w:pPr>
            <w:r>
              <w:rPr>
                <w:rFonts w:asciiTheme="majorBidi" w:hAnsiTheme="majorBidi" w:cstheme="majorBidi"/>
                <w:sz w:val="20"/>
                <w:szCs w:val="20"/>
                <w:shd w:val="clear" w:color="auto" w:fill="FFFFFF"/>
              </w:rPr>
              <w:t>I</w:t>
            </w:r>
            <w:r w:rsidR="005470C1" w:rsidRPr="008D1FB9">
              <w:rPr>
                <w:rFonts w:asciiTheme="majorBidi" w:hAnsiTheme="majorBidi" w:cstheme="majorBidi"/>
                <w:sz w:val="20"/>
                <w:szCs w:val="20"/>
                <w:shd w:val="clear" w:color="auto" w:fill="FFFFFF"/>
              </w:rPr>
              <w:t xml:space="preserve">nform regional policies by providing evidence on relevant dimensions where policy action has high potential for reducing inequalities in health between regions. </w:t>
            </w:r>
          </w:p>
        </w:tc>
        <w:tc>
          <w:tcPr>
            <w:tcW w:w="2610" w:type="dxa"/>
            <w:shd w:val="clear" w:color="auto" w:fill="auto"/>
          </w:tcPr>
          <w:p w14:paraId="051ADC92" w14:textId="77777777" w:rsidR="005470C1" w:rsidRPr="008D1FB9" w:rsidRDefault="005470C1" w:rsidP="008D1FB9">
            <w:pPr>
              <w:autoSpaceDE w:val="0"/>
              <w:autoSpaceDN w:val="0"/>
              <w:adjustRightInd w:val="0"/>
              <w:spacing w:after="0" w:line="240" w:lineRule="auto"/>
              <w:rPr>
                <w:rFonts w:asciiTheme="majorBidi" w:eastAsia="Times New Roman" w:hAnsiTheme="majorBidi" w:cstheme="majorBidi"/>
                <w:b/>
                <w:bCs/>
                <w:sz w:val="20"/>
                <w:szCs w:val="20"/>
              </w:rPr>
            </w:pPr>
            <w:r w:rsidRPr="008D1FB9">
              <w:rPr>
                <w:rFonts w:asciiTheme="majorBidi" w:eastAsia="Times New Roman" w:hAnsiTheme="majorBidi" w:cstheme="majorBidi"/>
                <w:b/>
                <w:bCs/>
                <w:sz w:val="20"/>
                <w:szCs w:val="20"/>
              </w:rPr>
              <w:t>Availability of data</w:t>
            </w:r>
          </w:p>
          <w:p w14:paraId="105A35DF" w14:textId="28A62A6E" w:rsidR="005470C1" w:rsidRPr="008D1FB9" w:rsidRDefault="005470C1" w:rsidP="008D1FB9">
            <w:pPr>
              <w:autoSpaceDE w:val="0"/>
              <w:autoSpaceDN w:val="0"/>
              <w:adjustRightInd w:val="0"/>
              <w:spacing w:after="0" w:line="240" w:lineRule="auto"/>
              <w:rPr>
                <w:rFonts w:asciiTheme="majorBidi" w:eastAsia="Times New Roman" w:hAnsiTheme="majorBidi" w:cstheme="majorBidi"/>
                <w:i/>
                <w:iCs/>
                <w:sz w:val="20"/>
                <w:szCs w:val="20"/>
              </w:rPr>
            </w:pPr>
            <w:r w:rsidRPr="008D1FB9">
              <w:rPr>
                <w:rFonts w:asciiTheme="majorBidi" w:hAnsiTheme="majorBidi" w:cstheme="majorBidi"/>
                <w:i/>
                <w:iCs/>
                <w:sz w:val="20"/>
                <w:szCs w:val="20"/>
              </w:rPr>
              <w:t>“Although the missing data on the set of the PHI indicators was significant, the mean availability score for the EURO-HEALTHY PHI indicators is 0.8 and the regional availability score is 0.7, which reveal the strength of the indicators as well as the data completeness protocol for missing data”.</w:t>
            </w:r>
          </w:p>
        </w:tc>
      </w:tr>
      <w:tr w:rsidR="005470C1" w:rsidRPr="008D1FB9" w14:paraId="001C538D" w14:textId="77777777" w:rsidTr="005470C1">
        <w:trPr>
          <w:trHeight w:val="20"/>
        </w:trPr>
        <w:tc>
          <w:tcPr>
            <w:tcW w:w="1519" w:type="dxa"/>
            <w:shd w:val="clear" w:color="auto" w:fill="auto"/>
          </w:tcPr>
          <w:p w14:paraId="520427F0" w14:textId="691D5BDE" w:rsidR="005470C1" w:rsidRPr="008D1FB9" w:rsidRDefault="005470C1" w:rsidP="008D1FB9">
            <w:pPr>
              <w:rPr>
                <w:rFonts w:asciiTheme="majorBidi" w:eastAsia="Times New Roman" w:hAnsiTheme="majorBidi" w:cstheme="majorBidi"/>
                <w:sz w:val="20"/>
                <w:szCs w:val="20"/>
              </w:rPr>
            </w:pPr>
            <w:r w:rsidRPr="008D1FB9">
              <w:rPr>
                <w:rFonts w:asciiTheme="majorBidi" w:hAnsiTheme="majorBidi" w:cstheme="majorBidi"/>
                <w:color w:val="000000"/>
                <w:sz w:val="20"/>
                <w:szCs w:val="20"/>
              </w:rPr>
              <w:t>Bogaert 2018</w:t>
            </w:r>
          </w:p>
        </w:tc>
        <w:tc>
          <w:tcPr>
            <w:tcW w:w="1384" w:type="dxa"/>
            <w:shd w:val="clear" w:color="auto" w:fill="auto"/>
          </w:tcPr>
          <w:p w14:paraId="047D0DF0" w14:textId="50F744E6"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Regional</w:t>
            </w:r>
          </w:p>
        </w:tc>
        <w:tc>
          <w:tcPr>
            <w:tcW w:w="1497" w:type="dxa"/>
            <w:shd w:val="clear" w:color="auto" w:fill="auto"/>
          </w:tcPr>
          <w:p w14:paraId="4C8C6B4E" w14:textId="3E78A9EC"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Survey</w:t>
            </w:r>
          </w:p>
        </w:tc>
        <w:tc>
          <w:tcPr>
            <w:tcW w:w="1551" w:type="dxa"/>
          </w:tcPr>
          <w:p w14:paraId="168983B4" w14:textId="0678C1D7" w:rsidR="005470C1" w:rsidRPr="008D1FB9" w:rsidRDefault="005470C1" w:rsidP="008D1FB9">
            <w:pPr>
              <w:spacing w:after="0" w:line="240" w:lineRule="auto"/>
              <w:rPr>
                <w:rFonts w:asciiTheme="majorBidi" w:hAnsiTheme="majorBidi" w:cstheme="majorBidi"/>
                <w:sz w:val="20"/>
                <w:szCs w:val="20"/>
              </w:rPr>
            </w:pPr>
            <w:bookmarkStart w:id="1" w:name="_Hlk94439405"/>
            <w:r w:rsidRPr="008D1FB9">
              <w:rPr>
                <w:rFonts w:asciiTheme="majorBidi" w:hAnsiTheme="majorBidi" w:cstheme="majorBidi"/>
                <w:sz w:val="20"/>
                <w:szCs w:val="20"/>
              </w:rPr>
              <w:t>Healthy Life Years (HLY) - a disability-free life expectancy</w:t>
            </w:r>
          </w:p>
          <w:p w14:paraId="4FF3F726" w14:textId="77777777" w:rsidR="005470C1" w:rsidRPr="008D1FB9" w:rsidRDefault="005470C1" w:rsidP="008D1FB9">
            <w:pPr>
              <w:spacing w:after="0" w:line="240" w:lineRule="auto"/>
              <w:rPr>
                <w:rFonts w:asciiTheme="majorBidi" w:eastAsia="Times New Roman" w:hAnsiTheme="majorBidi" w:cstheme="majorBidi"/>
                <w:sz w:val="20"/>
                <w:szCs w:val="20"/>
              </w:rPr>
            </w:pPr>
          </w:p>
          <w:p w14:paraId="41FD753D" w14:textId="57F0FDD5"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hAnsiTheme="majorBidi" w:cstheme="majorBidi"/>
                <w:sz w:val="20"/>
                <w:szCs w:val="20"/>
              </w:rPr>
              <w:t>the Global Activity Limitation Indicator (GALI)</w:t>
            </w:r>
            <w:bookmarkEnd w:id="1"/>
          </w:p>
        </w:tc>
        <w:tc>
          <w:tcPr>
            <w:tcW w:w="2062" w:type="dxa"/>
            <w:shd w:val="clear" w:color="auto" w:fill="auto"/>
          </w:tcPr>
          <w:p w14:paraId="704DF29A" w14:textId="118600D1"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 xml:space="preserve">Health strategies and plans </w:t>
            </w:r>
          </w:p>
        </w:tc>
        <w:tc>
          <w:tcPr>
            <w:tcW w:w="3137" w:type="dxa"/>
          </w:tcPr>
          <w:p w14:paraId="1C7AB3EC" w14:textId="2854FAB6"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bookmarkStart w:id="2" w:name="_Hlk94440078"/>
            <w:r w:rsidRPr="008D1FB9">
              <w:rPr>
                <w:rFonts w:asciiTheme="majorBidi" w:hAnsiTheme="majorBidi" w:cstheme="majorBidi"/>
                <w:sz w:val="20"/>
                <w:szCs w:val="20"/>
              </w:rPr>
              <w:t>HLY are often used to set targets and develop strategies in health such as national health plans and design policies and programs.</w:t>
            </w:r>
          </w:p>
          <w:p w14:paraId="6130F1BA" w14:textId="77777777"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r w:rsidRPr="008D1FB9">
              <w:rPr>
                <w:rFonts w:asciiTheme="majorBidi" w:hAnsiTheme="majorBidi" w:cstheme="majorBidi"/>
                <w:sz w:val="20"/>
                <w:szCs w:val="20"/>
              </w:rPr>
              <w:t>Analysis of the HLY have:</w:t>
            </w:r>
          </w:p>
          <w:p w14:paraId="49AE82A7" w14:textId="77777777"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p>
          <w:p w14:paraId="57E794AC" w14:textId="3E2C3A63" w:rsidR="005470C1" w:rsidRPr="008D1FB9" w:rsidRDefault="005470C1" w:rsidP="008D1FB9">
            <w:pPr>
              <w:pStyle w:val="ListParagraph"/>
              <w:numPr>
                <w:ilvl w:val="0"/>
                <w:numId w:val="1"/>
              </w:numPr>
              <w:autoSpaceDE w:val="0"/>
              <w:autoSpaceDN w:val="0"/>
              <w:adjustRightInd w:val="0"/>
              <w:spacing w:after="0" w:line="240" w:lineRule="auto"/>
              <w:rPr>
                <w:rFonts w:asciiTheme="majorBidi" w:hAnsiTheme="majorBidi" w:cstheme="majorBidi"/>
                <w:sz w:val="20"/>
                <w:szCs w:val="20"/>
              </w:rPr>
            </w:pPr>
            <w:r w:rsidRPr="008D1FB9">
              <w:rPr>
                <w:rFonts w:asciiTheme="majorBidi" w:hAnsiTheme="majorBidi" w:cstheme="majorBidi"/>
                <w:sz w:val="20"/>
                <w:szCs w:val="20"/>
              </w:rPr>
              <w:t>led to policy changes in e.g. Estonia.</w:t>
            </w:r>
          </w:p>
          <w:p w14:paraId="4E859460" w14:textId="77777777"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p>
          <w:p w14:paraId="1A8CA700" w14:textId="3E3404FE" w:rsidR="005470C1" w:rsidRPr="008D1FB9" w:rsidRDefault="005470C1" w:rsidP="008D1FB9">
            <w:pPr>
              <w:pStyle w:val="ListParagraph"/>
              <w:numPr>
                <w:ilvl w:val="0"/>
                <w:numId w:val="1"/>
              </w:numPr>
              <w:autoSpaceDE w:val="0"/>
              <w:autoSpaceDN w:val="0"/>
              <w:adjustRightInd w:val="0"/>
              <w:spacing w:after="0" w:line="240" w:lineRule="auto"/>
              <w:rPr>
                <w:rFonts w:asciiTheme="majorBidi" w:hAnsiTheme="majorBidi" w:cstheme="majorBidi"/>
                <w:sz w:val="20"/>
                <w:szCs w:val="20"/>
              </w:rPr>
            </w:pPr>
            <w:r w:rsidRPr="008D1FB9">
              <w:rPr>
                <w:rFonts w:asciiTheme="majorBidi" w:hAnsiTheme="majorBidi" w:cstheme="majorBidi"/>
                <w:sz w:val="20"/>
                <w:szCs w:val="20"/>
              </w:rPr>
              <w:t>discussed in high level political meetings in countries such as France and Italy, and at the European Commission, in the context of the European Pillar of Social Rights where HLY are a headline indicator.</w:t>
            </w:r>
          </w:p>
          <w:p w14:paraId="30BFD1B3" w14:textId="6CB06262" w:rsidR="005470C1" w:rsidRPr="008D1FB9" w:rsidRDefault="005470C1" w:rsidP="008D1FB9">
            <w:pPr>
              <w:pStyle w:val="ListParagraph"/>
              <w:numPr>
                <w:ilvl w:val="0"/>
                <w:numId w:val="1"/>
              </w:numPr>
              <w:autoSpaceDE w:val="0"/>
              <w:autoSpaceDN w:val="0"/>
              <w:adjustRightInd w:val="0"/>
              <w:spacing w:after="0" w:line="240" w:lineRule="auto"/>
              <w:rPr>
                <w:rFonts w:asciiTheme="majorBidi" w:hAnsiTheme="majorBidi" w:cstheme="majorBidi"/>
                <w:sz w:val="20"/>
                <w:szCs w:val="20"/>
                <w:shd w:val="clear" w:color="auto" w:fill="FFFFFF"/>
              </w:rPr>
            </w:pPr>
            <w:r w:rsidRPr="008D1FB9">
              <w:rPr>
                <w:rFonts w:asciiTheme="majorBidi" w:hAnsiTheme="majorBidi" w:cstheme="majorBidi"/>
                <w:sz w:val="20"/>
                <w:szCs w:val="20"/>
              </w:rPr>
              <w:t>In Lithuania, HLY have even taken over as the main evaluation criteria in the program of the government.</w:t>
            </w:r>
          </w:p>
          <w:p w14:paraId="7960E21F" w14:textId="45BB28D6" w:rsidR="005470C1" w:rsidRPr="008D1FB9" w:rsidRDefault="005470C1" w:rsidP="008D1FB9">
            <w:pPr>
              <w:pStyle w:val="ListParagraph"/>
              <w:numPr>
                <w:ilvl w:val="0"/>
                <w:numId w:val="1"/>
              </w:numPr>
              <w:autoSpaceDE w:val="0"/>
              <w:autoSpaceDN w:val="0"/>
              <w:adjustRightInd w:val="0"/>
              <w:spacing w:after="0" w:line="240" w:lineRule="auto"/>
              <w:rPr>
                <w:rFonts w:asciiTheme="majorBidi" w:hAnsiTheme="majorBidi" w:cstheme="majorBidi"/>
                <w:sz w:val="20"/>
                <w:szCs w:val="20"/>
                <w:shd w:val="clear" w:color="auto" w:fill="FFFFFF"/>
              </w:rPr>
            </w:pPr>
            <w:r w:rsidRPr="008D1FB9">
              <w:rPr>
                <w:rFonts w:asciiTheme="majorBidi" w:hAnsiTheme="majorBidi" w:cstheme="majorBidi"/>
                <w:sz w:val="20"/>
                <w:szCs w:val="20"/>
              </w:rPr>
              <w:lastRenderedPageBreak/>
              <w:t>the GALI and HLY have been used for policy targets outside the health sector such as in the area of pension and retirement age or in the context of sustainable development.</w:t>
            </w:r>
            <w:bookmarkEnd w:id="2"/>
          </w:p>
        </w:tc>
        <w:tc>
          <w:tcPr>
            <w:tcW w:w="2610" w:type="dxa"/>
            <w:shd w:val="clear" w:color="auto" w:fill="auto"/>
          </w:tcPr>
          <w:p w14:paraId="7C2B7EA7" w14:textId="32C3D503" w:rsidR="005470C1" w:rsidRPr="008D1FB9" w:rsidRDefault="00DB48B5" w:rsidP="008D1FB9">
            <w:pPr>
              <w:autoSpaceDE w:val="0"/>
              <w:autoSpaceDN w:val="0"/>
              <w:adjustRightInd w:val="0"/>
              <w:spacing w:after="0" w:line="240" w:lineRule="auto"/>
              <w:rPr>
                <w:rFonts w:asciiTheme="majorBidi" w:hAnsiTheme="majorBidi" w:cstheme="majorBidi"/>
                <w:sz w:val="20"/>
                <w:szCs w:val="20"/>
              </w:rPr>
            </w:pPr>
            <w:r>
              <w:rPr>
                <w:rFonts w:asciiTheme="majorBidi" w:hAnsiTheme="majorBidi" w:cstheme="majorBidi"/>
                <w:b/>
                <w:bCs/>
                <w:sz w:val="20"/>
                <w:szCs w:val="20"/>
              </w:rPr>
              <w:lastRenderedPageBreak/>
              <w:t>I</w:t>
            </w:r>
            <w:r w:rsidR="005470C1" w:rsidRPr="00DB48B5">
              <w:rPr>
                <w:rFonts w:asciiTheme="majorBidi" w:hAnsiTheme="majorBidi" w:cstheme="majorBidi"/>
                <w:b/>
                <w:bCs/>
                <w:sz w:val="20"/>
                <w:szCs w:val="20"/>
              </w:rPr>
              <w:t>ncrease the capacity</w:t>
            </w:r>
            <w:r w:rsidR="005470C1" w:rsidRPr="008D1FB9">
              <w:rPr>
                <w:rFonts w:asciiTheme="majorBidi" w:hAnsiTheme="majorBidi" w:cstheme="majorBidi"/>
                <w:sz w:val="20"/>
                <w:szCs w:val="20"/>
              </w:rPr>
              <w:t xml:space="preserve"> to analyse HLY within the EU through training workshops and guidelines for estimation and interpretation of HLY</w:t>
            </w:r>
            <w:r>
              <w:rPr>
                <w:rFonts w:asciiTheme="majorBidi" w:hAnsiTheme="majorBidi" w:cstheme="majorBidi"/>
                <w:sz w:val="20"/>
                <w:szCs w:val="20"/>
              </w:rPr>
              <w:t>.</w:t>
            </w:r>
          </w:p>
          <w:p w14:paraId="380E8458" w14:textId="77777777" w:rsidR="005470C1" w:rsidRPr="008D1FB9" w:rsidRDefault="005470C1" w:rsidP="008D1FB9">
            <w:pPr>
              <w:autoSpaceDE w:val="0"/>
              <w:autoSpaceDN w:val="0"/>
              <w:adjustRightInd w:val="0"/>
              <w:spacing w:after="0" w:line="240" w:lineRule="auto"/>
              <w:rPr>
                <w:rFonts w:asciiTheme="majorBidi" w:eastAsia="Times New Roman" w:hAnsiTheme="majorBidi" w:cstheme="majorBidi"/>
                <w:sz w:val="20"/>
                <w:szCs w:val="20"/>
              </w:rPr>
            </w:pPr>
          </w:p>
          <w:p w14:paraId="14CFB9EC" w14:textId="43BAB059" w:rsidR="005470C1" w:rsidRPr="008D1FB9" w:rsidRDefault="005470C1" w:rsidP="008D1FB9">
            <w:pPr>
              <w:autoSpaceDE w:val="0"/>
              <w:autoSpaceDN w:val="0"/>
              <w:adjustRightInd w:val="0"/>
              <w:spacing w:after="0" w:line="240" w:lineRule="auto"/>
              <w:rPr>
                <w:rFonts w:asciiTheme="majorBidi" w:eastAsia="Times New Roman" w:hAnsiTheme="majorBidi" w:cstheme="majorBidi"/>
                <w:sz w:val="20"/>
                <w:szCs w:val="20"/>
              </w:rPr>
            </w:pPr>
            <w:r w:rsidRPr="008D1FB9">
              <w:rPr>
                <w:rFonts w:asciiTheme="majorBidi" w:hAnsiTheme="majorBidi" w:cstheme="majorBidi"/>
                <w:sz w:val="20"/>
                <w:szCs w:val="20"/>
              </w:rPr>
              <w:t>GALI question is institutionalized in most important health</w:t>
            </w:r>
            <w:r w:rsidR="00DB48B5">
              <w:rPr>
                <w:rFonts w:asciiTheme="majorBidi" w:hAnsiTheme="majorBidi" w:cstheme="majorBidi"/>
                <w:sz w:val="20"/>
                <w:szCs w:val="20"/>
              </w:rPr>
              <w:t xml:space="preserve"> </w:t>
            </w:r>
            <w:r w:rsidRPr="008D1FB9">
              <w:rPr>
                <w:rFonts w:asciiTheme="majorBidi" w:hAnsiTheme="majorBidi" w:cstheme="majorBidi"/>
                <w:sz w:val="20"/>
                <w:szCs w:val="20"/>
              </w:rPr>
              <w:t>questionnaires through the MEHM such as the EU-SILC, the SHARE and the EHIS</w:t>
            </w:r>
          </w:p>
        </w:tc>
      </w:tr>
      <w:tr w:rsidR="005470C1" w:rsidRPr="008D1FB9" w14:paraId="7B19D477" w14:textId="77777777" w:rsidTr="005470C1">
        <w:trPr>
          <w:trHeight w:val="20"/>
        </w:trPr>
        <w:tc>
          <w:tcPr>
            <w:tcW w:w="1519" w:type="dxa"/>
            <w:shd w:val="clear" w:color="auto" w:fill="auto"/>
          </w:tcPr>
          <w:p w14:paraId="76D2F752" w14:textId="67876E0B" w:rsidR="005470C1" w:rsidRPr="008D1FB9" w:rsidRDefault="005470C1" w:rsidP="008D1FB9">
            <w:pPr>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Tudisca 2018</w:t>
            </w:r>
          </w:p>
        </w:tc>
        <w:tc>
          <w:tcPr>
            <w:tcW w:w="1384" w:type="dxa"/>
            <w:shd w:val="clear" w:color="auto" w:fill="auto"/>
          </w:tcPr>
          <w:p w14:paraId="61065568" w14:textId="5F06C062"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six European countries (Denmark, Finland, Italy, the</w:t>
            </w:r>
          </w:p>
          <w:p w14:paraId="1666F8D2" w14:textId="4B075710"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Netherlands, Romania, the United Kingdom)</w:t>
            </w:r>
          </w:p>
        </w:tc>
        <w:tc>
          <w:tcPr>
            <w:tcW w:w="1497" w:type="dxa"/>
            <w:shd w:val="clear" w:color="auto" w:fill="auto"/>
          </w:tcPr>
          <w:p w14:paraId="07643B14" w14:textId="62D77660" w:rsidR="005470C1" w:rsidRPr="008D1FB9" w:rsidRDefault="005416F0" w:rsidP="008D1FB9">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Delphi technique </w:t>
            </w:r>
          </w:p>
        </w:tc>
        <w:tc>
          <w:tcPr>
            <w:tcW w:w="1551" w:type="dxa"/>
          </w:tcPr>
          <w:p w14:paraId="2B3B16E1" w14:textId="3A4A03DD" w:rsidR="005470C1" w:rsidRPr="008D1FB9" w:rsidRDefault="005470C1" w:rsidP="008D1FB9">
            <w:pPr>
              <w:spacing w:after="0" w:line="240" w:lineRule="auto"/>
              <w:rPr>
                <w:rFonts w:asciiTheme="majorBidi" w:eastAsia="Times New Roman" w:hAnsiTheme="majorBidi" w:cstheme="majorBidi"/>
                <w:sz w:val="20"/>
                <w:szCs w:val="20"/>
              </w:rPr>
            </w:pPr>
            <w:bookmarkStart w:id="3" w:name="_Hlk94439581"/>
            <w:r w:rsidRPr="008D1FB9">
              <w:rPr>
                <w:rFonts w:asciiTheme="majorBidi" w:hAnsiTheme="majorBidi" w:cstheme="majorBidi"/>
                <w:sz w:val="20"/>
                <w:szCs w:val="20"/>
              </w:rPr>
              <w:t>measurable indicators for evidence-informed policy-making</w:t>
            </w:r>
            <w:r w:rsidRPr="008D1FB9">
              <w:rPr>
                <w:rFonts w:asciiTheme="majorBidi" w:eastAsia="Times New Roman" w:hAnsiTheme="majorBidi" w:cstheme="majorBidi"/>
                <w:sz w:val="20"/>
                <w:szCs w:val="20"/>
              </w:rPr>
              <w:t xml:space="preserve"> developed by </w:t>
            </w:r>
            <w:r w:rsidRPr="008D1FB9">
              <w:rPr>
                <w:rFonts w:asciiTheme="majorBidi" w:hAnsiTheme="majorBidi" w:cstheme="majorBidi"/>
                <w:sz w:val="20"/>
                <w:szCs w:val="20"/>
              </w:rPr>
              <w:t>‘Research into Policy to enhance Physical Activity’ (REPOPA) project</w:t>
            </w:r>
            <w:bookmarkEnd w:id="3"/>
          </w:p>
        </w:tc>
        <w:tc>
          <w:tcPr>
            <w:tcW w:w="2062" w:type="dxa"/>
            <w:shd w:val="clear" w:color="auto" w:fill="auto"/>
          </w:tcPr>
          <w:p w14:paraId="5C0B56E8" w14:textId="3EE73C92"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 xml:space="preserve">Evidence-informed policymaking </w:t>
            </w:r>
          </w:p>
        </w:tc>
        <w:tc>
          <w:tcPr>
            <w:tcW w:w="3137" w:type="dxa"/>
          </w:tcPr>
          <w:p w14:paraId="7C77AE97" w14:textId="3D2E9F61" w:rsidR="005470C1" w:rsidRPr="008D1FB9" w:rsidRDefault="005470C1" w:rsidP="00B413E3">
            <w:pPr>
              <w:autoSpaceDE w:val="0"/>
              <w:autoSpaceDN w:val="0"/>
              <w:adjustRightInd w:val="0"/>
              <w:spacing w:after="0" w:line="240" w:lineRule="auto"/>
              <w:rPr>
                <w:rFonts w:asciiTheme="majorBidi" w:hAnsiTheme="majorBidi" w:cstheme="majorBidi"/>
                <w:sz w:val="20"/>
                <w:szCs w:val="20"/>
                <w:shd w:val="clear" w:color="auto" w:fill="FFFFFF"/>
              </w:rPr>
            </w:pPr>
            <w:r w:rsidRPr="008D1FB9">
              <w:rPr>
                <w:rFonts w:asciiTheme="majorBidi" w:hAnsiTheme="majorBidi" w:cstheme="majorBidi"/>
                <w:sz w:val="20"/>
                <w:szCs w:val="20"/>
                <w:shd w:val="clear" w:color="auto" w:fill="FFFFFF"/>
              </w:rPr>
              <w:t>25 indicators were validated, covering EIPM</w:t>
            </w:r>
            <w:r w:rsidR="00B413E3">
              <w:rPr>
                <w:rFonts w:asciiTheme="majorBidi" w:hAnsiTheme="majorBidi" w:cstheme="majorBidi"/>
                <w:sz w:val="20"/>
                <w:szCs w:val="20"/>
                <w:shd w:val="clear" w:color="auto" w:fill="FFFFFF"/>
              </w:rPr>
              <w:t xml:space="preserve"> </w:t>
            </w:r>
            <w:r w:rsidRPr="008D1FB9">
              <w:rPr>
                <w:rFonts w:asciiTheme="majorBidi" w:hAnsiTheme="majorBidi" w:cstheme="majorBidi"/>
                <w:sz w:val="20"/>
                <w:szCs w:val="20"/>
                <w:shd w:val="clear" w:color="auto" w:fill="FFFFFF"/>
              </w:rPr>
              <w:t>issues related to human resources, documentation, participation and monitoring, and stressing different levels of</w:t>
            </w:r>
          </w:p>
          <w:p w14:paraId="3A11E6E9" w14:textId="1671E107" w:rsidR="005470C1" w:rsidRPr="008D1FB9" w:rsidRDefault="005470C1" w:rsidP="008D1FB9">
            <w:pPr>
              <w:autoSpaceDE w:val="0"/>
              <w:autoSpaceDN w:val="0"/>
              <w:adjustRightInd w:val="0"/>
              <w:spacing w:after="0" w:line="240" w:lineRule="auto"/>
              <w:rPr>
                <w:rFonts w:asciiTheme="majorBidi" w:hAnsiTheme="majorBidi" w:cstheme="majorBidi"/>
                <w:sz w:val="20"/>
                <w:szCs w:val="20"/>
                <w:shd w:val="clear" w:color="auto" w:fill="FFFFFF"/>
              </w:rPr>
            </w:pPr>
            <w:r w:rsidRPr="008D1FB9">
              <w:rPr>
                <w:rFonts w:asciiTheme="majorBidi" w:hAnsiTheme="majorBidi" w:cstheme="majorBidi"/>
                <w:sz w:val="20"/>
                <w:szCs w:val="20"/>
                <w:shd w:val="clear" w:color="auto" w:fill="FFFFFF"/>
              </w:rPr>
              <w:t>knowledge exchange and involvement of researchers and other stakeholders in policy development and evaluation</w:t>
            </w:r>
          </w:p>
        </w:tc>
        <w:tc>
          <w:tcPr>
            <w:tcW w:w="2610" w:type="dxa"/>
            <w:shd w:val="clear" w:color="auto" w:fill="auto"/>
          </w:tcPr>
          <w:p w14:paraId="13F43220" w14:textId="488D0BBE" w:rsidR="005470C1" w:rsidRPr="008D1FB9" w:rsidRDefault="00B413E3" w:rsidP="008D1FB9">
            <w:pPr>
              <w:autoSpaceDE w:val="0"/>
              <w:autoSpaceDN w:val="0"/>
              <w:adjustRightInd w:val="0"/>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I</w:t>
            </w:r>
            <w:r w:rsidR="005470C1" w:rsidRPr="008D1FB9">
              <w:rPr>
                <w:rFonts w:asciiTheme="majorBidi" w:eastAsia="Times New Roman" w:hAnsiTheme="majorBidi" w:cstheme="majorBidi"/>
                <w:sz w:val="20"/>
                <w:szCs w:val="20"/>
              </w:rPr>
              <w:t>nstitutionalization of the indicators</w:t>
            </w:r>
          </w:p>
          <w:p w14:paraId="49DFC825" w14:textId="77777777" w:rsidR="005470C1" w:rsidRPr="008D1FB9" w:rsidRDefault="005470C1" w:rsidP="008D1FB9">
            <w:pPr>
              <w:autoSpaceDE w:val="0"/>
              <w:autoSpaceDN w:val="0"/>
              <w:adjustRightInd w:val="0"/>
              <w:spacing w:after="0" w:line="240" w:lineRule="auto"/>
              <w:rPr>
                <w:rFonts w:asciiTheme="majorBidi" w:eastAsia="Times New Roman" w:hAnsiTheme="majorBidi" w:cstheme="majorBidi"/>
                <w:sz w:val="20"/>
                <w:szCs w:val="20"/>
              </w:rPr>
            </w:pPr>
          </w:p>
          <w:p w14:paraId="5BD4504F" w14:textId="60CC67BE" w:rsidR="005470C1" w:rsidRPr="008D1FB9" w:rsidRDefault="005470C1" w:rsidP="008D1FB9">
            <w:pPr>
              <w:autoSpaceDE w:val="0"/>
              <w:autoSpaceDN w:val="0"/>
              <w:adjustRightInd w:val="0"/>
              <w:spacing w:after="0" w:line="240" w:lineRule="auto"/>
              <w:rPr>
                <w:rFonts w:asciiTheme="majorBidi" w:eastAsia="Times New Roman" w:hAnsiTheme="majorBidi" w:cstheme="majorBidi"/>
                <w:sz w:val="20"/>
                <w:szCs w:val="20"/>
              </w:rPr>
            </w:pPr>
            <w:r w:rsidRPr="008D1FB9">
              <w:rPr>
                <w:rFonts w:asciiTheme="majorBidi" w:hAnsiTheme="majorBidi" w:cstheme="majorBidi"/>
                <w:sz w:val="20"/>
                <w:szCs w:val="20"/>
              </w:rPr>
              <w:t>existing evidence and tools for EIPM should be available in local languages and sharing lessons and learning from country experiences is important as an action to build EIPM capacities</w:t>
            </w:r>
          </w:p>
        </w:tc>
      </w:tr>
      <w:tr w:rsidR="005470C1" w:rsidRPr="008D1FB9" w14:paraId="0064E169" w14:textId="77777777" w:rsidTr="005470C1">
        <w:trPr>
          <w:trHeight w:val="20"/>
        </w:trPr>
        <w:tc>
          <w:tcPr>
            <w:tcW w:w="1519" w:type="dxa"/>
            <w:shd w:val="clear" w:color="auto" w:fill="auto"/>
          </w:tcPr>
          <w:p w14:paraId="55411BB3" w14:textId="1BAAAF27" w:rsidR="005470C1" w:rsidRPr="008D1FB9" w:rsidRDefault="005470C1" w:rsidP="008D1FB9">
            <w:pPr>
              <w:rPr>
                <w:rFonts w:asciiTheme="majorBidi" w:eastAsia="Times New Roman" w:hAnsiTheme="majorBidi" w:cstheme="majorBidi"/>
                <w:sz w:val="20"/>
                <w:szCs w:val="20"/>
              </w:rPr>
            </w:pPr>
            <w:r w:rsidRPr="008D1FB9">
              <w:rPr>
                <w:rFonts w:asciiTheme="majorBidi" w:hAnsiTheme="majorBidi" w:cstheme="majorBidi"/>
                <w:color w:val="000000"/>
                <w:sz w:val="20"/>
                <w:szCs w:val="20"/>
              </w:rPr>
              <w:t>Verschuuren, 2013</w:t>
            </w:r>
          </w:p>
        </w:tc>
        <w:tc>
          <w:tcPr>
            <w:tcW w:w="1384" w:type="dxa"/>
            <w:shd w:val="clear" w:color="auto" w:fill="auto"/>
          </w:tcPr>
          <w:p w14:paraId="3DD0804A" w14:textId="4871FF71"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Regional</w:t>
            </w:r>
          </w:p>
        </w:tc>
        <w:tc>
          <w:tcPr>
            <w:tcW w:w="1497" w:type="dxa"/>
            <w:shd w:val="clear" w:color="auto" w:fill="auto"/>
          </w:tcPr>
          <w:p w14:paraId="02D65DB2" w14:textId="56882EE8" w:rsidR="005470C1" w:rsidRPr="008D1FB9" w:rsidRDefault="00D26F4C" w:rsidP="008D1FB9">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observational</w:t>
            </w:r>
          </w:p>
        </w:tc>
        <w:tc>
          <w:tcPr>
            <w:tcW w:w="1551" w:type="dxa"/>
          </w:tcPr>
          <w:p w14:paraId="74D51BBA" w14:textId="78F47497" w:rsidR="005470C1" w:rsidRPr="008D1FB9" w:rsidRDefault="005470C1" w:rsidP="008D1FB9">
            <w:pPr>
              <w:spacing w:after="0" w:line="240" w:lineRule="auto"/>
              <w:rPr>
                <w:rFonts w:asciiTheme="majorBidi" w:eastAsia="Times New Roman" w:hAnsiTheme="majorBidi" w:cstheme="majorBidi"/>
                <w:sz w:val="20"/>
                <w:szCs w:val="20"/>
              </w:rPr>
            </w:pPr>
            <w:bookmarkStart w:id="4" w:name="_Hlk94439486"/>
            <w:r w:rsidRPr="008D1FB9">
              <w:rPr>
                <w:rFonts w:asciiTheme="majorBidi" w:hAnsiTheme="majorBidi" w:cstheme="majorBidi"/>
                <w:sz w:val="20"/>
                <w:szCs w:val="20"/>
              </w:rPr>
              <w:t>ECHIM (European Community Health Indicators &amp; Monitoring)</w:t>
            </w:r>
            <w:bookmarkEnd w:id="4"/>
          </w:p>
        </w:tc>
        <w:tc>
          <w:tcPr>
            <w:tcW w:w="2062" w:type="dxa"/>
            <w:shd w:val="clear" w:color="auto" w:fill="auto"/>
          </w:tcPr>
          <w:p w14:paraId="3B317AB7" w14:textId="5E9EE7A9" w:rsidR="005470C1" w:rsidRPr="008D1FB9" w:rsidRDefault="005416F0" w:rsidP="008D1FB9">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Policy and planning</w:t>
            </w:r>
          </w:p>
        </w:tc>
        <w:tc>
          <w:tcPr>
            <w:tcW w:w="3137" w:type="dxa"/>
          </w:tcPr>
          <w:p w14:paraId="743D8D4D" w14:textId="61DB34FE" w:rsidR="005470C1" w:rsidRPr="008D1FB9" w:rsidRDefault="005470C1" w:rsidP="008D1FB9">
            <w:pPr>
              <w:autoSpaceDE w:val="0"/>
              <w:autoSpaceDN w:val="0"/>
              <w:adjustRightInd w:val="0"/>
              <w:spacing w:after="0" w:line="240" w:lineRule="auto"/>
              <w:rPr>
                <w:rFonts w:asciiTheme="majorBidi" w:hAnsiTheme="majorBidi" w:cstheme="majorBidi"/>
                <w:sz w:val="20"/>
                <w:szCs w:val="20"/>
                <w:shd w:val="clear" w:color="auto" w:fill="FFFFFF"/>
              </w:rPr>
            </w:pPr>
            <w:r w:rsidRPr="008D1FB9">
              <w:rPr>
                <w:rFonts w:asciiTheme="majorBidi" w:hAnsiTheme="majorBidi" w:cstheme="majorBidi"/>
                <w:sz w:val="20"/>
                <w:szCs w:val="20"/>
              </w:rPr>
              <w:t xml:space="preserve">High quality health information (informed by ECHI) serves the EU and Member States by helping to direct health, welfare and other policies and planning toward meeting peoples’ health needs. </w:t>
            </w:r>
          </w:p>
        </w:tc>
        <w:tc>
          <w:tcPr>
            <w:tcW w:w="2610" w:type="dxa"/>
            <w:shd w:val="clear" w:color="auto" w:fill="auto"/>
          </w:tcPr>
          <w:p w14:paraId="7EB719A8" w14:textId="18963741" w:rsidR="005470C1" w:rsidRPr="008D1FB9" w:rsidRDefault="00B413E3" w:rsidP="008D1FB9">
            <w:pPr>
              <w:autoSpaceDE w:val="0"/>
              <w:autoSpaceDN w:val="0"/>
              <w:adjustRightInd w:val="0"/>
              <w:spacing w:after="0" w:line="240" w:lineRule="auto"/>
              <w:rPr>
                <w:rFonts w:asciiTheme="majorBidi" w:hAnsiTheme="majorBidi" w:cstheme="majorBidi"/>
                <w:sz w:val="20"/>
                <w:szCs w:val="20"/>
              </w:rPr>
            </w:pPr>
            <w:bookmarkStart w:id="5" w:name="_Hlk94442386"/>
            <w:r>
              <w:rPr>
                <w:rFonts w:asciiTheme="majorBidi" w:hAnsiTheme="majorBidi" w:cstheme="majorBidi"/>
                <w:sz w:val="20"/>
                <w:szCs w:val="20"/>
              </w:rPr>
              <w:t>S</w:t>
            </w:r>
            <w:r w:rsidR="005470C1" w:rsidRPr="008D1FB9">
              <w:rPr>
                <w:rFonts w:asciiTheme="majorBidi" w:hAnsiTheme="majorBidi" w:cstheme="majorBidi"/>
                <w:sz w:val="20"/>
                <w:szCs w:val="20"/>
              </w:rPr>
              <w:t>tandards for data collection, reporting mechanisms</w:t>
            </w:r>
          </w:p>
          <w:bookmarkEnd w:id="5"/>
          <w:p w14:paraId="72CEAC9E" w14:textId="77777777"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p>
          <w:p w14:paraId="7862C678" w14:textId="597F0D6B"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r w:rsidRPr="008D1FB9">
              <w:rPr>
                <w:rFonts w:asciiTheme="majorBidi" w:hAnsiTheme="majorBidi" w:cstheme="majorBidi"/>
                <w:sz w:val="20"/>
                <w:szCs w:val="20"/>
              </w:rPr>
              <w:t>Sustained efforts at EU and national level are needed to keep the system functional and up to date.</w:t>
            </w:r>
          </w:p>
        </w:tc>
      </w:tr>
      <w:tr w:rsidR="005470C1" w:rsidRPr="008D1FB9" w14:paraId="5F2A676B" w14:textId="77777777" w:rsidTr="005470C1">
        <w:trPr>
          <w:trHeight w:val="20"/>
        </w:trPr>
        <w:tc>
          <w:tcPr>
            <w:tcW w:w="1519" w:type="dxa"/>
            <w:shd w:val="clear" w:color="auto" w:fill="auto"/>
          </w:tcPr>
          <w:p w14:paraId="56097BB2" w14:textId="7E0E2CCD" w:rsidR="005470C1" w:rsidRPr="008D1FB9" w:rsidRDefault="005470C1" w:rsidP="008D1FB9">
            <w:pPr>
              <w:rPr>
                <w:rFonts w:asciiTheme="majorBidi" w:eastAsia="Times New Roman" w:hAnsiTheme="majorBidi" w:cstheme="majorBidi"/>
                <w:sz w:val="20"/>
                <w:szCs w:val="20"/>
              </w:rPr>
            </w:pPr>
            <w:r w:rsidRPr="008D1FB9">
              <w:rPr>
                <w:rFonts w:asciiTheme="majorBidi" w:hAnsiTheme="majorBidi" w:cstheme="majorBidi"/>
                <w:color w:val="000000"/>
                <w:sz w:val="20"/>
                <w:szCs w:val="20"/>
              </w:rPr>
              <w:t>Fehr 2018</w:t>
            </w:r>
          </w:p>
        </w:tc>
        <w:tc>
          <w:tcPr>
            <w:tcW w:w="1384" w:type="dxa"/>
            <w:shd w:val="clear" w:color="auto" w:fill="auto"/>
          </w:tcPr>
          <w:p w14:paraId="44DB37E7" w14:textId="415EF194"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Regional</w:t>
            </w:r>
          </w:p>
        </w:tc>
        <w:tc>
          <w:tcPr>
            <w:tcW w:w="1497" w:type="dxa"/>
            <w:shd w:val="clear" w:color="auto" w:fill="auto"/>
          </w:tcPr>
          <w:p w14:paraId="28FC6366" w14:textId="66BF1E58"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survey</w:t>
            </w:r>
          </w:p>
        </w:tc>
        <w:tc>
          <w:tcPr>
            <w:tcW w:w="1551" w:type="dxa"/>
          </w:tcPr>
          <w:p w14:paraId="757E08A8" w14:textId="6997D69B" w:rsidR="005470C1" w:rsidRPr="008D1FB9" w:rsidRDefault="005470C1" w:rsidP="008D1FB9">
            <w:pPr>
              <w:spacing w:after="0" w:line="240" w:lineRule="auto"/>
              <w:rPr>
                <w:rFonts w:asciiTheme="majorBidi" w:eastAsia="Times New Roman" w:hAnsiTheme="majorBidi" w:cstheme="majorBidi"/>
                <w:sz w:val="20"/>
                <w:szCs w:val="20"/>
              </w:rPr>
            </w:pPr>
            <w:bookmarkStart w:id="6" w:name="_Hlk94439512"/>
            <w:r w:rsidRPr="008D1FB9">
              <w:rPr>
                <w:rFonts w:asciiTheme="majorBidi" w:hAnsiTheme="majorBidi" w:cstheme="majorBidi"/>
                <w:sz w:val="20"/>
                <w:szCs w:val="20"/>
              </w:rPr>
              <w:t>European Core Health Indicators (ECHI)</w:t>
            </w:r>
            <w:bookmarkEnd w:id="6"/>
          </w:p>
        </w:tc>
        <w:tc>
          <w:tcPr>
            <w:tcW w:w="2062" w:type="dxa"/>
            <w:shd w:val="clear" w:color="auto" w:fill="auto"/>
          </w:tcPr>
          <w:p w14:paraId="668CCFD2" w14:textId="79F830F0"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Policy evaluation and prioritization</w:t>
            </w:r>
          </w:p>
        </w:tc>
        <w:tc>
          <w:tcPr>
            <w:tcW w:w="3137" w:type="dxa"/>
          </w:tcPr>
          <w:p w14:paraId="58D78941" w14:textId="02196AA3" w:rsidR="005470C1" w:rsidRPr="008D1FB9" w:rsidRDefault="005470C1" w:rsidP="00647886">
            <w:pPr>
              <w:autoSpaceDE w:val="0"/>
              <w:autoSpaceDN w:val="0"/>
              <w:adjustRightInd w:val="0"/>
              <w:spacing w:after="0" w:line="240" w:lineRule="auto"/>
              <w:rPr>
                <w:rFonts w:asciiTheme="majorBidi" w:hAnsiTheme="majorBidi" w:cstheme="majorBidi"/>
                <w:sz w:val="20"/>
                <w:szCs w:val="20"/>
                <w:shd w:val="clear" w:color="auto" w:fill="FFFFFF"/>
              </w:rPr>
            </w:pPr>
            <w:r w:rsidRPr="008D1FB9">
              <w:rPr>
                <w:rFonts w:asciiTheme="majorBidi" w:hAnsiTheme="majorBidi" w:cstheme="majorBidi"/>
                <w:sz w:val="20"/>
                <w:szCs w:val="20"/>
                <w:shd w:val="clear" w:color="auto" w:fill="FFFFFF"/>
              </w:rPr>
              <w:t>ECHI-indicator knowledge and expertise and strengthening the scientific base that supports the effective</w:t>
            </w:r>
            <w:r w:rsidR="00647886">
              <w:rPr>
                <w:rFonts w:asciiTheme="majorBidi" w:hAnsiTheme="majorBidi" w:cstheme="majorBidi"/>
                <w:sz w:val="20"/>
                <w:szCs w:val="20"/>
                <w:shd w:val="clear" w:color="auto" w:fill="FFFFFF"/>
              </w:rPr>
              <w:t xml:space="preserve"> </w:t>
            </w:r>
            <w:r w:rsidRPr="008D1FB9">
              <w:rPr>
                <w:rFonts w:asciiTheme="majorBidi" w:hAnsiTheme="majorBidi" w:cstheme="majorBidi"/>
                <w:sz w:val="20"/>
                <w:szCs w:val="20"/>
                <w:shd w:val="clear" w:color="auto" w:fill="FFFFFF"/>
              </w:rPr>
              <w:t>development and use of health indicators for health policy evaluation and prioritization by the EU and its M</w:t>
            </w:r>
            <w:r w:rsidR="00647886">
              <w:rPr>
                <w:rFonts w:asciiTheme="majorBidi" w:hAnsiTheme="majorBidi" w:cstheme="majorBidi"/>
                <w:sz w:val="20"/>
                <w:szCs w:val="20"/>
                <w:shd w:val="clear" w:color="auto" w:fill="FFFFFF"/>
              </w:rPr>
              <w:t xml:space="preserve">ember </w:t>
            </w:r>
            <w:r w:rsidRPr="008D1FB9">
              <w:rPr>
                <w:rFonts w:asciiTheme="majorBidi" w:hAnsiTheme="majorBidi" w:cstheme="majorBidi"/>
                <w:sz w:val="20"/>
                <w:szCs w:val="20"/>
                <w:shd w:val="clear" w:color="auto" w:fill="FFFFFF"/>
              </w:rPr>
              <w:t>S</w:t>
            </w:r>
            <w:r w:rsidR="00647886">
              <w:rPr>
                <w:rFonts w:asciiTheme="majorBidi" w:hAnsiTheme="majorBidi" w:cstheme="majorBidi"/>
                <w:sz w:val="20"/>
                <w:szCs w:val="20"/>
                <w:shd w:val="clear" w:color="auto" w:fill="FFFFFF"/>
              </w:rPr>
              <w:t>tates</w:t>
            </w:r>
            <w:r w:rsidRPr="008D1FB9">
              <w:rPr>
                <w:rFonts w:asciiTheme="majorBidi" w:hAnsiTheme="majorBidi" w:cstheme="majorBidi"/>
                <w:sz w:val="20"/>
                <w:szCs w:val="20"/>
                <w:shd w:val="clear" w:color="auto" w:fill="FFFFFF"/>
              </w:rPr>
              <w:t>.</w:t>
            </w:r>
          </w:p>
          <w:p w14:paraId="6616B48F" w14:textId="77777777" w:rsidR="005470C1" w:rsidRPr="008D1FB9" w:rsidRDefault="005470C1" w:rsidP="008D1FB9">
            <w:pPr>
              <w:autoSpaceDE w:val="0"/>
              <w:autoSpaceDN w:val="0"/>
              <w:adjustRightInd w:val="0"/>
              <w:spacing w:after="0" w:line="240" w:lineRule="auto"/>
              <w:rPr>
                <w:rFonts w:asciiTheme="majorBidi" w:hAnsiTheme="majorBidi" w:cstheme="majorBidi"/>
                <w:sz w:val="20"/>
                <w:szCs w:val="20"/>
                <w:shd w:val="clear" w:color="auto" w:fill="FFFFFF"/>
              </w:rPr>
            </w:pPr>
          </w:p>
          <w:p w14:paraId="430D9683" w14:textId="7F85ED66" w:rsidR="005470C1" w:rsidRPr="008D1FB9" w:rsidRDefault="005470C1" w:rsidP="008D1FB9">
            <w:pPr>
              <w:autoSpaceDE w:val="0"/>
              <w:autoSpaceDN w:val="0"/>
              <w:adjustRightInd w:val="0"/>
              <w:spacing w:after="0" w:line="240" w:lineRule="auto"/>
              <w:rPr>
                <w:rFonts w:asciiTheme="majorBidi" w:hAnsiTheme="majorBidi" w:cstheme="majorBidi"/>
                <w:sz w:val="20"/>
                <w:szCs w:val="20"/>
                <w:shd w:val="clear" w:color="auto" w:fill="FFFFFF"/>
              </w:rPr>
            </w:pPr>
            <w:r w:rsidRPr="008D1FB9">
              <w:rPr>
                <w:rFonts w:asciiTheme="majorBidi" w:hAnsiTheme="majorBidi" w:cstheme="majorBidi"/>
                <w:sz w:val="20"/>
                <w:szCs w:val="20"/>
              </w:rPr>
              <w:t>The ECHI shortlist can contribute to the collection of comparable policy-relevant health data in Europe, foster evidence-based public health and contribute to Member States learning from each other.</w:t>
            </w:r>
          </w:p>
        </w:tc>
        <w:tc>
          <w:tcPr>
            <w:tcW w:w="2610" w:type="dxa"/>
            <w:shd w:val="clear" w:color="auto" w:fill="auto"/>
          </w:tcPr>
          <w:p w14:paraId="2A03706C" w14:textId="77777777" w:rsidR="005470C1" w:rsidRPr="00647886" w:rsidRDefault="005470C1" w:rsidP="008D1FB9">
            <w:pPr>
              <w:autoSpaceDE w:val="0"/>
              <w:autoSpaceDN w:val="0"/>
              <w:adjustRightInd w:val="0"/>
              <w:spacing w:after="0" w:line="240" w:lineRule="auto"/>
              <w:rPr>
                <w:rFonts w:asciiTheme="majorBidi" w:hAnsiTheme="majorBidi" w:cstheme="majorBidi"/>
                <w:sz w:val="20"/>
                <w:szCs w:val="20"/>
              </w:rPr>
            </w:pPr>
            <w:bookmarkStart w:id="7" w:name="_Hlk94442513"/>
            <w:r w:rsidRPr="00647886">
              <w:rPr>
                <w:rFonts w:asciiTheme="majorBidi" w:hAnsiTheme="majorBidi" w:cstheme="majorBidi"/>
                <w:b/>
                <w:bCs/>
                <w:i/>
                <w:iCs/>
                <w:sz w:val="20"/>
                <w:szCs w:val="20"/>
              </w:rPr>
              <w:t>Policy relevance</w:t>
            </w:r>
            <w:r w:rsidRPr="00647886">
              <w:rPr>
                <w:rFonts w:asciiTheme="majorBidi" w:hAnsiTheme="majorBidi" w:cstheme="majorBidi"/>
                <w:i/>
                <w:iCs/>
                <w:sz w:val="20"/>
                <w:szCs w:val="20"/>
              </w:rPr>
              <w:t xml:space="preserve"> </w:t>
            </w:r>
            <w:r w:rsidRPr="00647886">
              <w:rPr>
                <w:rFonts w:asciiTheme="majorBidi" w:hAnsiTheme="majorBidi" w:cstheme="majorBidi"/>
                <w:sz w:val="20"/>
                <w:szCs w:val="20"/>
              </w:rPr>
              <w:t xml:space="preserve">is an essential but not systematically developed criterion for the inclusion of indicators </w:t>
            </w:r>
            <w:bookmarkEnd w:id="7"/>
            <w:r w:rsidRPr="00647886">
              <w:rPr>
                <w:rFonts w:asciiTheme="majorBidi" w:hAnsiTheme="majorBidi" w:cstheme="majorBidi"/>
                <w:sz w:val="20"/>
                <w:szCs w:val="20"/>
              </w:rPr>
              <w:t xml:space="preserve">into the ECHI shortlist. </w:t>
            </w:r>
          </w:p>
          <w:p w14:paraId="57414302" w14:textId="77777777"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p>
          <w:p w14:paraId="7B53F6A7" w14:textId="7DB48DBF" w:rsidR="005470C1" w:rsidRPr="008D1FB9" w:rsidRDefault="005470C1" w:rsidP="008D1FB9">
            <w:pPr>
              <w:autoSpaceDE w:val="0"/>
              <w:autoSpaceDN w:val="0"/>
              <w:adjustRightInd w:val="0"/>
              <w:spacing w:after="0" w:line="240" w:lineRule="auto"/>
              <w:rPr>
                <w:rFonts w:asciiTheme="majorBidi" w:eastAsia="Times New Roman" w:hAnsiTheme="majorBidi" w:cstheme="majorBidi"/>
                <w:sz w:val="20"/>
                <w:szCs w:val="20"/>
              </w:rPr>
            </w:pPr>
            <w:r w:rsidRPr="00647886">
              <w:rPr>
                <w:rFonts w:asciiTheme="majorBidi" w:hAnsiTheme="majorBidi" w:cstheme="majorBidi"/>
                <w:b/>
                <w:bCs/>
                <w:sz w:val="20"/>
                <w:szCs w:val="20"/>
              </w:rPr>
              <w:t>Data availability</w:t>
            </w:r>
            <w:r w:rsidRPr="008D1FB9">
              <w:rPr>
                <w:rFonts w:asciiTheme="majorBidi" w:hAnsiTheme="majorBidi" w:cstheme="majorBidi"/>
                <w:sz w:val="20"/>
                <w:szCs w:val="20"/>
              </w:rPr>
              <w:t xml:space="preserve"> </w:t>
            </w:r>
            <w:r w:rsidRPr="00647886">
              <w:rPr>
                <w:rFonts w:asciiTheme="majorBidi" w:hAnsiTheme="majorBidi" w:cstheme="majorBidi"/>
                <w:i/>
                <w:iCs/>
                <w:sz w:val="20"/>
                <w:szCs w:val="20"/>
              </w:rPr>
              <w:t>is crucial for the actual implementation of indicators and has considerably increased for ECHI in the last decade.</w:t>
            </w:r>
            <w:r w:rsidRPr="008D1FB9">
              <w:rPr>
                <w:rFonts w:asciiTheme="majorBidi" w:hAnsiTheme="majorBidi" w:cstheme="majorBidi"/>
                <w:sz w:val="20"/>
                <w:szCs w:val="20"/>
              </w:rPr>
              <w:t xml:space="preserve"> </w:t>
            </w:r>
          </w:p>
        </w:tc>
      </w:tr>
      <w:tr w:rsidR="005470C1" w:rsidRPr="008D1FB9" w14:paraId="27DEF830" w14:textId="77777777" w:rsidTr="005470C1">
        <w:trPr>
          <w:trHeight w:val="20"/>
        </w:trPr>
        <w:tc>
          <w:tcPr>
            <w:tcW w:w="1519" w:type="dxa"/>
            <w:shd w:val="clear" w:color="auto" w:fill="auto"/>
          </w:tcPr>
          <w:p w14:paraId="06524CD3" w14:textId="236E3E91" w:rsidR="005470C1" w:rsidRPr="008D1FB9" w:rsidRDefault="005470C1" w:rsidP="008D1FB9">
            <w:pPr>
              <w:rPr>
                <w:rFonts w:asciiTheme="majorBidi" w:hAnsiTheme="majorBidi" w:cstheme="majorBidi"/>
                <w:color w:val="000000"/>
                <w:sz w:val="20"/>
                <w:szCs w:val="20"/>
              </w:rPr>
            </w:pPr>
            <w:r w:rsidRPr="008D1FB9">
              <w:rPr>
                <w:rFonts w:asciiTheme="majorBidi" w:hAnsiTheme="majorBidi" w:cstheme="majorBidi"/>
                <w:color w:val="000000"/>
                <w:sz w:val="20"/>
                <w:szCs w:val="20"/>
              </w:rPr>
              <w:lastRenderedPageBreak/>
              <w:t>Berler 2005</w:t>
            </w:r>
          </w:p>
        </w:tc>
        <w:tc>
          <w:tcPr>
            <w:tcW w:w="1384" w:type="dxa"/>
            <w:shd w:val="clear" w:color="auto" w:fill="auto"/>
          </w:tcPr>
          <w:p w14:paraId="1E59E643" w14:textId="5CC3C4D1"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Greece</w:t>
            </w:r>
          </w:p>
        </w:tc>
        <w:tc>
          <w:tcPr>
            <w:tcW w:w="1497" w:type="dxa"/>
            <w:shd w:val="clear" w:color="auto" w:fill="auto"/>
          </w:tcPr>
          <w:p w14:paraId="79E3673C" w14:textId="2AAADBAE"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hAnsiTheme="majorBidi" w:cstheme="majorBidi"/>
                <w:sz w:val="20"/>
                <w:szCs w:val="20"/>
              </w:rPr>
              <w:t>Case study</w:t>
            </w:r>
          </w:p>
        </w:tc>
        <w:tc>
          <w:tcPr>
            <w:tcW w:w="1551" w:type="dxa"/>
          </w:tcPr>
          <w:p w14:paraId="23FC7344" w14:textId="54F9DBFD" w:rsidR="005470C1" w:rsidRPr="008D1FB9" w:rsidRDefault="005470C1" w:rsidP="008D1FB9">
            <w:pPr>
              <w:spacing w:after="0" w:line="240" w:lineRule="auto"/>
              <w:rPr>
                <w:rFonts w:asciiTheme="majorBidi" w:hAnsiTheme="majorBidi" w:cstheme="majorBidi"/>
                <w:sz w:val="20"/>
                <w:szCs w:val="20"/>
              </w:rPr>
            </w:pPr>
            <w:r w:rsidRPr="008D1FB9">
              <w:rPr>
                <w:rFonts w:asciiTheme="majorBidi" w:hAnsiTheme="majorBidi" w:cstheme="majorBidi"/>
                <w:sz w:val="20"/>
                <w:szCs w:val="20"/>
              </w:rPr>
              <w:t>Key Performance Indicators</w:t>
            </w:r>
          </w:p>
        </w:tc>
        <w:tc>
          <w:tcPr>
            <w:tcW w:w="2062" w:type="dxa"/>
            <w:shd w:val="clear" w:color="auto" w:fill="auto"/>
          </w:tcPr>
          <w:p w14:paraId="4B36A8E5" w14:textId="24FDF24B"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 xml:space="preserve">Health systems performance </w:t>
            </w:r>
          </w:p>
        </w:tc>
        <w:tc>
          <w:tcPr>
            <w:tcW w:w="3137" w:type="dxa"/>
          </w:tcPr>
          <w:p w14:paraId="0AFA3462" w14:textId="6EFBE756" w:rsidR="005470C1" w:rsidRPr="008D1FB9" w:rsidRDefault="005470C1" w:rsidP="008D1FB9">
            <w:pPr>
              <w:autoSpaceDE w:val="0"/>
              <w:autoSpaceDN w:val="0"/>
              <w:adjustRightInd w:val="0"/>
              <w:spacing w:after="0" w:line="240" w:lineRule="auto"/>
              <w:rPr>
                <w:rFonts w:asciiTheme="majorBidi" w:hAnsiTheme="majorBidi" w:cstheme="majorBidi"/>
                <w:i/>
                <w:iCs/>
                <w:sz w:val="20"/>
                <w:szCs w:val="20"/>
                <w:shd w:val="clear" w:color="auto" w:fill="FFFFFF"/>
              </w:rPr>
            </w:pPr>
            <w:r w:rsidRPr="008D1FB9">
              <w:rPr>
                <w:rFonts w:asciiTheme="majorBidi" w:hAnsiTheme="majorBidi" w:cstheme="majorBidi"/>
                <w:i/>
                <w:iCs/>
                <w:sz w:val="20"/>
                <w:szCs w:val="20"/>
              </w:rPr>
              <w:t>“The proposed KPIs are forming a complete set of metrics that enable the performance management of a regional health-care system.”</w:t>
            </w:r>
          </w:p>
        </w:tc>
        <w:tc>
          <w:tcPr>
            <w:tcW w:w="2610" w:type="dxa"/>
            <w:shd w:val="clear" w:color="auto" w:fill="auto"/>
          </w:tcPr>
          <w:p w14:paraId="3BB84940" w14:textId="2EDEC361"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p>
        </w:tc>
      </w:tr>
      <w:tr w:rsidR="005470C1" w:rsidRPr="008D1FB9" w14:paraId="2CBEA25F" w14:textId="77777777" w:rsidTr="005470C1">
        <w:trPr>
          <w:trHeight w:val="20"/>
        </w:trPr>
        <w:tc>
          <w:tcPr>
            <w:tcW w:w="1519" w:type="dxa"/>
            <w:shd w:val="clear" w:color="auto" w:fill="auto"/>
          </w:tcPr>
          <w:p w14:paraId="17ABDA41" w14:textId="04CD8A50" w:rsidR="005470C1" w:rsidRPr="008D1FB9" w:rsidRDefault="005470C1" w:rsidP="008D1FB9">
            <w:pPr>
              <w:rPr>
                <w:rFonts w:asciiTheme="majorBidi" w:hAnsiTheme="majorBidi" w:cstheme="majorBidi"/>
                <w:color w:val="000000"/>
                <w:sz w:val="20"/>
                <w:szCs w:val="20"/>
              </w:rPr>
            </w:pPr>
            <w:r w:rsidRPr="008D1FB9">
              <w:rPr>
                <w:rFonts w:asciiTheme="majorBidi" w:hAnsiTheme="majorBidi" w:cstheme="majorBidi"/>
                <w:color w:val="000000"/>
                <w:sz w:val="20"/>
                <w:szCs w:val="20"/>
              </w:rPr>
              <w:t>Devleesschauwer 2014</w:t>
            </w:r>
          </w:p>
        </w:tc>
        <w:tc>
          <w:tcPr>
            <w:tcW w:w="1384" w:type="dxa"/>
            <w:shd w:val="clear" w:color="auto" w:fill="auto"/>
          </w:tcPr>
          <w:p w14:paraId="36E0A018" w14:textId="4CEA25FE"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Belgium</w:t>
            </w:r>
          </w:p>
        </w:tc>
        <w:tc>
          <w:tcPr>
            <w:tcW w:w="1497" w:type="dxa"/>
            <w:shd w:val="clear" w:color="auto" w:fill="auto"/>
          </w:tcPr>
          <w:p w14:paraId="626A8033" w14:textId="213932D3" w:rsidR="005470C1" w:rsidRPr="008D1FB9" w:rsidRDefault="005470C1" w:rsidP="008D1FB9">
            <w:pPr>
              <w:spacing w:after="0" w:line="240" w:lineRule="auto"/>
              <w:rPr>
                <w:rFonts w:asciiTheme="majorBidi" w:hAnsiTheme="majorBidi" w:cstheme="majorBidi"/>
                <w:sz w:val="20"/>
                <w:szCs w:val="20"/>
              </w:rPr>
            </w:pPr>
            <w:r w:rsidRPr="008D1FB9">
              <w:rPr>
                <w:rFonts w:asciiTheme="majorBidi" w:hAnsiTheme="majorBidi" w:cstheme="majorBidi"/>
                <w:sz w:val="20"/>
                <w:szCs w:val="20"/>
              </w:rPr>
              <w:t>Opinion piece</w:t>
            </w:r>
          </w:p>
        </w:tc>
        <w:tc>
          <w:tcPr>
            <w:tcW w:w="1551" w:type="dxa"/>
          </w:tcPr>
          <w:p w14:paraId="2AC5094F" w14:textId="3E899F53" w:rsidR="005470C1" w:rsidRPr="008D1FB9" w:rsidRDefault="005470C1" w:rsidP="008D1FB9">
            <w:pPr>
              <w:spacing w:after="0" w:line="240" w:lineRule="auto"/>
              <w:rPr>
                <w:rFonts w:asciiTheme="majorBidi" w:hAnsiTheme="majorBidi" w:cstheme="majorBidi"/>
                <w:sz w:val="20"/>
                <w:szCs w:val="20"/>
              </w:rPr>
            </w:pPr>
            <w:r w:rsidRPr="008D1FB9">
              <w:rPr>
                <w:rFonts w:asciiTheme="majorBidi" w:hAnsiTheme="majorBidi" w:cstheme="majorBidi"/>
                <w:sz w:val="20"/>
                <w:szCs w:val="20"/>
              </w:rPr>
              <w:t>Disability-Adjusted Life Year (DALY)</w:t>
            </w:r>
          </w:p>
        </w:tc>
        <w:tc>
          <w:tcPr>
            <w:tcW w:w="2062" w:type="dxa"/>
            <w:shd w:val="clear" w:color="auto" w:fill="auto"/>
          </w:tcPr>
          <w:p w14:paraId="5C960EB7" w14:textId="6F3919AD"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Evidence-based public health policy</w:t>
            </w:r>
          </w:p>
        </w:tc>
        <w:tc>
          <w:tcPr>
            <w:tcW w:w="3137" w:type="dxa"/>
          </w:tcPr>
          <w:p w14:paraId="03BF610B" w14:textId="12A10029" w:rsidR="005470C1" w:rsidRPr="008D1FB9" w:rsidRDefault="005470C1" w:rsidP="008D1FB9">
            <w:pPr>
              <w:autoSpaceDE w:val="0"/>
              <w:autoSpaceDN w:val="0"/>
              <w:adjustRightInd w:val="0"/>
              <w:spacing w:after="0" w:line="240" w:lineRule="auto"/>
              <w:rPr>
                <w:rFonts w:asciiTheme="majorBidi" w:hAnsiTheme="majorBidi" w:cstheme="majorBidi"/>
                <w:i/>
                <w:iCs/>
                <w:sz w:val="20"/>
                <w:szCs w:val="20"/>
              </w:rPr>
            </w:pPr>
            <w:r w:rsidRPr="008D1FB9">
              <w:rPr>
                <w:rFonts w:asciiTheme="majorBidi" w:hAnsiTheme="majorBidi" w:cstheme="majorBidi"/>
                <w:sz w:val="20"/>
                <w:szCs w:val="20"/>
              </w:rPr>
              <w:t>DALYs are a highly valuable measure to set priorities for public health research and policy by quantifying the total disease burden and the contribution of different diseases and risk factors</w:t>
            </w:r>
          </w:p>
        </w:tc>
        <w:tc>
          <w:tcPr>
            <w:tcW w:w="2610" w:type="dxa"/>
            <w:shd w:val="clear" w:color="auto" w:fill="auto"/>
          </w:tcPr>
          <w:p w14:paraId="60D2F231" w14:textId="77777777"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r w:rsidRPr="008D1FB9">
              <w:rPr>
                <w:rFonts w:asciiTheme="majorBidi" w:hAnsiTheme="majorBidi" w:cstheme="majorBidi"/>
                <w:sz w:val="20"/>
                <w:szCs w:val="20"/>
              </w:rPr>
              <w:t xml:space="preserve">Most DALY estimations remained academic exercises, with little or no direct knowledge transfer to the concerned policy instances. </w:t>
            </w:r>
          </w:p>
          <w:p w14:paraId="5FFA9F50" w14:textId="0E27E27B"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r w:rsidRPr="008D1FB9">
              <w:rPr>
                <w:rFonts w:asciiTheme="majorBidi" w:hAnsiTheme="majorBidi" w:cstheme="majorBidi"/>
                <w:sz w:val="20"/>
                <w:szCs w:val="20"/>
              </w:rPr>
              <w:t xml:space="preserve">Global estimates might not be grounded with the best available local data, with no ownership and timelines of these global estimates </w:t>
            </w:r>
          </w:p>
        </w:tc>
      </w:tr>
      <w:tr w:rsidR="005470C1" w:rsidRPr="008D1FB9" w14:paraId="584D4BE0" w14:textId="77777777" w:rsidTr="005470C1">
        <w:trPr>
          <w:trHeight w:val="20"/>
        </w:trPr>
        <w:tc>
          <w:tcPr>
            <w:tcW w:w="1519" w:type="dxa"/>
            <w:shd w:val="clear" w:color="auto" w:fill="auto"/>
          </w:tcPr>
          <w:p w14:paraId="5C4FB81F" w14:textId="32AB81CC" w:rsidR="005470C1" w:rsidRPr="008D1FB9" w:rsidRDefault="005470C1" w:rsidP="008D1FB9">
            <w:pPr>
              <w:rPr>
                <w:rFonts w:asciiTheme="majorBidi" w:hAnsiTheme="majorBidi" w:cstheme="majorBidi"/>
                <w:color w:val="000000"/>
                <w:sz w:val="20"/>
                <w:szCs w:val="20"/>
              </w:rPr>
            </w:pPr>
            <w:r w:rsidRPr="008D1FB9">
              <w:rPr>
                <w:rFonts w:asciiTheme="majorBidi" w:hAnsiTheme="majorBidi" w:cstheme="majorBidi"/>
                <w:color w:val="000000"/>
                <w:sz w:val="20"/>
                <w:szCs w:val="20"/>
              </w:rPr>
              <w:t>Colzani 2017</w:t>
            </w:r>
          </w:p>
        </w:tc>
        <w:tc>
          <w:tcPr>
            <w:tcW w:w="1384" w:type="dxa"/>
            <w:shd w:val="clear" w:color="auto" w:fill="auto"/>
          </w:tcPr>
          <w:p w14:paraId="7957596C" w14:textId="5522BB29"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Sweden</w:t>
            </w:r>
          </w:p>
        </w:tc>
        <w:tc>
          <w:tcPr>
            <w:tcW w:w="1497" w:type="dxa"/>
            <w:shd w:val="clear" w:color="auto" w:fill="auto"/>
          </w:tcPr>
          <w:p w14:paraId="270E6E1C" w14:textId="27E85EED" w:rsidR="005470C1" w:rsidRPr="008D1FB9" w:rsidRDefault="005470C1" w:rsidP="008D1FB9">
            <w:pPr>
              <w:spacing w:after="0" w:line="240" w:lineRule="auto"/>
              <w:rPr>
                <w:rFonts w:asciiTheme="majorBidi" w:hAnsiTheme="majorBidi" w:cstheme="majorBidi"/>
                <w:sz w:val="20"/>
                <w:szCs w:val="20"/>
              </w:rPr>
            </w:pPr>
            <w:r w:rsidRPr="008D1FB9">
              <w:rPr>
                <w:rFonts w:asciiTheme="majorBidi" w:hAnsiTheme="majorBidi" w:cstheme="majorBidi"/>
                <w:sz w:val="20"/>
                <w:szCs w:val="20"/>
              </w:rPr>
              <w:t>Modelling study</w:t>
            </w:r>
          </w:p>
        </w:tc>
        <w:tc>
          <w:tcPr>
            <w:tcW w:w="1551" w:type="dxa"/>
          </w:tcPr>
          <w:p w14:paraId="6FA2F4F9" w14:textId="01346431" w:rsidR="005470C1" w:rsidRPr="008D1FB9" w:rsidRDefault="005470C1" w:rsidP="008D1FB9">
            <w:pPr>
              <w:spacing w:after="0" w:line="240" w:lineRule="auto"/>
              <w:rPr>
                <w:rFonts w:asciiTheme="majorBidi" w:hAnsiTheme="majorBidi" w:cstheme="majorBidi"/>
                <w:sz w:val="20"/>
                <w:szCs w:val="20"/>
              </w:rPr>
            </w:pPr>
            <w:r w:rsidRPr="008D1FB9">
              <w:rPr>
                <w:rFonts w:asciiTheme="majorBidi" w:hAnsiTheme="majorBidi" w:cstheme="majorBidi"/>
                <w:sz w:val="20"/>
                <w:szCs w:val="20"/>
              </w:rPr>
              <w:t>Disability-Adjusted Life Year (DALY)</w:t>
            </w:r>
          </w:p>
        </w:tc>
        <w:tc>
          <w:tcPr>
            <w:tcW w:w="2062" w:type="dxa"/>
            <w:shd w:val="clear" w:color="auto" w:fill="auto"/>
          </w:tcPr>
          <w:p w14:paraId="70AE5F40" w14:textId="64EF26FC"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 xml:space="preserve">The burden of disease framework enables the assessment of the health impact of diseases </w:t>
            </w:r>
          </w:p>
        </w:tc>
        <w:tc>
          <w:tcPr>
            <w:tcW w:w="3137" w:type="dxa"/>
          </w:tcPr>
          <w:p w14:paraId="6C891A60" w14:textId="1408C7DB"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r w:rsidRPr="008D1FB9">
              <w:rPr>
                <w:rFonts w:asciiTheme="majorBidi" w:hAnsiTheme="majorBidi" w:cstheme="majorBidi"/>
                <w:sz w:val="20"/>
                <w:szCs w:val="20"/>
              </w:rPr>
              <w:t>DALYs provide a summary of the impact of communicable diseases, forming the burden of disease framework toolkit</w:t>
            </w:r>
          </w:p>
        </w:tc>
        <w:tc>
          <w:tcPr>
            <w:tcW w:w="2610" w:type="dxa"/>
            <w:shd w:val="clear" w:color="auto" w:fill="auto"/>
          </w:tcPr>
          <w:p w14:paraId="62C5C617" w14:textId="77777777"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p>
        </w:tc>
      </w:tr>
      <w:tr w:rsidR="005470C1" w:rsidRPr="008D1FB9" w14:paraId="1B97D8C2" w14:textId="77777777" w:rsidTr="005470C1">
        <w:trPr>
          <w:trHeight w:val="20"/>
        </w:trPr>
        <w:tc>
          <w:tcPr>
            <w:tcW w:w="1519" w:type="dxa"/>
            <w:shd w:val="clear" w:color="auto" w:fill="auto"/>
          </w:tcPr>
          <w:p w14:paraId="735BE1BC" w14:textId="23F4EF85" w:rsidR="005470C1" w:rsidRPr="008D1FB9" w:rsidRDefault="005470C1" w:rsidP="008D1FB9">
            <w:pPr>
              <w:rPr>
                <w:rFonts w:asciiTheme="majorBidi" w:hAnsiTheme="majorBidi" w:cstheme="majorBidi"/>
                <w:color w:val="000000"/>
                <w:sz w:val="20"/>
                <w:szCs w:val="20"/>
              </w:rPr>
            </w:pPr>
            <w:r w:rsidRPr="008D1FB9">
              <w:rPr>
                <w:rFonts w:asciiTheme="majorBidi" w:hAnsiTheme="majorBidi" w:cstheme="majorBidi"/>
                <w:color w:val="000000"/>
                <w:sz w:val="20"/>
                <w:szCs w:val="20"/>
              </w:rPr>
              <w:t>Kokko, 2021</w:t>
            </w:r>
          </w:p>
        </w:tc>
        <w:tc>
          <w:tcPr>
            <w:tcW w:w="1384" w:type="dxa"/>
            <w:shd w:val="clear" w:color="auto" w:fill="auto"/>
          </w:tcPr>
          <w:p w14:paraId="26EFEBC0" w14:textId="1A3FACE3"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Finland</w:t>
            </w:r>
          </w:p>
        </w:tc>
        <w:tc>
          <w:tcPr>
            <w:tcW w:w="1497" w:type="dxa"/>
            <w:shd w:val="clear" w:color="auto" w:fill="auto"/>
          </w:tcPr>
          <w:p w14:paraId="5D33E15E" w14:textId="53F319BB" w:rsidR="005470C1" w:rsidRPr="008D1FB9" w:rsidRDefault="00347C37" w:rsidP="008D1FB9">
            <w:pPr>
              <w:spacing w:after="0" w:line="240" w:lineRule="auto"/>
              <w:rPr>
                <w:rFonts w:asciiTheme="majorBidi" w:hAnsiTheme="majorBidi" w:cstheme="majorBidi"/>
                <w:sz w:val="20"/>
                <w:szCs w:val="20"/>
              </w:rPr>
            </w:pPr>
            <w:r>
              <w:rPr>
                <w:rFonts w:asciiTheme="majorBidi" w:hAnsiTheme="majorBidi" w:cstheme="majorBidi"/>
                <w:sz w:val="20"/>
                <w:szCs w:val="20"/>
              </w:rPr>
              <w:t xml:space="preserve">Qualitative </w:t>
            </w:r>
            <w:r w:rsidR="005470C1" w:rsidRPr="008D1FB9">
              <w:rPr>
                <w:rFonts w:asciiTheme="majorBidi" w:hAnsiTheme="majorBidi" w:cstheme="majorBidi"/>
                <w:sz w:val="20"/>
                <w:szCs w:val="20"/>
              </w:rPr>
              <w:t xml:space="preserve"> study</w:t>
            </w:r>
          </w:p>
        </w:tc>
        <w:tc>
          <w:tcPr>
            <w:tcW w:w="1551" w:type="dxa"/>
          </w:tcPr>
          <w:p w14:paraId="2A59AAF7" w14:textId="4AB46E99" w:rsidR="005470C1" w:rsidRPr="008D1FB9" w:rsidRDefault="005470C1" w:rsidP="008D1FB9">
            <w:pPr>
              <w:spacing w:after="0" w:line="240" w:lineRule="auto"/>
              <w:rPr>
                <w:rFonts w:asciiTheme="majorBidi" w:hAnsiTheme="majorBidi" w:cstheme="majorBidi"/>
                <w:sz w:val="20"/>
                <w:szCs w:val="20"/>
              </w:rPr>
            </w:pPr>
            <w:bookmarkStart w:id="8" w:name="_Hlk117498994"/>
            <w:r w:rsidRPr="008D1FB9">
              <w:rPr>
                <w:rFonts w:asciiTheme="majorBidi" w:hAnsiTheme="majorBidi" w:cstheme="majorBidi"/>
                <w:sz w:val="20"/>
                <w:szCs w:val="20"/>
              </w:rPr>
              <w:t>National Health Indicators (NHIs)</w:t>
            </w:r>
            <w:bookmarkEnd w:id="8"/>
          </w:p>
        </w:tc>
        <w:tc>
          <w:tcPr>
            <w:tcW w:w="2062" w:type="dxa"/>
            <w:shd w:val="clear" w:color="auto" w:fill="auto"/>
          </w:tcPr>
          <w:p w14:paraId="2B49FD79" w14:textId="55F1193D" w:rsidR="005470C1" w:rsidRPr="008D1FB9" w:rsidRDefault="005470C1" w:rsidP="008D1FB9">
            <w:pPr>
              <w:spacing w:after="0" w:line="240" w:lineRule="auto"/>
              <w:rPr>
                <w:rFonts w:asciiTheme="majorBidi" w:eastAsia="Times New Roman" w:hAnsiTheme="majorBidi" w:cstheme="majorBidi"/>
                <w:sz w:val="20"/>
                <w:szCs w:val="20"/>
              </w:rPr>
            </w:pPr>
            <w:r w:rsidRPr="008D1FB9">
              <w:rPr>
                <w:rFonts w:asciiTheme="majorBidi" w:eastAsia="Times New Roman" w:hAnsiTheme="majorBidi" w:cstheme="majorBidi"/>
                <w:sz w:val="20"/>
                <w:szCs w:val="20"/>
              </w:rPr>
              <w:t>NHIS allow the assessment of the national healthcare system</w:t>
            </w:r>
          </w:p>
        </w:tc>
        <w:tc>
          <w:tcPr>
            <w:tcW w:w="3137" w:type="dxa"/>
          </w:tcPr>
          <w:p w14:paraId="508DCF11" w14:textId="68B35F81"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bookmarkStart w:id="9" w:name="_Hlk117499943"/>
            <w:r w:rsidRPr="008D1FB9">
              <w:rPr>
                <w:rFonts w:asciiTheme="majorBidi" w:hAnsiTheme="majorBidi" w:cstheme="majorBidi"/>
                <w:sz w:val="20"/>
                <w:szCs w:val="20"/>
              </w:rPr>
              <w:t>NHIs allow to measure outcomes in order to improve policy making in healthcare</w:t>
            </w:r>
            <w:bookmarkEnd w:id="9"/>
          </w:p>
        </w:tc>
        <w:tc>
          <w:tcPr>
            <w:tcW w:w="2610" w:type="dxa"/>
            <w:shd w:val="clear" w:color="auto" w:fill="auto"/>
          </w:tcPr>
          <w:p w14:paraId="6B4D9D49" w14:textId="77777777" w:rsidR="005470C1" w:rsidRPr="008D1FB9" w:rsidRDefault="005470C1" w:rsidP="008D1FB9">
            <w:pPr>
              <w:autoSpaceDE w:val="0"/>
              <w:autoSpaceDN w:val="0"/>
              <w:adjustRightInd w:val="0"/>
              <w:spacing w:after="0" w:line="240" w:lineRule="auto"/>
              <w:rPr>
                <w:rFonts w:asciiTheme="majorBidi" w:hAnsiTheme="majorBidi" w:cstheme="majorBidi"/>
                <w:sz w:val="20"/>
                <w:szCs w:val="20"/>
              </w:rPr>
            </w:pPr>
          </w:p>
        </w:tc>
      </w:tr>
    </w:tbl>
    <w:p w14:paraId="7F019307" w14:textId="5F8B8232" w:rsidR="008B6686" w:rsidRDefault="00391F22">
      <w:r>
        <w:t xml:space="preserve"> </w:t>
      </w:r>
    </w:p>
    <w:sectPr w:rsidR="008B6686" w:rsidSect="00391F2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FA59B4"/>
    <w:multiLevelType w:val="hybridMultilevel"/>
    <w:tmpl w:val="A75E416E"/>
    <w:lvl w:ilvl="0" w:tplc="49D4C972">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796"/>
    <w:rsid w:val="000008E1"/>
    <w:rsid w:val="0000582B"/>
    <w:rsid w:val="0002474C"/>
    <w:rsid w:val="00056633"/>
    <w:rsid w:val="00087A22"/>
    <w:rsid w:val="00091C88"/>
    <w:rsid w:val="000A5C1E"/>
    <w:rsid w:val="000B776A"/>
    <w:rsid w:val="000D0A52"/>
    <w:rsid w:val="000E0FB8"/>
    <w:rsid w:val="000F385B"/>
    <w:rsid w:val="000F56D1"/>
    <w:rsid w:val="001010AF"/>
    <w:rsid w:val="00101E26"/>
    <w:rsid w:val="00130C61"/>
    <w:rsid w:val="00141FF5"/>
    <w:rsid w:val="00151BC0"/>
    <w:rsid w:val="0015225D"/>
    <w:rsid w:val="00153C7C"/>
    <w:rsid w:val="0015438F"/>
    <w:rsid w:val="001A1BE3"/>
    <w:rsid w:val="001A3136"/>
    <w:rsid w:val="001B3FE7"/>
    <w:rsid w:val="001C11E6"/>
    <w:rsid w:val="001F5541"/>
    <w:rsid w:val="001F7C8A"/>
    <w:rsid w:val="002103B0"/>
    <w:rsid w:val="00226F16"/>
    <w:rsid w:val="00234DFF"/>
    <w:rsid w:val="00271EB6"/>
    <w:rsid w:val="002729FA"/>
    <w:rsid w:val="002743E6"/>
    <w:rsid w:val="0028572F"/>
    <w:rsid w:val="00292D71"/>
    <w:rsid w:val="00294F71"/>
    <w:rsid w:val="00296AD0"/>
    <w:rsid w:val="002B1C96"/>
    <w:rsid w:val="002D6180"/>
    <w:rsid w:val="002E045C"/>
    <w:rsid w:val="002E3394"/>
    <w:rsid w:val="0032686D"/>
    <w:rsid w:val="00332D66"/>
    <w:rsid w:val="00337A88"/>
    <w:rsid w:val="00347C37"/>
    <w:rsid w:val="00353E06"/>
    <w:rsid w:val="00390A2D"/>
    <w:rsid w:val="00391F22"/>
    <w:rsid w:val="003B0DC6"/>
    <w:rsid w:val="003B13C1"/>
    <w:rsid w:val="003B223E"/>
    <w:rsid w:val="003B5F5F"/>
    <w:rsid w:val="003C4CF6"/>
    <w:rsid w:val="003F6462"/>
    <w:rsid w:val="003F7796"/>
    <w:rsid w:val="00401DAA"/>
    <w:rsid w:val="00404657"/>
    <w:rsid w:val="00404AC0"/>
    <w:rsid w:val="00464598"/>
    <w:rsid w:val="00472B06"/>
    <w:rsid w:val="00475838"/>
    <w:rsid w:val="00476C2F"/>
    <w:rsid w:val="004935C0"/>
    <w:rsid w:val="0049722D"/>
    <w:rsid w:val="004A4C3C"/>
    <w:rsid w:val="004A7BAD"/>
    <w:rsid w:val="004E08B6"/>
    <w:rsid w:val="004E1C22"/>
    <w:rsid w:val="00500866"/>
    <w:rsid w:val="005043F0"/>
    <w:rsid w:val="00517551"/>
    <w:rsid w:val="00520731"/>
    <w:rsid w:val="00523576"/>
    <w:rsid w:val="00526266"/>
    <w:rsid w:val="005416F0"/>
    <w:rsid w:val="005470C1"/>
    <w:rsid w:val="005618EE"/>
    <w:rsid w:val="005635AF"/>
    <w:rsid w:val="0056723B"/>
    <w:rsid w:val="005755DD"/>
    <w:rsid w:val="005817C9"/>
    <w:rsid w:val="005A18BC"/>
    <w:rsid w:val="00603070"/>
    <w:rsid w:val="006211D4"/>
    <w:rsid w:val="00630D0D"/>
    <w:rsid w:val="00647886"/>
    <w:rsid w:val="006602CD"/>
    <w:rsid w:val="0066135A"/>
    <w:rsid w:val="00663307"/>
    <w:rsid w:val="00665F3B"/>
    <w:rsid w:val="006715B9"/>
    <w:rsid w:val="00671B8B"/>
    <w:rsid w:val="0068456D"/>
    <w:rsid w:val="006B4B87"/>
    <w:rsid w:val="006B654E"/>
    <w:rsid w:val="006C6C78"/>
    <w:rsid w:val="006D732A"/>
    <w:rsid w:val="006E1DCA"/>
    <w:rsid w:val="00715C49"/>
    <w:rsid w:val="007360F1"/>
    <w:rsid w:val="007369EE"/>
    <w:rsid w:val="00742E1A"/>
    <w:rsid w:val="00746666"/>
    <w:rsid w:val="00765D7E"/>
    <w:rsid w:val="0077230E"/>
    <w:rsid w:val="007C50EC"/>
    <w:rsid w:val="007C52D4"/>
    <w:rsid w:val="007D2E4D"/>
    <w:rsid w:val="007E159A"/>
    <w:rsid w:val="007E54C6"/>
    <w:rsid w:val="008019B0"/>
    <w:rsid w:val="00812B6C"/>
    <w:rsid w:val="00827F50"/>
    <w:rsid w:val="00831A4E"/>
    <w:rsid w:val="00843211"/>
    <w:rsid w:val="00846E93"/>
    <w:rsid w:val="008500DC"/>
    <w:rsid w:val="008526DA"/>
    <w:rsid w:val="008728E6"/>
    <w:rsid w:val="008825A7"/>
    <w:rsid w:val="00886A1B"/>
    <w:rsid w:val="008A0CB9"/>
    <w:rsid w:val="008B3F12"/>
    <w:rsid w:val="008B41AE"/>
    <w:rsid w:val="008B6686"/>
    <w:rsid w:val="008C02E7"/>
    <w:rsid w:val="008C211C"/>
    <w:rsid w:val="008D1FB9"/>
    <w:rsid w:val="008F239F"/>
    <w:rsid w:val="00914429"/>
    <w:rsid w:val="0091552B"/>
    <w:rsid w:val="00940363"/>
    <w:rsid w:val="00954EDA"/>
    <w:rsid w:val="009662B2"/>
    <w:rsid w:val="00970843"/>
    <w:rsid w:val="009A287D"/>
    <w:rsid w:val="009A42AF"/>
    <w:rsid w:val="009A5B0D"/>
    <w:rsid w:val="009C0319"/>
    <w:rsid w:val="009C1BB6"/>
    <w:rsid w:val="009D15EB"/>
    <w:rsid w:val="009E3D5A"/>
    <w:rsid w:val="00A05668"/>
    <w:rsid w:val="00A05F28"/>
    <w:rsid w:val="00A07E4F"/>
    <w:rsid w:val="00A16757"/>
    <w:rsid w:val="00A26622"/>
    <w:rsid w:val="00A42F67"/>
    <w:rsid w:val="00A56C28"/>
    <w:rsid w:val="00AA5C91"/>
    <w:rsid w:val="00AE039F"/>
    <w:rsid w:val="00B00E03"/>
    <w:rsid w:val="00B264B4"/>
    <w:rsid w:val="00B359FB"/>
    <w:rsid w:val="00B413E3"/>
    <w:rsid w:val="00B50C9A"/>
    <w:rsid w:val="00B574F8"/>
    <w:rsid w:val="00B946BD"/>
    <w:rsid w:val="00BB2980"/>
    <w:rsid w:val="00BB7B6E"/>
    <w:rsid w:val="00BE4CA8"/>
    <w:rsid w:val="00BF027A"/>
    <w:rsid w:val="00C12C16"/>
    <w:rsid w:val="00C24349"/>
    <w:rsid w:val="00C410BE"/>
    <w:rsid w:val="00C76722"/>
    <w:rsid w:val="00CA2F6D"/>
    <w:rsid w:val="00CD7AE0"/>
    <w:rsid w:val="00CE2E2B"/>
    <w:rsid w:val="00CE4892"/>
    <w:rsid w:val="00CF3771"/>
    <w:rsid w:val="00D029EC"/>
    <w:rsid w:val="00D041AF"/>
    <w:rsid w:val="00D15CDF"/>
    <w:rsid w:val="00D26F4C"/>
    <w:rsid w:val="00D31F91"/>
    <w:rsid w:val="00D33A94"/>
    <w:rsid w:val="00D70CD0"/>
    <w:rsid w:val="00D85C20"/>
    <w:rsid w:val="00D94952"/>
    <w:rsid w:val="00D96FB6"/>
    <w:rsid w:val="00DB3C78"/>
    <w:rsid w:val="00DB48B5"/>
    <w:rsid w:val="00DC1521"/>
    <w:rsid w:val="00DC37DE"/>
    <w:rsid w:val="00DC5027"/>
    <w:rsid w:val="00DD3F19"/>
    <w:rsid w:val="00DF2505"/>
    <w:rsid w:val="00E011CD"/>
    <w:rsid w:val="00E018EF"/>
    <w:rsid w:val="00E02575"/>
    <w:rsid w:val="00E316A4"/>
    <w:rsid w:val="00E50CC8"/>
    <w:rsid w:val="00E71B3B"/>
    <w:rsid w:val="00E7559C"/>
    <w:rsid w:val="00E80CCD"/>
    <w:rsid w:val="00E8593D"/>
    <w:rsid w:val="00E90F58"/>
    <w:rsid w:val="00EA119F"/>
    <w:rsid w:val="00EB05A0"/>
    <w:rsid w:val="00EC35AE"/>
    <w:rsid w:val="00EE7AE9"/>
    <w:rsid w:val="00F12D68"/>
    <w:rsid w:val="00F20B6D"/>
    <w:rsid w:val="00F26EB9"/>
    <w:rsid w:val="00F36723"/>
    <w:rsid w:val="00F36D93"/>
    <w:rsid w:val="00F420C4"/>
    <w:rsid w:val="00F47FCE"/>
    <w:rsid w:val="00F765C0"/>
    <w:rsid w:val="00F850BA"/>
    <w:rsid w:val="00FC2373"/>
    <w:rsid w:val="00FC6934"/>
    <w:rsid w:val="00FD42CA"/>
    <w:rsid w:val="00FD43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B72AC"/>
  <w15:chartTrackingRefBased/>
  <w15:docId w15:val="{C52DDD71-C192-4C1E-AE40-8B7D82EB8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23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47123">
      <w:bodyDiv w:val="1"/>
      <w:marLeft w:val="0"/>
      <w:marRight w:val="0"/>
      <w:marTop w:val="0"/>
      <w:marBottom w:val="0"/>
      <w:divBdr>
        <w:top w:val="none" w:sz="0" w:space="0" w:color="auto"/>
        <w:left w:val="none" w:sz="0" w:space="0" w:color="auto"/>
        <w:bottom w:val="none" w:sz="0" w:space="0" w:color="auto"/>
        <w:right w:val="none" w:sz="0" w:space="0" w:color="auto"/>
      </w:divBdr>
    </w:div>
    <w:div w:id="246773756">
      <w:bodyDiv w:val="1"/>
      <w:marLeft w:val="0"/>
      <w:marRight w:val="0"/>
      <w:marTop w:val="0"/>
      <w:marBottom w:val="0"/>
      <w:divBdr>
        <w:top w:val="none" w:sz="0" w:space="0" w:color="auto"/>
        <w:left w:val="none" w:sz="0" w:space="0" w:color="auto"/>
        <w:bottom w:val="none" w:sz="0" w:space="0" w:color="auto"/>
        <w:right w:val="none" w:sz="0" w:space="0" w:color="auto"/>
      </w:divBdr>
    </w:div>
    <w:div w:id="253394491">
      <w:bodyDiv w:val="1"/>
      <w:marLeft w:val="0"/>
      <w:marRight w:val="0"/>
      <w:marTop w:val="0"/>
      <w:marBottom w:val="0"/>
      <w:divBdr>
        <w:top w:val="none" w:sz="0" w:space="0" w:color="auto"/>
        <w:left w:val="none" w:sz="0" w:space="0" w:color="auto"/>
        <w:bottom w:val="none" w:sz="0" w:space="0" w:color="auto"/>
        <w:right w:val="none" w:sz="0" w:space="0" w:color="auto"/>
      </w:divBdr>
    </w:div>
    <w:div w:id="302540884">
      <w:bodyDiv w:val="1"/>
      <w:marLeft w:val="0"/>
      <w:marRight w:val="0"/>
      <w:marTop w:val="0"/>
      <w:marBottom w:val="0"/>
      <w:divBdr>
        <w:top w:val="none" w:sz="0" w:space="0" w:color="auto"/>
        <w:left w:val="none" w:sz="0" w:space="0" w:color="auto"/>
        <w:bottom w:val="none" w:sz="0" w:space="0" w:color="auto"/>
        <w:right w:val="none" w:sz="0" w:space="0" w:color="auto"/>
      </w:divBdr>
    </w:div>
    <w:div w:id="380062686">
      <w:bodyDiv w:val="1"/>
      <w:marLeft w:val="0"/>
      <w:marRight w:val="0"/>
      <w:marTop w:val="0"/>
      <w:marBottom w:val="0"/>
      <w:divBdr>
        <w:top w:val="none" w:sz="0" w:space="0" w:color="auto"/>
        <w:left w:val="none" w:sz="0" w:space="0" w:color="auto"/>
        <w:bottom w:val="none" w:sz="0" w:space="0" w:color="auto"/>
        <w:right w:val="none" w:sz="0" w:space="0" w:color="auto"/>
      </w:divBdr>
    </w:div>
    <w:div w:id="580528216">
      <w:bodyDiv w:val="1"/>
      <w:marLeft w:val="0"/>
      <w:marRight w:val="0"/>
      <w:marTop w:val="0"/>
      <w:marBottom w:val="0"/>
      <w:divBdr>
        <w:top w:val="none" w:sz="0" w:space="0" w:color="auto"/>
        <w:left w:val="none" w:sz="0" w:space="0" w:color="auto"/>
        <w:bottom w:val="none" w:sz="0" w:space="0" w:color="auto"/>
        <w:right w:val="none" w:sz="0" w:space="0" w:color="auto"/>
      </w:divBdr>
    </w:div>
    <w:div w:id="654142241">
      <w:bodyDiv w:val="1"/>
      <w:marLeft w:val="0"/>
      <w:marRight w:val="0"/>
      <w:marTop w:val="0"/>
      <w:marBottom w:val="0"/>
      <w:divBdr>
        <w:top w:val="none" w:sz="0" w:space="0" w:color="auto"/>
        <w:left w:val="none" w:sz="0" w:space="0" w:color="auto"/>
        <w:bottom w:val="none" w:sz="0" w:space="0" w:color="auto"/>
        <w:right w:val="none" w:sz="0" w:space="0" w:color="auto"/>
      </w:divBdr>
    </w:div>
    <w:div w:id="659312082">
      <w:bodyDiv w:val="1"/>
      <w:marLeft w:val="0"/>
      <w:marRight w:val="0"/>
      <w:marTop w:val="0"/>
      <w:marBottom w:val="0"/>
      <w:divBdr>
        <w:top w:val="none" w:sz="0" w:space="0" w:color="auto"/>
        <w:left w:val="none" w:sz="0" w:space="0" w:color="auto"/>
        <w:bottom w:val="none" w:sz="0" w:space="0" w:color="auto"/>
        <w:right w:val="none" w:sz="0" w:space="0" w:color="auto"/>
      </w:divBdr>
    </w:div>
    <w:div w:id="773599953">
      <w:bodyDiv w:val="1"/>
      <w:marLeft w:val="0"/>
      <w:marRight w:val="0"/>
      <w:marTop w:val="0"/>
      <w:marBottom w:val="0"/>
      <w:divBdr>
        <w:top w:val="none" w:sz="0" w:space="0" w:color="auto"/>
        <w:left w:val="none" w:sz="0" w:space="0" w:color="auto"/>
        <w:bottom w:val="none" w:sz="0" w:space="0" w:color="auto"/>
        <w:right w:val="none" w:sz="0" w:space="0" w:color="auto"/>
      </w:divBdr>
    </w:div>
    <w:div w:id="821001457">
      <w:bodyDiv w:val="1"/>
      <w:marLeft w:val="0"/>
      <w:marRight w:val="0"/>
      <w:marTop w:val="0"/>
      <w:marBottom w:val="0"/>
      <w:divBdr>
        <w:top w:val="none" w:sz="0" w:space="0" w:color="auto"/>
        <w:left w:val="none" w:sz="0" w:space="0" w:color="auto"/>
        <w:bottom w:val="none" w:sz="0" w:space="0" w:color="auto"/>
        <w:right w:val="none" w:sz="0" w:space="0" w:color="auto"/>
      </w:divBdr>
    </w:div>
    <w:div w:id="837623305">
      <w:bodyDiv w:val="1"/>
      <w:marLeft w:val="0"/>
      <w:marRight w:val="0"/>
      <w:marTop w:val="0"/>
      <w:marBottom w:val="0"/>
      <w:divBdr>
        <w:top w:val="none" w:sz="0" w:space="0" w:color="auto"/>
        <w:left w:val="none" w:sz="0" w:space="0" w:color="auto"/>
        <w:bottom w:val="none" w:sz="0" w:space="0" w:color="auto"/>
        <w:right w:val="none" w:sz="0" w:space="0" w:color="auto"/>
      </w:divBdr>
    </w:div>
    <w:div w:id="1030182231">
      <w:bodyDiv w:val="1"/>
      <w:marLeft w:val="0"/>
      <w:marRight w:val="0"/>
      <w:marTop w:val="0"/>
      <w:marBottom w:val="0"/>
      <w:divBdr>
        <w:top w:val="none" w:sz="0" w:space="0" w:color="auto"/>
        <w:left w:val="none" w:sz="0" w:space="0" w:color="auto"/>
        <w:bottom w:val="none" w:sz="0" w:space="0" w:color="auto"/>
        <w:right w:val="none" w:sz="0" w:space="0" w:color="auto"/>
      </w:divBdr>
    </w:div>
    <w:div w:id="1074812802">
      <w:bodyDiv w:val="1"/>
      <w:marLeft w:val="0"/>
      <w:marRight w:val="0"/>
      <w:marTop w:val="0"/>
      <w:marBottom w:val="0"/>
      <w:divBdr>
        <w:top w:val="none" w:sz="0" w:space="0" w:color="auto"/>
        <w:left w:val="none" w:sz="0" w:space="0" w:color="auto"/>
        <w:bottom w:val="none" w:sz="0" w:space="0" w:color="auto"/>
        <w:right w:val="none" w:sz="0" w:space="0" w:color="auto"/>
      </w:divBdr>
    </w:div>
    <w:div w:id="1105879164">
      <w:bodyDiv w:val="1"/>
      <w:marLeft w:val="0"/>
      <w:marRight w:val="0"/>
      <w:marTop w:val="0"/>
      <w:marBottom w:val="0"/>
      <w:divBdr>
        <w:top w:val="none" w:sz="0" w:space="0" w:color="auto"/>
        <w:left w:val="none" w:sz="0" w:space="0" w:color="auto"/>
        <w:bottom w:val="none" w:sz="0" w:space="0" w:color="auto"/>
        <w:right w:val="none" w:sz="0" w:space="0" w:color="auto"/>
      </w:divBdr>
    </w:div>
    <w:div w:id="1191533782">
      <w:bodyDiv w:val="1"/>
      <w:marLeft w:val="0"/>
      <w:marRight w:val="0"/>
      <w:marTop w:val="0"/>
      <w:marBottom w:val="0"/>
      <w:divBdr>
        <w:top w:val="none" w:sz="0" w:space="0" w:color="auto"/>
        <w:left w:val="none" w:sz="0" w:space="0" w:color="auto"/>
        <w:bottom w:val="none" w:sz="0" w:space="0" w:color="auto"/>
        <w:right w:val="none" w:sz="0" w:space="0" w:color="auto"/>
      </w:divBdr>
    </w:div>
    <w:div w:id="1260987798">
      <w:bodyDiv w:val="1"/>
      <w:marLeft w:val="0"/>
      <w:marRight w:val="0"/>
      <w:marTop w:val="0"/>
      <w:marBottom w:val="0"/>
      <w:divBdr>
        <w:top w:val="none" w:sz="0" w:space="0" w:color="auto"/>
        <w:left w:val="none" w:sz="0" w:space="0" w:color="auto"/>
        <w:bottom w:val="none" w:sz="0" w:space="0" w:color="auto"/>
        <w:right w:val="none" w:sz="0" w:space="0" w:color="auto"/>
      </w:divBdr>
    </w:div>
    <w:div w:id="1272082649">
      <w:bodyDiv w:val="1"/>
      <w:marLeft w:val="0"/>
      <w:marRight w:val="0"/>
      <w:marTop w:val="0"/>
      <w:marBottom w:val="0"/>
      <w:divBdr>
        <w:top w:val="none" w:sz="0" w:space="0" w:color="auto"/>
        <w:left w:val="none" w:sz="0" w:space="0" w:color="auto"/>
        <w:bottom w:val="none" w:sz="0" w:space="0" w:color="auto"/>
        <w:right w:val="none" w:sz="0" w:space="0" w:color="auto"/>
      </w:divBdr>
    </w:div>
    <w:div w:id="1311255050">
      <w:bodyDiv w:val="1"/>
      <w:marLeft w:val="0"/>
      <w:marRight w:val="0"/>
      <w:marTop w:val="0"/>
      <w:marBottom w:val="0"/>
      <w:divBdr>
        <w:top w:val="none" w:sz="0" w:space="0" w:color="auto"/>
        <w:left w:val="none" w:sz="0" w:space="0" w:color="auto"/>
        <w:bottom w:val="none" w:sz="0" w:space="0" w:color="auto"/>
        <w:right w:val="none" w:sz="0" w:space="0" w:color="auto"/>
      </w:divBdr>
    </w:div>
    <w:div w:id="1337612638">
      <w:bodyDiv w:val="1"/>
      <w:marLeft w:val="0"/>
      <w:marRight w:val="0"/>
      <w:marTop w:val="0"/>
      <w:marBottom w:val="0"/>
      <w:divBdr>
        <w:top w:val="none" w:sz="0" w:space="0" w:color="auto"/>
        <w:left w:val="none" w:sz="0" w:space="0" w:color="auto"/>
        <w:bottom w:val="none" w:sz="0" w:space="0" w:color="auto"/>
        <w:right w:val="none" w:sz="0" w:space="0" w:color="auto"/>
      </w:divBdr>
    </w:div>
    <w:div w:id="1371884070">
      <w:bodyDiv w:val="1"/>
      <w:marLeft w:val="0"/>
      <w:marRight w:val="0"/>
      <w:marTop w:val="0"/>
      <w:marBottom w:val="0"/>
      <w:divBdr>
        <w:top w:val="none" w:sz="0" w:space="0" w:color="auto"/>
        <w:left w:val="none" w:sz="0" w:space="0" w:color="auto"/>
        <w:bottom w:val="none" w:sz="0" w:space="0" w:color="auto"/>
        <w:right w:val="none" w:sz="0" w:space="0" w:color="auto"/>
      </w:divBdr>
    </w:div>
    <w:div w:id="1499611632">
      <w:bodyDiv w:val="1"/>
      <w:marLeft w:val="0"/>
      <w:marRight w:val="0"/>
      <w:marTop w:val="0"/>
      <w:marBottom w:val="0"/>
      <w:divBdr>
        <w:top w:val="none" w:sz="0" w:space="0" w:color="auto"/>
        <w:left w:val="none" w:sz="0" w:space="0" w:color="auto"/>
        <w:bottom w:val="none" w:sz="0" w:space="0" w:color="auto"/>
        <w:right w:val="none" w:sz="0" w:space="0" w:color="auto"/>
      </w:divBdr>
    </w:div>
    <w:div w:id="1632591422">
      <w:bodyDiv w:val="1"/>
      <w:marLeft w:val="0"/>
      <w:marRight w:val="0"/>
      <w:marTop w:val="0"/>
      <w:marBottom w:val="0"/>
      <w:divBdr>
        <w:top w:val="none" w:sz="0" w:space="0" w:color="auto"/>
        <w:left w:val="none" w:sz="0" w:space="0" w:color="auto"/>
        <w:bottom w:val="none" w:sz="0" w:space="0" w:color="auto"/>
        <w:right w:val="none" w:sz="0" w:space="0" w:color="auto"/>
      </w:divBdr>
    </w:div>
    <w:div w:id="172413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C77165FFED814188D5D5DE83818BE7" ma:contentTypeVersion="14" ma:contentTypeDescription="Create a new document." ma:contentTypeScope="" ma:versionID="54d22a59c3ba6710871b48254bfbc1ab">
  <xsd:schema xmlns:xsd="http://www.w3.org/2001/XMLSchema" xmlns:xs="http://www.w3.org/2001/XMLSchema" xmlns:p="http://schemas.microsoft.com/office/2006/metadata/properties" xmlns:ns3="29aa738c-8d5a-4cf3-9b67-3653ffa7d219" xmlns:ns4="d2cb2c47-83fb-499c-8831-b65c0a411728" targetNamespace="http://schemas.microsoft.com/office/2006/metadata/properties" ma:root="true" ma:fieldsID="8eb54a5b6a16b140383719a5891006ee" ns3:_="" ns4:_="">
    <xsd:import namespace="29aa738c-8d5a-4cf3-9b67-3653ffa7d219"/>
    <xsd:import namespace="d2cb2c47-83fb-499c-8831-b65c0a41172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a738c-8d5a-4cf3-9b67-3653ffa7d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cb2c47-83fb-499c-8831-b65c0a41172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73E3BB-5320-4AEF-9CC7-3FBD05D3DC84}">
  <ds:schemaRef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 ds:uri="http://purl.org/dc/terms/"/>
    <ds:schemaRef ds:uri="d2cb2c47-83fb-499c-8831-b65c0a411728"/>
    <ds:schemaRef ds:uri="29aa738c-8d5a-4cf3-9b67-3653ffa7d219"/>
    <ds:schemaRef ds:uri="http://purl.org/dc/dcmitype/"/>
  </ds:schemaRefs>
</ds:datastoreItem>
</file>

<file path=customXml/itemProps2.xml><?xml version="1.0" encoding="utf-8"?>
<ds:datastoreItem xmlns:ds="http://schemas.openxmlformats.org/officeDocument/2006/customXml" ds:itemID="{8B78F2C7-8242-47D4-8C01-5C8DCDF87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a738c-8d5a-4cf3-9b67-3653ffa7d219"/>
    <ds:schemaRef ds:uri="d2cb2c47-83fb-499c-8831-b65c0a411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14A3D4-4B3B-4EAD-B26A-86C51AF3D0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 Bou Karroum</dc:creator>
  <cp:keywords/>
  <dc:description/>
  <cp:lastModifiedBy>Lama Bou Karroum</cp:lastModifiedBy>
  <cp:revision>12</cp:revision>
  <dcterms:created xsi:type="dcterms:W3CDTF">2022-11-02T14:19:00Z</dcterms:created>
  <dcterms:modified xsi:type="dcterms:W3CDTF">2023-10-04T09:20:00Z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0x010100FEC77165FFED814188D5D5DE83818BE7</vt:lpwstr>
  </property>
</Properties>
</file>