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6E628" w14:textId="29422BB2" w:rsidR="00391F22" w:rsidRPr="00E51CFA" w:rsidRDefault="00391F22" w:rsidP="00E50CC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51CFA">
        <w:rPr>
          <w:rFonts w:asciiTheme="majorBidi" w:hAnsiTheme="majorBidi" w:cstheme="majorBidi"/>
          <w:b/>
          <w:bCs/>
          <w:sz w:val="24"/>
          <w:szCs w:val="24"/>
        </w:rPr>
        <w:t>Studies on</w:t>
      </w:r>
      <w:r w:rsidR="00DC5D39" w:rsidRPr="00E51CFA">
        <w:rPr>
          <w:rFonts w:asciiTheme="majorBidi" w:hAnsiTheme="majorBidi" w:cstheme="majorBidi"/>
          <w:b/>
          <w:bCs/>
          <w:sz w:val="24"/>
          <w:szCs w:val="24"/>
        </w:rPr>
        <w:t xml:space="preserve"> Evidence Synthesis </w:t>
      </w:r>
      <w:r w:rsidR="009662B2" w:rsidRPr="00E51CFA">
        <w:rPr>
          <w:rFonts w:asciiTheme="majorBidi" w:hAnsiTheme="majorBidi" w:cstheme="majorBidi"/>
          <w:b/>
          <w:bCs/>
          <w:sz w:val="24"/>
          <w:szCs w:val="24"/>
        </w:rPr>
        <w:t>(n=</w:t>
      </w:r>
      <w:r w:rsidR="00FC242B" w:rsidRPr="00E51CFA">
        <w:rPr>
          <w:rFonts w:asciiTheme="majorBidi" w:hAnsiTheme="majorBidi" w:cstheme="majorBidi"/>
          <w:b/>
          <w:bCs/>
          <w:sz w:val="24"/>
          <w:szCs w:val="24"/>
        </w:rPr>
        <w:t>19</w:t>
      </w:r>
      <w:r w:rsidR="00401DAA" w:rsidRPr="00E51CFA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3378774E" w14:textId="77777777" w:rsidR="00970843" w:rsidRPr="00E51CFA" w:rsidRDefault="00970843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W w:w="13943" w:type="dxa"/>
        <w:tblInd w:w="-1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9"/>
        <w:gridCol w:w="1384"/>
        <w:gridCol w:w="1497"/>
        <w:gridCol w:w="1551"/>
        <w:gridCol w:w="2062"/>
        <w:gridCol w:w="3677"/>
        <w:gridCol w:w="2253"/>
      </w:tblGrid>
      <w:tr w:rsidR="00CB2F75" w:rsidRPr="007B78CF" w14:paraId="0EEE0831" w14:textId="77777777" w:rsidTr="00CB2F75">
        <w:trPr>
          <w:trHeight w:val="20"/>
        </w:trPr>
        <w:tc>
          <w:tcPr>
            <w:tcW w:w="1519" w:type="dxa"/>
            <w:shd w:val="clear" w:color="auto" w:fill="auto"/>
            <w:hideMark/>
          </w:tcPr>
          <w:p w14:paraId="2F85BEF5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Author, Year</w:t>
            </w:r>
          </w:p>
        </w:tc>
        <w:tc>
          <w:tcPr>
            <w:tcW w:w="1384" w:type="dxa"/>
            <w:shd w:val="clear" w:color="auto" w:fill="auto"/>
            <w:hideMark/>
          </w:tcPr>
          <w:p w14:paraId="38FB8BC1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Country </w:t>
            </w:r>
          </w:p>
        </w:tc>
        <w:tc>
          <w:tcPr>
            <w:tcW w:w="1497" w:type="dxa"/>
            <w:shd w:val="clear" w:color="auto" w:fill="auto"/>
            <w:hideMark/>
          </w:tcPr>
          <w:p w14:paraId="252D4148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Study design</w:t>
            </w:r>
          </w:p>
        </w:tc>
        <w:tc>
          <w:tcPr>
            <w:tcW w:w="1551" w:type="dxa"/>
          </w:tcPr>
          <w:p w14:paraId="542E3CA6" w14:textId="77777777" w:rsidR="00CB2F75" w:rsidRPr="007B78CF" w:rsidRDefault="00CB2F75" w:rsidP="0097084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KM tool/Program</w:t>
            </w:r>
          </w:p>
        </w:tc>
        <w:tc>
          <w:tcPr>
            <w:tcW w:w="2062" w:type="dxa"/>
            <w:shd w:val="clear" w:color="auto" w:fill="auto"/>
            <w:hideMark/>
          </w:tcPr>
          <w:p w14:paraId="116EDA6F" w14:textId="77777777" w:rsidR="00CB2F75" w:rsidRPr="007B78CF" w:rsidRDefault="00CB2F75" w:rsidP="0097084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Policy Outcome(s)</w:t>
            </w:r>
          </w:p>
        </w:tc>
        <w:tc>
          <w:tcPr>
            <w:tcW w:w="3677" w:type="dxa"/>
          </w:tcPr>
          <w:p w14:paraId="64BE8CD1" w14:textId="77777777" w:rsidR="00CB2F75" w:rsidRPr="007B78CF" w:rsidRDefault="00CB2F75" w:rsidP="005817C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Main Results</w:t>
            </w:r>
          </w:p>
          <w:p w14:paraId="7D2D2C7A" w14:textId="77777777" w:rsidR="00CB2F75" w:rsidRPr="007B78CF" w:rsidRDefault="00CB2F75" w:rsidP="005817C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Is the intervention effective overall? (yes/no/inconclusive)</w:t>
            </w:r>
          </w:p>
        </w:tc>
        <w:tc>
          <w:tcPr>
            <w:tcW w:w="2253" w:type="dxa"/>
            <w:shd w:val="clear" w:color="auto" w:fill="auto"/>
            <w:hideMark/>
          </w:tcPr>
          <w:p w14:paraId="49103C81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Implementation considerations</w:t>
            </w:r>
          </w:p>
        </w:tc>
      </w:tr>
      <w:tr w:rsidR="00CB2F75" w:rsidRPr="007B78CF" w14:paraId="45F2B718" w14:textId="77777777" w:rsidTr="00CB2F75">
        <w:trPr>
          <w:trHeight w:val="20"/>
        </w:trPr>
        <w:tc>
          <w:tcPr>
            <w:tcW w:w="1519" w:type="dxa"/>
            <w:shd w:val="clear" w:color="auto" w:fill="auto"/>
          </w:tcPr>
          <w:p w14:paraId="5CBD05C8" w14:textId="77777777" w:rsidR="00CB2F75" w:rsidRPr="007B78CF" w:rsidRDefault="00CB2F75" w:rsidP="00401DAA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Wilson 2017</w:t>
            </w:r>
          </w:p>
        </w:tc>
        <w:tc>
          <w:tcPr>
            <w:tcW w:w="1384" w:type="dxa"/>
            <w:shd w:val="clear" w:color="auto" w:fill="auto"/>
          </w:tcPr>
          <w:p w14:paraId="5A93BC85" w14:textId="77777777" w:rsidR="00CB2F75" w:rsidRPr="007B78CF" w:rsidRDefault="00CB2F75" w:rsidP="005817C9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UK </w:t>
            </w:r>
          </w:p>
        </w:tc>
        <w:tc>
          <w:tcPr>
            <w:tcW w:w="1497" w:type="dxa"/>
            <w:shd w:val="clear" w:color="auto" w:fill="auto"/>
          </w:tcPr>
          <w:p w14:paraId="70B4259C" w14:textId="77777777" w:rsidR="00CB2F75" w:rsidRPr="007B78CF" w:rsidRDefault="00CB2F75" w:rsidP="00401DA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CBA</w:t>
            </w:r>
          </w:p>
        </w:tc>
        <w:tc>
          <w:tcPr>
            <w:tcW w:w="1551" w:type="dxa"/>
          </w:tcPr>
          <w:p w14:paraId="4A13D612" w14:textId="77777777" w:rsidR="00CB2F75" w:rsidRPr="007B78CF" w:rsidRDefault="00CB2F75" w:rsidP="00401DA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Hlk94358956"/>
            <w:r w:rsidRPr="007B78CF">
              <w:rPr>
                <w:rFonts w:asciiTheme="majorBidi" w:hAnsiTheme="majorBidi" w:cstheme="majorBidi"/>
                <w:sz w:val="20"/>
                <w:szCs w:val="20"/>
              </w:rPr>
              <w:t>Demand-led evidence briefing service</w:t>
            </w:r>
          </w:p>
          <w:bookmarkEnd w:id="0"/>
          <w:p w14:paraId="760848E0" w14:textId="77777777" w:rsidR="00CB2F75" w:rsidRPr="007B78CF" w:rsidRDefault="00CB2F75" w:rsidP="00401DA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71F4A5E" w14:textId="77777777" w:rsidR="00CB2F75" w:rsidRPr="007B78CF" w:rsidRDefault="00CB2F75" w:rsidP="00CB2F7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3FA20F4A" w14:textId="77777777" w:rsidR="00CB2F75" w:rsidRPr="007B78CF" w:rsidRDefault="00CB2F75" w:rsidP="00401DA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Use of research evidence by commissioners</w:t>
            </w:r>
          </w:p>
          <w:p w14:paraId="47317315" w14:textId="77777777" w:rsidR="00CB2F75" w:rsidRPr="007B78CF" w:rsidRDefault="00CB2F75" w:rsidP="00401DA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4F18C75E" w14:textId="77777777" w:rsidR="00CB2F75" w:rsidRPr="007B78CF" w:rsidRDefault="00CB2F75" w:rsidP="00401DA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Policy formulation</w:t>
            </w:r>
          </w:p>
        </w:tc>
        <w:tc>
          <w:tcPr>
            <w:tcW w:w="3677" w:type="dxa"/>
          </w:tcPr>
          <w:p w14:paraId="04A539B8" w14:textId="77777777" w:rsidR="00CB2F75" w:rsidRPr="007B78CF" w:rsidRDefault="00CB2F75" w:rsidP="00BB298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Evidence briefing service </w:t>
            </w:r>
            <w:bookmarkStart w:id="1" w:name="_Hlk94359032"/>
            <w:r w:rsidRPr="007B78CF">
              <w:rPr>
                <w:rFonts w:asciiTheme="majorBidi" w:hAnsiTheme="majorBidi" w:cstheme="majorBidi"/>
                <w:sz w:val="20"/>
                <w:szCs w:val="20"/>
              </w:rPr>
              <w:t>was not associated with increases in NHS commissioners capacity to acquire, assess, adapt and apply research evidence to support decision-making</w:t>
            </w:r>
            <w:bookmarkEnd w:id="1"/>
            <w:r w:rsidRPr="007B78CF">
              <w:rPr>
                <w:rFonts w:asciiTheme="majorBidi" w:hAnsiTheme="majorBidi" w:cstheme="majorBidi"/>
                <w:sz w:val="20"/>
                <w:szCs w:val="20"/>
              </w:rPr>
              <w:t>, individual intentions to use research findings or perceptions of commissioners relationships with researchers.</w:t>
            </w:r>
          </w:p>
          <w:p w14:paraId="51A3EFC8" w14:textId="77777777" w:rsidR="00CB2F75" w:rsidRPr="007B78CF" w:rsidRDefault="00CB2F75" w:rsidP="00BB298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53" w:type="dxa"/>
            <w:shd w:val="clear" w:color="auto" w:fill="auto"/>
          </w:tcPr>
          <w:p w14:paraId="19329E61" w14:textId="77777777" w:rsidR="00CB2F75" w:rsidRPr="007B78CF" w:rsidRDefault="00CB2F75" w:rsidP="005817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Resource-intensive</w:t>
            </w:r>
          </w:p>
        </w:tc>
      </w:tr>
      <w:tr w:rsidR="00CB2F75" w:rsidRPr="007B78CF" w14:paraId="0C6E9B5C" w14:textId="77777777" w:rsidTr="00CB2F75">
        <w:trPr>
          <w:trHeight w:val="601"/>
        </w:trPr>
        <w:tc>
          <w:tcPr>
            <w:tcW w:w="1519" w:type="dxa"/>
            <w:shd w:val="clear" w:color="auto" w:fill="auto"/>
          </w:tcPr>
          <w:p w14:paraId="0B66F4FB" w14:textId="77777777" w:rsidR="00CB2F75" w:rsidRPr="007B78CF" w:rsidRDefault="00CB2F75" w:rsidP="000F56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Eriksson 2017</w:t>
            </w:r>
          </w:p>
          <w:p w14:paraId="07D0EBD2" w14:textId="77777777" w:rsidR="00CB2F75" w:rsidRPr="007B78CF" w:rsidRDefault="00CB2F75" w:rsidP="000F56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74F39853" w14:textId="77777777" w:rsidR="00CB2F75" w:rsidRPr="007B78CF" w:rsidRDefault="00CB2F75" w:rsidP="000F56D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</w:tcPr>
          <w:p w14:paraId="40279B78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Sweden</w:t>
            </w:r>
          </w:p>
        </w:tc>
        <w:tc>
          <w:tcPr>
            <w:tcW w:w="1497" w:type="dxa"/>
            <w:shd w:val="clear" w:color="auto" w:fill="auto"/>
          </w:tcPr>
          <w:p w14:paraId="4A84130D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Narrative review</w:t>
            </w:r>
          </w:p>
        </w:tc>
        <w:tc>
          <w:tcPr>
            <w:tcW w:w="1551" w:type="dxa"/>
          </w:tcPr>
          <w:p w14:paraId="47DBA600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An early awareness and alert (EAA) system</w:t>
            </w:r>
          </w:p>
          <w:p w14:paraId="507C2464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458CFABA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(HTA tool)</w:t>
            </w:r>
          </w:p>
          <w:p w14:paraId="4C7B88B6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2731A341" w14:textId="77777777" w:rsidR="00CB2F75" w:rsidRPr="007B78CF" w:rsidRDefault="00CB2F75" w:rsidP="00CB2F7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514A1523" w14:textId="77777777" w:rsidR="00CB2F75" w:rsidRPr="007B78CF" w:rsidRDefault="00CB2F75" w:rsidP="00472B06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Resource allocation </w:t>
            </w:r>
          </w:p>
          <w:p w14:paraId="2219B895" w14:textId="77777777" w:rsidR="00CB2F75" w:rsidRPr="007B78CF" w:rsidRDefault="00CB2F75" w:rsidP="00472B06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4FCAEFF0" w14:textId="77777777" w:rsidR="00CB2F75" w:rsidRPr="007B78CF" w:rsidRDefault="00CB2F75" w:rsidP="00472B06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Policy implementation</w:t>
            </w:r>
          </w:p>
          <w:p w14:paraId="3763B2CA" w14:textId="77777777" w:rsidR="00CB2F75" w:rsidRPr="007B78CF" w:rsidRDefault="00CB2F75" w:rsidP="00472B06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3677" w:type="dxa"/>
          </w:tcPr>
          <w:p w14:paraId="06CEB8BE" w14:textId="77777777" w:rsidR="00CB2F75" w:rsidRPr="007B78CF" w:rsidRDefault="00CB2F75" w:rsidP="00472B06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the outputs of the Swedish EAA System are important for the prioritization of how resources</w:t>
            </w:r>
          </w:p>
          <w:p w14:paraId="4391FDD5" w14:textId="77777777" w:rsidR="00CB2F75" w:rsidRPr="007B78CF" w:rsidRDefault="00CB2F75" w:rsidP="00472B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are used.</w:t>
            </w:r>
          </w:p>
          <w:p w14:paraId="52C39FAE" w14:textId="77777777" w:rsidR="00CB2F75" w:rsidRPr="007B78CF" w:rsidRDefault="00CB2F75" w:rsidP="00472B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shd w:val="clear" w:color="auto" w:fill="FFFFFF"/>
              </w:rPr>
            </w:pPr>
          </w:p>
          <w:p w14:paraId="35D1C51B" w14:textId="77777777" w:rsidR="00CB2F75" w:rsidRPr="007B78CF" w:rsidRDefault="00CB2F75" w:rsidP="00472B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the EAA System was incorporated into the Swedish national process for managed introduction and follow-up of new medicines.</w:t>
            </w:r>
          </w:p>
        </w:tc>
        <w:tc>
          <w:tcPr>
            <w:tcW w:w="2253" w:type="dxa"/>
            <w:shd w:val="clear" w:color="auto" w:fill="auto"/>
          </w:tcPr>
          <w:p w14:paraId="4B83700E" w14:textId="0C8AD132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  <w:r w:rsidR="007B78CF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</w:tr>
      <w:tr w:rsidR="00CB2F75" w:rsidRPr="007B78CF" w14:paraId="661D5BAC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0A4ADCD6" w14:textId="3CC5DD88" w:rsidR="00CB2F75" w:rsidRPr="007B78CF" w:rsidRDefault="00CB2F75" w:rsidP="006D732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bookmarkStart w:id="2" w:name="_Hlk94356074"/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Anderson 2020</w:t>
            </w:r>
            <w:bookmarkEnd w:id="2"/>
          </w:p>
        </w:tc>
        <w:tc>
          <w:tcPr>
            <w:tcW w:w="1384" w:type="dxa"/>
            <w:shd w:val="clear" w:color="auto" w:fill="auto"/>
          </w:tcPr>
          <w:p w14:paraId="7506AAFF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England</w:t>
            </w:r>
          </w:p>
        </w:tc>
        <w:tc>
          <w:tcPr>
            <w:tcW w:w="1497" w:type="dxa"/>
            <w:shd w:val="clear" w:color="auto" w:fill="auto"/>
          </w:tcPr>
          <w:p w14:paraId="1BDAEDC1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Systematic review</w:t>
            </w:r>
          </w:p>
        </w:tc>
        <w:tc>
          <w:tcPr>
            <w:tcW w:w="1551" w:type="dxa"/>
          </w:tcPr>
          <w:p w14:paraId="38DFB4FE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Scoping literature reviews </w:t>
            </w:r>
          </w:p>
          <w:p w14:paraId="792F50BB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27391BAF" w14:textId="06B87271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5A794122" w14:textId="77777777" w:rsidR="00CB2F75" w:rsidRPr="007B78CF" w:rsidRDefault="00CB2F75" w:rsidP="00D70CD0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Redesign Children and Adolescent Mental Health Services</w:t>
            </w:r>
          </w:p>
          <w:p w14:paraId="78C49B2D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298207C8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Policy formulation and implementation</w:t>
            </w:r>
          </w:p>
        </w:tc>
        <w:tc>
          <w:tcPr>
            <w:tcW w:w="3677" w:type="dxa"/>
          </w:tcPr>
          <w:p w14:paraId="7C715600" w14:textId="7B18D489" w:rsidR="00CB2F75" w:rsidRPr="007B78CF" w:rsidRDefault="007B78CF" w:rsidP="00087A2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>he development of the Local Transformation Plan that guided the subsequent local CAMHS redesign of East of England Children and Adolescent Mental Health Services (CAMHS)</w:t>
            </w:r>
          </w:p>
        </w:tc>
        <w:tc>
          <w:tcPr>
            <w:tcW w:w="2253" w:type="dxa"/>
            <w:shd w:val="clear" w:color="auto" w:fill="auto"/>
          </w:tcPr>
          <w:p w14:paraId="22FD2FBE" w14:textId="0FEF8852" w:rsidR="00CB2F75" w:rsidRPr="007B78CF" w:rsidRDefault="007B78CF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nhance methodological robustness, 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t>minimize</w:t>
            </w:r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 bias, and </w:t>
            </w:r>
            <w:bookmarkStart w:id="3" w:name="_Hlk94356232"/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>ensure reliability of findings</w:t>
            </w:r>
            <w:bookmarkEnd w:id="3"/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CB2F75" w:rsidRPr="007B78CF" w14:paraId="06D9F02B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0F52B28C" w14:textId="29D76399" w:rsidR="00CB2F75" w:rsidRPr="007B78CF" w:rsidRDefault="00CB2F75" w:rsidP="006D732A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bookmarkStart w:id="4" w:name="_Hlk94358675"/>
            <w:proofErr w:type="spellStart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Parmelli</w:t>
            </w:r>
            <w:proofErr w:type="spellEnd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bookmarkEnd w:id="4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2013</w:t>
            </w:r>
          </w:p>
        </w:tc>
        <w:tc>
          <w:tcPr>
            <w:tcW w:w="1384" w:type="dxa"/>
            <w:shd w:val="clear" w:color="auto" w:fill="auto"/>
          </w:tcPr>
          <w:p w14:paraId="72986F43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Regional</w:t>
            </w:r>
          </w:p>
        </w:tc>
        <w:tc>
          <w:tcPr>
            <w:tcW w:w="1497" w:type="dxa"/>
            <w:shd w:val="clear" w:color="auto" w:fill="auto"/>
          </w:tcPr>
          <w:p w14:paraId="5CF14557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Case study</w:t>
            </w:r>
          </w:p>
        </w:tc>
        <w:tc>
          <w:tcPr>
            <w:tcW w:w="1551" w:type="dxa"/>
          </w:tcPr>
          <w:p w14:paraId="2EFDF8F1" w14:textId="77777777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bookmarkStart w:id="5" w:name="_Hlk94358482"/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DECIDE  </w:t>
            </w:r>
          </w:p>
          <w:p w14:paraId="60440353" w14:textId="77777777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(Developing and Evaluating Communication strategies to support Informed Decisions and 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practice based on Evidence)</w:t>
            </w:r>
          </w:p>
          <w:bookmarkEnd w:id="5"/>
          <w:p w14:paraId="3FF4DDFE" w14:textId="6D0B0B8D" w:rsidR="00CB2F75" w:rsidRPr="007B78CF" w:rsidRDefault="00CB2F75" w:rsidP="0091552B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6D6EA8ED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Coverage decisions </w:t>
            </w:r>
          </w:p>
          <w:p w14:paraId="495390A5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25E0F038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Policy adoption and formulation</w:t>
            </w:r>
          </w:p>
        </w:tc>
        <w:tc>
          <w:tcPr>
            <w:tcW w:w="3677" w:type="dxa"/>
          </w:tcPr>
          <w:p w14:paraId="416C6BDC" w14:textId="77777777" w:rsidR="00CB2F75" w:rsidRPr="007B78CF" w:rsidRDefault="00CB2F75" w:rsidP="00EB05A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Introduce or discontinue the financial coverage of a certain drug, test, device, service or intervention program.</w:t>
            </w:r>
          </w:p>
        </w:tc>
        <w:tc>
          <w:tcPr>
            <w:tcW w:w="2253" w:type="dxa"/>
            <w:shd w:val="clear" w:color="auto" w:fill="auto"/>
          </w:tcPr>
          <w:p w14:paraId="7772B6C1" w14:textId="21747A76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7B78CF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CB2F75" w:rsidRPr="007B78CF" w14:paraId="0FC675D6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71DF6461" w14:textId="3F6FA180" w:rsidR="00CB2F75" w:rsidRPr="007B78CF" w:rsidRDefault="00CB2F75" w:rsidP="006D732A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bookmarkStart w:id="6" w:name="_Hlk94356114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Seidler 2021</w:t>
            </w:r>
            <w:bookmarkEnd w:id="6"/>
          </w:p>
        </w:tc>
        <w:tc>
          <w:tcPr>
            <w:tcW w:w="1384" w:type="dxa"/>
            <w:shd w:val="clear" w:color="auto" w:fill="auto"/>
          </w:tcPr>
          <w:p w14:paraId="221AD760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Regional</w:t>
            </w:r>
          </w:p>
          <w:p w14:paraId="7AC53458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(Germany, Switzerland, Austria)</w:t>
            </w:r>
          </w:p>
        </w:tc>
        <w:tc>
          <w:tcPr>
            <w:tcW w:w="1497" w:type="dxa"/>
            <w:shd w:val="clear" w:color="auto" w:fill="auto"/>
          </w:tcPr>
          <w:p w14:paraId="7A761631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Case study</w:t>
            </w:r>
          </w:p>
        </w:tc>
        <w:tc>
          <w:tcPr>
            <w:tcW w:w="1551" w:type="dxa"/>
          </w:tcPr>
          <w:p w14:paraId="1F3E4A51" w14:textId="77777777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Rapid reviews </w:t>
            </w:r>
          </w:p>
          <w:p w14:paraId="33B5CA49" w14:textId="77777777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601E2996" w14:textId="5BC70A65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08BBFF28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COVID-19 policies</w:t>
            </w:r>
          </w:p>
        </w:tc>
        <w:tc>
          <w:tcPr>
            <w:tcW w:w="3677" w:type="dxa"/>
          </w:tcPr>
          <w:p w14:paraId="2F3861E6" w14:textId="77777777" w:rsidR="00CB2F75" w:rsidRPr="007B78CF" w:rsidRDefault="00CB2F75" w:rsidP="00130C6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Rapid reviews can form an important basis for evidence-based policy advice for COVID-19</w:t>
            </w:r>
          </w:p>
        </w:tc>
        <w:tc>
          <w:tcPr>
            <w:tcW w:w="2253" w:type="dxa"/>
            <w:shd w:val="clear" w:color="auto" w:fill="auto"/>
          </w:tcPr>
          <w:p w14:paraId="21107789" w14:textId="77777777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bookmarkStart w:id="7" w:name="_Hlk94356607"/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A standardized approach (automation, one reviewer, use of GRADE methodology, increased search specificity </w:t>
            </w:r>
            <w:bookmarkEnd w:id="7"/>
          </w:p>
        </w:tc>
      </w:tr>
      <w:tr w:rsidR="00CB2F75" w:rsidRPr="007B78CF" w14:paraId="388D57AF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4BA35145" w14:textId="77777777" w:rsidR="00CB2F75" w:rsidRPr="007B78CF" w:rsidRDefault="00CB2F75" w:rsidP="006D732A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Jönsson</w:t>
            </w:r>
            <w:proofErr w:type="spellEnd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2013</w:t>
            </w:r>
          </w:p>
        </w:tc>
        <w:tc>
          <w:tcPr>
            <w:tcW w:w="1384" w:type="dxa"/>
            <w:shd w:val="clear" w:color="auto" w:fill="auto"/>
          </w:tcPr>
          <w:p w14:paraId="5371A0F0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Regional</w:t>
            </w:r>
          </w:p>
        </w:tc>
        <w:tc>
          <w:tcPr>
            <w:tcW w:w="1497" w:type="dxa"/>
            <w:shd w:val="clear" w:color="auto" w:fill="auto"/>
          </w:tcPr>
          <w:p w14:paraId="493809AD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Case study</w:t>
            </w:r>
          </w:p>
        </w:tc>
        <w:tc>
          <w:tcPr>
            <w:tcW w:w="1551" w:type="dxa"/>
          </w:tcPr>
          <w:p w14:paraId="05D820AC" w14:textId="77777777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HTA</w:t>
            </w:r>
          </w:p>
        </w:tc>
        <w:tc>
          <w:tcPr>
            <w:tcW w:w="2062" w:type="dxa"/>
            <w:shd w:val="clear" w:color="auto" w:fill="auto"/>
          </w:tcPr>
          <w:p w14:paraId="326A7B73" w14:textId="77777777" w:rsidR="00CB2F75" w:rsidRPr="007B78CF" w:rsidRDefault="00CB2F75" w:rsidP="00470A3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Resource allocation</w:t>
            </w:r>
          </w:p>
          <w:p w14:paraId="3A0EAED0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3677" w:type="dxa"/>
          </w:tcPr>
          <w:p w14:paraId="605538B4" w14:textId="43640EA8" w:rsidR="00CB2F75" w:rsidRPr="007B78CF" w:rsidRDefault="007B78CF" w:rsidP="00130C6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nform decisions about allocation of resources between competing demands. The aim is to </w:t>
            </w:r>
            <w:bookmarkStart w:id="8" w:name="_Hlk94357196"/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>create the most value for money</w:t>
            </w:r>
            <w:bookmarkEnd w:id="8"/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, directing spending on technologies that give the most benefit for the populations that the systems serve, which also pay for the services through taxes. </w:t>
            </w:r>
          </w:p>
        </w:tc>
        <w:tc>
          <w:tcPr>
            <w:tcW w:w="2253" w:type="dxa"/>
            <w:shd w:val="clear" w:color="auto" w:fill="auto"/>
          </w:tcPr>
          <w:p w14:paraId="406D34BF" w14:textId="70931BE5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7B78CF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CB2F75" w:rsidRPr="007B78CF" w14:paraId="4CD3C54E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21699551" w14:textId="77777777" w:rsidR="00CB2F75" w:rsidRPr="007B78CF" w:rsidRDefault="00CB2F75" w:rsidP="006D732A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Fredriksson 2014</w:t>
            </w:r>
          </w:p>
        </w:tc>
        <w:tc>
          <w:tcPr>
            <w:tcW w:w="1384" w:type="dxa"/>
            <w:shd w:val="clear" w:color="auto" w:fill="auto"/>
          </w:tcPr>
          <w:p w14:paraId="6A91F580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Sweden</w:t>
            </w:r>
          </w:p>
        </w:tc>
        <w:tc>
          <w:tcPr>
            <w:tcW w:w="1497" w:type="dxa"/>
            <w:shd w:val="clear" w:color="auto" w:fill="auto"/>
          </w:tcPr>
          <w:p w14:paraId="7C842EBA" w14:textId="38BCFC98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Qualitative document analysis</w:t>
            </w:r>
          </w:p>
        </w:tc>
        <w:tc>
          <w:tcPr>
            <w:tcW w:w="1551" w:type="dxa"/>
          </w:tcPr>
          <w:p w14:paraId="76017FBE" w14:textId="77777777" w:rsidR="00CB2F75" w:rsidRPr="007B78CF" w:rsidRDefault="00CB2F75" w:rsidP="000660A8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bookmarkStart w:id="9" w:name="_Hlk94357344"/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Evidence-based National Guidelines </w:t>
            </w:r>
            <w:bookmarkEnd w:id="9"/>
          </w:p>
          <w:p w14:paraId="328E84B3" w14:textId="77777777" w:rsidR="00CB2F75" w:rsidRPr="007B78CF" w:rsidRDefault="00CB2F75" w:rsidP="000660A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2085976D" w14:textId="71723125" w:rsidR="00CB2F75" w:rsidRPr="007B78CF" w:rsidRDefault="00CB2F75" w:rsidP="000660A8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1B7DA2F5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Resource allocation</w:t>
            </w:r>
          </w:p>
          <w:p w14:paraId="3DE15663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  <w:p w14:paraId="08BBF573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Priority setting</w:t>
            </w:r>
          </w:p>
        </w:tc>
        <w:tc>
          <w:tcPr>
            <w:tcW w:w="3677" w:type="dxa"/>
          </w:tcPr>
          <w:p w14:paraId="2DC3FC51" w14:textId="77777777" w:rsidR="00CB2F75" w:rsidRPr="007B78CF" w:rsidRDefault="00CB2F75" w:rsidP="00130C61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10" w:name="_Hlk94357378"/>
            <w:r w:rsidRPr="007B78CF">
              <w:rPr>
                <w:rFonts w:asciiTheme="majorBidi" w:hAnsiTheme="majorBidi" w:cstheme="majorBidi"/>
                <w:sz w:val="20"/>
                <w:szCs w:val="20"/>
              </w:rPr>
              <w:t>Support for prioritizations and decision-making on how to allocate resources within healthcare according to population need and decisions on local and regional healthcare programs</w:t>
            </w:r>
            <w:bookmarkEnd w:id="10"/>
            <w:r w:rsidRPr="007B78CF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2253" w:type="dxa"/>
            <w:shd w:val="clear" w:color="auto" w:fill="auto"/>
          </w:tcPr>
          <w:p w14:paraId="52B38A76" w14:textId="56A20A5D" w:rsidR="00CB2F75" w:rsidRPr="007B78CF" w:rsidRDefault="00D1664D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7B78CF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CB2F75" w:rsidRPr="007B78CF" w14:paraId="3700045D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73452583" w14:textId="77777777" w:rsidR="00CB2F75" w:rsidRPr="007B78CF" w:rsidRDefault="00CB2F75" w:rsidP="006D732A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Kornør</w:t>
            </w:r>
            <w:proofErr w:type="spellEnd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2015</w:t>
            </w:r>
          </w:p>
        </w:tc>
        <w:tc>
          <w:tcPr>
            <w:tcW w:w="1384" w:type="dxa"/>
            <w:shd w:val="clear" w:color="auto" w:fill="auto"/>
          </w:tcPr>
          <w:p w14:paraId="3EBD0D2C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Norway</w:t>
            </w:r>
          </w:p>
        </w:tc>
        <w:tc>
          <w:tcPr>
            <w:tcW w:w="1497" w:type="dxa"/>
            <w:shd w:val="clear" w:color="auto" w:fill="auto"/>
          </w:tcPr>
          <w:p w14:paraId="75AF311D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Case study</w:t>
            </w:r>
          </w:p>
        </w:tc>
        <w:tc>
          <w:tcPr>
            <w:tcW w:w="1551" w:type="dxa"/>
          </w:tcPr>
          <w:p w14:paraId="5CFC2776" w14:textId="77777777" w:rsidR="00CB2F75" w:rsidRPr="007B78CF" w:rsidRDefault="00CB2F75" w:rsidP="000660A8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Dissemination of plain language summaries of systematic reviews</w:t>
            </w:r>
          </w:p>
          <w:p w14:paraId="4106FA7F" w14:textId="3B0363C5" w:rsidR="00CB2F75" w:rsidRPr="007B78CF" w:rsidRDefault="00CB2F75" w:rsidP="000660A8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6A8A22E4" w14:textId="77777777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Child welfare services</w:t>
            </w:r>
          </w:p>
        </w:tc>
        <w:tc>
          <w:tcPr>
            <w:tcW w:w="3677" w:type="dxa"/>
          </w:tcPr>
          <w:p w14:paraId="50696290" w14:textId="77777777" w:rsidR="00CB2F75" w:rsidRPr="007B78CF" w:rsidRDefault="00CB2F75" w:rsidP="00130C6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Inform child welfare services by the high-quality evidence</w:t>
            </w:r>
          </w:p>
        </w:tc>
        <w:tc>
          <w:tcPr>
            <w:tcW w:w="2253" w:type="dxa"/>
            <w:shd w:val="clear" w:color="auto" w:fill="auto"/>
          </w:tcPr>
          <w:p w14:paraId="75F71111" w14:textId="77777777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Ensure the contextualization of evidence and the plain-language format summaries </w:t>
            </w:r>
          </w:p>
          <w:p w14:paraId="2256A274" w14:textId="77777777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0A2F78E" w14:textId="77777777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2F75" w:rsidRPr="007B78CF" w14:paraId="4084E2A4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16B42E57" w14:textId="77777777" w:rsidR="00CB2F75" w:rsidRPr="007B78CF" w:rsidRDefault="00CB2F75" w:rsidP="006D732A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Busert</w:t>
            </w:r>
            <w:proofErr w:type="spellEnd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2018</w:t>
            </w:r>
          </w:p>
        </w:tc>
        <w:tc>
          <w:tcPr>
            <w:tcW w:w="1384" w:type="dxa"/>
            <w:shd w:val="clear" w:color="auto" w:fill="auto"/>
          </w:tcPr>
          <w:p w14:paraId="19628F2F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Germany, Austria and Switzerland</w:t>
            </w:r>
          </w:p>
        </w:tc>
        <w:tc>
          <w:tcPr>
            <w:tcW w:w="1497" w:type="dxa"/>
            <w:shd w:val="clear" w:color="auto" w:fill="auto"/>
          </w:tcPr>
          <w:p w14:paraId="751BADCD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User testing through interviews</w:t>
            </w:r>
          </w:p>
        </w:tc>
        <w:tc>
          <w:tcPr>
            <w:tcW w:w="1551" w:type="dxa"/>
          </w:tcPr>
          <w:p w14:paraId="41E7865C" w14:textId="77777777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German language summary format for systematic reviews</w:t>
            </w:r>
          </w:p>
          <w:p w14:paraId="10BD3138" w14:textId="0C175669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62" w:type="dxa"/>
            <w:shd w:val="clear" w:color="auto" w:fill="auto"/>
          </w:tcPr>
          <w:p w14:paraId="753FCF37" w14:textId="18302905" w:rsidR="00CB2F75" w:rsidRPr="007B78CF" w:rsidRDefault="00405809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Decision-making</w:t>
            </w:r>
          </w:p>
        </w:tc>
        <w:tc>
          <w:tcPr>
            <w:tcW w:w="3677" w:type="dxa"/>
          </w:tcPr>
          <w:p w14:paraId="2BFD674B" w14:textId="77777777" w:rsidR="00CB2F75" w:rsidRPr="007B78CF" w:rsidRDefault="00CB2F75" w:rsidP="00130C6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support the knowledge transfer to public health decision-makers</w:t>
            </w:r>
          </w:p>
        </w:tc>
        <w:tc>
          <w:tcPr>
            <w:tcW w:w="2253" w:type="dxa"/>
            <w:shd w:val="clear" w:color="auto" w:fill="auto"/>
          </w:tcPr>
          <w:p w14:paraId="33707AE5" w14:textId="77777777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participants particularly appreciated receiving information in their own language and the key messages and the relevance for public health practice. </w:t>
            </w:r>
          </w:p>
          <w:p w14:paraId="7D276413" w14:textId="77777777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B3738A4" w14:textId="448813DA" w:rsidR="00CB2F75" w:rsidRPr="007B78CF" w:rsidRDefault="00CB2F75" w:rsidP="00A55A0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several barriers include</w:t>
            </w:r>
            <w:r w:rsidR="007B78CF">
              <w:rPr>
                <w:rFonts w:asciiTheme="majorBidi" w:hAnsiTheme="majorBidi" w:cstheme="majorBidi"/>
                <w:sz w:val="20"/>
                <w:szCs w:val="20"/>
              </w:rPr>
              <w:t>: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 information-dense 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structure and difficulties with understanding statistical terms, lack of actionable recommendations and contextual information. </w:t>
            </w:r>
          </w:p>
        </w:tc>
      </w:tr>
      <w:tr w:rsidR="00CB2F75" w:rsidRPr="007B78CF" w14:paraId="10C39720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44F7792E" w14:textId="77777777" w:rsidR="00CB2F75" w:rsidRPr="007B78CF" w:rsidRDefault="00CB2F75" w:rsidP="006D732A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lastRenderedPageBreak/>
              <w:t>Stansfield 2018</w:t>
            </w:r>
          </w:p>
        </w:tc>
        <w:tc>
          <w:tcPr>
            <w:tcW w:w="1384" w:type="dxa"/>
            <w:shd w:val="clear" w:color="auto" w:fill="auto"/>
          </w:tcPr>
          <w:p w14:paraId="64F0BE1D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England</w:t>
            </w:r>
          </w:p>
        </w:tc>
        <w:tc>
          <w:tcPr>
            <w:tcW w:w="1497" w:type="dxa"/>
            <w:shd w:val="clear" w:color="auto" w:fill="auto"/>
          </w:tcPr>
          <w:p w14:paraId="02BA47AA" w14:textId="77777777" w:rsidR="00CB2F75" w:rsidRPr="007B78CF" w:rsidRDefault="00CB2F75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Case study</w:t>
            </w:r>
          </w:p>
        </w:tc>
        <w:tc>
          <w:tcPr>
            <w:tcW w:w="1551" w:type="dxa"/>
          </w:tcPr>
          <w:p w14:paraId="3F5BF22A" w14:textId="77777777" w:rsidR="00CB2F75" w:rsidRPr="007B78CF" w:rsidRDefault="00CB2F75" w:rsidP="0091552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Knowledge translation framework</w:t>
            </w:r>
          </w:p>
        </w:tc>
        <w:tc>
          <w:tcPr>
            <w:tcW w:w="2062" w:type="dxa"/>
            <w:shd w:val="clear" w:color="auto" w:fill="auto"/>
          </w:tcPr>
          <w:p w14:paraId="77CB55D7" w14:textId="632D3ED4" w:rsidR="00CB2F75" w:rsidRPr="007B78CF" w:rsidRDefault="00CB2F7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support evidence into practice</w:t>
            </w:r>
          </w:p>
        </w:tc>
        <w:tc>
          <w:tcPr>
            <w:tcW w:w="3677" w:type="dxa"/>
          </w:tcPr>
          <w:p w14:paraId="4EA90CA5" w14:textId="77777777" w:rsidR="00CB2F75" w:rsidRPr="007B78CF" w:rsidRDefault="00CB2F75" w:rsidP="0034714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Supports the synthesis of knowledge into national policy and local practice and focuses on partnership between the researcher and the decision-maker in providing up to date evidence in a relevant and appropriate format to inform policy and practice</w:t>
            </w:r>
          </w:p>
        </w:tc>
        <w:tc>
          <w:tcPr>
            <w:tcW w:w="2253" w:type="dxa"/>
            <w:shd w:val="clear" w:color="auto" w:fill="auto"/>
          </w:tcPr>
          <w:p w14:paraId="37738E5A" w14:textId="336E5DE0" w:rsidR="00CB2F75" w:rsidRPr="007B78CF" w:rsidRDefault="00CB2F75" w:rsidP="003471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Involving communities in translating evidence into practice </w:t>
            </w:r>
          </w:p>
          <w:p w14:paraId="4656F360" w14:textId="47131D51" w:rsidR="004A1CA1" w:rsidRPr="007B78CF" w:rsidRDefault="004A1CA1" w:rsidP="003471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Producing evidence synthesis should be coupled by KT activities for dissemination and communication</w:t>
            </w:r>
          </w:p>
        </w:tc>
      </w:tr>
      <w:tr w:rsidR="00CB2F75" w:rsidRPr="007B78CF" w14:paraId="6C4A0C08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3A8953A8" w14:textId="77777777" w:rsidR="00CB2F75" w:rsidRPr="007B78CF" w:rsidRDefault="00CB2F75" w:rsidP="006D732A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van der Graaf 2018</w:t>
            </w:r>
          </w:p>
        </w:tc>
        <w:tc>
          <w:tcPr>
            <w:tcW w:w="1384" w:type="dxa"/>
            <w:shd w:val="clear" w:color="auto" w:fill="auto"/>
          </w:tcPr>
          <w:p w14:paraId="415B343D" w14:textId="77777777" w:rsidR="00CB2F75" w:rsidRPr="007B78CF" w:rsidRDefault="00CB2F75" w:rsidP="00AA5C9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United Kingdom</w:t>
            </w:r>
          </w:p>
        </w:tc>
        <w:tc>
          <w:tcPr>
            <w:tcW w:w="1497" w:type="dxa"/>
            <w:shd w:val="clear" w:color="auto" w:fill="auto"/>
          </w:tcPr>
          <w:p w14:paraId="62EFEAB0" w14:textId="25056B45" w:rsidR="00CB2F75" w:rsidRPr="007B78CF" w:rsidRDefault="00C23A7B" w:rsidP="00AA5C91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Qualitative </w:t>
            </w:r>
          </w:p>
        </w:tc>
        <w:tc>
          <w:tcPr>
            <w:tcW w:w="1551" w:type="dxa"/>
          </w:tcPr>
          <w:p w14:paraId="290B5CAC" w14:textId="524CB0F3" w:rsidR="00CB2F75" w:rsidRPr="007B78CF" w:rsidRDefault="00233BE2" w:rsidP="003479CF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Localized and tailored</w:t>
            </w:r>
            <w:r w:rsidR="00CB2F75"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 research evidence</w:t>
            </w:r>
          </w:p>
        </w:tc>
        <w:tc>
          <w:tcPr>
            <w:tcW w:w="2062" w:type="dxa"/>
            <w:shd w:val="clear" w:color="auto" w:fill="auto"/>
          </w:tcPr>
          <w:p w14:paraId="7200FD1E" w14:textId="5BF0F00F" w:rsidR="00CB2F75" w:rsidRPr="007B78CF" w:rsidRDefault="000D6245" w:rsidP="00D70CD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Shape decision-making proces</w:t>
            </w:r>
            <w:r w:rsidR="00022093"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3677" w:type="dxa"/>
          </w:tcPr>
          <w:p w14:paraId="2AFB6781" w14:textId="77777777" w:rsidR="00CB2F75" w:rsidRPr="007B78CF" w:rsidRDefault="00CB2F75" w:rsidP="003479C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Localizing published research evidence and tailoring it into actionable messages are the two pillars of knowledge mobilizations</w:t>
            </w:r>
          </w:p>
        </w:tc>
        <w:tc>
          <w:tcPr>
            <w:tcW w:w="2253" w:type="dxa"/>
            <w:shd w:val="clear" w:color="auto" w:fill="auto"/>
          </w:tcPr>
          <w:p w14:paraId="09BE803B" w14:textId="77777777" w:rsidR="00CB2F75" w:rsidRPr="007B78CF" w:rsidRDefault="00CB2F75" w:rsidP="00AA5C9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</w:tr>
      <w:tr w:rsidR="00CB2F75" w:rsidRPr="007B78CF" w14:paraId="1F5365CA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2633C9CE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Ofori-</w:t>
            </w:r>
            <w:proofErr w:type="spellStart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Asenso</w:t>
            </w:r>
            <w:proofErr w:type="spellEnd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2020</w:t>
            </w:r>
          </w:p>
        </w:tc>
        <w:tc>
          <w:tcPr>
            <w:tcW w:w="1384" w:type="dxa"/>
            <w:shd w:val="clear" w:color="auto" w:fill="auto"/>
          </w:tcPr>
          <w:p w14:paraId="2BD1A028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Regional (EU)</w:t>
            </w:r>
          </w:p>
        </w:tc>
        <w:tc>
          <w:tcPr>
            <w:tcW w:w="1497" w:type="dxa"/>
            <w:shd w:val="clear" w:color="auto" w:fill="auto"/>
          </w:tcPr>
          <w:p w14:paraId="23F9DA7A" w14:textId="43A1B549" w:rsidR="00CB2F75" w:rsidRPr="007B78CF" w:rsidRDefault="00D06105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Systematic review </w:t>
            </w:r>
          </w:p>
        </w:tc>
        <w:tc>
          <w:tcPr>
            <w:tcW w:w="1551" w:type="dxa"/>
          </w:tcPr>
          <w:p w14:paraId="433F39C9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HTA</w:t>
            </w:r>
          </w:p>
        </w:tc>
        <w:tc>
          <w:tcPr>
            <w:tcW w:w="2062" w:type="dxa"/>
            <w:shd w:val="clear" w:color="auto" w:fill="auto"/>
          </w:tcPr>
          <w:p w14:paraId="5A754C8D" w14:textId="77777777" w:rsidR="00CB2F75" w:rsidRPr="007B78CF" w:rsidRDefault="00CB2F75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Improving interactions between health technology assessment (HTA) bodies and regulatory agencies</w:t>
            </w:r>
          </w:p>
        </w:tc>
        <w:tc>
          <w:tcPr>
            <w:tcW w:w="3677" w:type="dxa"/>
          </w:tcPr>
          <w:p w14:paraId="6106A11A" w14:textId="77777777" w:rsidR="00CB2F75" w:rsidRPr="007B78CF" w:rsidRDefault="00CB2F75" w:rsidP="009B0DA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Aligning the activities of HTA/reimbursement bodies and regulatory agencies to inform resource allocation and reimbursement decisions to create the most value for money</w:t>
            </w:r>
          </w:p>
        </w:tc>
        <w:tc>
          <w:tcPr>
            <w:tcW w:w="2253" w:type="dxa"/>
            <w:shd w:val="clear" w:color="auto" w:fill="auto"/>
          </w:tcPr>
          <w:p w14:paraId="565F4127" w14:textId="77777777" w:rsidR="00CB2F75" w:rsidRPr="007B78CF" w:rsidRDefault="00CB2F75" w:rsidP="009B0DA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A lack of trust and understanding between all stakeholders as well as the lack of an institutional framework for cooperation between HTA bodies and regulatory bodies are major challenges</w:t>
            </w:r>
          </w:p>
        </w:tc>
      </w:tr>
      <w:tr w:rsidR="00CB2F75" w:rsidRPr="007B78CF" w14:paraId="599937CC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2DF74A86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Federici 2021</w:t>
            </w:r>
          </w:p>
        </w:tc>
        <w:tc>
          <w:tcPr>
            <w:tcW w:w="1384" w:type="dxa"/>
            <w:shd w:val="clear" w:color="auto" w:fill="auto"/>
          </w:tcPr>
          <w:p w14:paraId="02F2D518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Regional (EU)</w:t>
            </w:r>
          </w:p>
        </w:tc>
        <w:tc>
          <w:tcPr>
            <w:tcW w:w="1497" w:type="dxa"/>
            <w:shd w:val="clear" w:color="auto" w:fill="auto"/>
          </w:tcPr>
          <w:p w14:paraId="38E5A81A" w14:textId="16D6382D" w:rsidR="00CB2F75" w:rsidRPr="007B78CF" w:rsidRDefault="00D06105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Qualitative</w:t>
            </w:r>
            <w:r w:rsidR="00CB2F75"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study</w:t>
            </w:r>
          </w:p>
        </w:tc>
        <w:tc>
          <w:tcPr>
            <w:tcW w:w="1551" w:type="dxa"/>
          </w:tcPr>
          <w:p w14:paraId="5D6EB1A2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Coverage with evidence development (CED) schemes</w:t>
            </w:r>
          </w:p>
        </w:tc>
        <w:tc>
          <w:tcPr>
            <w:tcW w:w="2062" w:type="dxa"/>
            <w:shd w:val="clear" w:color="auto" w:fill="auto"/>
          </w:tcPr>
          <w:p w14:paraId="1D5BD817" w14:textId="77777777" w:rsidR="00CB2F75" w:rsidRPr="007B78CF" w:rsidRDefault="00CB2F75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Cost-effectiveness of new technologies</w:t>
            </w:r>
          </w:p>
        </w:tc>
        <w:tc>
          <w:tcPr>
            <w:tcW w:w="3677" w:type="dxa"/>
          </w:tcPr>
          <w:p w14:paraId="677D99EF" w14:textId="77777777" w:rsidR="00CB2F75" w:rsidRPr="007B78CF" w:rsidRDefault="00CB2F75" w:rsidP="006E5D9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CED schemes for medical devices collect data on the cost-effectiveness of a health technology and facilitate the uptake of future decisions about its reimbursement, coverage, or recommendations for its use.</w:t>
            </w:r>
          </w:p>
        </w:tc>
        <w:tc>
          <w:tcPr>
            <w:tcW w:w="2253" w:type="dxa"/>
            <w:shd w:val="clear" w:color="auto" w:fill="auto"/>
          </w:tcPr>
          <w:p w14:paraId="58874CC6" w14:textId="77777777" w:rsidR="00CB2F75" w:rsidRPr="007B78CF" w:rsidRDefault="00CB2F75" w:rsidP="009B0DA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</w:tr>
      <w:tr w:rsidR="00CB2F75" w:rsidRPr="007B78CF" w14:paraId="40DC432B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5299DBC0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Bossuyt</w:t>
            </w:r>
            <w:proofErr w:type="spellEnd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2015</w:t>
            </w:r>
          </w:p>
        </w:tc>
        <w:tc>
          <w:tcPr>
            <w:tcW w:w="1384" w:type="dxa"/>
            <w:shd w:val="clear" w:color="auto" w:fill="auto"/>
          </w:tcPr>
          <w:p w14:paraId="739040F2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Belgium</w:t>
            </w:r>
          </w:p>
        </w:tc>
        <w:tc>
          <w:tcPr>
            <w:tcW w:w="1497" w:type="dxa"/>
            <w:shd w:val="clear" w:color="auto" w:fill="auto"/>
          </w:tcPr>
          <w:p w14:paraId="001868D9" w14:textId="77777777" w:rsidR="00CB2F75" w:rsidRPr="007B78CF" w:rsidRDefault="00CB2F75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Primary study</w:t>
            </w:r>
          </w:p>
        </w:tc>
        <w:tc>
          <w:tcPr>
            <w:tcW w:w="1551" w:type="dxa"/>
          </w:tcPr>
          <w:p w14:paraId="437AF3B8" w14:textId="77777777" w:rsidR="00CB2F75" w:rsidRPr="007B78CF" w:rsidRDefault="00CB2F75" w:rsidP="00DC35C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Public Health Triangulation </w:t>
            </w:r>
          </w:p>
        </w:tc>
        <w:tc>
          <w:tcPr>
            <w:tcW w:w="2062" w:type="dxa"/>
            <w:shd w:val="clear" w:color="auto" w:fill="auto"/>
          </w:tcPr>
          <w:p w14:paraId="085DADE9" w14:textId="77777777" w:rsidR="00CB2F75" w:rsidRPr="007B78CF" w:rsidRDefault="00CB2F75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Inform decision-making</w:t>
            </w:r>
          </w:p>
        </w:tc>
        <w:tc>
          <w:tcPr>
            <w:tcW w:w="3677" w:type="dxa"/>
          </w:tcPr>
          <w:p w14:paraId="5AC14A4D" w14:textId="7E73D4A5" w:rsidR="00CB2F75" w:rsidRPr="007B78CF" w:rsidRDefault="00CB2F75" w:rsidP="00FC242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Public health triangulation is an important tool used to interpret findings from different sources, provide a comprehensive overview of the effectiveness of an 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intervention (Care</w:t>
            </w:r>
            <w:r w:rsidR="00FC242B"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Trajectory” program (CT)) and to inform decision-making </w:t>
            </w:r>
          </w:p>
        </w:tc>
        <w:tc>
          <w:tcPr>
            <w:tcW w:w="2253" w:type="dxa"/>
            <w:shd w:val="clear" w:color="auto" w:fill="auto"/>
          </w:tcPr>
          <w:p w14:paraId="444C5EC3" w14:textId="77777777" w:rsidR="00CB2F75" w:rsidRPr="007B78CF" w:rsidRDefault="00CB2F75" w:rsidP="009B0DA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Triangulation of data is time consuming </w:t>
            </w:r>
          </w:p>
        </w:tc>
      </w:tr>
      <w:tr w:rsidR="00CB2F75" w:rsidRPr="007B78CF" w14:paraId="394B6790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7D74B143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Lavrac</w:t>
            </w:r>
            <w:proofErr w:type="spellEnd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2007</w:t>
            </w:r>
          </w:p>
        </w:tc>
        <w:tc>
          <w:tcPr>
            <w:tcW w:w="1384" w:type="dxa"/>
            <w:shd w:val="clear" w:color="auto" w:fill="auto"/>
          </w:tcPr>
          <w:p w14:paraId="00C15E4A" w14:textId="77777777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Slovenia</w:t>
            </w:r>
          </w:p>
        </w:tc>
        <w:tc>
          <w:tcPr>
            <w:tcW w:w="1497" w:type="dxa"/>
            <w:shd w:val="clear" w:color="auto" w:fill="auto"/>
          </w:tcPr>
          <w:p w14:paraId="154AF59B" w14:textId="2DAC2270" w:rsidR="00CB2F75" w:rsidRPr="007B78CF" w:rsidRDefault="00040E28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Case study</w:t>
            </w:r>
          </w:p>
        </w:tc>
        <w:tc>
          <w:tcPr>
            <w:tcW w:w="1551" w:type="dxa"/>
          </w:tcPr>
          <w:p w14:paraId="77BD020A" w14:textId="77777777" w:rsidR="00CB2F75" w:rsidRPr="007B78CF" w:rsidRDefault="00CB2F75" w:rsidP="00DC35C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Data Mining</w:t>
            </w:r>
          </w:p>
        </w:tc>
        <w:tc>
          <w:tcPr>
            <w:tcW w:w="2062" w:type="dxa"/>
            <w:shd w:val="clear" w:color="auto" w:fill="auto"/>
          </w:tcPr>
          <w:p w14:paraId="20D6F7DB" w14:textId="77777777" w:rsidR="00CB2F75" w:rsidRPr="007B78CF" w:rsidRDefault="00CB2F75" w:rsidP="00FB6F5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Improved decision support </w:t>
            </w:r>
          </w:p>
        </w:tc>
        <w:tc>
          <w:tcPr>
            <w:tcW w:w="3677" w:type="dxa"/>
          </w:tcPr>
          <w:p w14:paraId="71EF3FA8" w14:textId="77777777" w:rsidR="00CB2F75" w:rsidRPr="007B78CF" w:rsidRDefault="00CB2F75" w:rsidP="00FB6F5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Data mining methods including data visualization facilitates data analysis leading to better performance in decision making, as well as improve the effectiveness of developed solutions </w:t>
            </w:r>
          </w:p>
        </w:tc>
        <w:tc>
          <w:tcPr>
            <w:tcW w:w="2253" w:type="dxa"/>
            <w:shd w:val="clear" w:color="auto" w:fill="auto"/>
          </w:tcPr>
          <w:p w14:paraId="026A0B98" w14:textId="77777777" w:rsidR="00CB2F75" w:rsidRPr="007B78CF" w:rsidRDefault="00CB2F75" w:rsidP="00AA795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</w:tr>
      <w:tr w:rsidR="00CB2F75" w:rsidRPr="007B78CF" w14:paraId="65CF7161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693C5988" w14:textId="6A7408A9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Martin Fernandez 2021</w:t>
            </w:r>
          </w:p>
        </w:tc>
        <w:tc>
          <w:tcPr>
            <w:tcW w:w="1384" w:type="dxa"/>
            <w:shd w:val="clear" w:color="auto" w:fill="auto"/>
          </w:tcPr>
          <w:p w14:paraId="4B43A586" w14:textId="03C46CD6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France</w:t>
            </w:r>
          </w:p>
        </w:tc>
        <w:tc>
          <w:tcPr>
            <w:tcW w:w="1497" w:type="dxa"/>
            <w:shd w:val="clear" w:color="auto" w:fill="auto"/>
          </w:tcPr>
          <w:p w14:paraId="7D31EDD4" w14:textId="2E4F1F65" w:rsidR="00CB2F75" w:rsidRPr="007B78CF" w:rsidRDefault="0049634D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Realist evaluation study</w:t>
            </w:r>
          </w:p>
        </w:tc>
        <w:tc>
          <w:tcPr>
            <w:tcW w:w="1551" w:type="dxa"/>
          </w:tcPr>
          <w:p w14:paraId="7F7DCA49" w14:textId="75A7E06C" w:rsidR="00CB2F75" w:rsidRPr="007B78CF" w:rsidRDefault="00CB2F75" w:rsidP="00DC35C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TC-REG (‘</w:t>
            </w:r>
            <w:proofErr w:type="spellStart"/>
            <w:r w:rsidRPr="007B78CF">
              <w:rPr>
                <w:rFonts w:asciiTheme="majorBidi" w:hAnsiTheme="majorBidi" w:cstheme="majorBidi"/>
                <w:sz w:val="20"/>
                <w:szCs w:val="20"/>
              </w:rPr>
              <w:t>Transfert</w:t>
            </w:r>
            <w:proofErr w:type="spellEnd"/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 de </w:t>
            </w:r>
            <w:proofErr w:type="spellStart"/>
            <w:r w:rsidRPr="007B78CF">
              <w:rPr>
                <w:rFonts w:asciiTheme="majorBidi" w:hAnsiTheme="majorBidi" w:cstheme="majorBidi"/>
                <w:sz w:val="20"/>
                <w:szCs w:val="20"/>
              </w:rPr>
              <w:t>Connaissances</w:t>
            </w:r>
            <w:proofErr w:type="spellEnd"/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7B78CF">
              <w:rPr>
                <w:rFonts w:asciiTheme="majorBidi" w:hAnsiTheme="majorBidi" w:cstheme="majorBidi"/>
                <w:sz w:val="20"/>
                <w:szCs w:val="20"/>
              </w:rPr>
              <w:t>en</w:t>
            </w:r>
            <w:proofErr w:type="spellEnd"/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7B78CF">
              <w:rPr>
                <w:rFonts w:asciiTheme="majorBidi" w:hAnsiTheme="majorBidi" w:cstheme="majorBidi"/>
                <w:sz w:val="20"/>
                <w:szCs w:val="20"/>
              </w:rPr>
              <w:t>REGion</w:t>
            </w:r>
            <w:proofErr w:type="spellEnd"/>
            <w:r w:rsidRPr="007B78CF">
              <w:rPr>
                <w:rFonts w:asciiTheme="majorBidi" w:hAnsiTheme="majorBidi" w:cstheme="majorBidi"/>
                <w:sz w:val="20"/>
                <w:szCs w:val="20"/>
              </w:rPr>
              <w:t>’) intervention</w:t>
            </w:r>
          </w:p>
        </w:tc>
        <w:tc>
          <w:tcPr>
            <w:tcW w:w="2062" w:type="dxa"/>
            <w:shd w:val="clear" w:color="auto" w:fill="auto"/>
          </w:tcPr>
          <w:p w14:paraId="2B5837E0" w14:textId="39BE5075" w:rsidR="00CB2F75" w:rsidRPr="007B78CF" w:rsidRDefault="00CB2F75" w:rsidP="00FB6F5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Health promotion and disease prevention</w:t>
            </w:r>
          </w:p>
        </w:tc>
        <w:tc>
          <w:tcPr>
            <w:tcW w:w="3677" w:type="dxa"/>
          </w:tcPr>
          <w:p w14:paraId="72644684" w14:textId="1AF5068F" w:rsidR="00CB2F75" w:rsidRPr="007B78CF" w:rsidRDefault="00CB2F75" w:rsidP="00FB6F5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The TC-REG intervention aims to synthesize evidence to enhance</w:t>
            </w:r>
            <w:r w:rsidRPr="007B78CF">
              <w:rPr>
                <w:sz w:val="20"/>
                <w:szCs w:val="20"/>
              </w:rPr>
              <w:t xml:space="preserve"> 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health promotion and disease prevention focusing on knowledge translation through policy briefs, literature reviews and exploratory qualitative studies </w:t>
            </w:r>
          </w:p>
        </w:tc>
        <w:tc>
          <w:tcPr>
            <w:tcW w:w="2253" w:type="dxa"/>
            <w:shd w:val="clear" w:color="auto" w:fill="auto"/>
          </w:tcPr>
          <w:p w14:paraId="0BF2345C" w14:textId="77777777" w:rsidR="00CB2F75" w:rsidRPr="007B78CF" w:rsidRDefault="00CB2F75" w:rsidP="00AA795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2F75" w:rsidRPr="007B78CF" w14:paraId="6FBDA7D0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38A55085" w14:textId="1F6FBF4C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Haverinen</w:t>
            </w:r>
            <w:proofErr w:type="spellEnd"/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2022</w:t>
            </w:r>
          </w:p>
        </w:tc>
        <w:tc>
          <w:tcPr>
            <w:tcW w:w="1384" w:type="dxa"/>
            <w:shd w:val="clear" w:color="auto" w:fill="auto"/>
          </w:tcPr>
          <w:p w14:paraId="390EE08C" w14:textId="295BFEF6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Finland</w:t>
            </w:r>
          </w:p>
        </w:tc>
        <w:tc>
          <w:tcPr>
            <w:tcW w:w="1497" w:type="dxa"/>
            <w:shd w:val="clear" w:color="auto" w:fill="auto"/>
          </w:tcPr>
          <w:p w14:paraId="0AC939B9" w14:textId="43BF24A5" w:rsidR="00CB2F75" w:rsidRPr="007B78CF" w:rsidRDefault="00EA26B1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Qualitative study</w:t>
            </w:r>
          </w:p>
        </w:tc>
        <w:tc>
          <w:tcPr>
            <w:tcW w:w="1551" w:type="dxa"/>
          </w:tcPr>
          <w:p w14:paraId="64B82008" w14:textId="4AC566BB" w:rsidR="00CB2F75" w:rsidRPr="007B78CF" w:rsidRDefault="00CB2F75" w:rsidP="00DC35C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Digi-HTA</w:t>
            </w:r>
          </w:p>
        </w:tc>
        <w:tc>
          <w:tcPr>
            <w:tcW w:w="2062" w:type="dxa"/>
            <w:shd w:val="clear" w:color="auto" w:fill="auto"/>
          </w:tcPr>
          <w:p w14:paraId="6DC918AE" w14:textId="2AA2FAF9" w:rsidR="00CB2F75" w:rsidRPr="007B78CF" w:rsidRDefault="00CB2F75" w:rsidP="00FB6F5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Assessment of digital health technologies </w:t>
            </w:r>
          </w:p>
        </w:tc>
        <w:tc>
          <w:tcPr>
            <w:tcW w:w="3677" w:type="dxa"/>
          </w:tcPr>
          <w:p w14:paraId="56C4B78E" w14:textId="7EC927EC" w:rsidR="00CB2F75" w:rsidRPr="007B78CF" w:rsidRDefault="00CB2F75" w:rsidP="00FB6F5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Digi-HTA allows the evaluation of digital health technologies, aiming to determine recommendations to support healthcare decision-makers</w:t>
            </w:r>
          </w:p>
        </w:tc>
        <w:tc>
          <w:tcPr>
            <w:tcW w:w="2253" w:type="dxa"/>
            <w:shd w:val="clear" w:color="auto" w:fill="auto"/>
          </w:tcPr>
          <w:p w14:paraId="53C2B59A" w14:textId="508A6E17" w:rsidR="00CB2F75" w:rsidRPr="007B78CF" w:rsidRDefault="00CB2F75" w:rsidP="00AA795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--</w:t>
            </w:r>
          </w:p>
        </w:tc>
      </w:tr>
      <w:tr w:rsidR="00CB2F75" w:rsidRPr="007B78CF" w14:paraId="3DC0880B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79B4FF43" w14:textId="5919FFDD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Kovacs 2022</w:t>
            </w:r>
          </w:p>
        </w:tc>
        <w:tc>
          <w:tcPr>
            <w:tcW w:w="1384" w:type="dxa"/>
            <w:shd w:val="clear" w:color="auto" w:fill="auto"/>
          </w:tcPr>
          <w:p w14:paraId="2FB1B51C" w14:textId="4078BC4D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Regional</w:t>
            </w:r>
          </w:p>
        </w:tc>
        <w:tc>
          <w:tcPr>
            <w:tcW w:w="1497" w:type="dxa"/>
            <w:shd w:val="clear" w:color="auto" w:fill="auto"/>
          </w:tcPr>
          <w:p w14:paraId="4F7DD21B" w14:textId="5323AE7D" w:rsidR="00CB2F75" w:rsidRPr="007B78CF" w:rsidRDefault="00EA26B1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Qualitative study</w:t>
            </w:r>
          </w:p>
        </w:tc>
        <w:tc>
          <w:tcPr>
            <w:tcW w:w="1551" w:type="dxa"/>
          </w:tcPr>
          <w:p w14:paraId="28F234F8" w14:textId="698FE08B" w:rsidR="00CB2F75" w:rsidRPr="007B78CF" w:rsidRDefault="00CB2F75" w:rsidP="00DC35C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Coverage with Evidence development (CED) schemes</w:t>
            </w:r>
          </w:p>
        </w:tc>
        <w:tc>
          <w:tcPr>
            <w:tcW w:w="2062" w:type="dxa"/>
            <w:shd w:val="clear" w:color="auto" w:fill="auto"/>
          </w:tcPr>
          <w:p w14:paraId="298AE273" w14:textId="42A9F12C" w:rsidR="00CB2F75" w:rsidRPr="007B78CF" w:rsidRDefault="00CB2F75" w:rsidP="00FB6F5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Evidence-transfer</w:t>
            </w:r>
          </w:p>
        </w:tc>
        <w:tc>
          <w:tcPr>
            <w:tcW w:w="3677" w:type="dxa"/>
          </w:tcPr>
          <w:p w14:paraId="501E183D" w14:textId="1EB56C80" w:rsidR="00CB2F75" w:rsidRPr="007B78CF" w:rsidRDefault="00CB2F75" w:rsidP="00FB6F5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CED schemes can provide recommendations to lower and reduce decisions uncertainties for reimbursements of medical devices</w:t>
            </w:r>
          </w:p>
        </w:tc>
        <w:tc>
          <w:tcPr>
            <w:tcW w:w="2253" w:type="dxa"/>
            <w:shd w:val="clear" w:color="auto" w:fill="auto"/>
          </w:tcPr>
          <w:p w14:paraId="2D94BA6C" w14:textId="77777777" w:rsidR="00CB2F75" w:rsidRPr="007B78CF" w:rsidRDefault="00CB2F75" w:rsidP="00AA795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2F75" w:rsidRPr="007B78CF" w14:paraId="7F689B20" w14:textId="77777777" w:rsidTr="00CB2F75">
        <w:trPr>
          <w:trHeight w:val="790"/>
        </w:trPr>
        <w:tc>
          <w:tcPr>
            <w:tcW w:w="1519" w:type="dxa"/>
            <w:shd w:val="clear" w:color="auto" w:fill="auto"/>
          </w:tcPr>
          <w:p w14:paraId="1807B9A2" w14:textId="06523D92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Murphy</w:t>
            </w:r>
            <w:r w:rsidR="00405809"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B78CF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2022</w:t>
            </w:r>
          </w:p>
        </w:tc>
        <w:tc>
          <w:tcPr>
            <w:tcW w:w="1384" w:type="dxa"/>
            <w:shd w:val="clear" w:color="auto" w:fill="auto"/>
          </w:tcPr>
          <w:p w14:paraId="7B69353E" w14:textId="320FFB40" w:rsidR="00CB2F75" w:rsidRPr="007B78CF" w:rsidRDefault="00CB2F75" w:rsidP="009B0DA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Regional</w:t>
            </w:r>
          </w:p>
        </w:tc>
        <w:tc>
          <w:tcPr>
            <w:tcW w:w="1497" w:type="dxa"/>
            <w:shd w:val="clear" w:color="auto" w:fill="auto"/>
          </w:tcPr>
          <w:p w14:paraId="0E2C90F9" w14:textId="1DD237DA" w:rsidR="00CB2F75" w:rsidRPr="007B78CF" w:rsidRDefault="00AA33F4" w:rsidP="009B0DA4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Qualitative</w:t>
            </w:r>
            <w:r w:rsidR="00CB2F75"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study</w:t>
            </w:r>
          </w:p>
        </w:tc>
        <w:tc>
          <w:tcPr>
            <w:tcW w:w="1551" w:type="dxa"/>
          </w:tcPr>
          <w:p w14:paraId="5EC26743" w14:textId="281DFFD7" w:rsidR="00CB2F75" w:rsidRPr="007B78CF" w:rsidRDefault="00CB2F75" w:rsidP="00DC35C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Evidence briefs for policy (EBPs)</w:t>
            </w:r>
          </w:p>
        </w:tc>
        <w:tc>
          <w:tcPr>
            <w:tcW w:w="2062" w:type="dxa"/>
            <w:shd w:val="clear" w:color="auto" w:fill="auto"/>
          </w:tcPr>
          <w:p w14:paraId="21A79E52" w14:textId="356360C1" w:rsidR="00CB2F75" w:rsidRPr="007B78CF" w:rsidRDefault="00CB2F75" w:rsidP="00FB6F5A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eastAsia="Times New Roman" w:hAnsiTheme="majorBidi" w:cstheme="majorBidi"/>
                <w:sz w:val="20"/>
                <w:szCs w:val="20"/>
              </w:rPr>
              <w:t>Evidence-informed policy making</w:t>
            </w:r>
          </w:p>
        </w:tc>
        <w:tc>
          <w:tcPr>
            <w:tcW w:w="3677" w:type="dxa"/>
          </w:tcPr>
          <w:p w14:paraId="36716B95" w14:textId="361D6460" w:rsidR="00CB2F75" w:rsidRPr="007B78CF" w:rsidRDefault="00CB2F75" w:rsidP="00FB6F5A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11" w:name="_Hlk117506998"/>
            <w:r w:rsidRPr="007B78CF">
              <w:rPr>
                <w:rFonts w:asciiTheme="majorBidi" w:hAnsiTheme="majorBidi" w:cstheme="majorBidi"/>
                <w:sz w:val="20"/>
                <w:szCs w:val="20"/>
              </w:rPr>
              <w:t>EBP provides a systematic approach to contextualizing evidence that is relevant to policy option</w:t>
            </w:r>
            <w:bookmarkEnd w:id="11"/>
            <w:r w:rsidRPr="007B78CF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2253" w:type="dxa"/>
            <w:shd w:val="clear" w:color="auto" w:fill="auto"/>
          </w:tcPr>
          <w:p w14:paraId="38390B05" w14:textId="21C8139F" w:rsidR="00CB51B4" w:rsidRPr="007B78CF" w:rsidRDefault="00CB51B4" w:rsidP="004957A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B78CF">
              <w:rPr>
                <w:rFonts w:asciiTheme="majorBidi" w:hAnsiTheme="majorBidi" w:cstheme="majorBidi"/>
                <w:sz w:val="20"/>
                <w:szCs w:val="20"/>
              </w:rPr>
              <w:t>How the problem is prioritized</w:t>
            </w:r>
            <w:r w:rsidR="004957AF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t>EBP team composition, EBP team leadership</w:t>
            </w:r>
            <w:r w:rsidR="004957AF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t xml:space="preserve"> availability of external support</w:t>
            </w:r>
            <w:r w:rsidR="004957AF">
              <w:rPr>
                <w:rFonts w:asciiTheme="majorBidi" w:hAnsiTheme="majorBidi" w:cstheme="majorBidi"/>
                <w:sz w:val="20"/>
                <w:szCs w:val="20"/>
              </w:rPr>
              <w:t>, t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t>he culture of policy-making in a countr</w:t>
            </w:r>
            <w:r w:rsidR="004957AF">
              <w:rPr>
                <w:rFonts w:asciiTheme="majorBidi" w:hAnsiTheme="majorBidi" w:cstheme="majorBidi"/>
                <w:sz w:val="20"/>
                <w:szCs w:val="20"/>
              </w:rPr>
              <w:t>y, e</w:t>
            </w:r>
            <w:r w:rsidRPr="007B78CF">
              <w:rPr>
                <w:rFonts w:asciiTheme="majorBidi" w:hAnsiTheme="majorBidi" w:cstheme="majorBidi"/>
                <w:sz w:val="20"/>
                <w:szCs w:val="20"/>
              </w:rPr>
              <w:t>ngagement of policymakers</w:t>
            </w:r>
          </w:p>
        </w:tc>
      </w:tr>
    </w:tbl>
    <w:p w14:paraId="1CD0D2A3" w14:textId="77777777" w:rsidR="008B6686" w:rsidRDefault="00391F22">
      <w:r>
        <w:t xml:space="preserve"> </w:t>
      </w:r>
    </w:p>
    <w:sectPr w:rsidR="008B6686" w:rsidSect="00391F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6289E"/>
    <w:multiLevelType w:val="hybridMultilevel"/>
    <w:tmpl w:val="C6D2E436"/>
    <w:lvl w:ilvl="0" w:tplc="E60614D6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796"/>
    <w:rsid w:val="000008E1"/>
    <w:rsid w:val="0000582B"/>
    <w:rsid w:val="00022093"/>
    <w:rsid w:val="0002474C"/>
    <w:rsid w:val="00040E28"/>
    <w:rsid w:val="000660A8"/>
    <w:rsid w:val="00087A22"/>
    <w:rsid w:val="00091C88"/>
    <w:rsid w:val="000A5C1E"/>
    <w:rsid w:val="000B776A"/>
    <w:rsid w:val="000D0A52"/>
    <w:rsid w:val="000D6245"/>
    <w:rsid w:val="000E0FB8"/>
    <w:rsid w:val="000F2C0D"/>
    <w:rsid w:val="000F56D1"/>
    <w:rsid w:val="001010AF"/>
    <w:rsid w:val="00101E26"/>
    <w:rsid w:val="0010468C"/>
    <w:rsid w:val="00130C61"/>
    <w:rsid w:val="00141FF5"/>
    <w:rsid w:val="00146079"/>
    <w:rsid w:val="00151BC0"/>
    <w:rsid w:val="0015225D"/>
    <w:rsid w:val="00153C7C"/>
    <w:rsid w:val="0015438F"/>
    <w:rsid w:val="001A1BE3"/>
    <w:rsid w:val="001A3136"/>
    <w:rsid w:val="001B3FE7"/>
    <w:rsid w:val="001C11E6"/>
    <w:rsid w:val="001E1052"/>
    <w:rsid w:val="001F5541"/>
    <w:rsid w:val="001F7C8A"/>
    <w:rsid w:val="002103B0"/>
    <w:rsid w:val="00222A99"/>
    <w:rsid w:val="00226F16"/>
    <w:rsid w:val="00227830"/>
    <w:rsid w:val="00233BE2"/>
    <w:rsid w:val="00237C7A"/>
    <w:rsid w:val="002450C4"/>
    <w:rsid w:val="002664C2"/>
    <w:rsid w:val="00267AEC"/>
    <w:rsid w:val="00270814"/>
    <w:rsid w:val="002729FA"/>
    <w:rsid w:val="002743E6"/>
    <w:rsid w:val="0028572F"/>
    <w:rsid w:val="00292D71"/>
    <w:rsid w:val="00294F71"/>
    <w:rsid w:val="00296AD0"/>
    <w:rsid w:val="002A0C02"/>
    <w:rsid w:val="002B1C96"/>
    <w:rsid w:val="002D2883"/>
    <w:rsid w:val="002D6180"/>
    <w:rsid w:val="002D7809"/>
    <w:rsid w:val="002E045C"/>
    <w:rsid w:val="00303759"/>
    <w:rsid w:val="00317D00"/>
    <w:rsid w:val="0032686D"/>
    <w:rsid w:val="00332D66"/>
    <w:rsid w:val="003346BC"/>
    <w:rsid w:val="00337A88"/>
    <w:rsid w:val="0034714E"/>
    <w:rsid w:val="003479CF"/>
    <w:rsid w:val="00352454"/>
    <w:rsid w:val="00353E06"/>
    <w:rsid w:val="003775F7"/>
    <w:rsid w:val="0038554C"/>
    <w:rsid w:val="00390A2D"/>
    <w:rsid w:val="00391F22"/>
    <w:rsid w:val="00391F31"/>
    <w:rsid w:val="003A1F3A"/>
    <w:rsid w:val="003B0DC6"/>
    <w:rsid w:val="003B13C1"/>
    <w:rsid w:val="003B223E"/>
    <w:rsid w:val="003B5F5F"/>
    <w:rsid w:val="003C1002"/>
    <w:rsid w:val="003C4CF6"/>
    <w:rsid w:val="003F1EA9"/>
    <w:rsid w:val="003F6462"/>
    <w:rsid w:val="003F7796"/>
    <w:rsid w:val="0040118F"/>
    <w:rsid w:val="00401DAA"/>
    <w:rsid w:val="00404657"/>
    <w:rsid w:val="00405809"/>
    <w:rsid w:val="00440FD6"/>
    <w:rsid w:val="00453656"/>
    <w:rsid w:val="00470A38"/>
    <w:rsid w:val="00472B06"/>
    <w:rsid w:val="00475838"/>
    <w:rsid w:val="00476C2F"/>
    <w:rsid w:val="00482B0C"/>
    <w:rsid w:val="004935C0"/>
    <w:rsid w:val="004957AF"/>
    <w:rsid w:val="0049634D"/>
    <w:rsid w:val="0049722D"/>
    <w:rsid w:val="004A1CA1"/>
    <w:rsid w:val="004A7BAD"/>
    <w:rsid w:val="004E08B6"/>
    <w:rsid w:val="004E1C22"/>
    <w:rsid w:val="00500866"/>
    <w:rsid w:val="005043F0"/>
    <w:rsid w:val="00517551"/>
    <w:rsid w:val="00520731"/>
    <w:rsid w:val="00526266"/>
    <w:rsid w:val="00530BC2"/>
    <w:rsid w:val="005618EE"/>
    <w:rsid w:val="005635AF"/>
    <w:rsid w:val="0056723B"/>
    <w:rsid w:val="005755DD"/>
    <w:rsid w:val="005817C9"/>
    <w:rsid w:val="005D2991"/>
    <w:rsid w:val="006211D4"/>
    <w:rsid w:val="00636B08"/>
    <w:rsid w:val="00641D83"/>
    <w:rsid w:val="006602CD"/>
    <w:rsid w:val="0066135A"/>
    <w:rsid w:val="00663307"/>
    <w:rsid w:val="00665F3B"/>
    <w:rsid w:val="006715B9"/>
    <w:rsid w:val="0068456D"/>
    <w:rsid w:val="006B1F82"/>
    <w:rsid w:val="006B4B87"/>
    <w:rsid w:val="006B654E"/>
    <w:rsid w:val="006D732A"/>
    <w:rsid w:val="006E1DCA"/>
    <w:rsid w:val="006E5D91"/>
    <w:rsid w:val="00714E4E"/>
    <w:rsid w:val="00715C49"/>
    <w:rsid w:val="007360F1"/>
    <w:rsid w:val="00765D7E"/>
    <w:rsid w:val="00785002"/>
    <w:rsid w:val="00791D79"/>
    <w:rsid w:val="007A44B3"/>
    <w:rsid w:val="007B78CF"/>
    <w:rsid w:val="007C50EC"/>
    <w:rsid w:val="007C52D4"/>
    <w:rsid w:val="007E4C29"/>
    <w:rsid w:val="007E54C6"/>
    <w:rsid w:val="008019B0"/>
    <w:rsid w:val="00812B6C"/>
    <w:rsid w:val="00827F50"/>
    <w:rsid w:val="00831A4E"/>
    <w:rsid w:val="00836462"/>
    <w:rsid w:val="00843211"/>
    <w:rsid w:val="00846E93"/>
    <w:rsid w:val="008500DC"/>
    <w:rsid w:val="008526DA"/>
    <w:rsid w:val="008728E6"/>
    <w:rsid w:val="008825A7"/>
    <w:rsid w:val="00886A1B"/>
    <w:rsid w:val="00892A17"/>
    <w:rsid w:val="008A0CB9"/>
    <w:rsid w:val="008A1A69"/>
    <w:rsid w:val="008B3F12"/>
    <w:rsid w:val="008B41AE"/>
    <w:rsid w:val="008B6686"/>
    <w:rsid w:val="008C02E7"/>
    <w:rsid w:val="008F239F"/>
    <w:rsid w:val="00914429"/>
    <w:rsid w:val="0091552B"/>
    <w:rsid w:val="00940363"/>
    <w:rsid w:val="00950427"/>
    <w:rsid w:val="009662B2"/>
    <w:rsid w:val="00970843"/>
    <w:rsid w:val="009A287D"/>
    <w:rsid w:val="009A42AF"/>
    <w:rsid w:val="009A5B0D"/>
    <w:rsid w:val="009B0DA4"/>
    <w:rsid w:val="009C0319"/>
    <w:rsid w:val="009C1BB6"/>
    <w:rsid w:val="009D15EB"/>
    <w:rsid w:val="009E3D5A"/>
    <w:rsid w:val="00A05668"/>
    <w:rsid w:val="00A16757"/>
    <w:rsid w:val="00A26622"/>
    <w:rsid w:val="00A55A0D"/>
    <w:rsid w:val="00A56C28"/>
    <w:rsid w:val="00A7139E"/>
    <w:rsid w:val="00A91EE1"/>
    <w:rsid w:val="00AA33F4"/>
    <w:rsid w:val="00AA5C91"/>
    <w:rsid w:val="00AA7956"/>
    <w:rsid w:val="00AE039F"/>
    <w:rsid w:val="00B264B4"/>
    <w:rsid w:val="00B359FB"/>
    <w:rsid w:val="00B574F8"/>
    <w:rsid w:val="00B85509"/>
    <w:rsid w:val="00BA31B0"/>
    <w:rsid w:val="00BB2980"/>
    <w:rsid w:val="00BB7B6E"/>
    <w:rsid w:val="00BE4CA8"/>
    <w:rsid w:val="00BF027A"/>
    <w:rsid w:val="00C12C16"/>
    <w:rsid w:val="00C23A7B"/>
    <w:rsid w:val="00C24349"/>
    <w:rsid w:val="00C81190"/>
    <w:rsid w:val="00C91116"/>
    <w:rsid w:val="00C96B20"/>
    <w:rsid w:val="00CA2F6D"/>
    <w:rsid w:val="00CB2F75"/>
    <w:rsid w:val="00CB51B4"/>
    <w:rsid w:val="00CC522E"/>
    <w:rsid w:val="00CD7AE0"/>
    <w:rsid w:val="00CE2E2B"/>
    <w:rsid w:val="00CF3771"/>
    <w:rsid w:val="00D029EC"/>
    <w:rsid w:val="00D041AF"/>
    <w:rsid w:val="00D06105"/>
    <w:rsid w:val="00D15CDF"/>
    <w:rsid w:val="00D1664D"/>
    <w:rsid w:val="00D31F91"/>
    <w:rsid w:val="00D33A94"/>
    <w:rsid w:val="00D70CD0"/>
    <w:rsid w:val="00D85C20"/>
    <w:rsid w:val="00D96FB6"/>
    <w:rsid w:val="00DB3C78"/>
    <w:rsid w:val="00DC1521"/>
    <w:rsid w:val="00DC35C5"/>
    <w:rsid w:val="00DC37DE"/>
    <w:rsid w:val="00DC5027"/>
    <w:rsid w:val="00DC5D39"/>
    <w:rsid w:val="00DD3F19"/>
    <w:rsid w:val="00DF2505"/>
    <w:rsid w:val="00E011CD"/>
    <w:rsid w:val="00E018EF"/>
    <w:rsid w:val="00E02575"/>
    <w:rsid w:val="00E13E78"/>
    <w:rsid w:val="00E316A4"/>
    <w:rsid w:val="00E34578"/>
    <w:rsid w:val="00E457DD"/>
    <w:rsid w:val="00E50CC8"/>
    <w:rsid w:val="00E51CFA"/>
    <w:rsid w:val="00E71B3B"/>
    <w:rsid w:val="00E7559C"/>
    <w:rsid w:val="00E80CCD"/>
    <w:rsid w:val="00E8593D"/>
    <w:rsid w:val="00EA119F"/>
    <w:rsid w:val="00EA26B1"/>
    <w:rsid w:val="00EB05A0"/>
    <w:rsid w:val="00EC35AE"/>
    <w:rsid w:val="00ED6B20"/>
    <w:rsid w:val="00EE7AE9"/>
    <w:rsid w:val="00EF3BE8"/>
    <w:rsid w:val="00F12D68"/>
    <w:rsid w:val="00F20B6D"/>
    <w:rsid w:val="00F25812"/>
    <w:rsid w:val="00F26EB9"/>
    <w:rsid w:val="00F36723"/>
    <w:rsid w:val="00F420C4"/>
    <w:rsid w:val="00F47FCE"/>
    <w:rsid w:val="00F669AA"/>
    <w:rsid w:val="00F850BA"/>
    <w:rsid w:val="00FA4751"/>
    <w:rsid w:val="00FB6F5A"/>
    <w:rsid w:val="00FC2373"/>
    <w:rsid w:val="00FC242B"/>
    <w:rsid w:val="00FC6934"/>
    <w:rsid w:val="00FD42CA"/>
    <w:rsid w:val="00FD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E534D"/>
  <w15:chartTrackingRefBased/>
  <w15:docId w15:val="{C52DDD71-C192-4C1E-AE40-8B7D82EB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7165FFED814188D5D5DE83818BE7" ma:contentTypeVersion="14" ma:contentTypeDescription="Create a new document." ma:contentTypeScope="" ma:versionID="54d22a59c3ba6710871b48254bfbc1ab">
  <xsd:schema xmlns:xsd="http://www.w3.org/2001/XMLSchema" xmlns:xs="http://www.w3.org/2001/XMLSchema" xmlns:p="http://schemas.microsoft.com/office/2006/metadata/properties" xmlns:ns3="29aa738c-8d5a-4cf3-9b67-3653ffa7d219" xmlns:ns4="d2cb2c47-83fb-499c-8831-b65c0a411728" targetNamespace="http://schemas.microsoft.com/office/2006/metadata/properties" ma:root="true" ma:fieldsID="8eb54a5b6a16b140383719a5891006ee" ns3:_="" ns4:_="">
    <xsd:import namespace="29aa738c-8d5a-4cf3-9b67-3653ffa7d219"/>
    <xsd:import namespace="d2cb2c47-83fb-499c-8831-b65c0a4117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738c-8d5a-4cf3-9b67-3653ffa7d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b2c47-83fb-499c-8831-b65c0a41172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14A3D4-4B3B-4EAD-B26A-86C51AF3D0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78F2C7-8242-47D4-8C01-5C8DCDF87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a738c-8d5a-4cf3-9b67-3653ffa7d219"/>
    <ds:schemaRef ds:uri="d2cb2c47-83fb-499c-8831-b65c0a411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73E3BB-5320-4AEF-9CC7-3FBD05D3DC84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29aa738c-8d5a-4cf3-9b67-3653ffa7d219"/>
    <ds:schemaRef ds:uri="d2cb2c47-83fb-499c-8831-b65c0a411728"/>
    <ds:schemaRef ds:uri="http://www.w3.org/XML/1998/namespace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 Bou Karroum</dc:creator>
  <cp:keywords/>
  <dc:description/>
  <cp:lastModifiedBy>Lama Bou Karroum</cp:lastModifiedBy>
  <cp:revision>17</cp:revision>
  <dcterms:created xsi:type="dcterms:W3CDTF">2022-11-05T17:54:00Z</dcterms:created>
  <dcterms:modified xsi:type="dcterms:W3CDTF">2023-10-04T10:24:00Z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0x010100FEC77165FFED814188D5D5DE83818BE7</vt:lpwstr>
  </property>
</Properties>
</file>