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7935" w:rsidRPr="00796ED0" w:rsidRDefault="00323A58" w:rsidP="002D35D0">
      <w:pPr>
        <w:jc w:val="both"/>
        <w:rPr>
          <w:rFonts w:ascii="Times New Roman" w:hAnsi="Times New Roman" w:cs="Times New Roman"/>
          <w:b/>
          <w:bCs/>
          <w:sz w:val="22"/>
          <w:szCs w:val="22"/>
        </w:rPr>
      </w:pPr>
      <w:r>
        <w:rPr>
          <w:rFonts w:ascii="Times New Roman" w:hAnsi="Times New Roman" w:cs="Times New Roman"/>
          <w:b/>
          <w:bCs/>
        </w:rPr>
        <w:t xml:space="preserve">Additional file </w:t>
      </w:r>
      <w:r>
        <w:rPr>
          <w:rFonts w:ascii="Times New Roman" w:hAnsi="Times New Roman" w:cs="Times New Roman"/>
          <w:b/>
          <w:bCs/>
        </w:rPr>
        <w:t>4:</w:t>
      </w:r>
      <w:r w:rsidR="00845256" w:rsidRPr="00845256">
        <w:rPr>
          <w:rFonts w:ascii="Times New Roman" w:hAnsi="Times New Roman" w:cs="Times New Roman"/>
          <w:b/>
          <w:bCs/>
        </w:rPr>
        <w:t xml:space="preserve"> </w:t>
      </w:r>
      <w:r w:rsidR="00977935" w:rsidRPr="00845256">
        <w:rPr>
          <w:rFonts w:ascii="Times New Roman" w:hAnsi="Times New Roman" w:cs="Times New Roman"/>
          <w:b/>
          <w:bCs/>
        </w:rPr>
        <w:t>Coding</w:t>
      </w:r>
      <w:r w:rsidR="00977935" w:rsidRPr="00796ED0">
        <w:rPr>
          <w:rFonts w:ascii="Times New Roman" w:hAnsi="Times New Roman" w:cs="Times New Roman"/>
          <w:b/>
          <w:bCs/>
        </w:rPr>
        <w:t xml:space="preserve"> framework</w:t>
      </w:r>
    </w:p>
    <w:tbl>
      <w:tblPr>
        <w:tblW w:w="16160" w:type="dxa"/>
        <w:tblInd w:w="-1139" w:type="dxa"/>
        <w:tblLook w:val="04A0" w:firstRow="1" w:lastRow="0" w:firstColumn="1" w:lastColumn="0" w:noHBand="0" w:noVBand="1"/>
      </w:tblPr>
      <w:tblGrid>
        <w:gridCol w:w="2835"/>
        <w:gridCol w:w="3261"/>
        <w:gridCol w:w="6662"/>
        <w:gridCol w:w="3402"/>
      </w:tblGrid>
      <w:tr w:rsidR="00977935" w:rsidRPr="00796ED0" w:rsidTr="00307001">
        <w:trPr>
          <w:trHeight w:val="320"/>
        </w:trPr>
        <w:tc>
          <w:tcPr>
            <w:tcW w:w="283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r w:rsidRPr="00796ED0">
              <w:rPr>
                <w:rFonts w:ascii="Times New Roman" w:eastAsia="Times New Roman" w:hAnsi="Times New Roman" w:cs="Times New Roman"/>
                <w:b/>
                <w:bCs/>
                <w:color w:val="000000"/>
                <w:kern w:val="0"/>
                <w:sz w:val="22"/>
                <w:szCs w:val="22"/>
                <w:lang w:eastAsia="en-GB"/>
                <w14:ligatures w14:val="none"/>
              </w:rPr>
              <w:t>Domain</w:t>
            </w:r>
          </w:p>
        </w:tc>
        <w:tc>
          <w:tcPr>
            <w:tcW w:w="3261" w:type="dxa"/>
            <w:tcBorders>
              <w:top w:val="single" w:sz="4" w:space="0" w:color="auto"/>
              <w:left w:val="nil"/>
              <w:bottom w:val="single" w:sz="4" w:space="0" w:color="auto"/>
              <w:right w:val="single" w:sz="4" w:space="0" w:color="auto"/>
            </w:tcBorders>
            <w:shd w:val="clear" w:color="000000" w:fill="DDEBF7"/>
            <w:noWrap/>
            <w:vAlign w:val="bottom"/>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r w:rsidRPr="00796ED0">
              <w:rPr>
                <w:rFonts w:ascii="Times New Roman" w:eastAsia="Times New Roman" w:hAnsi="Times New Roman" w:cs="Times New Roman"/>
                <w:b/>
                <w:bCs/>
                <w:color w:val="000000"/>
                <w:kern w:val="0"/>
                <w:sz w:val="22"/>
                <w:szCs w:val="22"/>
                <w:lang w:eastAsia="en-GB"/>
                <w14:ligatures w14:val="none"/>
              </w:rPr>
              <w:t>Theme/Sub-theme</w:t>
            </w:r>
          </w:p>
        </w:tc>
        <w:tc>
          <w:tcPr>
            <w:tcW w:w="6662" w:type="dxa"/>
            <w:tcBorders>
              <w:top w:val="single" w:sz="4" w:space="0" w:color="auto"/>
              <w:left w:val="nil"/>
              <w:bottom w:val="single" w:sz="4" w:space="0" w:color="auto"/>
              <w:right w:val="single" w:sz="4" w:space="0" w:color="auto"/>
            </w:tcBorders>
            <w:shd w:val="clear" w:color="000000" w:fill="DDEBF7"/>
            <w:vAlign w:val="bottom"/>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r w:rsidRPr="00796ED0">
              <w:rPr>
                <w:rFonts w:ascii="Times New Roman" w:eastAsia="Times New Roman" w:hAnsi="Times New Roman" w:cs="Times New Roman"/>
                <w:b/>
                <w:bCs/>
                <w:color w:val="000000"/>
                <w:kern w:val="0"/>
                <w:sz w:val="22"/>
                <w:szCs w:val="22"/>
                <w:lang w:eastAsia="en-GB"/>
                <w14:ligatures w14:val="none"/>
              </w:rPr>
              <w:t>Definition</w:t>
            </w:r>
          </w:p>
        </w:tc>
        <w:tc>
          <w:tcPr>
            <w:tcW w:w="3402" w:type="dxa"/>
            <w:tcBorders>
              <w:top w:val="single" w:sz="4" w:space="0" w:color="auto"/>
              <w:left w:val="nil"/>
              <w:bottom w:val="single" w:sz="4" w:space="0" w:color="auto"/>
              <w:right w:val="single" w:sz="4" w:space="0" w:color="auto"/>
            </w:tcBorders>
            <w:shd w:val="clear" w:color="000000" w:fill="DDEBF7"/>
            <w:vAlign w:val="bottom"/>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r w:rsidRPr="00796ED0">
              <w:rPr>
                <w:rFonts w:ascii="Times New Roman" w:eastAsia="Times New Roman" w:hAnsi="Times New Roman" w:cs="Times New Roman"/>
                <w:b/>
                <w:bCs/>
                <w:color w:val="000000"/>
                <w:kern w:val="0"/>
                <w:sz w:val="22"/>
                <w:szCs w:val="22"/>
                <w:lang w:eastAsia="en-GB"/>
                <w14:ligatures w14:val="none"/>
              </w:rPr>
              <w:t>Notes</w:t>
            </w:r>
          </w:p>
        </w:tc>
      </w:tr>
      <w:tr w:rsidR="00977935" w:rsidRPr="00796ED0" w:rsidTr="00307001">
        <w:trPr>
          <w:trHeight w:val="320"/>
        </w:trPr>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r w:rsidRPr="00796ED0">
              <w:rPr>
                <w:rFonts w:ascii="Times New Roman" w:eastAsia="Times New Roman" w:hAnsi="Times New Roman" w:cs="Times New Roman"/>
                <w:b/>
                <w:bCs/>
                <w:color w:val="000000"/>
                <w:kern w:val="0"/>
                <w:sz w:val="22"/>
                <w:szCs w:val="22"/>
                <w:lang w:eastAsia="en-GB"/>
                <w14:ligatures w14:val="none"/>
              </w:rPr>
              <w:t>Intervention characteristics</w:t>
            </w:r>
            <w:r w:rsidRPr="00796ED0">
              <w:rPr>
                <w:rFonts w:ascii="Times New Roman" w:eastAsia="Times New Roman" w:hAnsi="Times New Roman" w:cs="Times New Roman"/>
                <w:b/>
                <w:bCs/>
                <w:color w:val="000000"/>
                <w:kern w:val="0"/>
                <w:sz w:val="22"/>
                <w:szCs w:val="22"/>
                <w:lang w:eastAsia="en-GB"/>
                <w14:ligatures w14:val="none"/>
              </w:rPr>
              <w:br/>
            </w:r>
            <w:proofErr w:type="spellStart"/>
            <w:r w:rsidRPr="00796ED0">
              <w:rPr>
                <w:rFonts w:ascii="Times New Roman" w:eastAsia="Times New Roman" w:hAnsi="Times New Roman" w:cs="Times New Roman"/>
                <w:color w:val="000000"/>
                <w:kern w:val="0"/>
                <w:sz w:val="22"/>
                <w:szCs w:val="22"/>
                <w:lang w:eastAsia="en-GB"/>
                <w14:ligatures w14:val="none"/>
              </w:rPr>
              <w:t>Characteristic</w:t>
            </w:r>
            <w:r w:rsidR="000365EE" w:rsidRPr="00796ED0">
              <w:rPr>
                <w:rFonts w:ascii="Times New Roman" w:eastAsia="Times New Roman" w:hAnsi="Times New Roman" w:cs="Times New Roman"/>
                <w:color w:val="000000"/>
                <w:kern w:val="0"/>
                <w:sz w:val="22"/>
                <w:szCs w:val="22"/>
                <w:lang w:eastAsia="en-GB"/>
                <w14:ligatures w14:val="none"/>
              </w:rPr>
              <w:t>s</w:t>
            </w:r>
            <w:proofErr w:type="spellEnd"/>
            <w:r w:rsidRPr="00796ED0">
              <w:rPr>
                <w:rFonts w:ascii="Times New Roman" w:eastAsia="Times New Roman" w:hAnsi="Times New Roman" w:cs="Times New Roman"/>
                <w:color w:val="000000"/>
                <w:kern w:val="0"/>
                <w:sz w:val="22"/>
                <w:szCs w:val="22"/>
                <w:lang w:eastAsia="en-GB"/>
                <w14:ligatures w14:val="none"/>
              </w:rPr>
              <w:t xml:space="preserve"> of the intervention being implemented into a particular setting.</w:t>
            </w: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Meeting local needs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Interventions need to be flexible and adaptable to meet local needs</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tc>
      </w:tr>
      <w:tr w:rsidR="00977935" w:rsidRPr="00796ED0" w:rsidTr="00307001">
        <w:trPr>
          <w:trHeight w:val="96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Patient needs and resources</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The extent to which patient needs, as well as barriers and facilitators to those needs, are accurately known and prioritised by the organisation, including organisational cultural competence and provision of culturally safe services. </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Overlap with meeting local needs</w:t>
            </w:r>
            <w:r w:rsidRPr="00796ED0">
              <w:rPr>
                <w:rFonts w:ascii="Times New Roman" w:eastAsia="Times New Roman" w:hAnsi="Times New Roman" w:cs="Times New Roman"/>
                <w:color w:val="000000"/>
                <w:kern w:val="0"/>
                <w:sz w:val="22"/>
                <w:szCs w:val="22"/>
                <w:lang w:eastAsia="en-GB"/>
                <w14:ligatures w14:val="none"/>
              </w:rPr>
              <w:br/>
            </w:r>
            <w:r w:rsidR="002D35D0" w:rsidRPr="00796ED0">
              <w:rPr>
                <w:rFonts w:ascii="Times New Roman" w:eastAsia="Times New Roman" w:hAnsi="Times New Roman" w:cs="Times New Roman"/>
                <w:color w:val="000000"/>
                <w:kern w:val="0"/>
                <w:sz w:val="22"/>
                <w:szCs w:val="22"/>
                <w:lang w:eastAsia="en-GB"/>
                <w14:ligatures w14:val="none"/>
              </w:rPr>
              <w:t>*</w:t>
            </w:r>
            <w:r w:rsidRPr="00796ED0">
              <w:rPr>
                <w:rFonts w:ascii="Times New Roman" w:eastAsia="Times New Roman" w:hAnsi="Times New Roman" w:cs="Times New Roman"/>
                <w:color w:val="000000"/>
                <w:kern w:val="0"/>
                <w:sz w:val="22"/>
                <w:szCs w:val="22"/>
                <w:lang w:eastAsia="en-GB"/>
                <w14:ligatures w14:val="none"/>
              </w:rPr>
              <w:t>In outer setting in CFIR model</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Intervention flexibility and adaptability</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Degree to which an intervention can be adapted, tailored, refined, or reinvented to meet the needs of local communities.</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Referral criteria (inductive theme)</w:t>
            </w:r>
          </w:p>
        </w:tc>
        <w:tc>
          <w:tcPr>
            <w:tcW w:w="6662" w:type="dxa"/>
            <w:tcBorders>
              <w:top w:val="nil"/>
              <w:left w:val="nil"/>
              <w:bottom w:val="single" w:sz="4" w:space="0" w:color="auto"/>
              <w:right w:val="single" w:sz="4" w:space="0" w:color="auto"/>
            </w:tcBorders>
            <w:shd w:val="clear" w:color="000000" w:fill="FFFFFF"/>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Criteria for referral to and eligibility to access intervention</w:t>
            </w:r>
          </w:p>
        </w:tc>
        <w:tc>
          <w:tcPr>
            <w:tcW w:w="3402" w:type="dxa"/>
            <w:tcBorders>
              <w:top w:val="nil"/>
              <w:left w:val="nil"/>
              <w:bottom w:val="single" w:sz="4" w:space="0" w:color="auto"/>
              <w:right w:val="single" w:sz="4" w:space="0" w:color="auto"/>
            </w:tcBorders>
            <w:shd w:val="clear" w:color="000000" w:fill="FFFFFF"/>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Overlap with "intervention flexibility and adap</w:t>
            </w:r>
            <w:r w:rsidR="005524EC" w:rsidRPr="00796ED0">
              <w:rPr>
                <w:rFonts w:ascii="Times New Roman" w:eastAsia="Times New Roman" w:hAnsi="Times New Roman" w:cs="Times New Roman"/>
                <w:color w:val="000000"/>
                <w:kern w:val="0"/>
                <w:sz w:val="22"/>
                <w:szCs w:val="22"/>
                <w:lang w:eastAsia="en-GB"/>
                <w14:ligatures w14:val="none"/>
              </w:rPr>
              <w:t>tability</w:t>
            </w:r>
            <w:r w:rsidRPr="00796ED0">
              <w:rPr>
                <w:rFonts w:ascii="Times New Roman" w:eastAsia="Times New Roman" w:hAnsi="Times New Roman" w:cs="Times New Roman"/>
                <w:color w:val="000000"/>
                <w:kern w:val="0"/>
                <w:sz w:val="22"/>
                <w:szCs w:val="22"/>
                <w:lang w:eastAsia="en-GB"/>
                <w14:ligatures w14:val="none"/>
              </w:rPr>
              <w:t>"</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Intervention source: co-design</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Perception of key stakeholders about whether the intervention is externally or internally developed.</w:t>
            </w:r>
            <w:r w:rsidRPr="00796ED0">
              <w:rPr>
                <w:rFonts w:ascii="Times New Roman" w:eastAsia="Times New Roman" w:hAnsi="Times New Roman" w:cs="Times New Roman"/>
                <w:color w:val="000000"/>
                <w:kern w:val="0"/>
                <w:sz w:val="22"/>
                <w:szCs w:val="22"/>
                <w:lang w:eastAsia="en-GB"/>
                <w14:ligatures w14:val="none"/>
              </w:rPr>
              <w:br/>
              <w:t>*includes co-design with local community</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Cultural safety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Ensuring provision of culturally safe and culturally appropriate services. </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Rural areas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Implementation issues/barriers/challenges in regional, rural and remote settings</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1000"/>
        </w:trPr>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r w:rsidRPr="00796ED0">
              <w:rPr>
                <w:rFonts w:ascii="Times New Roman" w:eastAsia="Times New Roman" w:hAnsi="Times New Roman" w:cs="Times New Roman"/>
                <w:b/>
                <w:bCs/>
                <w:color w:val="000000"/>
                <w:kern w:val="0"/>
                <w:sz w:val="22"/>
                <w:szCs w:val="22"/>
                <w:lang w:eastAsia="en-GB"/>
                <w14:ligatures w14:val="none"/>
              </w:rPr>
              <w:t>Outer setting</w:t>
            </w:r>
            <w:r w:rsidRPr="00796ED0">
              <w:rPr>
                <w:rFonts w:ascii="Times New Roman" w:eastAsia="Times New Roman" w:hAnsi="Times New Roman" w:cs="Times New Roman"/>
                <w:b/>
                <w:bCs/>
                <w:color w:val="000000"/>
                <w:kern w:val="0"/>
                <w:sz w:val="22"/>
                <w:szCs w:val="22"/>
                <w:lang w:eastAsia="en-GB"/>
                <w14:ligatures w14:val="none"/>
              </w:rPr>
              <w:br/>
            </w:r>
            <w:r w:rsidRPr="00796ED0">
              <w:rPr>
                <w:rFonts w:ascii="Times New Roman" w:eastAsia="Times New Roman" w:hAnsi="Times New Roman" w:cs="Times New Roman"/>
                <w:color w:val="000000"/>
                <w:kern w:val="0"/>
                <w:sz w:val="22"/>
                <w:szCs w:val="22"/>
                <w:lang w:eastAsia="en-GB"/>
                <w14:ligatures w14:val="none"/>
              </w:rPr>
              <w:t>Economic, political and social context within which an organisation resides.</w:t>
            </w: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External policies </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Broad constructs that encompass external strategies to spread interventions including policy, regulations, external mandates, recommendations, guidelines, public or benchmark reporting.</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Financing</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Funding from external entities to support implementation of intervention. Also consider sustainability of funding model.</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Hard sell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Difficult to get long-term fu</w:t>
            </w:r>
            <w:r w:rsidR="00037B2C" w:rsidRPr="00796ED0">
              <w:rPr>
                <w:rFonts w:ascii="Times New Roman" w:eastAsia="Times New Roman" w:hAnsi="Times New Roman" w:cs="Times New Roman"/>
                <w:color w:val="000000"/>
                <w:kern w:val="0"/>
                <w:sz w:val="22"/>
                <w:szCs w:val="22"/>
                <w:lang w:eastAsia="en-GB"/>
                <w14:ligatures w14:val="none"/>
              </w:rPr>
              <w:t>nd</w:t>
            </w:r>
            <w:r w:rsidRPr="00796ED0">
              <w:rPr>
                <w:rFonts w:ascii="Times New Roman" w:eastAsia="Times New Roman" w:hAnsi="Times New Roman" w:cs="Times New Roman"/>
                <w:color w:val="000000"/>
                <w:kern w:val="0"/>
                <w:sz w:val="22"/>
                <w:szCs w:val="22"/>
                <w:lang w:eastAsia="en-GB"/>
                <w14:ligatures w14:val="none"/>
              </w:rPr>
              <w:t>ing and commitment for an initiative that will only see outcomes in the long term</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Overlap with financing </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Intersectoral partnerships</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The degree to which an organisation is networked with other external organisations.</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p w:rsidR="00037B2C" w:rsidRPr="00796ED0" w:rsidRDefault="00037B2C"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*Cosmopolitanism in CFIR model</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Collaboration across health services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Linkage, communication, collaboration with other health services/providers (outside of hub but within health).</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Overlap with "intersectoral partnerships"</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Service integration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Communication and connectivity between hub service providers to enable provision of seamless, effective and efficient care</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Overlap with "intersectoral partnerships"</w:t>
            </w:r>
          </w:p>
        </w:tc>
      </w:tr>
      <w:tr w:rsidR="00977935" w:rsidRPr="00796ED0" w:rsidTr="00307001">
        <w:trPr>
          <w:trHeight w:val="960"/>
        </w:trPr>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r w:rsidRPr="00796ED0">
              <w:rPr>
                <w:rFonts w:ascii="Times New Roman" w:eastAsia="Times New Roman" w:hAnsi="Times New Roman" w:cs="Times New Roman"/>
                <w:b/>
                <w:bCs/>
                <w:color w:val="000000"/>
                <w:kern w:val="0"/>
                <w:sz w:val="22"/>
                <w:szCs w:val="22"/>
                <w:lang w:eastAsia="en-GB"/>
                <w14:ligatures w14:val="none"/>
              </w:rPr>
              <w:t>Characteristics of individuals</w:t>
            </w:r>
            <w:r w:rsidRPr="00796ED0">
              <w:rPr>
                <w:rFonts w:ascii="Times New Roman" w:eastAsia="Times New Roman" w:hAnsi="Times New Roman" w:cs="Times New Roman"/>
                <w:b/>
                <w:bCs/>
                <w:color w:val="000000"/>
                <w:kern w:val="0"/>
                <w:sz w:val="22"/>
                <w:szCs w:val="22"/>
                <w:lang w:eastAsia="en-GB"/>
                <w14:ligatures w14:val="none"/>
              </w:rPr>
              <w:br/>
            </w:r>
            <w:proofErr w:type="spellStart"/>
            <w:r w:rsidRPr="00796ED0">
              <w:rPr>
                <w:rFonts w:ascii="Times New Roman" w:eastAsia="Times New Roman" w:hAnsi="Times New Roman" w:cs="Times New Roman"/>
                <w:color w:val="000000"/>
                <w:kern w:val="0"/>
                <w:sz w:val="22"/>
                <w:szCs w:val="22"/>
                <w:lang w:eastAsia="en-GB"/>
                <w14:ligatures w14:val="none"/>
              </w:rPr>
              <w:t>Individual</w:t>
            </w:r>
            <w:r w:rsidR="00037B2C" w:rsidRPr="00796ED0">
              <w:rPr>
                <w:rFonts w:ascii="Times New Roman" w:eastAsia="Times New Roman" w:hAnsi="Times New Roman" w:cs="Times New Roman"/>
                <w:color w:val="000000"/>
                <w:kern w:val="0"/>
                <w:sz w:val="22"/>
                <w:szCs w:val="22"/>
                <w:lang w:eastAsia="en-GB"/>
                <w14:ligatures w14:val="none"/>
              </w:rPr>
              <w:t>s</w:t>
            </w:r>
            <w:proofErr w:type="spellEnd"/>
            <w:r w:rsidRPr="00796ED0">
              <w:rPr>
                <w:rFonts w:ascii="Times New Roman" w:eastAsia="Times New Roman" w:hAnsi="Times New Roman" w:cs="Times New Roman"/>
                <w:color w:val="000000"/>
                <w:kern w:val="0"/>
                <w:sz w:val="22"/>
                <w:szCs w:val="22"/>
                <w:lang w:eastAsia="en-GB"/>
                <w14:ligatures w14:val="none"/>
              </w:rPr>
              <w:t xml:space="preserve"> involved with the intervention and/or implementation process.</w:t>
            </w: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Change management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Formal process to support implementation and organisational and individual change. </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Defining roles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Clear and shared understanding of own and others' roles and responsibilities </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Knowledge and beliefs about the intervention</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Individuals' attitudes toward and value placed on the intervention as well as familiarity with facts, truths, and principles related to the intervention. </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Reverting to previous practice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Tendency to revert to previous practice/roles/ways of doing things</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960"/>
        </w:trPr>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b/>
                <w:bCs/>
                <w:color w:val="000000"/>
                <w:kern w:val="0"/>
                <w:sz w:val="22"/>
                <w:szCs w:val="22"/>
                <w:lang w:eastAsia="en-GB"/>
                <w14:ligatures w14:val="none"/>
              </w:rPr>
              <w:t>Inner setting</w:t>
            </w:r>
            <w:r w:rsidRPr="00796ED0">
              <w:rPr>
                <w:rFonts w:ascii="Times New Roman" w:eastAsia="Times New Roman" w:hAnsi="Times New Roman" w:cs="Times New Roman"/>
                <w:b/>
                <w:bCs/>
                <w:color w:val="000000"/>
                <w:kern w:val="0"/>
                <w:sz w:val="22"/>
                <w:szCs w:val="22"/>
                <w:lang w:eastAsia="en-GB"/>
                <w14:ligatures w14:val="none"/>
              </w:rPr>
              <w:br/>
            </w:r>
            <w:r w:rsidRPr="00796ED0">
              <w:rPr>
                <w:rFonts w:ascii="Times New Roman" w:eastAsia="Times New Roman" w:hAnsi="Times New Roman" w:cs="Times New Roman"/>
                <w:color w:val="000000"/>
                <w:kern w:val="0"/>
                <w:sz w:val="22"/>
                <w:szCs w:val="22"/>
                <w:lang w:eastAsia="en-GB"/>
                <w14:ligatures w14:val="none"/>
              </w:rPr>
              <w:t>Features of structural, political and cultural contexts through which the implementation process will proceed.</w:t>
            </w: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Implementation climate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The absorptive capacity for change, shared receptivity of involved individuals to an intervention, and the extent to which use of that intervention will be rewarded, supported and expected within their organisation. </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Overlap with "Readiness for implementation"</w:t>
            </w:r>
          </w:p>
        </w:tc>
      </w:tr>
      <w:tr w:rsidR="00977935" w:rsidRPr="00796ED0" w:rsidTr="00307001">
        <w:trPr>
          <w:trHeight w:val="96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Readiness for implementation</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Tangible and immediate indicators of organisational commitment to its decision to implement an intervention, consisting of 3 subconstructs (leadership engagement, available resources, access to information and knowledge)</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Enabling mindset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Buy in from all involved actors</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62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Leadership engagement</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Commitment, involvement and accountability of leaders and managers with the implementation.</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Sub-theme </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Available resources</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The level of resources dedicated for implementation and ongoing operations including money, training, education, workforce capacity, physical space and time.</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Overlap with "financing" in outer setting</w:t>
            </w:r>
          </w:p>
        </w:tc>
      </w:tr>
      <w:tr w:rsidR="00977935" w:rsidRPr="00796ED0" w:rsidTr="00307001">
        <w:trPr>
          <w:trHeight w:val="96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2D35D0"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ype="page"/>
            </w:r>
          </w:p>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Access to information and knowledge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Ease of access to digestible information and knowledge about the intervention and how to incorporate it into work tasks. </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Overlap with "knowledge and beliefs about the interv</w:t>
            </w:r>
            <w:r w:rsidR="005524EC" w:rsidRPr="00796ED0">
              <w:rPr>
                <w:rFonts w:ascii="Times New Roman" w:eastAsia="Times New Roman" w:hAnsi="Times New Roman" w:cs="Times New Roman"/>
                <w:color w:val="000000"/>
                <w:kern w:val="0"/>
                <w:sz w:val="22"/>
                <w:szCs w:val="22"/>
                <w:lang w:eastAsia="en-GB"/>
                <w14:ligatures w14:val="none"/>
              </w:rPr>
              <w:t>e</w:t>
            </w:r>
            <w:r w:rsidRPr="00796ED0">
              <w:rPr>
                <w:rFonts w:ascii="Times New Roman" w:eastAsia="Times New Roman" w:hAnsi="Times New Roman" w:cs="Times New Roman"/>
                <w:color w:val="000000"/>
                <w:kern w:val="0"/>
                <w:sz w:val="22"/>
                <w:szCs w:val="22"/>
                <w:lang w:eastAsia="en-GB"/>
                <w14:ligatures w14:val="none"/>
              </w:rPr>
              <w:t>ntion" in characteristics of individuals</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Structural characteristics</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Infrastructure components that support functional performance, consisting of 3 subconstructs (physical, information technology and work infrastructure).</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Physical infrastructure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Layout and configuration of space and other tangible material features.</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Information technology infrastructure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Technological systems for communication, electronic documentation, data storage, management, reporting and analysis.</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Work infrastructure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Organisation of tasks and responsibilities within and between individuals and teams, including clear governance structures.</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r w:rsidRPr="00796ED0">
              <w:rPr>
                <w:rFonts w:ascii="Times New Roman" w:eastAsia="Times New Roman" w:hAnsi="Times New Roman" w:cs="Times New Roman"/>
                <w:color w:val="000000"/>
                <w:kern w:val="0"/>
                <w:sz w:val="22"/>
                <w:szCs w:val="22"/>
                <w:lang w:eastAsia="en-GB"/>
                <w14:ligatures w14:val="none"/>
              </w:rPr>
              <w:br/>
              <w:t>Privacy (inductive theme)</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Clear understanding of, and working within, policies around privacy and confidentiality in regards to sharing of patient information</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Sub-theme</w:t>
            </w:r>
          </w:p>
        </w:tc>
      </w:tr>
      <w:tr w:rsidR="00977935" w:rsidRPr="00796ED0" w:rsidTr="00307001">
        <w:trPr>
          <w:trHeight w:val="960"/>
        </w:trPr>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r w:rsidRPr="00796ED0">
              <w:rPr>
                <w:rFonts w:ascii="Times New Roman" w:eastAsia="Times New Roman" w:hAnsi="Times New Roman" w:cs="Times New Roman"/>
                <w:b/>
                <w:bCs/>
                <w:color w:val="000000"/>
                <w:kern w:val="0"/>
                <w:sz w:val="22"/>
                <w:szCs w:val="22"/>
                <w:lang w:eastAsia="en-GB"/>
                <w14:ligatures w14:val="none"/>
              </w:rPr>
              <w:t>Process</w:t>
            </w:r>
            <w:r w:rsidRPr="00796ED0">
              <w:rPr>
                <w:rFonts w:ascii="Times New Roman" w:eastAsia="Times New Roman" w:hAnsi="Times New Roman" w:cs="Times New Roman"/>
                <w:b/>
                <w:bCs/>
                <w:color w:val="000000"/>
                <w:kern w:val="0"/>
                <w:sz w:val="22"/>
                <w:szCs w:val="22"/>
                <w:lang w:eastAsia="en-GB"/>
                <w14:ligatures w14:val="none"/>
              </w:rPr>
              <w:br/>
            </w:r>
            <w:r w:rsidRPr="00796ED0">
              <w:rPr>
                <w:rFonts w:ascii="Times New Roman" w:eastAsia="Times New Roman" w:hAnsi="Times New Roman" w:cs="Times New Roman"/>
                <w:color w:val="000000"/>
                <w:kern w:val="0"/>
                <w:sz w:val="22"/>
                <w:szCs w:val="22"/>
                <w:lang w:eastAsia="en-GB"/>
                <w14:ligatures w14:val="none"/>
              </w:rPr>
              <w:t xml:space="preserve">Implementation process. Successful implementation usually requires an active change process aimed to achieve individual and organisational level use of the intervention as designed. </w:t>
            </w: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Champion</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Change agent/leader to champion and promote paradigmatic change to facilitate changed thinking/changing policy environment.</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Overlap with "internal implementation leaders"</w:t>
            </w:r>
          </w:p>
        </w:tc>
      </w:tr>
      <w:tr w:rsidR="00977935" w:rsidRPr="00796ED0" w:rsidTr="00307001">
        <w:trPr>
          <w:trHeight w:val="32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Internal implementation leaders - "Hub co-ordinator" </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Formally appointed co-ordinator, project manager, team leader.</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tc>
      </w:tr>
      <w:tr w:rsidR="00977935" w:rsidRPr="00796ED0" w:rsidTr="00307001">
        <w:trPr>
          <w:trHeight w:val="96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Planning - "Time to plan"</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The degree to which a scheme or method of behaviour and tasks for implementing an intervention are developed in advance and the quality of those schemes or methods. </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tc>
      </w:tr>
      <w:tr w:rsidR="00977935" w:rsidRPr="00796ED0" w:rsidTr="00307001">
        <w:trPr>
          <w:trHeight w:val="640"/>
        </w:trPr>
        <w:tc>
          <w:tcPr>
            <w:tcW w:w="2835" w:type="dxa"/>
            <w:vMerge/>
            <w:tcBorders>
              <w:top w:val="nil"/>
              <w:left w:val="single" w:sz="4" w:space="0" w:color="auto"/>
              <w:bottom w:val="single" w:sz="4" w:space="0" w:color="auto"/>
              <w:right w:val="single" w:sz="4" w:space="0" w:color="auto"/>
            </w:tcBorders>
            <w:vAlign w:val="center"/>
            <w:hideMark/>
          </w:tcPr>
          <w:p w:rsidR="00977935" w:rsidRPr="00796ED0" w:rsidRDefault="00977935" w:rsidP="00307001">
            <w:pPr>
              <w:rPr>
                <w:rFonts w:ascii="Times New Roman" w:eastAsia="Times New Roman" w:hAnsi="Times New Roman" w:cs="Times New Roman"/>
                <w:b/>
                <w:bCs/>
                <w:color w:val="000000"/>
                <w:kern w:val="0"/>
                <w:sz w:val="22"/>
                <w:szCs w:val="22"/>
                <w:lang w:eastAsia="en-GB"/>
                <w14:ligatures w14:val="none"/>
              </w:rPr>
            </w:pPr>
          </w:p>
        </w:tc>
        <w:tc>
          <w:tcPr>
            <w:tcW w:w="3261" w:type="dxa"/>
            <w:tcBorders>
              <w:top w:val="nil"/>
              <w:left w:val="nil"/>
              <w:bottom w:val="single" w:sz="4" w:space="0" w:color="auto"/>
              <w:right w:val="single" w:sz="4" w:space="0" w:color="auto"/>
            </w:tcBorders>
            <w:shd w:val="clear" w:color="auto" w:fill="auto"/>
            <w:noWrap/>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Reflecting and evaluation</w:t>
            </w:r>
          </w:p>
        </w:tc>
        <w:tc>
          <w:tcPr>
            <w:tcW w:w="666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 xml:space="preserve">Quantitative and qualitative feedback about the progress and quality of implementation accompanied with regular personal and team debriefing about progress and experience. </w:t>
            </w:r>
          </w:p>
        </w:tc>
        <w:tc>
          <w:tcPr>
            <w:tcW w:w="3402" w:type="dxa"/>
            <w:tcBorders>
              <w:top w:val="nil"/>
              <w:left w:val="nil"/>
              <w:bottom w:val="single" w:sz="4" w:space="0" w:color="auto"/>
              <w:right w:val="single" w:sz="4" w:space="0" w:color="auto"/>
            </w:tcBorders>
            <w:shd w:val="clear" w:color="auto" w:fill="auto"/>
            <w:vAlign w:val="bottom"/>
            <w:hideMark/>
          </w:tcPr>
          <w:p w:rsidR="00977935" w:rsidRPr="00796ED0" w:rsidRDefault="00977935" w:rsidP="00307001">
            <w:pPr>
              <w:rPr>
                <w:rFonts w:ascii="Times New Roman" w:eastAsia="Times New Roman" w:hAnsi="Times New Roman" w:cs="Times New Roman"/>
                <w:color w:val="000000"/>
                <w:kern w:val="0"/>
                <w:sz w:val="22"/>
                <w:szCs w:val="22"/>
                <w:lang w:eastAsia="en-GB"/>
                <w14:ligatures w14:val="none"/>
              </w:rPr>
            </w:pPr>
            <w:r w:rsidRPr="00796ED0">
              <w:rPr>
                <w:rFonts w:ascii="Times New Roman" w:eastAsia="Times New Roman" w:hAnsi="Times New Roman" w:cs="Times New Roman"/>
                <w:color w:val="000000"/>
                <w:kern w:val="0"/>
                <w:sz w:val="22"/>
                <w:szCs w:val="22"/>
                <w:lang w:eastAsia="en-GB"/>
                <w14:ligatures w14:val="none"/>
              </w:rPr>
              <w:t>Major theme</w:t>
            </w:r>
          </w:p>
        </w:tc>
      </w:tr>
    </w:tbl>
    <w:p w:rsidR="00977935" w:rsidRDefault="00977935"/>
    <w:sectPr w:rsidR="00977935" w:rsidSect="00977935">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35"/>
    <w:rsid w:val="000365EE"/>
    <w:rsid w:val="00037B2C"/>
    <w:rsid w:val="000C4827"/>
    <w:rsid w:val="002D35D0"/>
    <w:rsid w:val="003224F9"/>
    <w:rsid w:val="00323A58"/>
    <w:rsid w:val="005524EC"/>
    <w:rsid w:val="00592874"/>
    <w:rsid w:val="00796ED0"/>
    <w:rsid w:val="00815158"/>
    <w:rsid w:val="00845256"/>
    <w:rsid w:val="008D49AE"/>
    <w:rsid w:val="009779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5502"/>
  <w15:chartTrackingRefBased/>
  <w15:docId w15:val="{51A58F31-4045-A847-ADB0-8418443F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2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525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18709">
      <w:bodyDiv w:val="1"/>
      <w:marLeft w:val="0"/>
      <w:marRight w:val="0"/>
      <w:marTop w:val="0"/>
      <w:marBottom w:val="0"/>
      <w:divBdr>
        <w:top w:val="none" w:sz="0" w:space="0" w:color="auto"/>
        <w:left w:val="none" w:sz="0" w:space="0" w:color="auto"/>
        <w:bottom w:val="none" w:sz="0" w:space="0" w:color="auto"/>
        <w:right w:val="none" w:sz="0" w:space="0" w:color="auto"/>
      </w:divBdr>
    </w:div>
    <w:div w:id="1282299354">
      <w:bodyDiv w:val="1"/>
      <w:marLeft w:val="0"/>
      <w:marRight w:val="0"/>
      <w:marTop w:val="0"/>
      <w:marBottom w:val="0"/>
      <w:divBdr>
        <w:top w:val="none" w:sz="0" w:space="0" w:color="auto"/>
        <w:left w:val="none" w:sz="0" w:space="0" w:color="auto"/>
        <w:bottom w:val="none" w:sz="0" w:space="0" w:color="auto"/>
        <w:right w:val="none" w:sz="0" w:space="0" w:color="auto"/>
      </w:divBdr>
    </w:div>
    <w:div w:id="15018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981</Words>
  <Characters>5597</Characters>
  <Application>Microsoft Office Word</Application>
  <DocSecurity>0</DocSecurity>
  <Lines>46</Lines>
  <Paragraphs>13</Paragraphs>
  <ScaleCrop>false</ScaleCrop>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Calik</dc:creator>
  <cp:keywords/>
  <dc:description/>
  <cp:lastModifiedBy>Anna Calik</cp:lastModifiedBy>
  <cp:revision>10</cp:revision>
  <dcterms:created xsi:type="dcterms:W3CDTF">2024-06-10T04:48:00Z</dcterms:created>
  <dcterms:modified xsi:type="dcterms:W3CDTF">2024-06-20T09:50:00Z</dcterms:modified>
</cp:coreProperties>
</file>