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78E63" w14:textId="54D392C1" w:rsidR="008F17A8" w:rsidRPr="00481AD5" w:rsidRDefault="402349B8" w:rsidP="3017A6A8">
      <w:pPr>
        <w:rPr>
          <w:rFonts w:ascii="Arial Nova" w:eastAsia="Arial Nova" w:hAnsi="Arial Nova" w:cs="Arial Nova"/>
          <w:b/>
          <w:bCs/>
          <w:sz w:val="20"/>
          <w:szCs w:val="20"/>
        </w:rPr>
      </w:pPr>
      <w:r w:rsidRPr="00481AD5">
        <w:rPr>
          <w:rFonts w:ascii="Arial Nova" w:eastAsia="Arial Nova" w:hAnsi="Arial Nova" w:cs="Arial Nova"/>
          <w:b/>
          <w:bCs/>
          <w:sz w:val="20"/>
          <w:szCs w:val="20"/>
        </w:rPr>
        <w:t>Additional file 4</w:t>
      </w:r>
      <w:r w:rsidR="6DD6B350" w:rsidRPr="00481AD5">
        <w:rPr>
          <w:rFonts w:ascii="Arial Nova" w:eastAsia="Arial Nova" w:hAnsi="Arial Nova" w:cs="Arial Nova"/>
          <w:b/>
          <w:bCs/>
          <w:sz w:val="20"/>
          <w:szCs w:val="20"/>
        </w:rPr>
        <w:t xml:space="preserve">. </w:t>
      </w:r>
      <w:r w:rsidR="444C6375" w:rsidRPr="00481AD5">
        <w:rPr>
          <w:rFonts w:ascii="Arial Nova" w:eastAsia="Arial Nova" w:hAnsi="Arial Nova" w:cs="Arial Nova"/>
          <w:b/>
          <w:bCs/>
          <w:sz w:val="20"/>
          <w:szCs w:val="20"/>
        </w:rPr>
        <w:t>Definitions of methods and concepts</w:t>
      </w:r>
    </w:p>
    <w:p w14:paraId="437AE3EA" w14:textId="2B994BCE" w:rsidR="3E76B8A1" w:rsidRPr="00481AD5" w:rsidRDefault="3E76B8A1" w:rsidP="3017A6A8">
      <w:pPr>
        <w:rPr>
          <w:rFonts w:ascii="Arial Nova" w:eastAsia="Arial Nova" w:hAnsi="Arial Nova" w:cs="Arial Nova"/>
          <w:sz w:val="20"/>
          <w:szCs w:val="20"/>
        </w:rPr>
      </w:pPr>
    </w:p>
    <w:p w14:paraId="6E724FFB" w14:textId="3026E659" w:rsidR="1097A7A7" w:rsidRPr="00481AD5" w:rsidRDefault="1097A7A7" w:rsidP="3017A6A8">
      <w:pPr>
        <w:rPr>
          <w:rFonts w:ascii="Arial Nova" w:eastAsia="Arial Nova" w:hAnsi="Arial Nova" w:cs="Arial Nova"/>
          <w:b/>
          <w:bCs/>
          <w:sz w:val="20"/>
          <w:szCs w:val="20"/>
        </w:rPr>
      </w:pPr>
      <w:r w:rsidRPr="00481AD5">
        <w:rPr>
          <w:rFonts w:ascii="Arial Nova" w:eastAsia="Arial Nova" w:hAnsi="Arial Nova" w:cs="Arial Nova"/>
          <w:b/>
          <w:bCs/>
          <w:sz w:val="20"/>
          <w:szCs w:val="20"/>
        </w:rPr>
        <w:t>Definition</w:t>
      </w:r>
      <w:r w:rsidR="4A3E34AD" w:rsidRPr="00481AD5">
        <w:rPr>
          <w:rFonts w:ascii="Arial Nova" w:eastAsia="Arial Nova" w:hAnsi="Arial Nova" w:cs="Arial Nova"/>
          <w:b/>
          <w:bCs/>
          <w:sz w:val="20"/>
          <w:szCs w:val="20"/>
        </w:rPr>
        <w:t>s</w:t>
      </w:r>
      <w:r w:rsidRPr="00481AD5">
        <w:rPr>
          <w:rFonts w:ascii="Arial Nova" w:eastAsia="Arial Nova" w:hAnsi="Arial Nova" w:cs="Arial Nova"/>
          <w:b/>
          <w:bCs/>
          <w:sz w:val="20"/>
          <w:szCs w:val="20"/>
        </w:rPr>
        <w:t xml:space="preserve"> of methods</w:t>
      </w:r>
      <w:r w:rsidR="43F27703" w:rsidRPr="00481AD5">
        <w:rPr>
          <w:rFonts w:ascii="Arial Nova" w:eastAsia="Arial Nova" w:hAnsi="Arial Nova" w:cs="Arial Nova"/>
          <w:b/>
          <w:bCs/>
          <w:sz w:val="20"/>
          <w:szCs w:val="20"/>
        </w:rPr>
        <w:t>*</w:t>
      </w:r>
    </w:p>
    <w:tbl>
      <w:tblPr>
        <w:tblStyle w:val="TableGrid"/>
        <w:tblW w:w="9360" w:type="dxa"/>
        <w:tblLayout w:type="fixed"/>
        <w:tblLook w:val="06A0" w:firstRow="1" w:lastRow="0" w:firstColumn="1" w:lastColumn="0" w:noHBand="1" w:noVBand="1"/>
      </w:tblPr>
      <w:tblGrid>
        <w:gridCol w:w="3045"/>
        <w:gridCol w:w="6315"/>
      </w:tblGrid>
      <w:tr w:rsidR="00481AD5" w:rsidRPr="00481AD5" w14:paraId="12375B51" w14:textId="77777777" w:rsidTr="12C8D67E">
        <w:trPr>
          <w:trHeight w:val="300"/>
        </w:trPr>
        <w:tc>
          <w:tcPr>
            <w:tcW w:w="3045" w:type="dxa"/>
          </w:tcPr>
          <w:p w14:paraId="5A337E61" w14:textId="1CCD7A56" w:rsidR="3E76B8A1" w:rsidRPr="00481AD5" w:rsidRDefault="6DD6B350"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Systems based Theory of Change (</w:t>
            </w:r>
            <w:proofErr w:type="spellStart"/>
            <w:r w:rsidRPr="00481AD5">
              <w:rPr>
                <w:rFonts w:ascii="Arial Nova" w:eastAsia="Arial Nova" w:hAnsi="Arial Nova" w:cs="Arial Nova"/>
                <w:sz w:val="20"/>
                <w:szCs w:val="20"/>
              </w:rPr>
              <w:t>ToC</w:t>
            </w:r>
            <w:proofErr w:type="spellEnd"/>
            <w:r w:rsidRPr="00481AD5">
              <w:rPr>
                <w:rFonts w:ascii="Arial Nova" w:eastAsia="Arial Nova" w:hAnsi="Arial Nova" w:cs="Arial Nova"/>
                <w:sz w:val="20"/>
                <w:szCs w:val="20"/>
              </w:rPr>
              <w:t>) maps</w:t>
            </w:r>
          </w:p>
        </w:tc>
        <w:tc>
          <w:tcPr>
            <w:tcW w:w="6315" w:type="dxa"/>
          </w:tcPr>
          <w:p w14:paraId="1299222C" w14:textId="6F2BDACA" w:rsidR="3E76B8A1" w:rsidRPr="00481AD5" w:rsidRDefault="294998FC"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6DD6B350" w:rsidRPr="00481AD5">
              <w:rPr>
                <w:rFonts w:ascii="Arial Nova" w:eastAsia="Arial Nova" w:hAnsi="Arial Nova" w:cs="Arial Nova"/>
                <w:sz w:val="20"/>
                <w:szCs w:val="20"/>
              </w:rPr>
              <w:t xml:space="preserve">Systems-based </w:t>
            </w:r>
            <w:proofErr w:type="spellStart"/>
            <w:r w:rsidR="6DD6B350" w:rsidRPr="00481AD5">
              <w:rPr>
                <w:rFonts w:ascii="Arial Nova" w:eastAsia="Arial Nova" w:hAnsi="Arial Nova" w:cs="Arial Nova"/>
                <w:sz w:val="20"/>
                <w:szCs w:val="20"/>
              </w:rPr>
              <w:t>ToC</w:t>
            </w:r>
            <w:proofErr w:type="spellEnd"/>
            <w:r w:rsidR="6DD6B350" w:rsidRPr="00481AD5">
              <w:rPr>
                <w:rFonts w:ascii="Arial Nova" w:eastAsia="Arial Nova" w:hAnsi="Arial Nova" w:cs="Arial Nova"/>
                <w:sz w:val="20"/>
                <w:szCs w:val="20"/>
              </w:rPr>
              <w:t xml:space="preserve"> mapping is an emerging method that is designed to overco</w:t>
            </w:r>
            <w:bookmarkStart w:id="0" w:name="_GoBack"/>
            <w:bookmarkEnd w:id="0"/>
            <w:r w:rsidR="6DD6B350" w:rsidRPr="00481AD5">
              <w:rPr>
                <w:rFonts w:ascii="Arial Nova" w:eastAsia="Arial Nova" w:hAnsi="Arial Nova" w:cs="Arial Nova"/>
                <w:sz w:val="20"/>
                <w:szCs w:val="20"/>
              </w:rPr>
              <w:t xml:space="preserve">me challenges of established </w:t>
            </w:r>
            <w:proofErr w:type="spellStart"/>
            <w:r w:rsidR="6DD6B350" w:rsidRPr="00481AD5">
              <w:rPr>
                <w:rFonts w:ascii="Arial Nova" w:eastAsia="Arial Nova" w:hAnsi="Arial Nova" w:cs="Arial Nova"/>
                <w:sz w:val="20"/>
                <w:szCs w:val="20"/>
              </w:rPr>
              <w:t>ToC</w:t>
            </w:r>
            <w:proofErr w:type="spellEnd"/>
            <w:r w:rsidR="6DD6B350" w:rsidRPr="00481AD5">
              <w:rPr>
                <w:rFonts w:ascii="Arial Nova" w:eastAsia="Arial Nova" w:hAnsi="Arial Nova" w:cs="Arial Nova"/>
                <w:sz w:val="20"/>
                <w:szCs w:val="20"/>
              </w:rPr>
              <w:t xml:space="preserve"> models (e.g. typically linear models). [...] Systems-based </w:t>
            </w:r>
            <w:proofErr w:type="spellStart"/>
            <w:r w:rsidR="6DD6B350" w:rsidRPr="00481AD5">
              <w:rPr>
                <w:rFonts w:ascii="Arial Nova" w:eastAsia="Arial Nova" w:hAnsi="Arial Nova" w:cs="Arial Nova"/>
                <w:sz w:val="20"/>
                <w:szCs w:val="20"/>
              </w:rPr>
              <w:t>ToC</w:t>
            </w:r>
            <w:proofErr w:type="spellEnd"/>
            <w:r w:rsidR="6DD6B350" w:rsidRPr="00481AD5">
              <w:rPr>
                <w:rFonts w:ascii="Arial Nova" w:eastAsia="Arial Nova" w:hAnsi="Arial Nova" w:cs="Arial Nova"/>
                <w:sz w:val="20"/>
                <w:szCs w:val="20"/>
              </w:rPr>
              <w:t xml:space="preserve"> mapping removes the need to assume linear, acyclic change by establishing the complex causal arrangement of factors between points of intervention and outcomes. [.</w:t>
            </w:r>
            <w:r w:rsidR="7E7A314E" w:rsidRPr="00481AD5">
              <w:rPr>
                <w:rFonts w:ascii="Arial Nova" w:eastAsia="Arial Nova" w:hAnsi="Arial Nova" w:cs="Arial Nova"/>
                <w:sz w:val="20"/>
                <w:szCs w:val="20"/>
              </w:rPr>
              <w:t>.</w:t>
            </w:r>
            <w:r w:rsidR="6DD6B350" w:rsidRPr="00481AD5">
              <w:rPr>
                <w:rFonts w:ascii="Arial Nova" w:eastAsia="Arial Nova" w:hAnsi="Arial Nova" w:cs="Arial Nova"/>
                <w:sz w:val="20"/>
                <w:szCs w:val="20"/>
              </w:rPr>
              <w:t xml:space="preserve">.] This approach is distinct from, but related to, methods such as </w:t>
            </w:r>
            <w:proofErr w:type="spellStart"/>
            <w:r w:rsidR="6DD6B350" w:rsidRPr="00481AD5">
              <w:rPr>
                <w:rFonts w:ascii="Arial Nova" w:eastAsia="Arial Nova" w:hAnsi="Arial Nova" w:cs="Arial Nova"/>
                <w:sz w:val="20"/>
                <w:szCs w:val="20"/>
              </w:rPr>
              <w:t>programme</w:t>
            </w:r>
            <w:proofErr w:type="spellEnd"/>
            <w:r w:rsidR="6DD6B350" w:rsidRPr="00481AD5">
              <w:rPr>
                <w:rFonts w:ascii="Arial Nova" w:eastAsia="Arial Nova" w:hAnsi="Arial Nova" w:cs="Arial Nova"/>
                <w:sz w:val="20"/>
                <w:szCs w:val="20"/>
              </w:rPr>
              <w:t xml:space="preserve"> theory development, logic mapping, logic modelling, results chaining, or outcome mapping</w:t>
            </w:r>
            <w:r w:rsidR="4CDE4DE6" w:rsidRPr="00481AD5">
              <w:rPr>
                <w:rFonts w:ascii="Arial Nova" w:eastAsia="Arial Nova" w:hAnsi="Arial Nova" w:cs="Arial Nova"/>
                <w:sz w:val="20"/>
                <w:szCs w:val="20"/>
              </w:rPr>
              <w:t>’</w:t>
            </w:r>
            <w:r w:rsidR="282DD4CE" w:rsidRPr="00481AD5">
              <w:rPr>
                <w:rFonts w:ascii="Arial Nova" w:eastAsia="Arial Nova" w:hAnsi="Arial Nova" w:cs="Arial Nova"/>
                <w:sz w:val="20"/>
                <w:szCs w:val="20"/>
              </w:rPr>
              <w:t>.</w:t>
            </w:r>
          </w:p>
        </w:tc>
      </w:tr>
      <w:tr w:rsidR="00481AD5" w:rsidRPr="00481AD5" w14:paraId="51979856" w14:textId="77777777" w:rsidTr="12C8D67E">
        <w:trPr>
          <w:trHeight w:val="300"/>
        </w:trPr>
        <w:tc>
          <w:tcPr>
            <w:tcW w:w="3045" w:type="dxa"/>
          </w:tcPr>
          <w:p w14:paraId="2DAAF4B2" w14:textId="18CDDE43" w:rsidR="3E76B8A1" w:rsidRPr="00481AD5" w:rsidRDefault="3D48331F"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Causal Loop Diagrams (CLD)</w:t>
            </w:r>
          </w:p>
        </w:tc>
        <w:tc>
          <w:tcPr>
            <w:tcW w:w="6315" w:type="dxa"/>
          </w:tcPr>
          <w:p w14:paraId="6C2A5D8E" w14:textId="561A6EFE" w:rsidR="3E76B8A1" w:rsidRPr="00481AD5" w:rsidRDefault="7C48A6D3"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3D48331F" w:rsidRPr="00481AD5">
              <w:rPr>
                <w:rFonts w:ascii="Arial Nova" w:eastAsia="Arial Nova" w:hAnsi="Arial Nova" w:cs="Arial Nova"/>
                <w:sz w:val="20"/>
                <w:szCs w:val="20"/>
              </w:rPr>
              <w:t xml:space="preserve">Causal loop diagrams provide a qualitative picture of a system’s structure. One of their purposes is to identify feedback loops, which can help explain how systems behave, and in turn how these </w:t>
            </w:r>
            <w:proofErr w:type="spellStart"/>
            <w:r w:rsidR="3D48331F" w:rsidRPr="00481AD5">
              <w:rPr>
                <w:rFonts w:ascii="Arial Nova" w:eastAsia="Arial Nova" w:hAnsi="Arial Nova" w:cs="Arial Nova"/>
                <w:sz w:val="20"/>
                <w:szCs w:val="20"/>
              </w:rPr>
              <w:t>behaviours</w:t>
            </w:r>
            <w:proofErr w:type="spellEnd"/>
            <w:r w:rsidR="3D48331F" w:rsidRPr="00481AD5">
              <w:rPr>
                <w:rFonts w:ascii="Arial Nova" w:eastAsia="Arial Nova" w:hAnsi="Arial Nova" w:cs="Arial Nova"/>
                <w:sz w:val="20"/>
                <w:szCs w:val="20"/>
              </w:rPr>
              <w:t xml:space="preserve"> lead to particular outcomes associated with problems of interest. These maps comprise a series of </w:t>
            </w:r>
            <w:proofErr w:type="spellStart"/>
            <w:r w:rsidR="3D48331F" w:rsidRPr="00481AD5">
              <w:rPr>
                <w:rFonts w:ascii="Arial Nova" w:eastAsia="Arial Nova" w:hAnsi="Arial Nova" w:cs="Arial Nova"/>
                <w:sz w:val="20"/>
                <w:szCs w:val="20"/>
              </w:rPr>
              <w:t>theorised</w:t>
            </w:r>
            <w:proofErr w:type="spellEnd"/>
            <w:r w:rsidR="3D48331F" w:rsidRPr="00481AD5">
              <w:rPr>
                <w:rFonts w:ascii="Arial Nova" w:eastAsia="Arial Nova" w:hAnsi="Arial Nova" w:cs="Arial Nova"/>
                <w:sz w:val="20"/>
                <w:szCs w:val="20"/>
              </w:rPr>
              <w:t xml:space="preserve"> causal relations between elements in the system</w:t>
            </w:r>
            <w:r w:rsidR="3AEC232E" w:rsidRPr="00481AD5">
              <w:rPr>
                <w:rFonts w:ascii="Arial Nova" w:eastAsia="Arial Nova" w:hAnsi="Arial Nova" w:cs="Arial Nova"/>
                <w:sz w:val="20"/>
                <w:szCs w:val="20"/>
              </w:rPr>
              <w:t>’</w:t>
            </w:r>
            <w:r w:rsidR="3D48331F" w:rsidRPr="00481AD5">
              <w:rPr>
                <w:rFonts w:ascii="Arial Nova" w:eastAsia="Arial Nova" w:hAnsi="Arial Nova" w:cs="Arial Nova"/>
                <w:sz w:val="20"/>
                <w:szCs w:val="20"/>
              </w:rPr>
              <w:t>.</w:t>
            </w:r>
          </w:p>
        </w:tc>
      </w:tr>
      <w:tr w:rsidR="00481AD5" w:rsidRPr="00481AD5" w14:paraId="31B7DDE4" w14:textId="77777777" w:rsidTr="12C8D67E">
        <w:trPr>
          <w:trHeight w:val="300"/>
        </w:trPr>
        <w:tc>
          <w:tcPr>
            <w:tcW w:w="3045" w:type="dxa"/>
          </w:tcPr>
          <w:p w14:paraId="7855BE73" w14:textId="3E29C2A8" w:rsidR="3E76B8A1" w:rsidRPr="00481AD5" w:rsidRDefault="3D48331F"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CECAN Participatory Systems Mapping (CECAN PSM)</w:t>
            </w:r>
          </w:p>
        </w:tc>
        <w:tc>
          <w:tcPr>
            <w:tcW w:w="6315" w:type="dxa"/>
          </w:tcPr>
          <w:p w14:paraId="68F122F9" w14:textId="666A7698" w:rsidR="3E76B8A1" w:rsidRPr="00481AD5" w:rsidRDefault="3AEC232E"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3D48331F" w:rsidRPr="00481AD5">
              <w:rPr>
                <w:rFonts w:ascii="Arial Nova" w:eastAsia="Arial Nova" w:hAnsi="Arial Nova" w:cs="Arial Nova"/>
                <w:sz w:val="20"/>
                <w:szCs w:val="20"/>
              </w:rPr>
              <w:t xml:space="preserve">CECAN PSM is similar to other causal systems mapping methods (e.g. CLDs or fuzzy cognitive maps). Its primary purpose is to </w:t>
            </w:r>
            <w:proofErr w:type="spellStart"/>
            <w:r w:rsidR="3D48331F" w:rsidRPr="00481AD5">
              <w:rPr>
                <w:rFonts w:ascii="Arial Nova" w:eastAsia="Arial Nova" w:hAnsi="Arial Nova" w:cs="Arial Nova"/>
                <w:sz w:val="20"/>
                <w:szCs w:val="20"/>
              </w:rPr>
              <w:t>emphasise</w:t>
            </w:r>
            <w:proofErr w:type="spellEnd"/>
            <w:r w:rsidR="3D48331F" w:rsidRPr="00481AD5">
              <w:rPr>
                <w:rFonts w:ascii="Arial Nova" w:eastAsia="Arial Nova" w:hAnsi="Arial Nova" w:cs="Arial Nova"/>
                <w:sz w:val="20"/>
                <w:szCs w:val="20"/>
              </w:rPr>
              <w:t xml:space="preserve"> and facilitate actionable outcomes from the mapping process by identifying important and controllable components of a system, including those particularly susceptible to change. Of particular importance is that participant-driven applications of network analysis principles are used to identify flows and chains of causal relations, and to develop detailed and meaningful </w:t>
            </w:r>
            <w:proofErr w:type="spellStart"/>
            <w:r w:rsidR="3D48331F" w:rsidRPr="00481AD5">
              <w:rPr>
                <w:rFonts w:ascii="Arial Nova" w:eastAsia="Arial Nova" w:hAnsi="Arial Nova" w:cs="Arial Nova"/>
                <w:sz w:val="20"/>
                <w:szCs w:val="20"/>
              </w:rPr>
              <w:t>submaps</w:t>
            </w:r>
            <w:proofErr w:type="spellEnd"/>
            <w:r w:rsidR="3D48331F" w:rsidRPr="00481AD5">
              <w:rPr>
                <w:rFonts w:ascii="Arial Nova" w:eastAsia="Arial Nova" w:hAnsi="Arial Nova" w:cs="Arial Nova"/>
                <w:sz w:val="20"/>
                <w:szCs w:val="20"/>
              </w:rPr>
              <w:t>. This helps make sense of typically large and complex maps</w:t>
            </w:r>
            <w:r w:rsidR="5CBB2CA7" w:rsidRPr="00481AD5">
              <w:rPr>
                <w:rFonts w:ascii="Arial Nova" w:eastAsia="Arial Nova" w:hAnsi="Arial Nova" w:cs="Arial Nova"/>
                <w:sz w:val="20"/>
                <w:szCs w:val="20"/>
              </w:rPr>
              <w:t>’</w:t>
            </w:r>
            <w:r w:rsidR="3D48331F" w:rsidRPr="00481AD5">
              <w:rPr>
                <w:rFonts w:ascii="Arial Nova" w:eastAsia="Arial Nova" w:hAnsi="Arial Nova" w:cs="Arial Nova"/>
                <w:sz w:val="20"/>
                <w:szCs w:val="20"/>
              </w:rPr>
              <w:t>.</w:t>
            </w:r>
          </w:p>
        </w:tc>
      </w:tr>
      <w:tr w:rsidR="00481AD5" w:rsidRPr="00481AD5" w14:paraId="5D6F4E7A" w14:textId="77777777" w:rsidTr="12C8D67E">
        <w:trPr>
          <w:trHeight w:val="300"/>
        </w:trPr>
        <w:tc>
          <w:tcPr>
            <w:tcW w:w="3045" w:type="dxa"/>
          </w:tcPr>
          <w:p w14:paraId="5F0AFC9F" w14:textId="4FB79AE2" w:rsidR="3E76B8A1" w:rsidRPr="00481AD5" w:rsidRDefault="70D387A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Fuzzy cognitive maps (FCM)</w:t>
            </w:r>
          </w:p>
        </w:tc>
        <w:tc>
          <w:tcPr>
            <w:tcW w:w="6315" w:type="dxa"/>
          </w:tcPr>
          <w:p w14:paraId="084F1A80" w14:textId="4A3895B4" w:rsidR="3E76B8A1" w:rsidRPr="00481AD5" w:rsidRDefault="1997053A"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70D387A5" w:rsidRPr="00481AD5">
              <w:rPr>
                <w:rFonts w:ascii="Arial Nova" w:eastAsia="Arial Nova" w:hAnsi="Arial Nova" w:cs="Arial Nova"/>
                <w:sz w:val="20"/>
                <w:szCs w:val="20"/>
              </w:rPr>
              <w:t>Fuzzy cognitive maps (FCM) illustrate semi-quantitative ‘mental models’ of a system. These maps are made up of elements and connections, which depending on the type of FCM, are assigned different numerical values by those taking part in the mapping process. The factors themselves can be either abstract or measurable. In brief, FCM acknowledges uncertainty in the knowledge of causal processes in complex systems. Their primary purpose is to identify the most influential causal factors, explore what may happen to other factors of a system if something is changed, and examine and compare stakeholders’ ‘mental models’.</w:t>
            </w:r>
            <w:r w:rsidR="5E765A15" w:rsidRPr="00481AD5">
              <w:rPr>
                <w:rFonts w:ascii="Arial Nova" w:eastAsia="Arial Nova" w:hAnsi="Arial Nova" w:cs="Arial Nova"/>
                <w:sz w:val="20"/>
                <w:szCs w:val="20"/>
              </w:rPr>
              <w:t>’</w:t>
            </w:r>
          </w:p>
        </w:tc>
      </w:tr>
      <w:tr w:rsidR="00481AD5" w:rsidRPr="00481AD5" w14:paraId="37C7F1B6" w14:textId="77777777" w:rsidTr="12C8D67E">
        <w:trPr>
          <w:trHeight w:val="300"/>
        </w:trPr>
        <w:tc>
          <w:tcPr>
            <w:tcW w:w="3045" w:type="dxa"/>
          </w:tcPr>
          <w:p w14:paraId="1F98A992" w14:textId="6E09E597" w:rsidR="3E76B8A1" w:rsidRPr="00481AD5" w:rsidRDefault="70D387A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 xml:space="preserve">Systems Dynamics </w:t>
            </w:r>
          </w:p>
        </w:tc>
        <w:tc>
          <w:tcPr>
            <w:tcW w:w="6315" w:type="dxa"/>
          </w:tcPr>
          <w:p w14:paraId="7410C1DD" w14:textId="48AC1DDA" w:rsidR="3E76B8A1" w:rsidRPr="00481AD5" w:rsidRDefault="7DC16910"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00565877" w:rsidRPr="00481AD5">
              <w:rPr>
                <w:rFonts w:ascii="Arial Nova" w:eastAsia="Arial Nova" w:hAnsi="Arial Nova" w:cs="Arial Nova"/>
                <w:sz w:val="20"/>
                <w:szCs w:val="20"/>
              </w:rPr>
              <w:t>S</w:t>
            </w:r>
            <w:r w:rsidR="70D387A5" w:rsidRPr="00481AD5">
              <w:rPr>
                <w:rFonts w:ascii="Arial Nova" w:eastAsia="Arial Nova" w:hAnsi="Arial Nova" w:cs="Arial Nova"/>
                <w:sz w:val="20"/>
                <w:szCs w:val="20"/>
              </w:rPr>
              <w:t xml:space="preserve">ystems dynamics modelling (SDM) aims to model part of a system that corresponds to a problem, rather than the system as a whole. SDM typically comprises three stages: </w:t>
            </w:r>
          </w:p>
          <w:p w14:paraId="1348DC5C" w14:textId="5B7AAF3E" w:rsidR="3E76B8A1" w:rsidRPr="00481AD5" w:rsidRDefault="70D387A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 xml:space="preserve">1. A CLD (or similar map that includes feedback loops) is used to develop understanding of the structure of the problem system </w:t>
            </w:r>
          </w:p>
          <w:p w14:paraId="4290E283" w14:textId="40980B4C" w:rsidR="3E76B8A1" w:rsidRPr="00481AD5" w:rsidRDefault="70D387A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 xml:space="preserve">2. Stock and flow diagrams (S&amp;F) are then used to extend the initial system map and put it into a quantitatively </w:t>
            </w:r>
            <w:proofErr w:type="spellStart"/>
            <w:r w:rsidRPr="00481AD5">
              <w:rPr>
                <w:rFonts w:ascii="Arial Nova" w:eastAsia="Arial Nova" w:hAnsi="Arial Nova" w:cs="Arial Nova"/>
                <w:sz w:val="20"/>
                <w:szCs w:val="20"/>
              </w:rPr>
              <w:t>modellable</w:t>
            </w:r>
            <w:proofErr w:type="spellEnd"/>
            <w:r w:rsidRPr="00481AD5">
              <w:rPr>
                <w:rFonts w:ascii="Arial Nova" w:eastAsia="Arial Nova" w:hAnsi="Arial Nova" w:cs="Arial Nova"/>
                <w:sz w:val="20"/>
                <w:szCs w:val="20"/>
              </w:rPr>
              <w:t xml:space="preserve"> structure. These diagrams </w:t>
            </w:r>
            <w:proofErr w:type="spellStart"/>
            <w:r w:rsidRPr="00481AD5">
              <w:rPr>
                <w:rFonts w:ascii="Arial Nova" w:eastAsia="Arial Nova" w:hAnsi="Arial Nova" w:cs="Arial Nova"/>
                <w:sz w:val="20"/>
                <w:szCs w:val="20"/>
              </w:rPr>
              <w:t>conceptualise</w:t>
            </w:r>
            <w:proofErr w:type="spellEnd"/>
            <w:r w:rsidRPr="00481AD5">
              <w:rPr>
                <w:rFonts w:ascii="Arial Nova" w:eastAsia="Arial Nova" w:hAnsi="Arial Nova" w:cs="Arial Nova"/>
                <w:sz w:val="20"/>
                <w:szCs w:val="20"/>
              </w:rPr>
              <w:t xml:space="preserve"> the </w:t>
            </w:r>
            <w:proofErr w:type="spellStart"/>
            <w:r w:rsidRPr="00481AD5">
              <w:rPr>
                <w:rFonts w:ascii="Arial Nova" w:eastAsia="Arial Nova" w:hAnsi="Arial Nova" w:cs="Arial Nova"/>
                <w:sz w:val="20"/>
                <w:szCs w:val="20"/>
              </w:rPr>
              <w:t>behaviour</w:t>
            </w:r>
            <w:proofErr w:type="spellEnd"/>
            <w:r w:rsidRPr="00481AD5">
              <w:rPr>
                <w:rFonts w:ascii="Arial Nova" w:eastAsia="Arial Nova" w:hAnsi="Arial Nova" w:cs="Arial Nova"/>
                <w:sz w:val="20"/>
                <w:szCs w:val="20"/>
              </w:rPr>
              <w:t xml:space="preserve"> of systems as being the product of the accumulation of stocks (quantity of a variable at a </w:t>
            </w:r>
            <w:r w:rsidRPr="00481AD5">
              <w:rPr>
                <w:rFonts w:ascii="Arial Nova" w:eastAsia="Arial Nova" w:hAnsi="Arial Nova" w:cs="Arial Nova"/>
                <w:sz w:val="20"/>
                <w:szCs w:val="20"/>
              </w:rPr>
              <w:lastRenderedPageBreak/>
              <w:t xml:space="preserve">given time) and flows (change in stocks over time), making this form of map distinct from a CLD </w:t>
            </w:r>
          </w:p>
          <w:p w14:paraId="43AA36A9" w14:textId="4751A5EB" w:rsidR="3E76B8A1" w:rsidRPr="00481AD5" w:rsidRDefault="70D387A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3. The S&amp;F diagram is then specified (i.e. quantified) as a set of mathematical formulae known as differential equations, and the simulation (model) is then ‘run’ using computer software</w:t>
            </w:r>
            <w:r w:rsidR="75FE959E" w:rsidRPr="00481AD5">
              <w:rPr>
                <w:rFonts w:ascii="Arial Nova" w:eastAsia="Arial Nova" w:hAnsi="Arial Nova" w:cs="Arial Nova"/>
                <w:sz w:val="20"/>
                <w:szCs w:val="20"/>
              </w:rPr>
              <w:t>’</w:t>
            </w:r>
            <w:r w:rsidRPr="00481AD5">
              <w:rPr>
                <w:rFonts w:ascii="Arial Nova" w:eastAsia="Arial Nova" w:hAnsi="Arial Nova" w:cs="Arial Nova"/>
                <w:sz w:val="20"/>
                <w:szCs w:val="20"/>
              </w:rPr>
              <w:t>.</w:t>
            </w:r>
          </w:p>
        </w:tc>
      </w:tr>
      <w:tr w:rsidR="00481AD5" w:rsidRPr="00481AD5" w14:paraId="77EE3907" w14:textId="77777777" w:rsidTr="12C8D67E">
        <w:trPr>
          <w:trHeight w:val="300"/>
        </w:trPr>
        <w:tc>
          <w:tcPr>
            <w:tcW w:w="3045" w:type="dxa"/>
          </w:tcPr>
          <w:p w14:paraId="479FC8DB" w14:textId="21C88CC2" w:rsidR="4233C9A2" w:rsidRPr="00481AD5" w:rsidRDefault="4233C9A2"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lastRenderedPageBreak/>
              <w:t>Bayesian belief networks (BBN)</w:t>
            </w:r>
          </w:p>
        </w:tc>
        <w:tc>
          <w:tcPr>
            <w:tcW w:w="6315" w:type="dxa"/>
          </w:tcPr>
          <w:p w14:paraId="67AB40FD" w14:textId="62BD1A7F" w:rsidR="4233C9A2" w:rsidRPr="00481AD5" w:rsidRDefault="2CE2F85A"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4233C9A2" w:rsidRPr="00481AD5">
              <w:rPr>
                <w:rFonts w:ascii="Arial Nova" w:eastAsia="Arial Nova" w:hAnsi="Arial Nova" w:cs="Arial Nova"/>
                <w:sz w:val="20"/>
                <w:szCs w:val="20"/>
              </w:rPr>
              <w:t>Bayesian belief networks are graphs informed by the mathematics of Bayesian probability</w:t>
            </w:r>
            <w:commentRangeStart w:id="1"/>
            <w:r w:rsidR="4233C9A2" w:rsidRPr="00481AD5">
              <w:rPr>
                <w:rFonts w:ascii="Arial Nova" w:eastAsia="Arial Nova" w:hAnsi="Arial Nova" w:cs="Arial Nova"/>
                <w:sz w:val="20"/>
                <w:szCs w:val="20"/>
              </w:rPr>
              <w:t xml:space="preserve">. </w:t>
            </w:r>
            <w:commentRangeEnd w:id="1"/>
            <w:r w:rsidR="4233C9A2" w:rsidRPr="00481AD5">
              <w:rPr>
                <w:rStyle w:val="CommentReference"/>
              </w:rPr>
              <w:commentReference w:id="1"/>
            </w:r>
            <w:r w:rsidR="4233C9A2" w:rsidRPr="00481AD5">
              <w:rPr>
                <w:rFonts w:ascii="Arial Nova" w:eastAsia="Arial Nova" w:hAnsi="Arial Nova" w:cs="Arial Nova"/>
                <w:sz w:val="20"/>
                <w:szCs w:val="20"/>
              </w:rPr>
              <w:t xml:space="preserve">Their purpose is to capture conditional probabilities of the causal connections between factors in the system, meaning: what are the chances that X happens if Y and Z are true or not? In other words, the ‘belief’ in an outcome is the probability that two or more events may occur simultaneously. A picture of the system is built by connecting various sets of these relations, which can be </w:t>
            </w:r>
            <w:proofErr w:type="spellStart"/>
            <w:r w:rsidR="4233C9A2" w:rsidRPr="00481AD5">
              <w:rPr>
                <w:rFonts w:ascii="Arial Nova" w:eastAsia="Arial Nova" w:hAnsi="Arial Nova" w:cs="Arial Nova"/>
                <w:sz w:val="20"/>
                <w:szCs w:val="20"/>
              </w:rPr>
              <w:t>analysed</w:t>
            </w:r>
            <w:proofErr w:type="spellEnd"/>
            <w:r w:rsidR="4233C9A2" w:rsidRPr="00481AD5">
              <w:rPr>
                <w:rFonts w:ascii="Arial Nova" w:eastAsia="Arial Nova" w:hAnsi="Arial Nova" w:cs="Arial Nova"/>
                <w:sz w:val="20"/>
                <w:szCs w:val="20"/>
              </w:rPr>
              <w:t xml:space="preserve"> quantitatively. This approach helps address some of the uncertainty around how different parts of a system interact and influence one another.</w:t>
            </w:r>
            <w:r w:rsidR="41A94AD5" w:rsidRPr="00481AD5">
              <w:rPr>
                <w:rFonts w:ascii="Arial Nova" w:eastAsia="Arial Nova" w:hAnsi="Arial Nova" w:cs="Arial Nova"/>
                <w:sz w:val="20"/>
                <w:szCs w:val="20"/>
              </w:rPr>
              <w:t>’</w:t>
            </w:r>
          </w:p>
        </w:tc>
      </w:tr>
    </w:tbl>
    <w:p w14:paraId="3163EB47" w14:textId="2F74C116" w:rsidR="3E76B8A1" w:rsidRPr="00481AD5" w:rsidRDefault="03BE0A8A" w:rsidP="3017A6A8">
      <w:pPr>
        <w:rPr>
          <w:rFonts w:ascii="Arial Nova" w:eastAsia="Arial Nova" w:hAnsi="Arial Nova" w:cs="Arial Nova"/>
          <w:sz w:val="20"/>
          <w:szCs w:val="20"/>
        </w:rPr>
      </w:pPr>
      <w:r w:rsidRPr="00481AD5">
        <w:rPr>
          <w:rFonts w:ascii="Arial Nova" w:eastAsia="Arial Nova" w:hAnsi="Arial Nova" w:cs="Arial Nova"/>
          <w:i/>
          <w:iCs/>
          <w:sz w:val="20"/>
          <w:szCs w:val="20"/>
        </w:rPr>
        <w:t>*</w:t>
      </w:r>
      <w:r w:rsidR="282DD4CE" w:rsidRPr="00481AD5">
        <w:rPr>
          <w:rFonts w:ascii="Arial Nova" w:eastAsia="Arial Nova" w:hAnsi="Arial Nova" w:cs="Arial Nova"/>
          <w:i/>
          <w:iCs/>
          <w:sz w:val="20"/>
          <w:szCs w:val="20"/>
        </w:rPr>
        <w:t xml:space="preserve">Source of definitions: </w:t>
      </w:r>
      <w:r w:rsidR="282DD4CE" w:rsidRPr="00481AD5">
        <w:rPr>
          <w:rFonts w:ascii="Arial Nova" w:eastAsia="Arial Nova" w:hAnsi="Arial Nova" w:cs="Arial Nova"/>
          <w:sz w:val="20"/>
          <w:szCs w:val="20"/>
        </w:rPr>
        <w:t xml:space="preserve">Blake, C &amp; Rigby, B et al. (2024) Participatory systems mapping for population health research, policy and practice: guidance on method choice and design. Glasgow, UK: University of Glasgow. </w:t>
      </w:r>
      <w:r w:rsidR="712C29D4" w:rsidRPr="00481AD5">
        <w:rPr>
          <w:rFonts w:ascii="Arial Nova" w:eastAsia="Arial Nova" w:hAnsi="Arial Nova" w:cs="Arial Nova"/>
          <w:sz w:val="20"/>
          <w:szCs w:val="20"/>
        </w:rPr>
        <w:t xml:space="preserve">  </w:t>
      </w:r>
      <w:r w:rsidR="282DD4CE" w:rsidRPr="00481AD5">
        <w:rPr>
          <w:rFonts w:ascii="Arial Nova" w:eastAsia="Arial Nova" w:hAnsi="Arial Nova" w:cs="Arial Nova"/>
          <w:sz w:val="20"/>
          <w:szCs w:val="20"/>
        </w:rPr>
        <w:t>Doi.org/10.36399/gla.pubs.316563</w:t>
      </w:r>
      <w:r w:rsidR="46DE867A" w:rsidRPr="00481AD5">
        <w:rPr>
          <w:rFonts w:ascii="Arial Nova" w:eastAsia="Arial Nova" w:hAnsi="Arial Nova" w:cs="Arial Nova"/>
          <w:sz w:val="20"/>
          <w:szCs w:val="20"/>
        </w:rPr>
        <w:t xml:space="preserve"> </w:t>
      </w:r>
      <w:r w:rsidR="5DFCCC23" w:rsidRPr="00481AD5">
        <w:rPr>
          <w:rFonts w:ascii="Arial Nova" w:eastAsia="Arial Nova" w:hAnsi="Arial Nova" w:cs="Arial Nova"/>
          <w:sz w:val="20"/>
          <w:szCs w:val="20"/>
        </w:rPr>
        <w:t xml:space="preserve"> </w:t>
      </w:r>
      <w:r w:rsidR="282DD4CE" w:rsidRPr="00481AD5">
        <w:rPr>
          <w:rFonts w:ascii="Arial Nova" w:eastAsia="Arial Nova" w:hAnsi="Arial Nova" w:cs="Arial Nova"/>
          <w:sz w:val="20"/>
          <w:szCs w:val="20"/>
        </w:rPr>
        <w:t xml:space="preserve"> </w:t>
      </w:r>
    </w:p>
    <w:p w14:paraId="682C5A7F" w14:textId="13327CCA" w:rsidR="2B7A1C5B" w:rsidRPr="00481AD5" w:rsidRDefault="2B7A1C5B" w:rsidP="3017A6A8">
      <w:pPr>
        <w:rPr>
          <w:rFonts w:ascii="Arial Nova" w:eastAsia="Arial Nova" w:hAnsi="Arial Nova" w:cs="Arial Nova"/>
          <w:sz w:val="20"/>
          <w:szCs w:val="20"/>
        </w:rPr>
      </w:pPr>
    </w:p>
    <w:p w14:paraId="156FA9CC" w14:textId="02F59774" w:rsidR="2F21D15E" w:rsidRPr="00481AD5" w:rsidRDefault="2F21D15E" w:rsidP="3017A6A8">
      <w:pPr>
        <w:rPr>
          <w:rFonts w:ascii="Arial Nova" w:eastAsia="Arial Nova" w:hAnsi="Arial Nova" w:cs="Arial Nova"/>
          <w:b/>
          <w:bCs/>
          <w:sz w:val="20"/>
          <w:szCs w:val="20"/>
        </w:rPr>
      </w:pPr>
      <w:r w:rsidRPr="00481AD5">
        <w:rPr>
          <w:rFonts w:ascii="Arial Nova" w:eastAsia="Arial Nova" w:hAnsi="Arial Nova" w:cs="Arial Nova"/>
          <w:b/>
          <w:bCs/>
          <w:sz w:val="20"/>
          <w:szCs w:val="20"/>
        </w:rPr>
        <w:t>Definition of systems mapping concepts</w:t>
      </w:r>
    </w:p>
    <w:tbl>
      <w:tblPr>
        <w:tblStyle w:val="TableGrid"/>
        <w:tblW w:w="0" w:type="auto"/>
        <w:tblLook w:val="06A0" w:firstRow="1" w:lastRow="0" w:firstColumn="1" w:lastColumn="0" w:noHBand="1" w:noVBand="1"/>
      </w:tblPr>
      <w:tblGrid>
        <w:gridCol w:w="3042"/>
        <w:gridCol w:w="6308"/>
      </w:tblGrid>
      <w:tr w:rsidR="00481AD5" w:rsidRPr="00481AD5" w14:paraId="1319B312" w14:textId="77777777" w:rsidTr="12C8D67E">
        <w:trPr>
          <w:trHeight w:val="300"/>
        </w:trPr>
        <w:tc>
          <w:tcPr>
            <w:tcW w:w="3045" w:type="dxa"/>
          </w:tcPr>
          <w:p w14:paraId="0515BEFE" w14:textId="08D6EEA6" w:rsidR="0A081BB0" w:rsidRPr="00481AD5" w:rsidRDefault="0A081BB0"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Connections or edges*</w:t>
            </w:r>
          </w:p>
          <w:p w14:paraId="09F573FF" w14:textId="6EB29660" w:rsidR="2B7A1C5B" w:rsidRPr="00481AD5" w:rsidRDefault="2B7A1C5B" w:rsidP="12C8D67E">
            <w:pPr>
              <w:spacing w:line="276" w:lineRule="auto"/>
              <w:rPr>
                <w:rFonts w:ascii="Arial Nova" w:eastAsia="Arial Nova" w:hAnsi="Arial Nova" w:cs="Arial Nova"/>
                <w:sz w:val="20"/>
                <w:szCs w:val="20"/>
              </w:rPr>
            </w:pPr>
          </w:p>
        </w:tc>
        <w:tc>
          <w:tcPr>
            <w:tcW w:w="6315" w:type="dxa"/>
          </w:tcPr>
          <w:p w14:paraId="71597972" w14:textId="2170AD0D" w:rsidR="0A081BB0" w:rsidRPr="00481AD5" w:rsidRDefault="0A081BB0"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‘The connections between factors in a system map. They are usually drawn as arrows, and typically depict causal relations’.</w:t>
            </w:r>
          </w:p>
        </w:tc>
      </w:tr>
      <w:tr w:rsidR="00481AD5" w:rsidRPr="00481AD5" w14:paraId="31A8289F" w14:textId="77777777" w:rsidTr="12C8D67E">
        <w:trPr>
          <w:trHeight w:val="300"/>
        </w:trPr>
        <w:tc>
          <w:tcPr>
            <w:tcW w:w="3045" w:type="dxa"/>
          </w:tcPr>
          <w:p w14:paraId="4FEF4E25" w14:textId="071184BB" w:rsidR="4CE0E755" w:rsidRPr="00481AD5" w:rsidRDefault="4CE0E75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Polarity</w:t>
            </w:r>
            <w:r w:rsidR="62D0BEF2" w:rsidRPr="00481AD5">
              <w:rPr>
                <w:rFonts w:ascii="Arial Nova" w:eastAsia="Arial Nova" w:hAnsi="Arial Nova" w:cs="Arial Nova"/>
                <w:sz w:val="20"/>
                <w:szCs w:val="20"/>
              </w:rPr>
              <w:t>**</w:t>
            </w:r>
          </w:p>
        </w:tc>
        <w:tc>
          <w:tcPr>
            <w:tcW w:w="6315" w:type="dxa"/>
          </w:tcPr>
          <w:p w14:paraId="732BC367" w14:textId="743475E9" w:rsidR="7736E542" w:rsidRPr="00481AD5" w:rsidRDefault="7736E542"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05A64BC7" w:rsidRPr="00481AD5">
              <w:rPr>
                <w:rFonts w:ascii="Arial Nova" w:eastAsia="Arial Nova" w:hAnsi="Arial Nova" w:cs="Arial Nova"/>
                <w:sz w:val="20"/>
                <w:szCs w:val="20"/>
              </w:rPr>
              <w:t>A</w:t>
            </w:r>
            <w:r w:rsidR="62D0BEF2" w:rsidRPr="00481AD5">
              <w:rPr>
                <w:rFonts w:ascii="Arial Nova" w:eastAsia="Arial Nova" w:hAnsi="Arial Nova" w:cs="Arial Nova"/>
                <w:sz w:val="20"/>
                <w:szCs w:val="20"/>
              </w:rPr>
              <w:t xml:space="preserve"> positive (+) or negative (−) sign that indicates the direction of impact of the driving variable on the driven variable. Positive polarity indicates that the impacted variable moves in the same direction (increase or decrease) as the driving variable. Negative polarity indicates that the impacted variable moves in the opposite direction (increase or decrease) to the driving variable. Alternatively, positive link polarity is sometimes indicated by the letter “S” (causing to move in the same direction) and negative link polarity by the letter “O” (causing to move in the opposite direction)</w:t>
            </w:r>
            <w:r w:rsidR="38F007F6" w:rsidRPr="00481AD5">
              <w:rPr>
                <w:rFonts w:ascii="Arial Nova" w:eastAsia="Arial Nova" w:hAnsi="Arial Nova" w:cs="Arial Nova"/>
                <w:sz w:val="20"/>
                <w:szCs w:val="20"/>
              </w:rPr>
              <w:t>’</w:t>
            </w:r>
            <w:r w:rsidR="62D0BEF2" w:rsidRPr="00481AD5">
              <w:rPr>
                <w:rFonts w:ascii="Arial Nova" w:eastAsia="Arial Nova" w:hAnsi="Arial Nova" w:cs="Arial Nova"/>
                <w:sz w:val="20"/>
                <w:szCs w:val="20"/>
              </w:rPr>
              <w:t>.</w:t>
            </w:r>
          </w:p>
        </w:tc>
      </w:tr>
      <w:tr w:rsidR="00481AD5" w:rsidRPr="00481AD5" w14:paraId="2B69E155" w14:textId="77777777" w:rsidTr="12C8D67E">
        <w:trPr>
          <w:trHeight w:val="300"/>
        </w:trPr>
        <w:tc>
          <w:tcPr>
            <w:tcW w:w="3045" w:type="dxa"/>
          </w:tcPr>
          <w:p w14:paraId="1A969921" w14:textId="7A3D269F" w:rsidR="2B7A1C5B" w:rsidRPr="00481AD5" w:rsidRDefault="2B7A1C5B"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Delays</w:t>
            </w:r>
            <w:r w:rsidR="4396C643" w:rsidRPr="00481AD5">
              <w:rPr>
                <w:rFonts w:ascii="Arial Nova" w:eastAsia="Arial Nova" w:hAnsi="Arial Nova" w:cs="Arial Nova"/>
                <w:sz w:val="20"/>
                <w:szCs w:val="20"/>
              </w:rPr>
              <w:t>*</w:t>
            </w:r>
          </w:p>
        </w:tc>
        <w:tc>
          <w:tcPr>
            <w:tcW w:w="6315" w:type="dxa"/>
          </w:tcPr>
          <w:p w14:paraId="6776DC23" w14:textId="6B260C58" w:rsidR="493C2CFF" w:rsidRPr="00481AD5" w:rsidRDefault="493C2CFF"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2B7A1C5B" w:rsidRPr="00481AD5">
              <w:rPr>
                <w:rFonts w:ascii="Arial Nova" w:eastAsia="Arial Nova" w:hAnsi="Arial Nova" w:cs="Arial Nova"/>
                <w:sz w:val="20"/>
                <w:szCs w:val="20"/>
              </w:rPr>
              <w:t>The effect of one factor on another does not necessarily occur immediately, therefore the resultant output lags behind the input</w:t>
            </w:r>
            <w:r w:rsidR="491113CD" w:rsidRPr="00481AD5">
              <w:rPr>
                <w:rFonts w:ascii="Arial Nova" w:eastAsia="Arial Nova" w:hAnsi="Arial Nova" w:cs="Arial Nova"/>
                <w:sz w:val="20"/>
                <w:szCs w:val="20"/>
              </w:rPr>
              <w:t>’</w:t>
            </w:r>
            <w:r w:rsidR="2B7A1C5B" w:rsidRPr="00481AD5">
              <w:rPr>
                <w:rFonts w:ascii="Arial Nova" w:eastAsia="Arial Nova" w:hAnsi="Arial Nova" w:cs="Arial Nova"/>
                <w:sz w:val="20"/>
                <w:szCs w:val="20"/>
              </w:rPr>
              <w:t>.</w:t>
            </w:r>
          </w:p>
        </w:tc>
      </w:tr>
      <w:tr w:rsidR="00481AD5" w:rsidRPr="00481AD5" w14:paraId="3A357FDD" w14:textId="77777777" w:rsidTr="12C8D67E">
        <w:trPr>
          <w:trHeight w:val="300"/>
        </w:trPr>
        <w:tc>
          <w:tcPr>
            <w:tcW w:w="3045" w:type="dxa"/>
          </w:tcPr>
          <w:p w14:paraId="51CA2C96" w14:textId="5D0B1B35" w:rsidR="4CE0E755" w:rsidRPr="00481AD5" w:rsidRDefault="4CE0E75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Strength</w:t>
            </w:r>
            <w:r w:rsidR="5ABB78D3" w:rsidRPr="00481AD5">
              <w:rPr>
                <w:rFonts w:ascii="Arial Nova" w:eastAsia="Arial Nova" w:hAnsi="Arial Nova" w:cs="Arial Nova"/>
                <w:sz w:val="20"/>
                <w:szCs w:val="20"/>
              </w:rPr>
              <w:t xml:space="preserve"> of influence</w:t>
            </w:r>
          </w:p>
          <w:p w14:paraId="67AA8D2A" w14:textId="4DE41CCD" w:rsidR="2B7A1C5B" w:rsidRPr="00481AD5" w:rsidRDefault="2B7A1C5B" w:rsidP="12C8D67E">
            <w:pPr>
              <w:spacing w:line="276" w:lineRule="auto"/>
              <w:rPr>
                <w:rFonts w:ascii="Arial Nova" w:eastAsia="Arial Nova" w:hAnsi="Arial Nova" w:cs="Arial Nova"/>
                <w:sz w:val="20"/>
                <w:szCs w:val="20"/>
              </w:rPr>
            </w:pPr>
          </w:p>
        </w:tc>
        <w:tc>
          <w:tcPr>
            <w:tcW w:w="6315" w:type="dxa"/>
          </w:tcPr>
          <w:p w14:paraId="2361523F" w14:textId="4C5501D7" w:rsidR="2B7A1C5B" w:rsidRPr="00481AD5" w:rsidRDefault="1614A323"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 xml:space="preserve">The degree to which a map factor can influence another map factor. </w:t>
            </w:r>
            <w:r w:rsidR="4D40397F" w:rsidRPr="00481AD5">
              <w:rPr>
                <w:rFonts w:ascii="Arial Nova" w:eastAsia="Arial Nova" w:hAnsi="Arial Nova" w:cs="Arial Nova"/>
                <w:sz w:val="20"/>
                <w:szCs w:val="20"/>
              </w:rPr>
              <w:t>The strength of influence can be represented visually</w:t>
            </w:r>
            <w:r w:rsidR="215807AD" w:rsidRPr="00481AD5">
              <w:rPr>
                <w:rFonts w:ascii="Arial Nova" w:eastAsia="Arial Nova" w:hAnsi="Arial Nova" w:cs="Arial Nova"/>
                <w:sz w:val="20"/>
                <w:szCs w:val="20"/>
              </w:rPr>
              <w:t>, for example</w:t>
            </w:r>
            <w:r w:rsidR="4D40397F" w:rsidRPr="00481AD5">
              <w:rPr>
                <w:rFonts w:ascii="Arial Nova" w:eastAsia="Arial Nova" w:hAnsi="Arial Nova" w:cs="Arial Nova"/>
                <w:sz w:val="20"/>
                <w:szCs w:val="20"/>
              </w:rPr>
              <w:t xml:space="preserve"> by </w:t>
            </w:r>
            <w:r w:rsidR="49FEFFA6" w:rsidRPr="00481AD5">
              <w:rPr>
                <w:rFonts w:ascii="Arial Nova" w:eastAsia="Arial Nova" w:hAnsi="Arial Nova" w:cs="Arial Nova"/>
                <w:sz w:val="20"/>
                <w:szCs w:val="20"/>
              </w:rPr>
              <w:t>varying l</w:t>
            </w:r>
            <w:r w:rsidR="4D40397F" w:rsidRPr="00481AD5">
              <w:rPr>
                <w:rFonts w:ascii="Arial Nova" w:eastAsia="Arial Nova" w:hAnsi="Arial Nova" w:cs="Arial Nova"/>
                <w:sz w:val="20"/>
                <w:szCs w:val="20"/>
              </w:rPr>
              <w:t xml:space="preserve">ine thickness or the size of map factors. </w:t>
            </w:r>
          </w:p>
        </w:tc>
      </w:tr>
      <w:tr w:rsidR="00481AD5" w:rsidRPr="00481AD5" w14:paraId="2A0B6169" w14:textId="77777777" w:rsidTr="12C8D67E">
        <w:trPr>
          <w:trHeight w:val="300"/>
        </w:trPr>
        <w:tc>
          <w:tcPr>
            <w:tcW w:w="3045" w:type="dxa"/>
          </w:tcPr>
          <w:p w14:paraId="3EA86D61" w14:textId="25975DEF" w:rsidR="4CE0E755" w:rsidRPr="00481AD5" w:rsidRDefault="4CE0E755"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Conditional probabilities</w:t>
            </w:r>
            <w:r w:rsidR="2E93E6F7" w:rsidRPr="00481AD5">
              <w:rPr>
                <w:rFonts w:ascii="Arial Nova" w:eastAsia="Arial Nova" w:hAnsi="Arial Nova" w:cs="Arial Nova"/>
                <w:sz w:val="20"/>
                <w:szCs w:val="20"/>
              </w:rPr>
              <w:t>*</w:t>
            </w:r>
          </w:p>
          <w:p w14:paraId="475F5E15" w14:textId="1A69DE3A" w:rsidR="2B7A1C5B" w:rsidRPr="00481AD5" w:rsidRDefault="2B7A1C5B" w:rsidP="12C8D67E">
            <w:pPr>
              <w:spacing w:line="276" w:lineRule="auto"/>
              <w:rPr>
                <w:rFonts w:ascii="Arial Nova" w:eastAsia="Arial Nova" w:hAnsi="Arial Nova" w:cs="Arial Nova"/>
                <w:sz w:val="20"/>
                <w:szCs w:val="20"/>
              </w:rPr>
            </w:pPr>
          </w:p>
        </w:tc>
        <w:tc>
          <w:tcPr>
            <w:tcW w:w="6315" w:type="dxa"/>
          </w:tcPr>
          <w:p w14:paraId="4BD0B4BD" w14:textId="5461EE49" w:rsidR="594EBC53" w:rsidRPr="00481AD5" w:rsidRDefault="594EBC53"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t>
            </w:r>
            <w:r w:rsidR="2E93E6F7" w:rsidRPr="00481AD5">
              <w:rPr>
                <w:rFonts w:ascii="Arial Nova" w:eastAsia="Arial Nova" w:hAnsi="Arial Nova" w:cs="Arial Nova"/>
                <w:sz w:val="20"/>
                <w:szCs w:val="20"/>
              </w:rPr>
              <w:t>The likelihood of an event or outcome occurring, based on the occurrence of a previous event or outcome</w:t>
            </w:r>
            <w:r w:rsidR="6E2AF88E" w:rsidRPr="00481AD5">
              <w:rPr>
                <w:rFonts w:ascii="Arial Nova" w:eastAsia="Arial Nova" w:hAnsi="Arial Nova" w:cs="Arial Nova"/>
                <w:sz w:val="20"/>
                <w:szCs w:val="20"/>
              </w:rPr>
              <w:t>’</w:t>
            </w:r>
            <w:r w:rsidR="2E93E6F7" w:rsidRPr="00481AD5">
              <w:rPr>
                <w:rFonts w:ascii="Arial Nova" w:eastAsia="Arial Nova" w:hAnsi="Arial Nova" w:cs="Arial Nova"/>
                <w:sz w:val="20"/>
                <w:szCs w:val="20"/>
              </w:rPr>
              <w:t>.</w:t>
            </w:r>
          </w:p>
        </w:tc>
      </w:tr>
      <w:tr w:rsidR="00481AD5" w:rsidRPr="00481AD5" w14:paraId="59B2AD7A" w14:textId="77777777" w:rsidTr="12C8D67E">
        <w:trPr>
          <w:trHeight w:val="300"/>
        </w:trPr>
        <w:tc>
          <w:tcPr>
            <w:tcW w:w="3045" w:type="dxa"/>
          </w:tcPr>
          <w:p w14:paraId="21681D17" w14:textId="2500B902" w:rsidR="4831593E" w:rsidRPr="00481AD5" w:rsidRDefault="4831593E"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Feedback loops*</w:t>
            </w:r>
          </w:p>
        </w:tc>
        <w:tc>
          <w:tcPr>
            <w:tcW w:w="6315" w:type="dxa"/>
          </w:tcPr>
          <w:p w14:paraId="674A6AFE" w14:textId="77088F53" w:rsidR="4831593E" w:rsidRPr="00481AD5" w:rsidRDefault="4831593E" w:rsidP="12C8D67E">
            <w:pPr>
              <w:spacing w:line="276" w:lineRule="auto"/>
              <w:rPr>
                <w:rFonts w:ascii="Arial Nova" w:eastAsia="Arial Nova" w:hAnsi="Arial Nova" w:cs="Arial Nova"/>
                <w:sz w:val="20"/>
                <w:szCs w:val="20"/>
              </w:rPr>
            </w:pPr>
            <w:r w:rsidRPr="00481AD5">
              <w:rPr>
                <w:rFonts w:ascii="Arial Nova" w:eastAsia="Arial Nova" w:hAnsi="Arial Nova" w:cs="Arial Nova"/>
                <w:sz w:val="20"/>
                <w:szCs w:val="20"/>
              </w:rPr>
              <w:t>‘When two or more factors interact with each other in the system, such that the effect of the causal impact returns to influence the original cause of said effect, with a reinforcing or dampening impact’.</w:t>
            </w:r>
          </w:p>
        </w:tc>
      </w:tr>
    </w:tbl>
    <w:p w14:paraId="4CB4F1BC" w14:textId="0C1E7117" w:rsidR="4CE0E755" w:rsidRPr="00481AD5" w:rsidRDefault="4CE0E755" w:rsidP="3017A6A8">
      <w:pPr>
        <w:rPr>
          <w:rFonts w:ascii="Arial Nova" w:eastAsia="Arial Nova" w:hAnsi="Arial Nova" w:cs="Arial Nova"/>
          <w:sz w:val="20"/>
          <w:szCs w:val="20"/>
        </w:rPr>
      </w:pPr>
      <w:r w:rsidRPr="00481AD5">
        <w:rPr>
          <w:rFonts w:ascii="Arial Nova" w:eastAsia="Arial Nova" w:hAnsi="Arial Nova" w:cs="Arial Nova"/>
          <w:sz w:val="20"/>
          <w:szCs w:val="20"/>
        </w:rPr>
        <w:t xml:space="preserve">Source of definitions: </w:t>
      </w:r>
    </w:p>
    <w:p w14:paraId="1EE9DB90" w14:textId="76191484" w:rsidR="0A33210B" w:rsidRPr="00481AD5" w:rsidRDefault="0A33210B" w:rsidP="3017A6A8">
      <w:pPr>
        <w:rPr>
          <w:rFonts w:ascii="Arial Nova" w:eastAsia="Arial Nova" w:hAnsi="Arial Nova" w:cs="Arial Nova"/>
          <w:sz w:val="20"/>
          <w:szCs w:val="20"/>
        </w:rPr>
      </w:pPr>
      <w:r w:rsidRPr="00481AD5">
        <w:rPr>
          <w:rFonts w:ascii="Arial Nova" w:eastAsia="Arial Nova" w:hAnsi="Arial Nova" w:cs="Arial Nova"/>
          <w:sz w:val="20"/>
          <w:szCs w:val="20"/>
        </w:rPr>
        <w:t>*</w:t>
      </w:r>
      <w:r w:rsidR="65AC73CB" w:rsidRPr="00481AD5">
        <w:rPr>
          <w:rFonts w:ascii="Arial Nova" w:eastAsia="Arial Nova" w:hAnsi="Arial Nova" w:cs="Arial Nova"/>
          <w:sz w:val="20"/>
          <w:szCs w:val="20"/>
        </w:rPr>
        <w:t xml:space="preserve"> Blake, C &amp; Rigby B et al. (2024) Participatory systems mapping for population health research, policy and practice: guidance on method choice and design. Appendices. University of Glasgow. DOI: doi.org/10.36399/gla.pubs.316563  </w:t>
      </w:r>
    </w:p>
    <w:p w14:paraId="3BAE38A5" w14:textId="13E903A3" w:rsidR="7EB306F6" w:rsidRPr="00481AD5" w:rsidRDefault="7EB306F6" w:rsidP="3017A6A8">
      <w:pPr>
        <w:rPr>
          <w:rFonts w:ascii="Arial Nova" w:eastAsia="Arial Nova" w:hAnsi="Arial Nova" w:cs="Arial Nova"/>
          <w:sz w:val="20"/>
          <w:szCs w:val="20"/>
        </w:rPr>
      </w:pPr>
      <w:r w:rsidRPr="00481AD5">
        <w:rPr>
          <w:rFonts w:ascii="Arial Nova" w:eastAsia="Arial Nova" w:hAnsi="Arial Nova" w:cs="Arial Nova"/>
          <w:sz w:val="20"/>
          <w:szCs w:val="20"/>
        </w:rPr>
        <w:lastRenderedPageBreak/>
        <w:t xml:space="preserve">** Ford, D.N. A system dynamics glossary. Syst. </w:t>
      </w:r>
      <w:proofErr w:type="spellStart"/>
      <w:r w:rsidRPr="00481AD5">
        <w:rPr>
          <w:rFonts w:ascii="Arial Nova" w:eastAsia="Arial Nova" w:hAnsi="Arial Nova" w:cs="Arial Nova"/>
          <w:sz w:val="20"/>
          <w:szCs w:val="20"/>
        </w:rPr>
        <w:t>Dyn</w:t>
      </w:r>
      <w:proofErr w:type="spellEnd"/>
      <w:r w:rsidRPr="00481AD5">
        <w:rPr>
          <w:rFonts w:ascii="Arial Nova" w:eastAsia="Arial Nova" w:hAnsi="Arial Nova" w:cs="Arial Nova"/>
          <w:sz w:val="20"/>
          <w:szCs w:val="20"/>
        </w:rPr>
        <w:t>. Rev. 2019; 35: 369-379.</w:t>
      </w:r>
    </w:p>
    <w:sectPr w:rsidR="7EB306F6" w:rsidRPr="00481AD5" w:rsidSect="00481AD5">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Sharon Simpson" w:date="2025-01-31T16:06:00Z" w:initials="SS">
    <w:p w14:paraId="6FAEC45A" w14:textId="77777777" w:rsidR="000F270E" w:rsidRDefault="000F270E" w:rsidP="000F270E">
      <w:pPr>
        <w:rPr>
          <w:rFonts w:hint="eastAsia"/>
        </w:rPr>
      </w:pPr>
      <w:r>
        <w:rPr>
          <w:rStyle w:val="CommentReference"/>
        </w:rPr>
        <w:annotationRef/>
      </w:r>
      <w:r>
        <w:rPr>
          <w:color w:val="000000"/>
          <w:sz w:val="20"/>
          <w:szCs w:val="20"/>
        </w:rPr>
        <w:t>Is this a reference?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AEC45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4B663A" w16cex:dateUtc="2025-01-31T1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AEC45A" w16cid:durableId="504B66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B181E" w14:textId="77777777" w:rsidR="00213D05" w:rsidRDefault="00213D05">
      <w:pPr>
        <w:spacing w:after="0" w:line="240" w:lineRule="auto"/>
        <w:rPr>
          <w:rFonts w:hint="eastAsia"/>
        </w:rPr>
      </w:pPr>
      <w:r>
        <w:separator/>
      </w:r>
    </w:p>
  </w:endnote>
  <w:endnote w:type="continuationSeparator" w:id="0">
    <w:p w14:paraId="7EF5080B" w14:textId="77777777" w:rsidR="00213D05" w:rsidRDefault="00213D0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12C8D67E" w14:paraId="59D5E720" w14:textId="77777777" w:rsidTr="12C8D67E">
      <w:trPr>
        <w:trHeight w:val="300"/>
      </w:trPr>
      <w:tc>
        <w:tcPr>
          <w:tcW w:w="3120" w:type="dxa"/>
        </w:tcPr>
        <w:p w14:paraId="5D329E79" w14:textId="28AE9759" w:rsidR="12C8D67E" w:rsidRDefault="12C8D67E" w:rsidP="12C8D67E">
          <w:pPr>
            <w:pStyle w:val="Header"/>
            <w:ind w:left="-115"/>
            <w:rPr>
              <w:rFonts w:hint="eastAsia"/>
            </w:rPr>
          </w:pPr>
        </w:p>
      </w:tc>
      <w:tc>
        <w:tcPr>
          <w:tcW w:w="3120" w:type="dxa"/>
        </w:tcPr>
        <w:p w14:paraId="4F41B481" w14:textId="0AA6ABC6" w:rsidR="12C8D67E" w:rsidRDefault="12C8D67E" w:rsidP="12C8D67E">
          <w:pPr>
            <w:pStyle w:val="Header"/>
            <w:jc w:val="center"/>
            <w:rPr>
              <w:rFonts w:hint="eastAsia"/>
            </w:rPr>
          </w:pPr>
        </w:p>
      </w:tc>
      <w:tc>
        <w:tcPr>
          <w:tcW w:w="3120" w:type="dxa"/>
        </w:tcPr>
        <w:p w14:paraId="6A53D2BE" w14:textId="0D3689A6" w:rsidR="12C8D67E" w:rsidRDefault="12C8D67E" w:rsidP="12C8D67E">
          <w:pPr>
            <w:pStyle w:val="Header"/>
            <w:ind w:right="-115"/>
            <w:jc w:val="right"/>
            <w:rPr>
              <w:rFonts w:hint="eastAsia"/>
            </w:rPr>
          </w:pPr>
          <w:r>
            <w:fldChar w:fldCharType="begin"/>
          </w:r>
          <w:r>
            <w:instrText>PAGE</w:instrText>
          </w:r>
          <w:r>
            <w:fldChar w:fldCharType="separate"/>
          </w:r>
          <w:r w:rsidR="00481AD5">
            <w:rPr>
              <w:rFonts w:hint="eastAsia"/>
              <w:noProof/>
            </w:rPr>
            <w:t>1</w:t>
          </w:r>
          <w:r>
            <w:fldChar w:fldCharType="end"/>
          </w:r>
        </w:p>
      </w:tc>
    </w:tr>
  </w:tbl>
  <w:p w14:paraId="3B0F1BC1" w14:textId="5739BC9E" w:rsidR="12C8D67E" w:rsidRDefault="12C8D67E" w:rsidP="12C8D67E">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638E2" w14:textId="77777777" w:rsidR="00213D05" w:rsidRDefault="00213D05">
      <w:pPr>
        <w:spacing w:after="0" w:line="240" w:lineRule="auto"/>
        <w:rPr>
          <w:rFonts w:hint="eastAsia"/>
        </w:rPr>
      </w:pPr>
      <w:r>
        <w:separator/>
      </w:r>
    </w:p>
  </w:footnote>
  <w:footnote w:type="continuationSeparator" w:id="0">
    <w:p w14:paraId="59991DC5" w14:textId="77777777" w:rsidR="00213D05" w:rsidRDefault="00213D05">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12C8D67E" w14:paraId="143F7FEE" w14:textId="77777777" w:rsidTr="12C8D67E">
      <w:trPr>
        <w:trHeight w:val="300"/>
      </w:trPr>
      <w:tc>
        <w:tcPr>
          <w:tcW w:w="3120" w:type="dxa"/>
        </w:tcPr>
        <w:p w14:paraId="7C3769D2" w14:textId="2DD5D48C" w:rsidR="12C8D67E" w:rsidRDefault="12C8D67E" w:rsidP="12C8D67E">
          <w:pPr>
            <w:pStyle w:val="Header"/>
            <w:ind w:left="-115"/>
            <w:rPr>
              <w:rFonts w:hint="eastAsia"/>
            </w:rPr>
          </w:pPr>
        </w:p>
      </w:tc>
      <w:tc>
        <w:tcPr>
          <w:tcW w:w="3120" w:type="dxa"/>
        </w:tcPr>
        <w:p w14:paraId="33BEC74F" w14:textId="0C26950D" w:rsidR="12C8D67E" w:rsidRDefault="12C8D67E" w:rsidP="12C8D67E">
          <w:pPr>
            <w:pStyle w:val="Header"/>
            <w:jc w:val="center"/>
            <w:rPr>
              <w:rFonts w:hint="eastAsia"/>
            </w:rPr>
          </w:pPr>
        </w:p>
      </w:tc>
      <w:tc>
        <w:tcPr>
          <w:tcW w:w="3120" w:type="dxa"/>
        </w:tcPr>
        <w:p w14:paraId="5525B562" w14:textId="3BA8020D" w:rsidR="12C8D67E" w:rsidRDefault="12C8D67E" w:rsidP="12C8D67E">
          <w:pPr>
            <w:pStyle w:val="Header"/>
            <w:ind w:right="-115"/>
            <w:jc w:val="right"/>
            <w:rPr>
              <w:rFonts w:hint="eastAsia"/>
            </w:rPr>
          </w:pPr>
        </w:p>
      </w:tc>
    </w:tr>
  </w:tbl>
  <w:p w14:paraId="51057345" w14:textId="7140BA84" w:rsidR="12C8D67E" w:rsidRDefault="12C8D67E" w:rsidP="12C8D67E">
    <w:pPr>
      <w:pStyle w:val="Header"/>
      <w:rPr>
        <w:rFonts w:hint="eastAsia"/>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aron Simpson">
    <w15:presenceInfo w15:providerId="AD" w15:userId="S::Sharon.Simpson@glasgow.ac.uk::f5e5d1b1-d84f-4709-99cd-584e2b3ad0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revisionView w:markup="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9790C"/>
    <w:rsid w:val="000F270E"/>
    <w:rsid w:val="00213D05"/>
    <w:rsid w:val="00481AD5"/>
    <w:rsid w:val="00565877"/>
    <w:rsid w:val="006A3840"/>
    <w:rsid w:val="00815E1C"/>
    <w:rsid w:val="008F17A8"/>
    <w:rsid w:val="00994CFB"/>
    <w:rsid w:val="00FA30D9"/>
    <w:rsid w:val="015B3A3F"/>
    <w:rsid w:val="03BE0A8A"/>
    <w:rsid w:val="048774AC"/>
    <w:rsid w:val="05A64BC7"/>
    <w:rsid w:val="07635723"/>
    <w:rsid w:val="08DADA9E"/>
    <w:rsid w:val="0A081BB0"/>
    <w:rsid w:val="0A33210B"/>
    <w:rsid w:val="0B156A4E"/>
    <w:rsid w:val="0D9FC691"/>
    <w:rsid w:val="1097A7A7"/>
    <w:rsid w:val="12919A18"/>
    <w:rsid w:val="12C8D67E"/>
    <w:rsid w:val="13EA94BF"/>
    <w:rsid w:val="141E3411"/>
    <w:rsid w:val="1467F870"/>
    <w:rsid w:val="1614A323"/>
    <w:rsid w:val="168AE35B"/>
    <w:rsid w:val="16A3D2B9"/>
    <w:rsid w:val="18E6A18C"/>
    <w:rsid w:val="1997053A"/>
    <w:rsid w:val="1F71A316"/>
    <w:rsid w:val="215807AD"/>
    <w:rsid w:val="2604A830"/>
    <w:rsid w:val="282DD4CE"/>
    <w:rsid w:val="294998FC"/>
    <w:rsid w:val="2B7A1C5B"/>
    <w:rsid w:val="2CE2F85A"/>
    <w:rsid w:val="2E93E6F7"/>
    <w:rsid w:val="2F21D15E"/>
    <w:rsid w:val="3017A6A8"/>
    <w:rsid w:val="32733350"/>
    <w:rsid w:val="337F2A70"/>
    <w:rsid w:val="378A3DF5"/>
    <w:rsid w:val="38F007F6"/>
    <w:rsid w:val="392CE589"/>
    <w:rsid w:val="39FEAB2B"/>
    <w:rsid w:val="3AEC232E"/>
    <w:rsid w:val="3D48331F"/>
    <w:rsid w:val="3D6DD77E"/>
    <w:rsid w:val="3E76B8A1"/>
    <w:rsid w:val="402349B8"/>
    <w:rsid w:val="409C948E"/>
    <w:rsid w:val="41A94AD5"/>
    <w:rsid w:val="4233C9A2"/>
    <w:rsid w:val="4396C643"/>
    <w:rsid w:val="43F27703"/>
    <w:rsid w:val="44326731"/>
    <w:rsid w:val="444A8218"/>
    <w:rsid w:val="444C6375"/>
    <w:rsid w:val="458270C9"/>
    <w:rsid w:val="46DE867A"/>
    <w:rsid w:val="4734FC93"/>
    <w:rsid w:val="482E5400"/>
    <w:rsid w:val="4831593E"/>
    <w:rsid w:val="491113CD"/>
    <w:rsid w:val="493C2CFF"/>
    <w:rsid w:val="49FEFFA6"/>
    <w:rsid w:val="4A3E34AD"/>
    <w:rsid w:val="4CDE4DE6"/>
    <w:rsid w:val="4CE0E755"/>
    <w:rsid w:val="4D40397F"/>
    <w:rsid w:val="4F69790C"/>
    <w:rsid w:val="4FA1A7AE"/>
    <w:rsid w:val="594EBC53"/>
    <w:rsid w:val="5ABB78D3"/>
    <w:rsid w:val="5C3B273B"/>
    <w:rsid w:val="5CBB2CA7"/>
    <w:rsid w:val="5DFCCC23"/>
    <w:rsid w:val="5E765A15"/>
    <w:rsid w:val="625D33BA"/>
    <w:rsid w:val="62D0BEF2"/>
    <w:rsid w:val="64B2F6F7"/>
    <w:rsid w:val="6525995E"/>
    <w:rsid w:val="65AC73CB"/>
    <w:rsid w:val="68944AE1"/>
    <w:rsid w:val="6C082BFC"/>
    <w:rsid w:val="6DD6B350"/>
    <w:rsid w:val="6E2AF88E"/>
    <w:rsid w:val="70D387A5"/>
    <w:rsid w:val="712C29D4"/>
    <w:rsid w:val="71430384"/>
    <w:rsid w:val="71501524"/>
    <w:rsid w:val="73C57357"/>
    <w:rsid w:val="748952C2"/>
    <w:rsid w:val="74E4A86C"/>
    <w:rsid w:val="752B0D0C"/>
    <w:rsid w:val="75FE959E"/>
    <w:rsid w:val="76035F2A"/>
    <w:rsid w:val="7736E542"/>
    <w:rsid w:val="7918A34E"/>
    <w:rsid w:val="7A3024F1"/>
    <w:rsid w:val="7A8692D4"/>
    <w:rsid w:val="7C48A6D3"/>
    <w:rsid w:val="7DC16910"/>
    <w:rsid w:val="7E7A314E"/>
    <w:rsid w:val="7EB1728B"/>
    <w:rsid w:val="7EB306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7F699"/>
  <w15:chartTrackingRefBased/>
  <w15:docId w15:val="{1210A91F-B0E4-42EA-B459-AD4A08FD9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F270E"/>
    <w:rPr>
      <w:sz w:val="16"/>
      <w:szCs w:val="16"/>
    </w:rPr>
  </w:style>
  <w:style w:type="paragraph" w:styleId="CommentText">
    <w:name w:val="annotation text"/>
    <w:basedOn w:val="Normal"/>
    <w:link w:val="CommentTextChar"/>
    <w:uiPriority w:val="99"/>
    <w:semiHidden/>
    <w:unhideWhenUsed/>
    <w:rsid w:val="000F270E"/>
    <w:pPr>
      <w:spacing w:line="240" w:lineRule="auto"/>
    </w:pPr>
    <w:rPr>
      <w:sz w:val="20"/>
      <w:szCs w:val="20"/>
    </w:rPr>
  </w:style>
  <w:style w:type="character" w:customStyle="1" w:styleId="CommentTextChar">
    <w:name w:val="Comment Text Char"/>
    <w:basedOn w:val="DefaultParagraphFont"/>
    <w:link w:val="CommentText"/>
    <w:uiPriority w:val="99"/>
    <w:semiHidden/>
    <w:rsid w:val="000F270E"/>
    <w:rPr>
      <w:sz w:val="20"/>
      <w:szCs w:val="20"/>
    </w:rPr>
  </w:style>
  <w:style w:type="paragraph" w:styleId="CommentSubject">
    <w:name w:val="annotation subject"/>
    <w:basedOn w:val="CommentText"/>
    <w:next w:val="CommentText"/>
    <w:link w:val="CommentSubjectChar"/>
    <w:uiPriority w:val="99"/>
    <w:semiHidden/>
    <w:unhideWhenUsed/>
    <w:rsid w:val="000F270E"/>
    <w:rPr>
      <w:b/>
      <w:bCs/>
    </w:rPr>
  </w:style>
  <w:style w:type="character" w:customStyle="1" w:styleId="CommentSubjectChar">
    <w:name w:val="Comment Subject Char"/>
    <w:basedOn w:val="CommentTextChar"/>
    <w:link w:val="CommentSubject"/>
    <w:uiPriority w:val="99"/>
    <w:semiHidden/>
    <w:rsid w:val="000F270E"/>
    <w:rPr>
      <w:b/>
      <w:bCs/>
      <w:sz w:val="20"/>
      <w:szCs w:val="20"/>
    </w:rPr>
  </w:style>
  <w:style w:type="paragraph" w:styleId="Header">
    <w:name w:val="header"/>
    <w:basedOn w:val="Normal"/>
    <w:uiPriority w:val="99"/>
    <w:unhideWhenUsed/>
    <w:rsid w:val="12C8D67E"/>
    <w:pPr>
      <w:tabs>
        <w:tab w:val="center" w:pos="4680"/>
        <w:tab w:val="right" w:pos="9360"/>
      </w:tabs>
      <w:spacing w:after="0" w:line="240" w:lineRule="auto"/>
    </w:pPr>
  </w:style>
  <w:style w:type="paragraph" w:styleId="Footer">
    <w:name w:val="footer"/>
    <w:basedOn w:val="Normal"/>
    <w:uiPriority w:val="99"/>
    <w:unhideWhenUsed/>
    <w:rsid w:val="12C8D67E"/>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481A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A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238C3EB782FD4BB756534AE76956A3" ma:contentTypeVersion="17" ma:contentTypeDescription="Create a new document." ma:contentTypeScope="" ma:versionID="2564667d7fa1260ed1e264ca5f3a1b87">
  <xsd:schema xmlns:xsd="http://www.w3.org/2001/XMLSchema" xmlns:xs="http://www.w3.org/2001/XMLSchema" xmlns:p="http://schemas.microsoft.com/office/2006/metadata/properties" xmlns:ns2="1a5b268b-96b2-4c94-96cb-f67e7a72cc8f" xmlns:ns3="dedff088-ddb8-4eb0-b8dc-3f6fc2947361" targetNamespace="http://schemas.microsoft.com/office/2006/metadata/properties" ma:root="true" ma:fieldsID="7a2d0dadec0efacc4ae52829da98418c" ns2:_="" ns3:_="">
    <xsd:import namespace="1a5b268b-96b2-4c94-96cb-f67e7a72cc8f"/>
    <xsd:import namespace="dedff088-ddb8-4eb0-b8dc-3f6fc29473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b268b-96b2-4c94-96cb-f67e7a72c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ff088-ddb8-4eb0-b8dc-3f6fc29473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ba6ee79-e7e0-441c-b17c-46e66b301b8d}" ma:internalName="TaxCatchAll" ma:showField="CatchAllData" ma:web="dedff088-ddb8-4eb0-b8dc-3f6fc29473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dff088-ddb8-4eb0-b8dc-3f6fc2947361" xsi:nil="true"/>
    <lcf76f155ced4ddcb4097134ff3c332f xmlns="1a5b268b-96b2-4c94-96cb-f67e7a72cc8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A02DB-530D-47E9-B524-F45D92431979}">
  <ds:schemaRefs>
    <ds:schemaRef ds:uri="http://schemas.microsoft.com/sharepoint/v3/contenttype/forms"/>
  </ds:schemaRefs>
</ds:datastoreItem>
</file>

<file path=customXml/itemProps2.xml><?xml version="1.0" encoding="utf-8"?>
<ds:datastoreItem xmlns:ds="http://schemas.openxmlformats.org/officeDocument/2006/customXml" ds:itemID="{F248127E-C9C2-4B07-84A3-334CA0578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b268b-96b2-4c94-96cb-f67e7a72cc8f"/>
    <ds:schemaRef ds:uri="dedff088-ddb8-4eb0-b8dc-3f6fc2947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71B3F9-6F54-4DC8-B223-BEFC995D638C}">
  <ds:schemaRefs>
    <ds:schemaRef ds:uri="http://schemas.microsoft.com/office/2006/metadata/properties"/>
    <ds:schemaRef ds:uri="http://schemas.microsoft.com/office/infopath/2007/PartnerControls"/>
    <ds:schemaRef ds:uri="dedff088-ddb8-4eb0-b8dc-3f6fc2947361"/>
    <ds:schemaRef ds:uri="1a5b268b-96b2-4c94-96cb-f67e7a72cc8f"/>
  </ds:schemaRefs>
</ds:datastoreItem>
</file>

<file path=customXml/itemProps4.xml><?xml version="1.0" encoding="utf-8"?>
<ds:datastoreItem xmlns:ds="http://schemas.openxmlformats.org/officeDocument/2006/customXml" ds:itemID="{D9E8C8EC-7C5F-4B4B-9DF3-9DA74B27D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884</Words>
  <Characters>5045</Characters>
  <Application>Microsoft Office Word</Application>
  <DocSecurity>0</DocSecurity>
  <Lines>42</Lines>
  <Paragraphs>11</Paragraphs>
  <ScaleCrop>false</ScaleCrop>
  <Company/>
  <LinksUpToDate>false</LinksUpToDate>
  <CharactersWithSpaces>5918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Blake</dc:creator>
  <cp:keywords/>
  <dc:description/>
  <cp:lastModifiedBy>Vedasri Lakshmanan</cp:lastModifiedBy>
  <cp:revision>4</cp:revision>
  <dcterms:created xsi:type="dcterms:W3CDTF">2025-12-08T18:26:00Z</dcterms:created>
  <dcterms:modified xsi:type="dcterms:W3CDTF">2026-02-06T13:45:00Z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0x0101009B238C3EB782FD4BB756534AE76956A3</vt:lpwstr>
  </property>
  <property fmtid="{D5CDD505-2E9C-101B-9397-08002B2CF9AE}" pid="3" name="MediaServiceImageTags">
    <vt:lpwstr/>
  </property>
</Properties>
</file>