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2E" w:rsidRPr="008A4FF9" w:rsidRDefault="003F622E" w:rsidP="003F622E">
      <w:pPr>
        <w:rPr>
          <w:rFonts w:ascii="Times New Roman" w:hAnsi="Times New Roman" w:cs="Times New Roman"/>
        </w:rPr>
      </w:pPr>
      <w:bookmarkStart w:id="0" w:name="_GoBack"/>
      <w:proofErr w:type="gramStart"/>
      <w:r w:rsidRPr="008A4FF9">
        <w:rPr>
          <w:rFonts w:ascii="Times New Roman" w:hAnsi="Times New Roman" w:cs="Times New Roman"/>
          <w:b/>
        </w:rPr>
        <w:t>Web Figure 1.</w:t>
      </w:r>
      <w:proofErr w:type="gramEnd"/>
      <w:r w:rsidRPr="008A4FF9">
        <w:rPr>
          <w:rFonts w:ascii="Times New Roman" w:hAnsi="Times New Roman" w:cs="Times New Roman"/>
        </w:rPr>
        <w:t xml:space="preserve"> Adjusted cost-effectiveness acceptability curves using the full set of covariates</w:t>
      </w:r>
    </w:p>
    <w:bookmarkEnd w:id="0"/>
    <w:p w:rsidR="003F622E" w:rsidRPr="008A4FF9" w:rsidRDefault="003F622E" w:rsidP="003F622E">
      <w:pPr>
        <w:rPr>
          <w:rFonts w:ascii="Times New Roman" w:hAnsi="Times New Roman" w:cs="Times New Roman"/>
        </w:rPr>
      </w:pPr>
      <w:r w:rsidRPr="008A4FF9">
        <w:rPr>
          <w:rFonts w:ascii="Times New Roman" w:hAnsi="Times New Roman" w:cs="Times New Roman"/>
          <w:noProof/>
        </w:rPr>
        <w:drawing>
          <wp:inline distT="0" distB="0" distL="0" distR="0" wp14:anchorId="3768DA13" wp14:editId="4C82D528">
            <wp:extent cx="7886700" cy="42545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0F38" w:rsidRDefault="00730F38"/>
    <w:sectPr w:rsidR="00730F38" w:rsidSect="003F622E">
      <w:pgSz w:w="15840" w:h="12240" w:orient="landscape"/>
      <w:pgMar w:top="1800" w:right="1440" w:bottom="180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2E"/>
    <w:rsid w:val="003F622E"/>
    <w:rsid w:val="00730F38"/>
    <w:rsid w:val="00A9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B7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22E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22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2E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22E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22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2E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mmo\Dropbox\Cost-effectiveness%20Papers%20with%20Sam\Zinc\DAZT\Manuscripts\Net%20benefit%20regression\Circulation%20to%20authors\Paper%202%20tables%202015%2005%2020%20coverage%20ORS%20and%20zin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'Accep curve'!$J$20</c:f>
              <c:strCache>
                <c:ptCount val="1"/>
                <c:pt idx="0">
                  <c:v>Zinc coverage</c:v>
                </c:pt>
              </c:strCache>
            </c:strRef>
          </c:tx>
          <c:spPr>
            <a:ln>
              <a:solidFill>
                <a:schemeClr val="tx1"/>
              </a:solidFill>
              <a:prstDash val="dash"/>
            </a:ln>
          </c:spPr>
          <c:marker>
            <c:symbol val="none"/>
          </c:marker>
          <c:cat>
            <c:numRef>
              <c:f>'Accep curve'!$H$22:$H$32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  <c:pt idx="5">
                  <c:v>10.0</c:v>
                </c:pt>
                <c:pt idx="6">
                  <c:v>12.0</c:v>
                </c:pt>
                <c:pt idx="7">
                  <c:v>14.0</c:v>
                </c:pt>
                <c:pt idx="8">
                  <c:v>16.0</c:v>
                </c:pt>
                <c:pt idx="9">
                  <c:v>18.0</c:v>
                </c:pt>
                <c:pt idx="10">
                  <c:v>20.0</c:v>
                </c:pt>
              </c:numCache>
            </c:numRef>
          </c:cat>
          <c:val>
            <c:numRef>
              <c:f>'Accep curve'!$N$22:$N$32</c:f>
              <c:numCache>
                <c:formatCode>General</c:formatCode>
                <c:ptCount val="11"/>
                <c:pt idx="0">
                  <c:v>0.621</c:v>
                </c:pt>
                <c:pt idx="1">
                  <c:v>0.7245</c:v>
                </c:pt>
                <c:pt idx="2">
                  <c:v>0.8265</c:v>
                </c:pt>
                <c:pt idx="3">
                  <c:v>0.8845</c:v>
                </c:pt>
                <c:pt idx="4">
                  <c:v>0.926</c:v>
                </c:pt>
                <c:pt idx="5">
                  <c:v>0.9565</c:v>
                </c:pt>
                <c:pt idx="6">
                  <c:v>0.972</c:v>
                </c:pt>
                <c:pt idx="7">
                  <c:v>0.98</c:v>
                </c:pt>
                <c:pt idx="8">
                  <c:v>0.99</c:v>
                </c:pt>
                <c:pt idx="9">
                  <c:v>0.994</c:v>
                </c:pt>
                <c:pt idx="10">
                  <c:v>0.9955</c:v>
                </c:pt>
              </c:numCache>
            </c:numRef>
          </c:val>
          <c:smooth val="0"/>
        </c:ser>
        <c:ser>
          <c:idx val="3"/>
          <c:order val="1"/>
          <c:tx>
            <c:strRef>
              <c:f>'Accep curve'!$P$20</c:f>
              <c:strCache>
                <c:ptCount val="1"/>
                <c:pt idx="0">
                  <c:v>Coverage with both ORS and zinc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val>
            <c:numRef>
              <c:f>'Accep curve'!$P$22:$P$32</c:f>
              <c:numCache>
                <c:formatCode>General</c:formatCode>
                <c:ptCount val="11"/>
                <c:pt idx="0">
                  <c:v>0.5465</c:v>
                </c:pt>
                <c:pt idx="1">
                  <c:v>0.668</c:v>
                </c:pt>
                <c:pt idx="2">
                  <c:v>0.7845</c:v>
                </c:pt>
                <c:pt idx="3">
                  <c:v>0.868</c:v>
                </c:pt>
                <c:pt idx="4">
                  <c:v>0.9035</c:v>
                </c:pt>
                <c:pt idx="5">
                  <c:v>0.951</c:v>
                </c:pt>
                <c:pt idx="6">
                  <c:v>0.973</c:v>
                </c:pt>
                <c:pt idx="7">
                  <c:v>0.9855</c:v>
                </c:pt>
                <c:pt idx="8">
                  <c:v>0.9915</c:v>
                </c:pt>
                <c:pt idx="9">
                  <c:v>0.9955</c:v>
                </c:pt>
                <c:pt idx="10">
                  <c:v>0.998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82087256"/>
        <c:axId val="-2084251368"/>
      </c:lineChart>
      <c:catAx>
        <c:axId val="-2082087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Value of increasing coverage by one individual</a:t>
                </a:r>
              </a:p>
            </c:rich>
          </c:tx>
          <c:layout/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-2084251368"/>
        <c:crosses val="autoZero"/>
        <c:auto val="1"/>
        <c:lblAlgn val="ctr"/>
        <c:lblOffset val="100"/>
        <c:noMultiLvlLbl val="0"/>
      </c:catAx>
      <c:valAx>
        <c:axId val="-2084251368"/>
        <c:scaling>
          <c:orientation val="minMax"/>
          <c:max val="1.0"/>
          <c:min val="0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Probability of being cost-effective</a:t>
                </a:r>
              </a:p>
            </c:rich>
          </c:tx>
          <c:layout/>
          <c:overlay val="0"/>
        </c:title>
        <c:numFmt formatCode="0%" sourceLinked="0"/>
        <c:majorTickMark val="out"/>
        <c:minorTickMark val="none"/>
        <c:tickLblPos val="nextTo"/>
        <c:crossAx val="-2082087256"/>
        <c:crosses val="autoZero"/>
        <c:crossBetween val="midCat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Macintosh Word</Application>
  <DocSecurity>0</DocSecurity>
  <Lines>1</Lines>
  <Paragraphs>1</Paragraphs>
  <ScaleCrop>false</ScaleCrop>
  <Company>Johns Hopkins School of Public Health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1</cp:revision>
  <dcterms:created xsi:type="dcterms:W3CDTF">2016-03-10T02:43:00Z</dcterms:created>
  <dcterms:modified xsi:type="dcterms:W3CDTF">2016-03-10T02:44:00Z</dcterms:modified>
</cp:coreProperties>
</file>