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79" w:rsidRPr="008A4FF9" w:rsidRDefault="00D07A79" w:rsidP="00D07A79">
      <w:pPr>
        <w:rPr>
          <w:rFonts w:ascii="Times New Roman" w:hAnsi="Times New Roman" w:cs="Times New Roman"/>
          <w:b/>
        </w:rPr>
      </w:pPr>
      <w:bookmarkStart w:id="0" w:name="_GoBack"/>
      <w:proofErr w:type="gramStart"/>
      <w:r w:rsidRPr="008A4FF9">
        <w:rPr>
          <w:rFonts w:ascii="Times New Roman" w:hAnsi="Times New Roman" w:cs="Times New Roman"/>
          <w:b/>
        </w:rPr>
        <w:t>Web Figure 2.</w:t>
      </w:r>
      <w:proofErr w:type="gramEnd"/>
      <w:r w:rsidRPr="008A4FF9">
        <w:rPr>
          <w:rFonts w:ascii="Times New Roman" w:hAnsi="Times New Roman" w:cs="Times New Roman"/>
          <w:b/>
        </w:rPr>
        <w:t xml:space="preserve"> </w:t>
      </w:r>
      <w:r w:rsidRPr="008A4FF9">
        <w:rPr>
          <w:rFonts w:ascii="Times New Roman" w:hAnsi="Times New Roman" w:cs="Times New Roman"/>
        </w:rPr>
        <w:t>Adjusted cost-effectiveness acceptability curves with interaction terms using the full set of covariates</w:t>
      </w:r>
      <w:bookmarkEnd w:id="0"/>
    </w:p>
    <w:p w:rsidR="00D07A79" w:rsidRPr="008A4FF9" w:rsidRDefault="00D07A79" w:rsidP="00D07A79">
      <w:pPr>
        <w:rPr>
          <w:rFonts w:ascii="Times New Roman" w:hAnsi="Times New Roman" w:cs="Times New Roman"/>
        </w:rPr>
      </w:pPr>
      <w:r w:rsidRPr="008A4FF9">
        <w:rPr>
          <w:rFonts w:ascii="Times New Roman" w:hAnsi="Times New Roman" w:cs="Times New Roman"/>
          <w:noProof/>
        </w:rPr>
        <w:drawing>
          <wp:inline distT="0" distB="0" distL="0" distR="0" wp14:anchorId="14525DDD" wp14:editId="36E7A5B4">
            <wp:extent cx="7543800" cy="50673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0F38" w:rsidRDefault="00730F38"/>
    <w:sectPr w:rsidR="00730F38" w:rsidSect="00D07A79">
      <w:pgSz w:w="15840" w:h="12240" w:orient="landscape"/>
      <w:pgMar w:top="1800" w:right="1440" w:bottom="180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A79"/>
    <w:rsid w:val="00730F38"/>
    <w:rsid w:val="00A95D7C"/>
    <w:rsid w:val="00D0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B7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7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A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A79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7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7A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A79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mmo\Dropbox\Cost-effectiveness%20Papers%20with%20Sam\Zinc\DAZT\Manuscripts\Net%20benefit%20regression\Circulation%20to%20authors\Paper%202%20tables%202015%2005%2020%20coverage%20ORS%20and%20zin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280139982502"/>
          <c:y val="0.119615574368993"/>
          <c:w val="0.79016437339272"/>
          <c:h val="0.667555897618061"/>
        </c:manualLayout>
      </c:layout>
      <c:lineChart>
        <c:grouping val="standard"/>
        <c:varyColors val="0"/>
        <c:ser>
          <c:idx val="1"/>
          <c:order val="0"/>
          <c:tx>
            <c:strRef>
              <c:f>'Accep curve'!$M$37</c:f>
              <c:strCache>
                <c:ptCount val="1"/>
                <c:pt idx="0">
                  <c:v>Zinc coverage </c:v>
                </c:pt>
              </c:strCache>
            </c:strRef>
          </c:tx>
          <c:spPr>
            <a:ln>
              <a:solidFill>
                <a:schemeClr val="tx1"/>
              </a:solidFill>
              <a:prstDash val="dash"/>
            </a:ln>
          </c:spPr>
          <c:marker>
            <c:symbol val="none"/>
          </c:marker>
          <c:cat>
            <c:numRef>
              <c:f>'Accep curve'!$H$39:$H$49</c:f>
              <c:numCache>
                <c:formatCode>"$"#,##0</c:formatCode>
                <c:ptCount val="11"/>
                <c:pt idx="0">
                  <c:v>0.0</c:v>
                </c:pt>
                <c:pt idx="1">
                  <c:v>10.0</c:v>
                </c:pt>
                <c:pt idx="2">
                  <c:v>20.0</c:v>
                </c:pt>
                <c:pt idx="3">
                  <c:v>30.0</c:v>
                </c:pt>
                <c:pt idx="4">
                  <c:v>40.0</c:v>
                </c:pt>
                <c:pt idx="5">
                  <c:v>50.0</c:v>
                </c:pt>
                <c:pt idx="6">
                  <c:v>60.0</c:v>
                </c:pt>
                <c:pt idx="7">
                  <c:v>70.0</c:v>
                </c:pt>
                <c:pt idx="8">
                  <c:v>80.0</c:v>
                </c:pt>
                <c:pt idx="9">
                  <c:v>90.0</c:v>
                </c:pt>
                <c:pt idx="10">
                  <c:v>100.0</c:v>
                </c:pt>
              </c:numCache>
            </c:numRef>
          </c:cat>
          <c:val>
            <c:numRef>
              <c:f>'Accep curve'!$M$39:$M$49</c:f>
              <c:numCache>
                <c:formatCode>General</c:formatCode>
                <c:ptCount val="11"/>
                <c:pt idx="0">
                  <c:v>0.2735</c:v>
                </c:pt>
                <c:pt idx="1">
                  <c:v>0.3645</c:v>
                </c:pt>
                <c:pt idx="2">
                  <c:v>0.46</c:v>
                </c:pt>
                <c:pt idx="3">
                  <c:v>0.521</c:v>
                </c:pt>
                <c:pt idx="4">
                  <c:v>0.5555</c:v>
                </c:pt>
                <c:pt idx="5">
                  <c:v>0.579</c:v>
                </c:pt>
                <c:pt idx="6">
                  <c:v>0.599</c:v>
                </c:pt>
                <c:pt idx="7">
                  <c:v>0.6085</c:v>
                </c:pt>
                <c:pt idx="8">
                  <c:v>0.6195</c:v>
                </c:pt>
                <c:pt idx="9">
                  <c:v>0.619</c:v>
                </c:pt>
                <c:pt idx="10">
                  <c:v>0.6195</c:v>
                </c:pt>
              </c:numCache>
            </c:numRef>
          </c:val>
          <c:smooth val="0"/>
        </c:ser>
        <c:ser>
          <c:idx val="2"/>
          <c:order val="1"/>
          <c:tx>
            <c:strRef>
              <c:f>'Accep curve'!$O$37</c:f>
              <c:strCache>
                <c:ptCount val="1"/>
                <c:pt idx="0">
                  <c:v>Coverage with both</c:v>
                </c:pt>
              </c:strCache>
            </c:strRef>
          </c:tx>
          <c:spPr>
            <a:ln>
              <a:solidFill>
                <a:schemeClr val="tx1"/>
              </a:solidFill>
              <a:prstDash val="solid"/>
            </a:ln>
          </c:spPr>
          <c:marker>
            <c:symbol val="none"/>
          </c:marker>
          <c:cat>
            <c:numRef>
              <c:f>'Accep curve'!$H$39:$H$49</c:f>
              <c:numCache>
                <c:formatCode>"$"#,##0</c:formatCode>
                <c:ptCount val="11"/>
                <c:pt idx="0">
                  <c:v>0.0</c:v>
                </c:pt>
                <c:pt idx="1">
                  <c:v>10.0</c:v>
                </c:pt>
                <c:pt idx="2">
                  <c:v>20.0</c:v>
                </c:pt>
                <c:pt idx="3">
                  <c:v>30.0</c:v>
                </c:pt>
                <c:pt idx="4">
                  <c:v>40.0</c:v>
                </c:pt>
                <c:pt idx="5">
                  <c:v>50.0</c:v>
                </c:pt>
                <c:pt idx="6">
                  <c:v>60.0</c:v>
                </c:pt>
                <c:pt idx="7">
                  <c:v>70.0</c:v>
                </c:pt>
                <c:pt idx="8">
                  <c:v>80.0</c:v>
                </c:pt>
                <c:pt idx="9">
                  <c:v>90.0</c:v>
                </c:pt>
                <c:pt idx="10">
                  <c:v>100.0</c:v>
                </c:pt>
              </c:numCache>
            </c:numRef>
          </c:cat>
          <c:val>
            <c:numRef>
              <c:f>'Accep curve'!$O$39:$O$49</c:f>
              <c:numCache>
                <c:formatCode>General</c:formatCode>
                <c:ptCount val="11"/>
                <c:pt idx="0">
                  <c:v>0.2255</c:v>
                </c:pt>
                <c:pt idx="1">
                  <c:v>0.3035</c:v>
                </c:pt>
                <c:pt idx="2">
                  <c:v>0.393</c:v>
                </c:pt>
                <c:pt idx="3">
                  <c:v>0.459</c:v>
                </c:pt>
                <c:pt idx="4">
                  <c:v>0.5015</c:v>
                </c:pt>
                <c:pt idx="5">
                  <c:v>0.53</c:v>
                </c:pt>
                <c:pt idx="6">
                  <c:v>0.549</c:v>
                </c:pt>
                <c:pt idx="7">
                  <c:v>0.563</c:v>
                </c:pt>
                <c:pt idx="8">
                  <c:v>0.5725</c:v>
                </c:pt>
                <c:pt idx="9">
                  <c:v>0.583</c:v>
                </c:pt>
                <c:pt idx="10">
                  <c:v>0.5905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83660568"/>
        <c:axId val="-2028544856"/>
      </c:lineChart>
      <c:catAx>
        <c:axId val="-2083660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Value of increasing coverage by one individual</a:t>
                </a:r>
              </a:p>
            </c:rich>
          </c:tx>
          <c:layout/>
          <c:overlay val="0"/>
        </c:title>
        <c:numFmt formatCode="&quot;$&quot;#,##0" sourceLinked="1"/>
        <c:majorTickMark val="out"/>
        <c:minorTickMark val="none"/>
        <c:tickLblPos val="nextTo"/>
        <c:crossAx val="-2028544856"/>
        <c:crosses val="autoZero"/>
        <c:auto val="1"/>
        <c:lblAlgn val="ctr"/>
        <c:lblOffset val="100"/>
        <c:noMultiLvlLbl val="0"/>
      </c:catAx>
      <c:valAx>
        <c:axId val="-2028544856"/>
        <c:scaling>
          <c:orientation val="minMax"/>
          <c:max val="1.0"/>
          <c:min val="0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Probability of being cost-effective</a:t>
                </a:r>
              </a:p>
            </c:rich>
          </c:tx>
          <c:layout/>
          <c:overlay val="0"/>
        </c:title>
        <c:numFmt formatCode="0%" sourceLinked="0"/>
        <c:majorTickMark val="out"/>
        <c:minorTickMark val="none"/>
        <c:tickLblPos val="nextTo"/>
        <c:crossAx val="-2083660568"/>
        <c:crosses val="autoZero"/>
        <c:crossBetween val="midCat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104</Characters>
  <Application>Microsoft Macintosh Word</Application>
  <DocSecurity>0</DocSecurity>
  <Lines>1</Lines>
  <Paragraphs>1</Paragraphs>
  <ScaleCrop>false</ScaleCrop>
  <Company>Johns Hopkins School of Public Health</Company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1</cp:revision>
  <dcterms:created xsi:type="dcterms:W3CDTF">2016-03-10T02:44:00Z</dcterms:created>
  <dcterms:modified xsi:type="dcterms:W3CDTF">2016-03-10T02:44:00Z</dcterms:modified>
</cp:coreProperties>
</file>