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C45" w:rsidRDefault="00DD5C45" w:rsidP="00DD5C45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proofErr w:type="gramStart"/>
      <w:r w:rsidRPr="001227D4">
        <w:rPr>
          <w:rFonts w:ascii="Times New Roman" w:hAnsi="Times New Roman" w:cs="Times New Roman"/>
          <w:b/>
          <w:sz w:val="24"/>
          <w:szCs w:val="24"/>
        </w:rPr>
        <w:t>Web Figure 5.</w:t>
      </w:r>
      <w:proofErr w:type="gramEnd"/>
      <w:r w:rsidRPr="001227D4">
        <w:rPr>
          <w:rFonts w:ascii="Times New Roman" w:hAnsi="Times New Roman" w:cs="Times New Roman"/>
          <w:sz w:val="24"/>
          <w:szCs w:val="24"/>
        </w:rPr>
        <w:t xml:space="preserve"> Cost-effectiveness acceptability curves: </w:t>
      </w:r>
      <w:proofErr w:type="spellStart"/>
      <w:r w:rsidRPr="001227D4">
        <w:rPr>
          <w:rFonts w:ascii="Times New Roman" w:hAnsi="Times New Roman" w:cs="Times New Roman"/>
          <w:sz w:val="24"/>
          <w:szCs w:val="24"/>
        </w:rPr>
        <w:t>Rheingans</w:t>
      </w:r>
      <w:proofErr w:type="spellEnd"/>
      <w:r w:rsidRPr="001227D4">
        <w:rPr>
          <w:rFonts w:ascii="Times New Roman" w:hAnsi="Times New Roman" w:cs="Times New Roman"/>
          <w:sz w:val="24"/>
          <w:szCs w:val="24"/>
        </w:rPr>
        <w:t xml:space="preserve"> selection of variables</w:t>
      </w:r>
    </w:p>
    <w:bookmarkEnd w:id="0"/>
    <w:p w:rsidR="00DD5C45" w:rsidRDefault="00DD5C45">
      <w:r w:rsidRPr="008A4FF9">
        <w:rPr>
          <w:rFonts w:ascii="Times New Roman" w:hAnsi="Times New Roman" w:cs="Times New Roman"/>
          <w:noProof/>
        </w:rPr>
        <w:drawing>
          <wp:inline distT="0" distB="0" distL="0" distR="0" wp14:anchorId="5CD453E6" wp14:editId="58A39876">
            <wp:extent cx="7543800" cy="3784600"/>
            <wp:effectExtent l="0" t="0" r="0" b="0"/>
            <wp:docPr id="8" name="Chart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DD5C45" w:rsidSect="00DD5C45">
      <w:pgSz w:w="15840" w:h="12240" w:orient="landscape"/>
      <w:pgMar w:top="1800" w:right="1440" w:bottom="1800" w:left="1440" w:header="720" w:footer="720" w:gutter="0"/>
      <w:cols w:space="720"/>
      <w:docGrid w:linePitch="360"/>
      <w:printerSettings r:id="rId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altName w:val="Times New Roman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altName w:val="Arial"/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altName w:val="Calibri"/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C45"/>
    <w:rsid w:val="00730F38"/>
    <w:rsid w:val="00A95D7C"/>
    <w:rsid w:val="00DD5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B6B774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5C45"/>
    <w:pPr>
      <w:spacing w:after="200" w:line="276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D5C45"/>
    <w:pPr>
      <w:spacing w:after="0" w:line="240" w:lineRule="auto"/>
    </w:pPr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5C45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5C45"/>
    <w:pPr>
      <w:spacing w:after="200" w:line="276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D5C45"/>
    <w:pPr>
      <w:spacing w:after="0" w:line="240" w:lineRule="auto"/>
    </w:pPr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5C45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chart" Target="charts/chart1.xml"/><Relationship Id="rId6" Type="http://schemas.openxmlformats.org/officeDocument/2006/relationships/printerSettings" Target="printerSettings/printerSettings1.bin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sammo\Dropbox\Cost-effectiveness%20Papers%20with%20Sam\Zinc\DAZT\Manuscripts\Net%20benefit%20regression\Circulation%20to%20authors\Paper%202%20tables%202015%2005%2020%20coverage%20ORS%20and%20zinc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0875410501223579"/>
          <c:y val="0.126728401907508"/>
          <c:w val="0.781713264102857"/>
          <c:h val="0.61164189863591"/>
        </c:manualLayout>
      </c:layout>
      <c:lineChart>
        <c:grouping val="standard"/>
        <c:varyColors val="0"/>
        <c:ser>
          <c:idx val="1"/>
          <c:order val="1"/>
          <c:tx>
            <c:strRef>
              <c:f>'Accep curve'!$M$112</c:f>
              <c:strCache>
                <c:ptCount val="1"/>
                <c:pt idx="0">
                  <c:v>Zinc Full set of covariates adjusted</c:v>
                </c:pt>
              </c:strCache>
            </c:strRef>
          </c:tx>
          <c:spPr>
            <a:ln>
              <a:solidFill>
                <a:schemeClr val="tx1"/>
              </a:solidFill>
              <a:prstDash val="dash"/>
            </a:ln>
          </c:spPr>
          <c:marker>
            <c:symbol val="none"/>
          </c:marker>
          <c:cat>
            <c:numRef>
              <c:f>'Accep curve'!$H$114:$H$124</c:f>
              <c:numCache>
                <c:formatCode>"$"#,##0_);[Red]\("$"#,##0\)</c:formatCode>
                <c:ptCount val="11"/>
                <c:pt idx="0">
                  <c:v>0.0</c:v>
                </c:pt>
                <c:pt idx="1">
                  <c:v>2.0</c:v>
                </c:pt>
                <c:pt idx="2">
                  <c:v>4.0</c:v>
                </c:pt>
                <c:pt idx="3">
                  <c:v>6.0</c:v>
                </c:pt>
                <c:pt idx="4">
                  <c:v>8.0</c:v>
                </c:pt>
                <c:pt idx="5">
                  <c:v>10.0</c:v>
                </c:pt>
                <c:pt idx="6">
                  <c:v>12.0</c:v>
                </c:pt>
                <c:pt idx="7">
                  <c:v>14.0</c:v>
                </c:pt>
                <c:pt idx="8">
                  <c:v>16.0</c:v>
                </c:pt>
                <c:pt idx="9">
                  <c:v>18.0</c:v>
                </c:pt>
                <c:pt idx="10">
                  <c:v>20.0</c:v>
                </c:pt>
              </c:numCache>
            </c:numRef>
          </c:cat>
          <c:val>
            <c:numRef>
              <c:f>'Accep curve'!$M$114:$M$124</c:f>
              <c:numCache>
                <c:formatCode>General</c:formatCode>
                <c:ptCount val="11"/>
                <c:pt idx="0">
                  <c:v>0.5465</c:v>
                </c:pt>
                <c:pt idx="1">
                  <c:v>0.668</c:v>
                </c:pt>
                <c:pt idx="2">
                  <c:v>0.7845</c:v>
                </c:pt>
                <c:pt idx="3">
                  <c:v>0.868</c:v>
                </c:pt>
                <c:pt idx="4">
                  <c:v>0.9035</c:v>
                </c:pt>
                <c:pt idx="5">
                  <c:v>0.951</c:v>
                </c:pt>
                <c:pt idx="6">
                  <c:v>0.973</c:v>
                </c:pt>
                <c:pt idx="7">
                  <c:v>0.9855</c:v>
                </c:pt>
                <c:pt idx="8">
                  <c:v>0.9915</c:v>
                </c:pt>
                <c:pt idx="9">
                  <c:v>0.9955</c:v>
                </c:pt>
                <c:pt idx="10">
                  <c:v>0.998</c:v>
                </c:pt>
              </c:numCache>
            </c:numRef>
          </c:val>
          <c:smooth val="0"/>
        </c:ser>
        <c:ser>
          <c:idx val="0"/>
          <c:order val="0"/>
          <c:tx>
            <c:strRef>
              <c:f>'Accep curve'!$I$112</c:f>
              <c:strCache>
                <c:ptCount val="1"/>
                <c:pt idx="0">
                  <c:v>Zinc Rheingans adjusted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marker>
            <c:symbol val="none"/>
          </c:marker>
          <c:cat>
            <c:numRef>
              <c:f>'Accep curve'!$H$114:$H$124</c:f>
              <c:numCache>
                <c:formatCode>"$"#,##0_);[Red]\("$"#,##0\)</c:formatCode>
                <c:ptCount val="11"/>
                <c:pt idx="0">
                  <c:v>0.0</c:v>
                </c:pt>
                <c:pt idx="1">
                  <c:v>2.0</c:v>
                </c:pt>
                <c:pt idx="2">
                  <c:v>4.0</c:v>
                </c:pt>
                <c:pt idx="3">
                  <c:v>6.0</c:v>
                </c:pt>
                <c:pt idx="4">
                  <c:v>8.0</c:v>
                </c:pt>
                <c:pt idx="5">
                  <c:v>10.0</c:v>
                </c:pt>
                <c:pt idx="6">
                  <c:v>12.0</c:v>
                </c:pt>
                <c:pt idx="7">
                  <c:v>14.0</c:v>
                </c:pt>
                <c:pt idx="8">
                  <c:v>16.0</c:v>
                </c:pt>
                <c:pt idx="9">
                  <c:v>18.0</c:v>
                </c:pt>
                <c:pt idx="10">
                  <c:v>20.0</c:v>
                </c:pt>
              </c:numCache>
            </c:numRef>
          </c:cat>
          <c:val>
            <c:numRef>
              <c:f>'Accep curve'!$L$114:$L$124</c:f>
              <c:numCache>
                <c:formatCode>General</c:formatCode>
                <c:ptCount val="11"/>
                <c:pt idx="0">
                  <c:v>0.5585</c:v>
                </c:pt>
                <c:pt idx="1">
                  <c:v>0.7445</c:v>
                </c:pt>
                <c:pt idx="2">
                  <c:v>0.867</c:v>
                </c:pt>
                <c:pt idx="3">
                  <c:v>0.9405</c:v>
                </c:pt>
                <c:pt idx="4">
                  <c:v>0.978</c:v>
                </c:pt>
                <c:pt idx="5">
                  <c:v>0.9915</c:v>
                </c:pt>
                <c:pt idx="6">
                  <c:v>0.997</c:v>
                </c:pt>
                <c:pt idx="7">
                  <c:v>0.999</c:v>
                </c:pt>
                <c:pt idx="8">
                  <c:v>0.9995</c:v>
                </c:pt>
                <c:pt idx="9">
                  <c:v>1.0</c:v>
                </c:pt>
                <c:pt idx="10">
                  <c:v>1.0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822641112"/>
        <c:axId val="1822842648"/>
      </c:lineChart>
      <c:catAx>
        <c:axId val="1822641112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/>
                </a:pPr>
                <a:r>
                  <a:rPr lang="en-US" sz="1200"/>
                  <a:t>Value of averting a diarrhea episode</a:t>
                </a:r>
              </a:p>
            </c:rich>
          </c:tx>
          <c:layout/>
          <c:overlay val="0"/>
        </c:title>
        <c:numFmt formatCode="&quot;$&quot;#,##0_);[Red]\(&quot;$&quot;#,##0\)" sourceLinked="1"/>
        <c:majorTickMark val="out"/>
        <c:minorTickMark val="none"/>
        <c:tickLblPos val="nextTo"/>
        <c:crossAx val="1822842648"/>
        <c:crosses val="autoZero"/>
        <c:auto val="1"/>
        <c:lblAlgn val="ctr"/>
        <c:lblOffset val="100"/>
        <c:noMultiLvlLbl val="0"/>
      </c:catAx>
      <c:valAx>
        <c:axId val="1822842648"/>
        <c:scaling>
          <c:orientation val="minMax"/>
          <c:max val="1.0"/>
          <c:min val="0.0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 sz="1200"/>
                </a:pPr>
                <a:r>
                  <a:rPr lang="en-US" sz="1200"/>
                  <a:t>Probability of being cost-effective</a:t>
                </a:r>
              </a:p>
            </c:rich>
          </c:tx>
          <c:layout/>
          <c:overlay val="0"/>
        </c:title>
        <c:numFmt formatCode="0%" sourceLinked="0"/>
        <c:majorTickMark val="out"/>
        <c:minorTickMark val="none"/>
        <c:tickLblPos val="nextTo"/>
        <c:crossAx val="1822641112"/>
        <c:crosses val="autoZero"/>
        <c:crossBetween val="midCat"/>
      </c:valAx>
    </c:plotArea>
    <c:legend>
      <c:legendPos val="b"/>
      <c:layout/>
      <c:overlay val="0"/>
    </c:legend>
    <c:plotVisOnly val="1"/>
    <c:dispBlanksAs val="gap"/>
    <c:showDLblsOverMax val="0"/>
  </c:chart>
  <c:spPr>
    <a:ln>
      <a:noFill/>
    </a:ln>
  </c:spPr>
  <c:txPr>
    <a:bodyPr/>
    <a:lstStyle/>
    <a:p>
      <a:pPr>
        <a:defRPr>
          <a:latin typeface="Times New Roman"/>
          <a:cs typeface="Times New Roman"/>
        </a:defRPr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</Words>
  <Characters>77</Characters>
  <Application>Microsoft Macintosh Word</Application>
  <DocSecurity>0</DocSecurity>
  <Lines>1</Lines>
  <Paragraphs>1</Paragraphs>
  <ScaleCrop>false</ScaleCrop>
  <Company>Johns Hopkins School of Public Health</Company>
  <LinksUpToDate>false</LinksUpToDate>
  <CharactersWithSpaces>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Amnesty LeFevre</dc:creator>
  <cp:keywords/>
  <dc:description/>
  <cp:lastModifiedBy>Amnesty LeFevre</cp:lastModifiedBy>
  <cp:revision>1</cp:revision>
  <dcterms:created xsi:type="dcterms:W3CDTF">2016-03-10T02:46:00Z</dcterms:created>
  <dcterms:modified xsi:type="dcterms:W3CDTF">2016-03-10T02:47:00Z</dcterms:modified>
</cp:coreProperties>
</file>