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715" w:rsidRDefault="00006715"/>
    <w:p w:rsidR="0054240D" w:rsidRDefault="0054240D">
      <w:r>
        <w:t xml:space="preserve">Appendix </w:t>
      </w:r>
      <w:r w:rsidR="00C7665F">
        <w:t>S</w:t>
      </w:r>
      <w:r>
        <w:t>2: Long term complications associated with exposure to radiation – life expectancy</w:t>
      </w:r>
    </w:p>
    <w:p w:rsidR="0054240D" w:rsidRDefault="0054240D"/>
    <w:tbl>
      <w:tblPr>
        <w:tblW w:w="14485" w:type="dxa"/>
        <w:tblInd w:w="-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0"/>
        <w:gridCol w:w="963"/>
        <w:gridCol w:w="1737"/>
        <w:gridCol w:w="1080"/>
        <w:gridCol w:w="990"/>
        <w:gridCol w:w="1087"/>
        <w:gridCol w:w="1260"/>
        <w:gridCol w:w="940"/>
        <w:gridCol w:w="970"/>
        <w:gridCol w:w="1010"/>
        <w:gridCol w:w="3008"/>
      </w:tblGrid>
      <w:tr w:rsidR="0054240D" w:rsidRPr="0054240D" w:rsidTr="003379D6">
        <w:trPr>
          <w:trHeight w:val="580"/>
          <w:tblHeader/>
        </w:trPr>
        <w:tc>
          <w:tcPr>
            <w:tcW w:w="14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99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108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percent </w:t>
            </w:r>
          </w:p>
        </w:tc>
        <w:tc>
          <w:tcPr>
            <w:tcW w:w="126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percent </w:t>
            </w:r>
          </w:p>
        </w:tc>
        <w:tc>
          <w:tcPr>
            <w:tcW w:w="9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97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8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240D" w:rsidRPr="0054240D" w:rsidTr="003379D6">
        <w:trPr>
          <w:trHeight w:val="580"/>
          <w:tblHeader/>
        </w:trPr>
        <w:tc>
          <w:tcPr>
            <w:tcW w:w="14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Complication</w:t>
            </w:r>
          </w:p>
        </w:tc>
        <w:tc>
          <w:tcPr>
            <w:tcW w:w="963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Therapy</w:t>
            </w:r>
          </w:p>
        </w:tc>
        <w:tc>
          <w:tcPr>
            <w:tcW w:w="173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Assumed radiation exp</w:t>
            </w:r>
          </w:p>
        </w:tc>
        <w:tc>
          <w:tcPr>
            <w:tcW w:w="108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IORT</w:t>
            </w:r>
          </w:p>
        </w:tc>
        <w:tc>
          <w:tcPr>
            <w:tcW w:w="99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EBRT</w:t>
            </w:r>
          </w:p>
        </w:tc>
        <w:tc>
          <w:tcPr>
            <w:tcW w:w="108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IORT</w:t>
            </w:r>
          </w:p>
        </w:tc>
        <w:tc>
          <w:tcPr>
            <w:tcW w:w="126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EBRT</w:t>
            </w:r>
          </w:p>
        </w:tc>
        <w:tc>
          <w:tcPr>
            <w:tcW w:w="9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LE (years)</w:t>
            </w:r>
          </w:p>
        </w:tc>
        <w:tc>
          <w:tcPr>
            <w:tcW w:w="97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LE EBRT</w:t>
            </w:r>
          </w:p>
        </w:tc>
        <w:tc>
          <w:tcPr>
            <w:tcW w:w="101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LE IORT</w:t>
            </w:r>
          </w:p>
        </w:tc>
        <w:tc>
          <w:tcPr>
            <w:tcW w:w="3008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54240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Source</w:t>
            </w:r>
          </w:p>
        </w:tc>
      </w:tr>
      <w:tr w:rsidR="0054240D" w:rsidRPr="0054240D" w:rsidTr="00596138">
        <w:trPr>
          <w:trHeight w:val="1500"/>
        </w:trPr>
        <w:tc>
          <w:tcPr>
            <w:tcW w:w="14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963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73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5 GY; assumes 35% relative increase in rate of MCE; initial rate of with no pre-exist factors 4.5%.  35% increase from 4.5% is 6.1%; absolute increase of 1.6%</w:t>
            </w:r>
          </w:p>
        </w:tc>
        <w:tc>
          <w:tcPr>
            <w:tcW w:w="108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1.600%</w:t>
            </w:r>
          </w:p>
        </w:tc>
        <w:tc>
          <w:tcPr>
            <w:tcW w:w="108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33.898%</w:t>
            </w:r>
          </w:p>
        </w:tc>
        <w:tc>
          <w:tcPr>
            <w:tcW w:w="9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4.40</w:t>
            </w:r>
          </w:p>
        </w:tc>
        <w:tc>
          <w:tcPr>
            <w:tcW w:w="97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1.49</w:t>
            </w:r>
          </w:p>
        </w:tc>
        <w:tc>
          <w:tcPr>
            <w:tcW w:w="101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08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Crimmins EM et al. Life with and without heart disease among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4240D">
              <w:rPr>
                <w:rFonts w:ascii="Calibri" w:eastAsia="Times New Roman" w:hAnsi="Calibri" w:cs="Calibri"/>
                <w:color w:val="000000"/>
              </w:rPr>
              <w:t>women and men. Jrl Women Aging. 2008. 20(1-2):5-19.  Crimmins EM et al. Life with and without disease: women experience more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4240D">
              <w:rPr>
                <w:rFonts w:ascii="Calibri" w:eastAsia="Times New Roman" w:hAnsi="Calibri" w:cs="Calibri"/>
                <w:color w:val="000000"/>
              </w:rPr>
              <w:t>of both. 2002. 14(102):47-59.</w:t>
            </w:r>
          </w:p>
        </w:tc>
      </w:tr>
      <w:tr w:rsidR="0054240D" w:rsidRPr="0054240D" w:rsidTr="00596138">
        <w:trPr>
          <w:trHeight w:val="1740"/>
        </w:trPr>
        <w:tc>
          <w:tcPr>
            <w:tcW w:w="14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963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73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1.25 GY; assumes 5% relative increase in rate of MCE; initial rate of with no pre-exist factors 4.5%.  5% increase from 4.5% is 4.725%; absolute increase of 0.225%</w:t>
            </w:r>
          </w:p>
        </w:tc>
        <w:tc>
          <w:tcPr>
            <w:tcW w:w="108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0.225%</w:t>
            </w:r>
          </w:p>
        </w:tc>
        <w:tc>
          <w:tcPr>
            <w:tcW w:w="99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73.770%</w:t>
            </w:r>
          </w:p>
        </w:tc>
        <w:tc>
          <w:tcPr>
            <w:tcW w:w="126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4.40</w:t>
            </w:r>
          </w:p>
        </w:tc>
        <w:tc>
          <w:tcPr>
            <w:tcW w:w="97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3.25</w:t>
            </w:r>
          </w:p>
        </w:tc>
        <w:tc>
          <w:tcPr>
            <w:tcW w:w="3008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Crimmins EM et al. Life with and without heart disease among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4240D">
              <w:rPr>
                <w:rFonts w:ascii="Calibri" w:eastAsia="Times New Roman" w:hAnsi="Calibri" w:cs="Calibri"/>
                <w:color w:val="000000"/>
              </w:rPr>
              <w:t>women and men. Jrl Women Aging. 2008. 20(1-2):5-19.  Crimmins EM et al. Life with and without disease: women experience more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4240D">
              <w:rPr>
                <w:rFonts w:ascii="Calibri" w:eastAsia="Times New Roman" w:hAnsi="Calibri" w:cs="Calibri"/>
                <w:color w:val="000000"/>
              </w:rPr>
              <w:t>of both. 2002. 14(102):47-59.</w:t>
            </w:r>
          </w:p>
        </w:tc>
      </w:tr>
      <w:tr w:rsidR="0054240D" w:rsidRPr="0054240D" w:rsidTr="00596138">
        <w:trPr>
          <w:trHeight w:val="580"/>
        </w:trPr>
        <w:tc>
          <w:tcPr>
            <w:tcW w:w="14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lastRenderedPageBreak/>
              <w:t>Lung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73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3.4 GY for ipsilateral lung</w:t>
            </w:r>
          </w:p>
        </w:tc>
        <w:tc>
          <w:tcPr>
            <w:tcW w:w="108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108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61.44%</w:t>
            </w:r>
          </w:p>
        </w:tc>
        <w:tc>
          <w:tcPr>
            <w:tcW w:w="9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  <w:tc>
          <w:tcPr>
            <w:tcW w:w="97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101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08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Hurria A e</w:t>
            </w:r>
            <w:r w:rsidRPr="0054240D">
              <w:rPr>
                <w:rFonts w:ascii="Calibri" w:eastAsia="Times New Roman" w:hAnsi="Calibri" w:cs="Calibri"/>
                <w:color w:val="000000"/>
              </w:rPr>
              <w:t>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4240D">
              <w:rPr>
                <w:rFonts w:ascii="Calibri" w:eastAsia="Times New Roman" w:hAnsi="Calibri" w:cs="Calibri"/>
                <w:color w:val="000000"/>
              </w:rPr>
              <w:t>al. Management of lung cancer in older adults. CA Cancer J Clin. 2003. 53:325-341</w:t>
            </w:r>
          </w:p>
        </w:tc>
      </w:tr>
      <w:tr w:rsidR="0054240D" w:rsidRPr="0054240D" w:rsidTr="00596138">
        <w:trPr>
          <w:trHeight w:val="600"/>
        </w:trPr>
        <w:tc>
          <w:tcPr>
            <w:tcW w:w="14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Lung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73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0.03 GY for ipsilateral lung</w:t>
            </w:r>
          </w:p>
        </w:tc>
        <w:tc>
          <w:tcPr>
            <w:tcW w:w="108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  <w:tc>
          <w:tcPr>
            <w:tcW w:w="99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6.56%</w:t>
            </w:r>
          </w:p>
        </w:tc>
        <w:tc>
          <w:tcPr>
            <w:tcW w:w="126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  <w:tc>
          <w:tcPr>
            <w:tcW w:w="97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3008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Hurria A e</w:t>
            </w:r>
            <w:r w:rsidRPr="0054240D">
              <w:rPr>
                <w:rFonts w:ascii="Calibri" w:eastAsia="Times New Roman" w:hAnsi="Calibri" w:cs="Calibri"/>
                <w:color w:val="000000"/>
              </w:rPr>
              <w:t>t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54240D">
              <w:rPr>
                <w:rFonts w:ascii="Calibri" w:eastAsia="Times New Roman" w:hAnsi="Calibri" w:cs="Calibri"/>
                <w:color w:val="000000"/>
              </w:rPr>
              <w:t>al. Management of lung cancer in older adults. CA Cancer J Clin. 2003. 53:325-341</w:t>
            </w:r>
          </w:p>
        </w:tc>
      </w:tr>
      <w:tr w:rsidR="0054240D" w:rsidRPr="0054240D" w:rsidTr="00596138">
        <w:trPr>
          <w:trHeight w:val="1160"/>
        </w:trPr>
        <w:tc>
          <w:tcPr>
            <w:tcW w:w="14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73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  <w:tc>
          <w:tcPr>
            <w:tcW w:w="108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4.66%</w:t>
            </w:r>
          </w:p>
        </w:tc>
        <w:tc>
          <w:tcPr>
            <w:tcW w:w="9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  <w:tc>
          <w:tcPr>
            <w:tcW w:w="97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101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08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 xml:space="preserve">Kim H, et el. Prognostic factors for survivals for first relapse in breast cancer patients: analysis </w:t>
            </w:r>
            <w:r w:rsidRPr="0054240D">
              <w:rPr>
                <w:rFonts w:ascii="Calibri" w:eastAsia="Times New Roman" w:hAnsi="Calibri" w:cs="Calibri"/>
                <w:color w:val="000000"/>
              </w:rPr>
              <w:br/>
              <w:t xml:space="preserve">of deceased patients.   LRR to death 4.31 +/- 2.4 years </w:t>
            </w:r>
          </w:p>
        </w:tc>
      </w:tr>
      <w:tr w:rsidR="0054240D" w:rsidRPr="0054240D" w:rsidTr="00596138">
        <w:trPr>
          <w:trHeight w:val="1160"/>
        </w:trPr>
        <w:tc>
          <w:tcPr>
            <w:tcW w:w="14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73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  <w:tc>
          <w:tcPr>
            <w:tcW w:w="99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19.67%</w:t>
            </w:r>
          </w:p>
        </w:tc>
        <w:tc>
          <w:tcPr>
            <w:tcW w:w="126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  <w:tc>
          <w:tcPr>
            <w:tcW w:w="97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1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3008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 xml:space="preserve">Kim H, et el. Prognostic factors for survivals for first relapse in breast cancer patients: analysis </w:t>
            </w:r>
            <w:r w:rsidRPr="0054240D">
              <w:rPr>
                <w:rFonts w:ascii="Calibri" w:eastAsia="Times New Roman" w:hAnsi="Calibri" w:cs="Calibri"/>
                <w:color w:val="000000"/>
              </w:rPr>
              <w:br/>
              <w:t xml:space="preserve">of deceased patients.   LRR to death 4.31 +/- 2.4 years </w:t>
            </w:r>
          </w:p>
        </w:tc>
      </w:tr>
      <w:tr w:rsidR="0054240D" w:rsidRPr="0054240D" w:rsidTr="00596138">
        <w:trPr>
          <w:trHeight w:val="290"/>
        </w:trPr>
        <w:tc>
          <w:tcPr>
            <w:tcW w:w="14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Total percentages</w:t>
            </w:r>
          </w:p>
        </w:tc>
        <w:tc>
          <w:tcPr>
            <w:tcW w:w="963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3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0.31%</w:t>
            </w:r>
          </w:p>
        </w:tc>
        <w:tc>
          <w:tcPr>
            <w:tcW w:w="99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4.72%</w:t>
            </w:r>
          </w:p>
        </w:tc>
        <w:tc>
          <w:tcPr>
            <w:tcW w:w="1087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2.51</w:t>
            </w:r>
          </w:p>
        </w:tc>
        <w:tc>
          <w:tcPr>
            <w:tcW w:w="1010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4240D">
              <w:rPr>
                <w:rFonts w:ascii="Calibri" w:eastAsia="Times New Roman" w:hAnsi="Calibri" w:cs="Calibri"/>
                <w:color w:val="000000"/>
              </w:rPr>
              <w:t>4.18</w:t>
            </w:r>
          </w:p>
        </w:tc>
        <w:tc>
          <w:tcPr>
            <w:tcW w:w="3008" w:type="dxa"/>
            <w:shd w:val="clear" w:color="auto" w:fill="auto"/>
            <w:hideMark/>
          </w:tcPr>
          <w:p w:rsidR="0054240D" w:rsidRPr="0054240D" w:rsidRDefault="0054240D" w:rsidP="0054240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4240D" w:rsidRDefault="0054240D"/>
    <w:p w:rsidR="001772E4" w:rsidRDefault="001772E4"/>
    <w:p w:rsidR="001772E4" w:rsidRDefault="001772E4"/>
    <w:p w:rsidR="001772E4" w:rsidRDefault="001772E4"/>
    <w:p w:rsidR="001772E4" w:rsidRDefault="001772E4"/>
    <w:p w:rsidR="001772E4" w:rsidRDefault="001772E4">
      <w:r>
        <w:lastRenderedPageBreak/>
        <w:t>Acute care costs of treatment with IORT and EBRT:</w:t>
      </w:r>
    </w:p>
    <w:tbl>
      <w:tblPr>
        <w:tblW w:w="12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320"/>
        <w:gridCol w:w="2585"/>
        <w:gridCol w:w="1710"/>
        <w:gridCol w:w="810"/>
        <w:gridCol w:w="270"/>
        <w:gridCol w:w="2700"/>
        <w:gridCol w:w="1681"/>
        <w:gridCol w:w="236"/>
        <w:gridCol w:w="1197"/>
      </w:tblGrid>
      <w:tr w:rsidR="001772E4" w:rsidRPr="001772E4" w:rsidTr="001772E4">
        <w:trPr>
          <w:trHeight w:val="290"/>
        </w:trPr>
        <w:tc>
          <w:tcPr>
            <w:tcW w:w="5575" w:type="dxa"/>
            <w:gridSpan w:val="4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color w:val="000000"/>
                <w:u w:val="single"/>
              </w:rPr>
              <w:t>IORT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72E4" w:rsidRPr="001772E4" w:rsidTr="001772E4">
        <w:trPr>
          <w:trHeight w:val="290"/>
        </w:trPr>
        <w:tc>
          <w:tcPr>
            <w:tcW w:w="3865" w:type="dxa"/>
            <w:gridSpan w:val="3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Medicare 2016 payment rates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72E4" w:rsidRPr="001772E4" w:rsidTr="001772E4">
        <w:trPr>
          <w:trHeight w:val="290"/>
        </w:trPr>
        <w:tc>
          <w:tcPr>
            <w:tcW w:w="3865" w:type="dxa"/>
            <w:gridSpan w:val="3"/>
            <w:shd w:val="clear" w:color="auto" w:fill="auto"/>
            <w:noWrap/>
            <w:vAlign w:val="bottom"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noWrap/>
            <w:vAlign w:val="bottom"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72E4" w:rsidRPr="001772E4" w:rsidTr="001772E4">
        <w:trPr>
          <w:trHeight w:val="290"/>
        </w:trPr>
        <w:tc>
          <w:tcPr>
            <w:tcW w:w="960" w:type="dxa"/>
            <w:shd w:val="clear" w:color="auto" w:fill="auto"/>
            <w:noWrap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 xml:space="preserve">Source: </w:t>
            </w:r>
          </w:p>
        </w:tc>
        <w:tc>
          <w:tcPr>
            <w:tcW w:w="320" w:type="dxa"/>
            <w:shd w:val="clear" w:color="auto" w:fill="auto"/>
            <w:noWrap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PFS 2016 and 2016 APC payment rates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tabs>
                <w:tab w:val="left" w:pos="1602"/>
              </w:tabs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Total</w:t>
            </w:r>
          </w:p>
        </w:tc>
      </w:tr>
      <w:tr w:rsidR="001772E4" w:rsidRPr="001772E4" w:rsidTr="001772E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CPT code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Description</w:t>
            </w: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Reimbursement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APC</w:t>
            </w:r>
          </w:p>
        </w:tc>
        <w:tc>
          <w:tcPr>
            <w:tcW w:w="27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Description</w:t>
            </w: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Reimbursement</w:t>
            </w: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Reimburse</w:t>
            </w:r>
          </w:p>
        </w:tc>
      </w:tr>
      <w:tr w:rsidR="001772E4" w:rsidRPr="001772E4" w:rsidTr="001772E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IORT</w:t>
            </w:r>
          </w:p>
        </w:tc>
        <w:tc>
          <w:tcPr>
            <w:tcW w:w="32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585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72E4" w:rsidRPr="001772E4" w:rsidTr="001772E4">
        <w:trPr>
          <w:trHeight w:val="1450"/>
        </w:trPr>
        <w:tc>
          <w:tcPr>
            <w:tcW w:w="960" w:type="dxa"/>
            <w:shd w:val="clear" w:color="auto" w:fill="auto"/>
            <w:noWrap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19301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8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Mastectomy, partial (eg lumpectomy, tylectomy, quadrantectomy, segmentectomy)</w:t>
            </w:r>
          </w:p>
        </w:tc>
        <w:tc>
          <w:tcPr>
            <w:tcW w:w="17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  <w:tc>
          <w:tcPr>
            <w:tcW w:w="8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5091</w:t>
            </w: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0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Mastectomy, partial (eg lumpectomy, tylectomy, quadrantectomy, segmentectomy); note: included in 5093</w:t>
            </w:r>
          </w:p>
        </w:tc>
        <w:tc>
          <w:tcPr>
            <w:tcW w:w="1681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$0</w:t>
            </w:r>
          </w:p>
        </w:tc>
        <w:tc>
          <w:tcPr>
            <w:tcW w:w="236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9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</w:tr>
      <w:tr w:rsidR="001772E4" w:rsidRPr="001772E4" w:rsidTr="001772E4">
        <w:trPr>
          <w:trHeight w:val="870"/>
        </w:trPr>
        <w:tc>
          <w:tcPr>
            <w:tcW w:w="960" w:type="dxa"/>
            <w:shd w:val="clear" w:color="auto" w:fill="auto"/>
            <w:noWrap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19298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8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Placement radiotherapy afterloading brachytherapy catheter into breast at the time of partial mastectcomy</w:t>
            </w:r>
          </w:p>
        </w:tc>
        <w:tc>
          <w:tcPr>
            <w:tcW w:w="17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$338</w:t>
            </w:r>
          </w:p>
        </w:tc>
        <w:tc>
          <w:tcPr>
            <w:tcW w:w="8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5093</w:t>
            </w: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0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Intraoperative radiation mgmt treatment</w:t>
            </w:r>
          </w:p>
        </w:tc>
        <w:tc>
          <w:tcPr>
            <w:tcW w:w="1681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$7,558</w:t>
            </w:r>
          </w:p>
        </w:tc>
        <w:tc>
          <w:tcPr>
            <w:tcW w:w="236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9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$7,896</w:t>
            </w:r>
          </w:p>
        </w:tc>
      </w:tr>
      <w:tr w:rsidR="001772E4" w:rsidRPr="001772E4" w:rsidTr="001772E4">
        <w:trPr>
          <w:trHeight w:val="58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77469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8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Intraoperative radiation mgmt treatment</w:t>
            </w:r>
          </w:p>
        </w:tc>
        <w:tc>
          <w:tcPr>
            <w:tcW w:w="17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$375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5093</w:t>
            </w:r>
          </w:p>
        </w:tc>
        <w:tc>
          <w:tcPr>
            <w:tcW w:w="27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0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Intraoperative radiation mgmt treatment</w:t>
            </w:r>
          </w:p>
        </w:tc>
        <w:tc>
          <w:tcPr>
            <w:tcW w:w="1681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$0</w:t>
            </w:r>
          </w:p>
        </w:tc>
        <w:tc>
          <w:tcPr>
            <w:tcW w:w="236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9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$375</w:t>
            </w:r>
          </w:p>
        </w:tc>
      </w:tr>
      <w:tr w:rsidR="001772E4" w:rsidRPr="001772E4" w:rsidTr="001772E4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99219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8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Initial observation care</w:t>
            </w:r>
          </w:p>
        </w:tc>
        <w:tc>
          <w:tcPr>
            <w:tcW w:w="17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$137</w:t>
            </w:r>
          </w:p>
        </w:tc>
        <w:tc>
          <w:tcPr>
            <w:tcW w:w="8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$137</w:t>
            </w:r>
          </w:p>
        </w:tc>
      </w:tr>
      <w:tr w:rsidR="001772E4" w:rsidRPr="001772E4" w:rsidTr="001772E4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99225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8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Subsequent observation care</w:t>
            </w:r>
          </w:p>
        </w:tc>
        <w:tc>
          <w:tcPr>
            <w:tcW w:w="17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$73</w:t>
            </w:r>
          </w:p>
        </w:tc>
        <w:tc>
          <w:tcPr>
            <w:tcW w:w="8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$73</w:t>
            </w:r>
          </w:p>
        </w:tc>
      </w:tr>
      <w:tr w:rsidR="001772E4" w:rsidRPr="001772E4" w:rsidTr="001772E4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772E4" w:rsidRPr="001772E4" w:rsidTr="001772E4">
        <w:trPr>
          <w:trHeight w:val="290"/>
        </w:trPr>
        <w:tc>
          <w:tcPr>
            <w:tcW w:w="3865" w:type="dxa"/>
            <w:gridSpan w:val="3"/>
            <w:shd w:val="clear" w:color="auto" w:fill="auto"/>
            <w:noWrap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Total payment for outpatient lumpectomy plus IORT</w:t>
            </w:r>
          </w:p>
        </w:tc>
        <w:tc>
          <w:tcPr>
            <w:tcW w:w="17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$9,154</w:t>
            </w:r>
          </w:p>
        </w:tc>
      </w:tr>
    </w:tbl>
    <w:p w:rsidR="001772E4" w:rsidRDefault="001772E4"/>
    <w:p w:rsidR="001772E4" w:rsidRDefault="001772E4"/>
    <w:p w:rsidR="001772E4" w:rsidRDefault="001772E4"/>
    <w:p w:rsidR="00C1542A" w:rsidRPr="00C1542A" w:rsidRDefault="00C1542A">
      <w:pPr>
        <w:rPr>
          <w:b/>
          <w:u w:val="single"/>
        </w:rPr>
      </w:pPr>
      <w:r w:rsidRPr="00C1542A">
        <w:rPr>
          <w:b/>
          <w:u w:val="single"/>
        </w:rPr>
        <w:lastRenderedPageBreak/>
        <w:t>EBRT acute care treatment costs:</w:t>
      </w:r>
    </w:p>
    <w:tbl>
      <w:tblPr>
        <w:tblW w:w="13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320"/>
        <w:gridCol w:w="2945"/>
        <w:gridCol w:w="1980"/>
        <w:gridCol w:w="990"/>
        <w:gridCol w:w="450"/>
        <w:gridCol w:w="2070"/>
        <w:gridCol w:w="1890"/>
        <w:gridCol w:w="270"/>
        <w:gridCol w:w="1620"/>
      </w:tblGrid>
      <w:tr w:rsidR="00C1542A" w:rsidRPr="001772E4" w:rsidTr="00C1542A">
        <w:trPr>
          <w:trHeight w:val="290"/>
          <w:tblHeader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EBRT 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945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Description</w:t>
            </w:r>
          </w:p>
        </w:tc>
        <w:tc>
          <w:tcPr>
            <w:tcW w:w="198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Reimbursement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APC</w:t>
            </w:r>
          </w:p>
        </w:tc>
        <w:tc>
          <w:tcPr>
            <w:tcW w:w="45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Description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Reimbursement</w:t>
            </w:r>
          </w:p>
        </w:tc>
        <w:tc>
          <w:tcPr>
            <w:tcW w:w="27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1772E4" w:rsidRPr="001772E4" w:rsidRDefault="001772E4" w:rsidP="00C1542A">
            <w:pPr>
              <w:spacing w:after="0" w:line="240" w:lineRule="auto"/>
              <w:ind w:right="451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Total Reim</w:t>
            </w:r>
          </w:p>
        </w:tc>
      </w:tr>
      <w:tr w:rsidR="00C1542A" w:rsidRPr="001772E4" w:rsidTr="00C1542A">
        <w:trPr>
          <w:trHeight w:val="1160"/>
        </w:trPr>
        <w:tc>
          <w:tcPr>
            <w:tcW w:w="960" w:type="dxa"/>
            <w:shd w:val="clear" w:color="auto" w:fill="auto"/>
            <w:noWrap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19301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Mastectomy, partial (eg lumpectomy, tylectomy, quadrantectomy, segmentectomy)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$673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5091</w:t>
            </w: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Mastectomy, partial (eg lumpectomy, tylectomy, quadrantectomy, segmentectomy)</w:t>
            </w: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$2,188</w:t>
            </w: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$1,767</w:t>
            </w:r>
          </w:p>
        </w:tc>
      </w:tr>
      <w:tr w:rsidR="00C1542A" w:rsidRPr="001772E4" w:rsidTr="00C1542A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99219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Initial observation care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$137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$137</w:t>
            </w:r>
          </w:p>
        </w:tc>
      </w:tr>
      <w:tr w:rsidR="00C1542A" w:rsidRPr="001772E4" w:rsidTr="00C1542A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99225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Subsequent observation care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$73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$73</w:t>
            </w:r>
          </w:p>
        </w:tc>
      </w:tr>
      <w:tr w:rsidR="00C1542A" w:rsidRPr="001772E4" w:rsidTr="00C1542A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542A" w:rsidRPr="001772E4" w:rsidTr="00C1542A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 xml:space="preserve">Total 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$1,977</w:t>
            </w:r>
          </w:p>
        </w:tc>
      </w:tr>
      <w:tr w:rsidR="00C1542A" w:rsidRPr="001772E4" w:rsidTr="00C1542A">
        <w:trPr>
          <w:trHeight w:val="290"/>
        </w:trPr>
        <w:tc>
          <w:tcPr>
            <w:tcW w:w="960" w:type="dxa"/>
            <w:shd w:val="clear" w:color="auto" w:fill="auto"/>
            <w:noWrap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542A" w:rsidRPr="001772E4" w:rsidTr="00C1542A">
        <w:trPr>
          <w:trHeight w:val="290"/>
        </w:trPr>
        <w:tc>
          <w:tcPr>
            <w:tcW w:w="4225" w:type="dxa"/>
            <w:gridSpan w:val="3"/>
            <w:shd w:val="clear" w:color="auto" w:fill="auto"/>
            <w:noWrap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1772E4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EBRT planning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542A" w:rsidRPr="001772E4" w:rsidTr="00C1542A">
        <w:trPr>
          <w:trHeight w:val="58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76641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Ultrasound breast, unilateral, complete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$108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5531</w:t>
            </w: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Ultrasound breast, unilateral, complete</w:t>
            </w: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$92</w:t>
            </w: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$154</w:t>
            </w:r>
          </w:p>
        </w:tc>
      </w:tr>
      <w:tr w:rsidR="00C1542A" w:rsidRPr="001772E4" w:rsidTr="00C1542A">
        <w:trPr>
          <w:trHeight w:val="58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77014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CT guidance for placement of radiation therapy fields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$119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N/A</w:t>
            </w: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CT guidance for placement of radiation therapy fields</w:t>
            </w: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$119</w:t>
            </w:r>
          </w:p>
        </w:tc>
      </w:tr>
      <w:tr w:rsidR="00C1542A" w:rsidRPr="001772E4" w:rsidTr="00C1542A">
        <w:trPr>
          <w:trHeight w:val="58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77263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Therapeutic radiology treatment planning complex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$168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5611</w:t>
            </w: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Therapeutic radiology treatment planning complex</w:t>
            </w: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$107</w:t>
            </w: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$222</w:t>
            </w:r>
          </w:p>
        </w:tc>
      </w:tr>
      <w:tr w:rsidR="00C1542A" w:rsidRPr="001772E4" w:rsidTr="00C1542A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77290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complex simulation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$521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5613</w:t>
            </w: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complex simulation</w:t>
            </w: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$292</w:t>
            </w: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$667</w:t>
            </w:r>
          </w:p>
        </w:tc>
      </w:tr>
      <w:tr w:rsidR="00C1542A" w:rsidRPr="001772E4" w:rsidTr="00C1542A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77295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3-D treatment planning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$496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5614</w:t>
            </w: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3-D treatment planning</w:t>
            </w: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$1,027</w:t>
            </w: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$1,523</w:t>
            </w:r>
          </w:p>
        </w:tc>
      </w:tr>
      <w:tr w:rsidR="00C1542A" w:rsidRPr="001772E4" w:rsidTr="00C1542A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77317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brachytherapy isodose planning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$248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5613</w:t>
            </w: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brachytherapy isodose planning</w:t>
            </w: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$292</w:t>
            </w: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$394</w:t>
            </w:r>
          </w:p>
        </w:tc>
      </w:tr>
      <w:tr w:rsidR="00C1542A" w:rsidRPr="001772E4" w:rsidTr="00C1542A">
        <w:trPr>
          <w:trHeight w:val="58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77370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special medical radiation physics consult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$123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5612</w:t>
            </w: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special medical radiation physics consult</w:t>
            </w: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$167</w:t>
            </w: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$207</w:t>
            </w:r>
          </w:p>
        </w:tc>
      </w:tr>
      <w:tr w:rsidR="00C1542A" w:rsidRPr="001772E4" w:rsidTr="00C1542A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77470</w:t>
            </w: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special treatment procedure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$158</w:t>
            </w: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5623</w:t>
            </w: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 xml:space="preserve">special treatment </w:t>
            </w:r>
            <w:r w:rsidRPr="001772E4">
              <w:rPr>
                <w:rFonts w:ascii="Calibri" w:eastAsia="Times New Roman" w:hAnsi="Calibri" w:cs="Calibri"/>
                <w:color w:val="000000"/>
              </w:rPr>
              <w:lastRenderedPageBreak/>
              <w:t>procedure</w:t>
            </w: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lastRenderedPageBreak/>
              <w:t>$506</w:t>
            </w: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$411</w:t>
            </w:r>
          </w:p>
        </w:tc>
      </w:tr>
      <w:tr w:rsidR="00C1542A" w:rsidRPr="001772E4" w:rsidTr="00C1542A">
        <w:trPr>
          <w:trHeight w:val="290"/>
        </w:trPr>
        <w:tc>
          <w:tcPr>
            <w:tcW w:w="96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5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542A" w:rsidRPr="001772E4" w:rsidTr="00C1542A">
        <w:trPr>
          <w:trHeight w:val="290"/>
        </w:trPr>
        <w:tc>
          <w:tcPr>
            <w:tcW w:w="4225" w:type="dxa"/>
            <w:gridSpan w:val="3"/>
            <w:shd w:val="clear" w:color="auto" w:fill="auto"/>
            <w:noWrap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Total planning</w:t>
            </w:r>
          </w:p>
        </w:tc>
        <w:tc>
          <w:tcPr>
            <w:tcW w:w="198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:rsidR="001772E4" w:rsidRPr="001772E4" w:rsidRDefault="001772E4" w:rsidP="001772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772E4">
              <w:rPr>
                <w:rFonts w:ascii="Calibri" w:eastAsia="Times New Roman" w:hAnsi="Calibri" w:cs="Calibri"/>
                <w:color w:val="000000"/>
              </w:rPr>
              <w:t>$2,618</w:t>
            </w:r>
          </w:p>
        </w:tc>
      </w:tr>
    </w:tbl>
    <w:p w:rsidR="001772E4" w:rsidRDefault="001772E4"/>
    <w:p w:rsidR="00C1542A" w:rsidRPr="00B14C45" w:rsidRDefault="00B14C45">
      <w:pPr>
        <w:rPr>
          <w:b/>
          <w:u w:val="single"/>
        </w:rPr>
      </w:pPr>
      <w:r w:rsidRPr="00B14C45">
        <w:rPr>
          <w:b/>
          <w:u w:val="single"/>
        </w:rPr>
        <w:t>EBRT treatment total</w:t>
      </w:r>
    </w:p>
    <w:tbl>
      <w:tblPr>
        <w:tblW w:w="13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1"/>
        <w:gridCol w:w="310"/>
        <w:gridCol w:w="2858"/>
        <w:gridCol w:w="1921"/>
        <w:gridCol w:w="960"/>
        <w:gridCol w:w="436"/>
        <w:gridCol w:w="2008"/>
        <w:gridCol w:w="1833"/>
        <w:gridCol w:w="261"/>
        <w:gridCol w:w="1977"/>
      </w:tblGrid>
      <w:tr w:rsidR="00B14C45" w:rsidRPr="00B14C45" w:rsidTr="00B14C45">
        <w:trPr>
          <w:trHeight w:val="296"/>
        </w:trPr>
        <w:tc>
          <w:tcPr>
            <w:tcW w:w="931" w:type="dxa"/>
            <w:shd w:val="clear" w:color="auto" w:fill="auto"/>
            <w:noWrap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14C4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Description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14C4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Reimbursement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14C4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APC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14C4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Description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14C4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Reimbursement</w:t>
            </w: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B14C4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Total Reim</w:t>
            </w:r>
          </w:p>
        </w:tc>
      </w:tr>
      <w:tr w:rsidR="00B14C45" w:rsidRPr="00B14C45" w:rsidTr="00B14C45">
        <w:trPr>
          <w:trHeight w:val="296"/>
        </w:trPr>
        <w:tc>
          <w:tcPr>
            <w:tcW w:w="931" w:type="dxa"/>
            <w:shd w:val="clear" w:color="auto" w:fill="auto"/>
            <w:noWrap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77280</w:t>
            </w:r>
          </w:p>
        </w:tc>
        <w:tc>
          <w:tcPr>
            <w:tcW w:w="310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8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Simple simulation</w:t>
            </w:r>
          </w:p>
        </w:tc>
        <w:tc>
          <w:tcPr>
            <w:tcW w:w="192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$276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5612</w:t>
            </w:r>
          </w:p>
        </w:tc>
        <w:tc>
          <w:tcPr>
            <w:tcW w:w="436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8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Simple simulation</w:t>
            </w:r>
          </w:p>
        </w:tc>
        <w:tc>
          <w:tcPr>
            <w:tcW w:w="1833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$167</w:t>
            </w:r>
          </w:p>
        </w:tc>
        <w:tc>
          <w:tcPr>
            <w:tcW w:w="26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77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$443</w:t>
            </w:r>
          </w:p>
        </w:tc>
      </w:tr>
      <w:tr w:rsidR="00B14C45" w:rsidRPr="00B14C45" w:rsidTr="00B14C45">
        <w:trPr>
          <w:trHeight w:val="592"/>
        </w:trPr>
        <w:tc>
          <w:tcPr>
            <w:tcW w:w="93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77336</w:t>
            </w:r>
          </w:p>
        </w:tc>
        <w:tc>
          <w:tcPr>
            <w:tcW w:w="310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8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Weekly continuing medical physics</w:t>
            </w:r>
          </w:p>
        </w:tc>
        <w:tc>
          <w:tcPr>
            <w:tcW w:w="192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$80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5611</w:t>
            </w:r>
          </w:p>
        </w:tc>
        <w:tc>
          <w:tcPr>
            <w:tcW w:w="436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8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Weekly continuing medical physics</w:t>
            </w:r>
          </w:p>
        </w:tc>
        <w:tc>
          <w:tcPr>
            <w:tcW w:w="1833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$107</w:t>
            </w:r>
          </w:p>
        </w:tc>
        <w:tc>
          <w:tcPr>
            <w:tcW w:w="26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77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$134</w:t>
            </w:r>
          </w:p>
        </w:tc>
      </w:tr>
      <w:tr w:rsidR="00B14C45" w:rsidRPr="00B14C45" w:rsidTr="00B14C45">
        <w:trPr>
          <w:trHeight w:val="296"/>
        </w:trPr>
        <w:tc>
          <w:tcPr>
            <w:tcW w:w="93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77402</w:t>
            </w:r>
          </w:p>
        </w:tc>
        <w:tc>
          <w:tcPr>
            <w:tcW w:w="31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8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Radiation - simple</w:t>
            </w:r>
          </w:p>
        </w:tc>
        <w:tc>
          <w:tcPr>
            <w:tcW w:w="192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5621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08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Radiation therapy</w:t>
            </w: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$110</w:t>
            </w: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77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$86</w:t>
            </w:r>
          </w:p>
        </w:tc>
      </w:tr>
      <w:tr w:rsidR="00B14C45" w:rsidRPr="00B14C45" w:rsidTr="00B14C45">
        <w:trPr>
          <w:trHeight w:val="296"/>
        </w:trPr>
        <w:tc>
          <w:tcPr>
            <w:tcW w:w="93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99219</w:t>
            </w:r>
          </w:p>
        </w:tc>
        <w:tc>
          <w:tcPr>
            <w:tcW w:w="310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8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Initial observation care</w:t>
            </w:r>
          </w:p>
        </w:tc>
        <w:tc>
          <w:tcPr>
            <w:tcW w:w="192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$137</w:t>
            </w:r>
          </w:p>
        </w:tc>
        <w:tc>
          <w:tcPr>
            <w:tcW w:w="960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6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$137</w:t>
            </w:r>
          </w:p>
        </w:tc>
      </w:tr>
      <w:tr w:rsidR="00B14C45" w:rsidRPr="00B14C45" w:rsidTr="00B14C45">
        <w:trPr>
          <w:trHeight w:val="296"/>
        </w:trPr>
        <w:tc>
          <w:tcPr>
            <w:tcW w:w="93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99225</w:t>
            </w:r>
          </w:p>
        </w:tc>
        <w:tc>
          <w:tcPr>
            <w:tcW w:w="310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58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Subsequent observation care</w:t>
            </w:r>
          </w:p>
        </w:tc>
        <w:tc>
          <w:tcPr>
            <w:tcW w:w="192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$73</w:t>
            </w:r>
          </w:p>
        </w:tc>
        <w:tc>
          <w:tcPr>
            <w:tcW w:w="960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6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auto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$73</w:t>
            </w:r>
          </w:p>
        </w:tc>
      </w:tr>
      <w:tr w:rsidR="00B14C45" w:rsidRPr="00B14C45" w:rsidTr="00B14C45">
        <w:trPr>
          <w:trHeight w:val="296"/>
        </w:trPr>
        <w:tc>
          <w:tcPr>
            <w:tcW w:w="4099" w:type="dxa"/>
            <w:gridSpan w:val="3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Total treatment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$873</w:t>
            </w:r>
          </w:p>
        </w:tc>
      </w:tr>
      <w:tr w:rsidR="00B14C45" w:rsidRPr="00B14C45" w:rsidTr="00B14C45">
        <w:trPr>
          <w:trHeight w:val="296"/>
        </w:trPr>
        <w:tc>
          <w:tcPr>
            <w:tcW w:w="93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C45" w:rsidRPr="00B14C45" w:rsidTr="00B14C45">
        <w:trPr>
          <w:trHeight w:val="296"/>
        </w:trPr>
        <w:tc>
          <w:tcPr>
            <w:tcW w:w="4099" w:type="dxa"/>
            <w:gridSpan w:val="3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EBRT X 6 treatments + 6 simulations each time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$9,237</w:t>
            </w:r>
          </w:p>
        </w:tc>
      </w:tr>
      <w:tr w:rsidR="00B14C45" w:rsidRPr="00B14C45" w:rsidTr="00B14C45">
        <w:trPr>
          <w:trHeight w:val="296"/>
        </w:trPr>
        <w:tc>
          <w:tcPr>
            <w:tcW w:w="93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8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4C45" w:rsidRPr="00B14C45" w:rsidTr="00B14C45">
        <w:trPr>
          <w:trHeight w:val="296"/>
        </w:trPr>
        <w:tc>
          <w:tcPr>
            <w:tcW w:w="4099" w:type="dxa"/>
            <w:gridSpan w:val="3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Total lumpectomy plus planning plus treatment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auto"/>
            <w:noWrap/>
            <w:vAlign w:val="bottom"/>
            <w:hideMark/>
          </w:tcPr>
          <w:p w:rsidR="00B14C45" w:rsidRPr="00B14C45" w:rsidRDefault="00B14C45" w:rsidP="00B14C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14C45">
              <w:rPr>
                <w:rFonts w:ascii="Calibri" w:eastAsia="Times New Roman" w:hAnsi="Calibri" w:cs="Calibri"/>
                <w:color w:val="000000"/>
              </w:rPr>
              <w:t>$13,832</w:t>
            </w:r>
          </w:p>
        </w:tc>
      </w:tr>
    </w:tbl>
    <w:p w:rsidR="00AE2FA0" w:rsidRDefault="00AE2FA0"/>
    <w:p w:rsidR="00AE2FA0" w:rsidRDefault="00AE2FA0"/>
    <w:p w:rsidR="00AE2FA0" w:rsidRDefault="00AE2FA0"/>
    <w:p w:rsidR="00AE2FA0" w:rsidRDefault="00AE2FA0"/>
    <w:p w:rsidR="00AE2FA0" w:rsidRDefault="00AE2FA0"/>
    <w:p w:rsidR="00AE2FA0" w:rsidRDefault="00AE2FA0"/>
    <w:p w:rsidR="00AE2FA0" w:rsidRDefault="00AE2FA0">
      <w:pPr>
        <w:rPr>
          <w:b/>
          <w:u w:val="single"/>
        </w:rPr>
      </w:pPr>
      <w:r w:rsidRPr="00AE2FA0">
        <w:rPr>
          <w:b/>
          <w:u w:val="single"/>
        </w:rPr>
        <w:lastRenderedPageBreak/>
        <w:t xml:space="preserve">Life expectancies </w:t>
      </w:r>
    </w:p>
    <w:p w:rsidR="00AE2FA0" w:rsidRDefault="00AE2FA0">
      <w:pPr>
        <w:rPr>
          <w:b/>
          <w:u w:val="single"/>
        </w:rPr>
      </w:pPr>
    </w:p>
    <w:tbl>
      <w:tblPr>
        <w:tblW w:w="12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0"/>
        <w:gridCol w:w="300"/>
        <w:gridCol w:w="960"/>
        <w:gridCol w:w="360"/>
        <w:gridCol w:w="1505"/>
        <w:gridCol w:w="480"/>
        <w:gridCol w:w="1095"/>
        <w:gridCol w:w="222"/>
        <w:gridCol w:w="3840"/>
      </w:tblGrid>
      <w:tr w:rsidR="00AE2FA0" w:rsidRPr="00AE2FA0" w:rsidTr="00AE2FA0">
        <w:trPr>
          <w:trHeight w:val="290"/>
        </w:trPr>
        <w:tc>
          <w:tcPr>
            <w:tcW w:w="8200" w:type="dxa"/>
            <w:gridSpan w:val="8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 xml:space="preserve">Combining Means and Standard Deviations for </w:t>
            </w:r>
            <w:r w:rsidRPr="00AE2FA0">
              <w:rPr>
                <w:rFonts w:ascii="Calibri" w:eastAsia="Times New Roman" w:hAnsi="Calibri" w:cs="Calibri"/>
                <w:b/>
                <w:color w:val="000000"/>
                <w:u w:val="single"/>
              </w:rPr>
              <w:t>Locoregional recurrence</w:t>
            </w:r>
            <w:r w:rsidRPr="00AE2FA0">
              <w:rPr>
                <w:rFonts w:ascii="Calibri" w:eastAsia="Times New Roman" w:hAnsi="Calibri" w:cs="Calibri"/>
                <w:color w:val="000000"/>
              </w:rPr>
              <w:t xml:space="preserve"> cancer survival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E2FA0" w:rsidRPr="00AE2FA0" w:rsidTr="00AE2FA0">
        <w:trPr>
          <w:trHeight w:val="290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Survival in months</w:t>
            </w:r>
          </w:p>
        </w:tc>
        <w:tc>
          <w:tcPr>
            <w:tcW w:w="30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FA0" w:rsidRPr="00AE2FA0" w:rsidTr="00AE2FA0">
        <w:trPr>
          <w:trHeight w:val="290"/>
        </w:trPr>
        <w:tc>
          <w:tcPr>
            <w:tcW w:w="4540" w:type="dxa"/>
            <w:gridSpan w:val="3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Mean and 95% CI calculated using QuickCalc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FA0" w:rsidRPr="00AE2FA0" w:rsidTr="00AE2FA0">
        <w:trPr>
          <w:trHeight w:val="290"/>
        </w:trPr>
        <w:tc>
          <w:tcPr>
            <w:tcW w:w="328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 xml:space="preserve">Variable </w:t>
            </w:r>
          </w:p>
        </w:tc>
        <w:tc>
          <w:tcPr>
            <w:tcW w:w="30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AE2FA0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Mean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505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AE2FA0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SD</w:t>
            </w:r>
          </w:p>
        </w:tc>
        <w:tc>
          <w:tcPr>
            <w:tcW w:w="48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AE2FA0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Sample size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AE2FA0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Source</w:t>
            </w:r>
          </w:p>
        </w:tc>
      </w:tr>
      <w:tr w:rsidR="00AE2FA0" w:rsidRPr="00AE2FA0" w:rsidTr="00AE2FA0">
        <w:trPr>
          <w:trHeight w:val="1500"/>
        </w:trPr>
        <w:tc>
          <w:tcPr>
            <w:tcW w:w="328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 xml:space="preserve">Local recurrence from time of initial treatment </w:t>
            </w:r>
          </w:p>
        </w:tc>
        <w:tc>
          <w:tcPr>
            <w:tcW w:w="30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36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48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528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Touboul E, et al. Local recurrences and distant metastases after breast conserving surgery and radiation therapy for early breast cancer. Int Jrl Rad Oncol 1999. 43(1):25-38</w:t>
            </w:r>
          </w:p>
        </w:tc>
      </w:tr>
      <w:tr w:rsidR="00AE2FA0" w:rsidRPr="00AE2FA0" w:rsidTr="00AE2FA0">
        <w:trPr>
          <w:trHeight w:val="1430"/>
        </w:trPr>
        <w:tc>
          <w:tcPr>
            <w:tcW w:w="328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Survival time after recurrence</w:t>
            </w:r>
          </w:p>
        </w:tc>
        <w:tc>
          <w:tcPr>
            <w:tcW w:w="30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51.75</w:t>
            </w:r>
          </w:p>
        </w:tc>
        <w:tc>
          <w:tcPr>
            <w:tcW w:w="36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28.75</w:t>
            </w:r>
          </w:p>
        </w:tc>
        <w:tc>
          <w:tcPr>
            <w:tcW w:w="48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165</w:t>
            </w: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84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 xml:space="preserve">Kim H, et al. Prognostic factors for survivals from first relapse in breast cancer patients: analysis of deceased patients. Rad Oncol Jr. 2013. 31(4): 222-227. </w:t>
            </w:r>
          </w:p>
        </w:tc>
      </w:tr>
      <w:tr w:rsidR="00AE2FA0" w:rsidRPr="00AE2FA0" w:rsidTr="00AE2FA0">
        <w:trPr>
          <w:trHeight w:val="290"/>
        </w:trPr>
        <w:tc>
          <w:tcPr>
            <w:tcW w:w="328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95% CI</w:t>
            </w:r>
          </w:p>
        </w:tc>
        <w:tc>
          <w:tcPr>
            <w:tcW w:w="48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auto"/>
            <w:noWrap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FA0" w:rsidRPr="00AE2FA0" w:rsidTr="00AE2FA0">
        <w:trPr>
          <w:trHeight w:val="620"/>
        </w:trPr>
        <w:tc>
          <w:tcPr>
            <w:tcW w:w="328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Combined mean and 95% CIs in mths</w:t>
            </w:r>
          </w:p>
        </w:tc>
        <w:tc>
          <w:tcPr>
            <w:tcW w:w="30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111.75</w:t>
            </w:r>
          </w:p>
        </w:tc>
        <w:tc>
          <w:tcPr>
            <w:tcW w:w="36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109.13 to 114.37</w:t>
            </w:r>
          </w:p>
        </w:tc>
        <w:tc>
          <w:tcPr>
            <w:tcW w:w="48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auto"/>
            <w:noWrap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FA0" w:rsidRPr="00AE2FA0" w:rsidTr="00AE2FA0">
        <w:trPr>
          <w:trHeight w:val="290"/>
        </w:trPr>
        <w:tc>
          <w:tcPr>
            <w:tcW w:w="328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Conversion to years</w:t>
            </w:r>
          </w:p>
        </w:tc>
        <w:tc>
          <w:tcPr>
            <w:tcW w:w="30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9.31</w:t>
            </w:r>
          </w:p>
        </w:tc>
        <w:tc>
          <w:tcPr>
            <w:tcW w:w="36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9.09 to 9.53</w:t>
            </w:r>
          </w:p>
        </w:tc>
        <w:tc>
          <w:tcPr>
            <w:tcW w:w="48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auto"/>
            <w:noWrap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tbl>
      <w:tblPr>
        <w:tblW w:w="10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3"/>
        <w:gridCol w:w="226"/>
        <w:gridCol w:w="746"/>
        <w:gridCol w:w="256"/>
        <w:gridCol w:w="1235"/>
        <w:gridCol w:w="222"/>
        <w:gridCol w:w="949"/>
        <w:gridCol w:w="222"/>
        <w:gridCol w:w="4250"/>
      </w:tblGrid>
      <w:tr w:rsidR="00AE2FA0" w:rsidRPr="00AE2FA0" w:rsidTr="00AE2FA0">
        <w:trPr>
          <w:trHeight w:val="282"/>
        </w:trPr>
        <w:tc>
          <w:tcPr>
            <w:tcW w:w="5305" w:type="dxa"/>
            <w:gridSpan w:val="5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lastRenderedPageBreak/>
              <w:t xml:space="preserve">Combining Means and Standard Deviations for </w:t>
            </w:r>
            <w:r w:rsidRPr="00AE2FA0">
              <w:rPr>
                <w:rFonts w:ascii="Calibri" w:eastAsia="Times New Roman" w:hAnsi="Calibri" w:cs="Calibri"/>
                <w:b/>
                <w:color w:val="000000"/>
                <w:u w:val="single"/>
              </w:rPr>
              <w:t>Metastatic cancer</w:t>
            </w:r>
            <w:r w:rsidRPr="00AE2FA0">
              <w:rPr>
                <w:rFonts w:ascii="Calibri" w:eastAsia="Times New Roman" w:hAnsi="Calibri" w:cs="Calibri"/>
                <w:color w:val="000000"/>
              </w:rPr>
              <w:t xml:space="preserve"> survival</w:t>
            </w:r>
          </w:p>
        </w:tc>
        <w:tc>
          <w:tcPr>
            <w:tcW w:w="184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FA0" w:rsidRPr="00AE2FA0" w:rsidTr="00AE2FA0">
        <w:trPr>
          <w:trHeight w:val="282"/>
        </w:trPr>
        <w:tc>
          <w:tcPr>
            <w:tcW w:w="286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Survival in months</w:t>
            </w:r>
          </w:p>
        </w:tc>
        <w:tc>
          <w:tcPr>
            <w:tcW w:w="226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FA0" w:rsidRPr="00AE2FA0" w:rsidTr="00AE2FA0">
        <w:trPr>
          <w:trHeight w:val="282"/>
        </w:trPr>
        <w:tc>
          <w:tcPr>
            <w:tcW w:w="3089" w:type="dxa"/>
            <w:gridSpan w:val="2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Mean and 95% CI calculated using QuickCalc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56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FA0" w:rsidRPr="00AE2FA0" w:rsidTr="00AE2FA0">
        <w:trPr>
          <w:trHeight w:val="282"/>
        </w:trPr>
        <w:tc>
          <w:tcPr>
            <w:tcW w:w="286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 xml:space="preserve">Variable </w:t>
            </w:r>
          </w:p>
        </w:tc>
        <w:tc>
          <w:tcPr>
            <w:tcW w:w="226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AE2FA0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Mean</w:t>
            </w:r>
          </w:p>
        </w:tc>
        <w:tc>
          <w:tcPr>
            <w:tcW w:w="256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235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AE2FA0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SD</w:t>
            </w:r>
          </w:p>
        </w:tc>
        <w:tc>
          <w:tcPr>
            <w:tcW w:w="184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AE2FA0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Sample size</w:t>
            </w:r>
          </w:p>
        </w:tc>
        <w:tc>
          <w:tcPr>
            <w:tcW w:w="20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4250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Source</w:t>
            </w:r>
          </w:p>
        </w:tc>
      </w:tr>
      <w:tr w:rsidR="00AE2FA0" w:rsidRPr="00AE2FA0" w:rsidTr="00AE2FA0">
        <w:trPr>
          <w:trHeight w:val="1130"/>
        </w:trPr>
        <w:tc>
          <w:tcPr>
            <w:tcW w:w="286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 xml:space="preserve">Metastatic recurrence from time of initial treatment </w:t>
            </w:r>
          </w:p>
        </w:tc>
        <w:tc>
          <w:tcPr>
            <w:tcW w:w="22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49.6</w:t>
            </w:r>
          </w:p>
        </w:tc>
        <w:tc>
          <w:tcPr>
            <w:tcW w:w="25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3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184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9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528</w:t>
            </w:r>
          </w:p>
        </w:tc>
        <w:tc>
          <w:tcPr>
            <w:tcW w:w="20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5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Touboul E, et al. Local recurrences and distant metastases after breast conserving surgery and radiation therapy for early breast cancer. Int Jrl Rad Oncol 1999. 43(1):25-38</w:t>
            </w:r>
          </w:p>
        </w:tc>
      </w:tr>
      <w:tr w:rsidR="00AE2FA0" w:rsidRPr="00AE2FA0" w:rsidTr="00AE2FA0">
        <w:trPr>
          <w:trHeight w:val="565"/>
        </w:trPr>
        <w:tc>
          <w:tcPr>
            <w:tcW w:w="286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Survival time after recurrence</w:t>
            </w:r>
          </w:p>
        </w:tc>
        <w:tc>
          <w:tcPr>
            <w:tcW w:w="22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5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3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25.97</w:t>
            </w:r>
          </w:p>
        </w:tc>
        <w:tc>
          <w:tcPr>
            <w:tcW w:w="184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9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261</w:t>
            </w:r>
          </w:p>
        </w:tc>
        <w:tc>
          <w:tcPr>
            <w:tcW w:w="20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250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Chang J et al. Survival of patients with metastatic breast carcinoma. Cancer. 2003;97:545-53.</w:t>
            </w:r>
          </w:p>
        </w:tc>
      </w:tr>
      <w:tr w:rsidR="00AE2FA0" w:rsidRPr="00AE2FA0" w:rsidTr="00AE2FA0">
        <w:trPr>
          <w:trHeight w:val="282"/>
        </w:trPr>
        <w:tc>
          <w:tcPr>
            <w:tcW w:w="286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95% CI</w:t>
            </w:r>
          </w:p>
        </w:tc>
        <w:tc>
          <w:tcPr>
            <w:tcW w:w="184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9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0" w:type="dxa"/>
            <w:shd w:val="clear" w:color="auto" w:fill="auto"/>
            <w:noWrap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FA0" w:rsidRPr="00AE2FA0" w:rsidTr="00AE2FA0">
        <w:trPr>
          <w:trHeight w:val="282"/>
        </w:trPr>
        <w:tc>
          <w:tcPr>
            <w:tcW w:w="286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Combined mean and 95% CIs in mths</w:t>
            </w:r>
          </w:p>
        </w:tc>
        <w:tc>
          <w:tcPr>
            <w:tcW w:w="22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67.5</w:t>
            </w:r>
          </w:p>
        </w:tc>
        <w:tc>
          <w:tcPr>
            <w:tcW w:w="25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3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65.19 to 69.81</w:t>
            </w:r>
          </w:p>
        </w:tc>
        <w:tc>
          <w:tcPr>
            <w:tcW w:w="184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9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0" w:type="dxa"/>
            <w:shd w:val="clear" w:color="auto" w:fill="auto"/>
            <w:noWrap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FA0" w:rsidRPr="00AE2FA0" w:rsidTr="00AE2FA0">
        <w:trPr>
          <w:trHeight w:val="282"/>
        </w:trPr>
        <w:tc>
          <w:tcPr>
            <w:tcW w:w="286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0" w:type="dxa"/>
            <w:shd w:val="clear" w:color="auto" w:fill="auto"/>
            <w:noWrap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2FA0" w:rsidRPr="00AE2FA0" w:rsidTr="00AE2FA0">
        <w:trPr>
          <w:trHeight w:val="282"/>
        </w:trPr>
        <w:tc>
          <w:tcPr>
            <w:tcW w:w="286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Conversion to years</w:t>
            </w:r>
          </w:p>
        </w:tc>
        <w:tc>
          <w:tcPr>
            <w:tcW w:w="22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23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5.625</w:t>
            </w:r>
          </w:p>
        </w:tc>
        <w:tc>
          <w:tcPr>
            <w:tcW w:w="256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35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E2FA0">
              <w:rPr>
                <w:rFonts w:ascii="Calibri" w:eastAsia="Times New Roman" w:hAnsi="Calibri" w:cs="Calibri"/>
                <w:color w:val="000000"/>
              </w:rPr>
              <w:t>5.43 to 5.82</w:t>
            </w:r>
          </w:p>
        </w:tc>
        <w:tc>
          <w:tcPr>
            <w:tcW w:w="184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9" w:type="dxa"/>
            <w:shd w:val="clear" w:color="auto" w:fill="auto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" w:type="dxa"/>
            <w:shd w:val="clear" w:color="auto" w:fill="auto"/>
            <w:noWrap/>
            <w:vAlign w:val="bottom"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0" w:type="dxa"/>
            <w:shd w:val="clear" w:color="auto" w:fill="auto"/>
            <w:noWrap/>
            <w:hideMark/>
          </w:tcPr>
          <w:p w:rsidR="00AE2FA0" w:rsidRPr="00AE2FA0" w:rsidRDefault="00AE2FA0" w:rsidP="00AE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AE2FA0" w:rsidRDefault="00AE2FA0">
      <w:pPr>
        <w:rPr>
          <w:b/>
          <w:u w:val="single"/>
        </w:rPr>
      </w:pPr>
    </w:p>
    <w:p w:rsidR="001E5326" w:rsidRDefault="001E5326" w:rsidP="00332E9F">
      <w:pPr>
        <w:ind w:left="-990"/>
        <w:rPr>
          <w:b/>
          <w:u w:val="single"/>
        </w:rPr>
      </w:pPr>
      <w:r>
        <w:rPr>
          <w:b/>
          <w:u w:val="single"/>
        </w:rPr>
        <w:lastRenderedPageBreak/>
        <w:t>Life expectancies based on exposures to radiation</w:t>
      </w:r>
    </w:p>
    <w:tbl>
      <w:tblPr>
        <w:tblW w:w="15188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84"/>
        <w:gridCol w:w="956"/>
        <w:gridCol w:w="1932"/>
        <w:gridCol w:w="810"/>
        <w:gridCol w:w="852"/>
        <w:gridCol w:w="1184"/>
        <w:gridCol w:w="1641"/>
        <w:gridCol w:w="1101"/>
        <w:gridCol w:w="1330"/>
        <w:gridCol w:w="1205"/>
        <w:gridCol w:w="2493"/>
      </w:tblGrid>
      <w:tr w:rsidR="00332E9F" w:rsidRPr="00332E9F" w:rsidTr="00332E9F">
        <w:trPr>
          <w:trHeight w:val="580"/>
          <w:tblHeader/>
        </w:trPr>
        <w:tc>
          <w:tcPr>
            <w:tcW w:w="16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8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114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percent </w:t>
            </w:r>
          </w:p>
        </w:tc>
        <w:tc>
          <w:tcPr>
            <w:tcW w:w="15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percent </w:t>
            </w:r>
          </w:p>
        </w:tc>
        <w:tc>
          <w:tcPr>
            <w:tcW w:w="10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2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2E9F" w:rsidRPr="00332E9F" w:rsidTr="00332E9F">
        <w:trPr>
          <w:trHeight w:val="580"/>
          <w:tblHeader/>
        </w:trPr>
        <w:tc>
          <w:tcPr>
            <w:tcW w:w="16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Complication</w:t>
            </w:r>
          </w:p>
        </w:tc>
        <w:tc>
          <w:tcPr>
            <w:tcW w:w="9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Ther.</w:t>
            </w:r>
          </w:p>
        </w:tc>
        <w:tc>
          <w:tcPr>
            <w:tcW w:w="18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Assumed radiation exposure</w:t>
            </w:r>
          </w:p>
        </w:tc>
        <w:tc>
          <w:tcPr>
            <w:tcW w:w="7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IORT</w:t>
            </w:r>
          </w:p>
        </w:tc>
        <w:tc>
          <w:tcPr>
            <w:tcW w:w="8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EBRT</w:t>
            </w:r>
          </w:p>
        </w:tc>
        <w:tc>
          <w:tcPr>
            <w:tcW w:w="114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IORT</w:t>
            </w:r>
          </w:p>
        </w:tc>
        <w:tc>
          <w:tcPr>
            <w:tcW w:w="15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EBRT</w:t>
            </w:r>
          </w:p>
        </w:tc>
        <w:tc>
          <w:tcPr>
            <w:tcW w:w="10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LE (years)</w:t>
            </w:r>
          </w:p>
        </w:tc>
        <w:tc>
          <w:tcPr>
            <w:tcW w:w="12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life expect EBRT</w:t>
            </w:r>
          </w:p>
        </w:tc>
        <w:tc>
          <w:tcPr>
            <w:tcW w:w="11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LE IORT</w:t>
            </w:r>
          </w:p>
        </w:tc>
        <w:tc>
          <w:tcPr>
            <w:tcW w:w="240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332E9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Source</w:t>
            </w:r>
          </w:p>
        </w:tc>
      </w:tr>
      <w:tr w:rsidR="00332E9F" w:rsidRPr="00332E9F" w:rsidTr="00332E9F">
        <w:trPr>
          <w:trHeight w:val="3010"/>
        </w:trPr>
        <w:tc>
          <w:tcPr>
            <w:tcW w:w="16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Major coronary event [MCE] (MI, death, coronary revasc)</w:t>
            </w:r>
          </w:p>
        </w:tc>
        <w:tc>
          <w:tcPr>
            <w:tcW w:w="9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8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5 GY; assumes 35% relative increase in rate of MCE; initial rate of with no pre-exist factors 4.5%.  35% increase from 4.5% is 6.1%; absolute increase of 1.6%</w:t>
            </w:r>
          </w:p>
        </w:tc>
        <w:tc>
          <w:tcPr>
            <w:tcW w:w="7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114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33.90%</w:t>
            </w:r>
          </w:p>
        </w:tc>
        <w:tc>
          <w:tcPr>
            <w:tcW w:w="10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4.40</w:t>
            </w:r>
          </w:p>
        </w:tc>
        <w:tc>
          <w:tcPr>
            <w:tcW w:w="12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1.49</w:t>
            </w:r>
          </w:p>
        </w:tc>
        <w:tc>
          <w:tcPr>
            <w:tcW w:w="11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Crimmins EM et al. Life with and without heart disease among women and men. Jrl Women Aging. 2008. 20(1-2):5-19.  Crimmins EM et al. Life with and without disease: women experience more of both. 2002. 14(102):47-59.</w:t>
            </w:r>
          </w:p>
        </w:tc>
      </w:tr>
      <w:tr w:rsidR="00332E9F" w:rsidRPr="00332E9F" w:rsidTr="00332E9F">
        <w:trPr>
          <w:trHeight w:val="2870"/>
        </w:trPr>
        <w:tc>
          <w:tcPr>
            <w:tcW w:w="16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Major coronary event [MCE] (MI, death, coronary revasc)</w:t>
            </w:r>
          </w:p>
        </w:tc>
        <w:tc>
          <w:tcPr>
            <w:tcW w:w="9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8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1.25 GY; assumes 5% relative increase in rate of MCE; initial rate of with no pre-exist factors 4.5%.  5% increase from 4.5% is 4.725%; absolute increase of 0.225%</w:t>
            </w:r>
          </w:p>
        </w:tc>
        <w:tc>
          <w:tcPr>
            <w:tcW w:w="7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0.23%</w:t>
            </w:r>
          </w:p>
        </w:tc>
        <w:tc>
          <w:tcPr>
            <w:tcW w:w="8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73.77%</w:t>
            </w:r>
          </w:p>
        </w:tc>
        <w:tc>
          <w:tcPr>
            <w:tcW w:w="15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4.40</w:t>
            </w:r>
          </w:p>
        </w:tc>
        <w:tc>
          <w:tcPr>
            <w:tcW w:w="12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3.25</w:t>
            </w:r>
          </w:p>
        </w:tc>
        <w:tc>
          <w:tcPr>
            <w:tcW w:w="240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Crimmins EM et al. Life with and without heart disease among women and men. Jrl Women Aging. 2008. 20(1-2):5-19.  Crimmins EM et al. Life with and without disease: women experience more of both. 2002. 14(102):47-59.</w:t>
            </w:r>
          </w:p>
        </w:tc>
      </w:tr>
      <w:tr w:rsidR="00332E9F" w:rsidRPr="00332E9F" w:rsidTr="00332E9F">
        <w:trPr>
          <w:trHeight w:val="1450"/>
        </w:trPr>
        <w:tc>
          <w:tcPr>
            <w:tcW w:w="16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Lung cancer</w:t>
            </w:r>
          </w:p>
        </w:tc>
        <w:tc>
          <w:tcPr>
            <w:tcW w:w="9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8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3.4 GY for ipsilateral lung</w:t>
            </w:r>
          </w:p>
        </w:tc>
        <w:tc>
          <w:tcPr>
            <w:tcW w:w="7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114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61.44%</w:t>
            </w:r>
          </w:p>
        </w:tc>
        <w:tc>
          <w:tcPr>
            <w:tcW w:w="10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  <w:tc>
          <w:tcPr>
            <w:tcW w:w="12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0.82</w:t>
            </w:r>
          </w:p>
        </w:tc>
        <w:tc>
          <w:tcPr>
            <w:tcW w:w="11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Hurria A et al. Management of lung cancer in older adults. CA Cancer J Clin. 2003. 53:325-341</w:t>
            </w:r>
          </w:p>
        </w:tc>
      </w:tr>
      <w:tr w:rsidR="00332E9F" w:rsidRPr="00332E9F" w:rsidTr="00332E9F">
        <w:trPr>
          <w:trHeight w:val="600"/>
        </w:trPr>
        <w:tc>
          <w:tcPr>
            <w:tcW w:w="16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lastRenderedPageBreak/>
              <w:t>Lung cancer</w:t>
            </w:r>
          </w:p>
        </w:tc>
        <w:tc>
          <w:tcPr>
            <w:tcW w:w="9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8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0.03 GY for ipsilateral lung</w:t>
            </w:r>
          </w:p>
        </w:tc>
        <w:tc>
          <w:tcPr>
            <w:tcW w:w="7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  <w:tc>
          <w:tcPr>
            <w:tcW w:w="8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6.56%</w:t>
            </w:r>
          </w:p>
        </w:tc>
        <w:tc>
          <w:tcPr>
            <w:tcW w:w="15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1.33</w:t>
            </w:r>
          </w:p>
        </w:tc>
        <w:tc>
          <w:tcPr>
            <w:tcW w:w="12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240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Hurria A et al. Management of lung cancer in older adults. CA Cancer J Clin. 2003. 53:325-341</w:t>
            </w:r>
          </w:p>
        </w:tc>
      </w:tr>
      <w:tr w:rsidR="00332E9F" w:rsidRPr="00332E9F" w:rsidTr="00332E9F">
        <w:trPr>
          <w:trHeight w:val="2030"/>
        </w:trPr>
        <w:tc>
          <w:tcPr>
            <w:tcW w:w="16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9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8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  <w:tc>
          <w:tcPr>
            <w:tcW w:w="114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4.66%</w:t>
            </w:r>
          </w:p>
        </w:tc>
        <w:tc>
          <w:tcPr>
            <w:tcW w:w="10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  <w:tc>
          <w:tcPr>
            <w:tcW w:w="12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0.20</w:t>
            </w:r>
          </w:p>
        </w:tc>
        <w:tc>
          <w:tcPr>
            <w:tcW w:w="11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 xml:space="preserve">Kim H, et el. Prognostic factors for survivals for first relapse in breast cancer patients: analysis </w:t>
            </w:r>
            <w:r w:rsidRPr="00332E9F">
              <w:rPr>
                <w:rFonts w:ascii="Calibri" w:eastAsia="Times New Roman" w:hAnsi="Calibri" w:cs="Calibri"/>
                <w:color w:val="000000"/>
              </w:rPr>
              <w:br/>
              <w:t xml:space="preserve">of deceased patients.   LRR to death 4.31 +/- 2.4 years </w:t>
            </w:r>
          </w:p>
        </w:tc>
      </w:tr>
      <w:tr w:rsidR="00332E9F" w:rsidRPr="00332E9F" w:rsidTr="00332E9F">
        <w:trPr>
          <w:trHeight w:val="2030"/>
        </w:trPr>
        <w:tc>
          <w:tcPr>
            <w:tcW w:w="16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9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8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  <w:tc>
          <w:tcPr>
            <w:tcW w:w="8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4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19.67%</w:t>
            </w:r>
          </w:p>
        </w:tc>
        <w:tc>
          <w:tcPr>
            <w:tcW w:w="15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4.31</w:t>
            </w:r>
          </w:p>
        </w:tc>
        <w:tc>
          <w:tcPr>
            <w:tcW w:w="12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240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 xml:space="preserve">Kim H, et el. Prognostic factors for survivals for first relapse in breast cancer patients: analysis </w:t>
            </w:r>
            <w:r w:rsidRPr="00332E9F">
              <w:rPr>
                <w:rFonts w:ascii="Calibri" w:eastAsia="Times New Roman" w:hAnsi="Calibri" w:cs="Calibri"/>
                <w:color w:val="000000"/>
              </w:rPr>
              <w:br/>
              <w:t xml:space="preserve">of deceased patients.   LRR to death 4.31 +/- 2.4 years </w:t>
            </w:r>
          </w:p>
        </w:tc>
      </w:tr>
      <w:tr w:rsidR="00332E9F" w:rsidRPr="00332E9F" w:rsidTr="00332E9F">
        <w:trPr>
          <w:trHeight w:val="290"/>
        </w:trPr>
        <w:tc>
          <w:tcPr>
            <w:tcW w:w="16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Total percentages</w:t>
            </w:r>
          </w:p>
        </w:tc>
        <w:tc>
          <w:tcPr>
            <w:tcW w:w="9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0.31%</w:t>
            </w:r>
          </w:p>
        </w:tc>
        <w:tc>
          <w:tcPr>
            <w:tcW w:w="82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4.72%</w:t>
            </w:r>
          </w:p>
        </w:tc>
        <w:tc>
          <w:tcPr>
            <w:tcW w:w="114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2.51</w:t>
            </w:r>
          </w:p>
        </w:tc>
        <w:tc>
          <w:tcPr>
            <w:tcW w:w="116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32E9F">
              <w:rPr>
                <w:rFonts w:ascii="Calibri" w:eastAsia="Times New Roman" w:hAnsi="Calibri" w:cs="Calibri"/>
                <w:color w:val="000000"/>
              </w:rPr>
              <w:t>4.18</w:t>
            </w:r>
          </w:p>
        </w:tc>
        <w:tc>
          <w:tcPr>
            <w:tcW w:w="2400" w:type="dxa"/>
            <w:shd w:val="clear" w:color="auto" w:fill="auto"/>
            <w:hideMark/>
          </w:tcPr>
          <w:p w:rsidR="00332E9F" w:rsidRPr="00332E9F" w:rsidRDefault="00332E9F" w:rsidP="00332E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1E5326" w:rsidRDefault="001E5326">
      <w:pPr>
        <w:rPr>
          <w:b/>
          <w:u w:val="single"/>
        </w:rPr>
      </w:pPr>
    </w:p>
    <w:p w:rsidR="00332E9F" w:rsidRDefault="00332E9F">
      <w:pPr>
        <w:rPr>
          <w:b/>
          <w:u w:val="single"/>
        </w:rPr>
      </w:pPr>
    </w:p>
    <w:p w:rsidR="00332E9F" w:rsidRDefault="00332E9F">
      <w:pPr>
        <w:rPr>
          <w:b/>
          <w:u w:val="single"/>
        </w:rPr>
      </w:pPr>
    </w:p>
    <w:p w:rsidR="00332E9F" w:rsidRDefault="00332E9F">
      <w:pPr>
        <w:rPr>
          <w:b/>
          <w:u w:val="single"/>
        </w:rPr>
      </w:pPr>
    </w:p>
    <w:p w:rsidR="00332E9F" w:rsidRDefault="003B5C4C">
      <w:pPr>
        <w:rPr>
          <w:b/>
          <w:u w:val="single"/>
        </w:rPr>
      </w:pPr>
      <w:r>
        <w:rPr>
          <w:b/>
          <w:u w:val="single"/>
        </w:rPr>
        <w:lastRenderedPageBreak/>
        <w:t>Costs – first year, annual, and end of life</w:t>
      </w:r>
    </w:p>
    <w:p w:rsidR="003B5C4C" w:rsidRDefault="003B5C4C">
      <w:pPr>
        <w:rPr>
          <w:b/>
          <w:u w:val="single"/>
        </w:rPr>
      </w:pPr>
    </w:p>
    <w:tbl>
      <w:tblPr>
        <w:tblW w:w="15440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1"/>
        <w:gridCol w:w="820"/>
        <w:gridCol w:w="2300"/>
        <w:gridCol w:w="1105"/>
        <w:gridCol w:w="856"/>
        <w:gridCol w:w="995"/>
        <w:gridCol w:w="1091"/>
        <w:gridCol w:w="940"/>
        <w:gridCol w:w="1311"/>
        <w:gridCol w:w="1277"/>
        <w:gridCol w:w="2684"/>
      </w:tblGrid>
      <w:tr w:rsidR="00710369" w:rsidRPr="00710369" w:rsidTr="00710369">
        <w:trPr>
          <w:trHeight w:val="580"/>
          <w:tblHeader/>
        </w:trPr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First year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85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99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% </w:t>
            </w:r>
          </w:p>
        </w:tc>
        <w:tc>
          <w:tcPr>
            <w:tcW w:w="109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as a 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Cost to treat</w:t>
            </w:r>
          </w:p>
        </w:tc>
        <w:tc>
          <w:tcPr>
            <w:tcW w:w="131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cost IORT</w:t>
            </w:r>
          </w:p>
        </w:tc>
        <w:tc>
          <w:tcPr>
            <w:tcW w:w="127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cost EBRT</w:t>
            </w:r>
          </w:p>
        </w:tc>
        <w:tc>
          <w:tcPr>
            <w:tcW w:w="26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</w:tr>
      <w:tr w:rsidR="00710369" w:rsidRPr="00710369" w:rsidTr="00710369">
        <w:trPr>
          <w:trHeight w:val="580"/>
          <w:tblHeader/>
        </w:trPr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Complication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Ther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Assumed radiation exposure</w:t>
            </w:r>
          </w:p>
        </w:tc>
        <w:tc>
          <w:tcPr>
            <w:tcW w:w="110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IORT</w:t>
            </w:r>
          </w:p>
        </w:tc>
        <w:tc>
          <w:tcPr>
            <w:tcW w:w="85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EBRT</w:t>
            </w:r>
          </w:p>
        </w:tc>
        <w:tc>
          <w:tcPr>
            <w:tcW w:w="99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IORT</w:t>
            </w:r>
          </w:p>
        </w:tc>
        <w:tc>
          <w:tcPr>
            <w:tcW w:w="109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EBRT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event</w:t>
            </w:r>
          </w:p>
        </w:tc>
        <w:tc>
          <w:tcPr>
            <w:tcW w:w="131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to treat initial event</w:t>
            </w:r>
          </w:p>
        </w:tc>
        <w:tc>
          <w:tcPr>
            <w:tcW w:w="127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to treat  initial event</w:t>
            </w:r>
          </w:p>
        </w:tc>
        <w:tc>
          <w:tcPr>
            <w:tcW w:w="26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Source</w:t>
            </w:r>
          </w:p>
        </w:tc>
      </w:tr>
      <w:tr w:rsidR="00710369" w:rsidRPr="00710369" w:rsidTr="00710369">
        <w:trPr>
          <w:trHeight w:val="176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82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30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5 GY; assumes 35% relative increase in rate of MCE; initial rate of with no pre-exist factors 4.5%.  35% increase from 4.5% is 6.1%; absolute increase of 1.6%</w:t>
            </w:r>
          </w:p>
        </w:tc>
        <w:tc>
          <w:tcPr>
            <w:tcW w:w="110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99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33.90%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$27,771</w:t>
            </w:r>
          </w:p>
        </w:tc>
        <w:tc>
          <w:tcPr>
            <w:tcW w:w="131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$9,414</w:t>
            </w:r>
          </w:p>
        </w:tc>
        <w:tc>
          <w:tcPr>
            <w:tcW w:w="26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Darby SC et al. Risk of ischemic heart disease in women after radiotherapy for breast cancer. NEJM. 2013;368-987-98.</w:t>
            </w:r>
          </w:p>
        </w:tc>
      </w:tr>
      <w:tr w:rsidR="00710369" w:rsidRPr="00710369" w:rsidTr="00710369">
        <w:trPr>
          <w:trHeight w:val="174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82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30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1.25 GY; assumes 5% relative increase in rate of MCE; initial rate of with no pre-exist factors 4.5%.  5% increase from 4.5% is 4.725%; absolute increase of 0.225%</w:t>
            </w:r>
          </w:p>
        </w:tc>
        <w:tc>
          <w:tcPr>
            <w:tcW w:w="110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0.23%</w:t>
            </w:r>
          </w:p>
        </w:tc>
        <w:tc>
          <w:tcPr>
            <w:tcW w:w="85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73.77%</w:t>
            </w:r>
          </w:p>
        </w:tc>
        <w:tc>
          <w:tcPr>
            <w:tcW w:w="109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$27,771</w:t>
            </w:r>
          </w:p>
        </w:tc>
        <w:tc>
          <w:tcPr>
            <w:tcW w:w="131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$20,487</w:t>
            </w:r>
          </w:p>
        </w:tc>
        <w:tc>
          <w:tcPr>
            <w:tcW w:w="127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Darby SC et al. Risk of ischemic heart disease in women after radiotherapy for breast cancer. NEJM. 2013;368-987-98.</w:t>
            </w:r>
          </w:p>
        </w:tc>
      </w:tr>
      <w:tr w:rsidR="00710369" w:rsidRPr="00710369" w:rsidTr="00710369">
        <w:trPr>
          <w:trHeight w:val="203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Lung cancer</w:t>
            </w:r>
          </w:p>
        </w:tc>
        <w:tc>
          <w:tcPr>
            <w:tcW w:w="82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30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3.4 GY for ipsilateral lung</w:t>
            </w:r>
          </w:p>
        </w:tc>
        <w:tc>
          <w:tcPr>
            <w:tcW w:w="110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99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61.44%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$51,268</w:t>
            </w:r>
          </w:p>
        </w:tc>
        <w:tc>
          <w:tcPr>
            <w:tcW w:w="131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$31,499.41</w:t>
            </w:r>
          </w:p>
        </w:tc>
        <w:tc>
          <w:tcPr>
            <w:tcW w:w="26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 xml:space="preserve">Aziz MH et al. Can the risk of secondary cancer induction after breast conserving therapy be reduced using IORT with low-energy X-rays?  Radiation Oncol 2011. 6:174.  Ng J, et al. Predicting the risk of secondary lung </w:t>
            </w:r>
            <w:r w:rsidRPr="00710369">
              <w:rPr>
                <w:rFonts w:ascii="Calibri" w:eastAsia="Times New Roman" w:hAnsi="Calibri" w:cs="Calibri"/>
                <w:color w:val="000000"/>
              </w:rPr>
              <w:lastRenderedPageBreak/>
              <w:t xml:space="preserve">malignancies associated with whole-breast radiation therapy. Int Jr. Rad Oncol 2011.  </w:t>
            </w:r>
          </w:p>
        </w:tc>
      </w:tr>
      <w:tr w:rsidR="00710369" w:rsidRPr="00710369" w:rsidTr="00710369">
        <w:trPr>
          <w:trHeight w:val="116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lastRenderedPageBreak/>
              <w:t>Lung cancer</w:t>
            </w:r>
          </w:p>
        </w:tc>
        <w:tc>
          <w:tcPr>
            <w:tcW w:w="82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30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0.03 GY for ipsilateral lung</w:t>
            </w:r>
          </w:p>
        </w:tc>
        <w:tc>
          <w:tcPr>
            <w:tcW w:w="110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  <w:tc>
          <w:tcPr>
            <w:tcW w:w="85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6.56%</w:t>
            </w:r>
          </w:p>
        </w:tc>
        <w:tc>
          <w:tcPr>
            <w:tcW w:w="109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$51,268</w:t>
            </w:r>
          </w:p>
        </w:tc>
        <w:tc>
          <w:tcPr>
            <w:tcW w:w="131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$3,361.84</w:t>
            </w:r>
          </w:p>
        </w:tc>
        <w:tc>
          <w:tcPr>
            <w:tcW w:w="127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Aziz MH et al. Can the risk of secondary cancer induction after breast conserving therapy be reduced using IORT with low-energy X-rays?  Radiation Oncol 2011. 6:174</w:t>
            </w:r>
          </w:p>
        </w:tc>
      </w:tr>
      <w:tr w:rsidR="00710369" w:rsidRPr="00710369" w:rsidTr="00710369">
        <w:trPr>
          <w:trHeight w:val="116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82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30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  <w:tc>
          <w:tcPr>
            <w:tcW w:w="99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4.66%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$11,220</w:t>
            </w:r>
          </w:p>
        </w:tc>
        <w:tc>
          <w:tcPr>
            <w:tcW w:w="131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$522.97</w:t>
            </w:r>
          </w:p>
        </w:tc>
        <w:tc>
          <w:tcPr>
            <w:tcW w:w="26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Aziz MH et al. Can the risk of secondary cancer induction after breast conserving therapy be reduced using IORT with low-energy X-rays?  Radiation Oncol 2011. 6:174</w:t>
            </w:r>
          </w:p>
        </w:tc>
      </w:tr>
      <w:tr w:rsidR="00710369" w:rsidRPr="00710369" w:rsidTr="00710369">
        <w:trPr>
          <w:trHeight w:val="116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82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30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  <w:tc>
          <w:tcPr>
            <w:tcW w:w="85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19.67%</w:t>
            </w:r>
          </w:p>
        </w:tc>
        <w:tc>
          <w:tcPr>
            <w:tcW w:w="109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$10,248</w:t>
            </w:r>
          </w:p>
        </w:tc>
        <w:tc>
          <w:tcPr>
            <w:tcW w:w="131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$2,016</w:t>
            </w:r>
          </w:p>
        </w:tc>
        <w:tc>
          <w:tcPr>
            <w:tcW w:w="127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 xml:space="preserve">Aziz MH et al. Can the risk of secondary cancer induction after breast conserving therapy be reduced using IORT with </w:t>
            </w:r>
            <w:r w:rsidRPr="00710369">
              <w:rPr>
                <w:rFonts w:ascii="Calibri" w:eastAsia="Times New Roman" w:hAnsi="Calibri" w:cs="Calibri"/>
                <w:color w:val="000000"/>
              </w:rPr>
              <w:lastRenderedPageBreak/>
              <w:t>low-energy X-rays?  Radiation Oncol 2011. 6:174</w:t>
            </w:r>
          </w:p>
        </w:tc>
      </w:tr>
      <w:tr w:rsidR="00710369" w:rsidRPr="00710369" w:rsidTr="00710369">
        <w:trPr>
          <w:trHeight w:val="29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lastRenderedPageBreak/>
              <w:t>Total percentages</w:t>
            </w:r>
          </w:p>
        </w:tc>
        <w:tc>
          <w:tcPr>
            <w:tcW w:w="82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0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0.31%</w:t>
            </w:r>
          </w:p>
        </w:tc>
        <w:tc>
          <w:tcPr>
            <w:tcW w:w="85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4.72%</w:t>
            </w:r>
          </w:p>
        </w:tc>
        <w:tc>
          <w:tcPr>
            <w:tcW w:w="995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$25,865</w:t>
            </w:r>
          </w:p>
        </w:tc>
        <w:tc>
          <w:tcPr>
            <w:tcW w:w="127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$41,436</w:t>
            </w:r>
          </w:p>
        </w:tc>
        <w:tc>
          <w:tcPr>
            <w:tcW w:w="26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B5C4C" w:rsidRDefault="003B5C4C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tbl>
      <w:tblPr>
        <w:tblW w:w="12700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1"/>
        <w:gridCol w:w="963"/>
        <w:gridCol w:w="2184"/>
        <w:gridCol w:w="1086"/>
        <w:gridCol w:w="851"/>
        <w:gridCol w:w="988"/>
        <w:gridCol w:w="1078"/>
        <w:gridCol w:w="940"/>
        <w:gridCol w:w="1286"/>
        <w:gridCol w:w="1263"/>
      </w:tblGrid>
      <w:tr w:rsidR="00710369" w:rsidRPr="00710369" w:rsidTr="00710369">
        <w:trPr>
          <w:trHeight w:val="580"/>
          <w:tblHeader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lastRenderedPageBreak/>
              <w:t>Costs to treat annual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85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98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% </w:t>
            </w:r>
          </w:p>
        </w:tc>
        <w:tc>
          <w:tcPr>
            <w:tcW w:w="107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as a 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Cost to treat</w:t>
            </w:r>
          </w:p>
        </w:tc>
        <w:tc>
          <w:tcPr>
            <w:tcW w:w="12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cost IORT</w:t>
            </w:r>
          </w:p>
        </w:tc>
        <w:tc>
          <w:tcPr>
            <w:tcW w:w="12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cost EBRT</w:t>
            </w:r>
          </w:p>
        </w:tc>
      </w:tr>
      <w:tr w:rsidR="00710369" w:rsidRPr="00710369" w:rsidTr="00710369">
        <w:trPr>
          <w:trHeight w:val="580"/>
          <w:tblHeader/>
        </w:trPr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IORT</w:t>
            </w:r>
          </w:p>
        </w:tc>
        <w:tc>
          <w:tcPr>
            <w:tcW w:w="85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EBRT</w:t>
            </w:r>
          </w:p>
        </w:tc>
        <w:tc>
          <w:tcPr>
            <w:tcW w:w="98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IORT</w:t>
            </w:r>
          </w:p>
        </w:tc>
        <w:tc>
          <w:tcPr>
            <w:tcW w:w="107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EBRT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event</w:t>
            </w:r>
          </w:p>
        </w:tc>
        <w:tc>
          <w:tcPr>
            <w:tcW w:w="12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to treat initial event</w:t>
            </w:r>
          </w:p>
        </w:tc>
        <w:tc>
          <w:tcPr>
            <w:tcW w:w="12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to treat  initial event</w:t>
            </w:r>
          </w:p>
        </w:tc>
      </w:tr>
      <w:tr w:rsidR="00710369" w:rsidRPr="00710369" w:rsidTr="00710369">
        <w:trPr>
          <w:trHeight w:val="580"/>
        </w:trPr>
        <w:tc>
          <w:tcPr>
            <w:tcW w:w="2061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Complication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Therapy</w:t>
            </w:r>
          </w:p>
        </w:tc>
        <w:tc>
          <w:tcPr>
            <w:tcW w:w="21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Assumed radiation exposure</w:t>
            </w:r>
          </w:p>
        </w:tc>
        <w:tc>
          <w:tcPr>
            <w:tcW w:w="10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0369" w:rsidRPr="00710369" w:rsidTr="00710369">
        <w:trPr>
          <w:trHeight w:val="232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1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5 GY; assumes 35% relative increase in rate of MCE; initial rate of with no pre-exist factors 4.5%.  35% increase from 4.5% is 6.1%; absolute increase of 1.6%</w:t>
            </w:r>
          </w:p>
        </w:tc>
        <w:tc>
          <w:tcPr>
            <w:tcW w:w="10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98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33.90%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$23,512</w:t>
            </w:r>
          </w:p>
        </w:tc>
        <w:tc>
          <w:tcPr>
            <w:tcW w:w="12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$7,970</w:t>
            </w:r>
          </w:p>
        </w:tc>
      </w:tr>
      <w:tr w:rsidR="00710369" w:rsidRPr="00710369" w:rsidTr="00710369">
        <w:trPr>
          <w:trHeight w:val="232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1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1.25 GY; assumes 5% relative increase in rate of MCE; initial rate of with no pre-exist factors 4.5%.  5% increase from 4.5% is 4.725%; absolute increase of 0.225%</w:t>
            </w:r>
          </w:p>
        </w:tc>
        <w:tc>
          <w:tcPr>
            <w:tcW w:w="10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0.23%</w:t>
            </w:r>
          </w:p>
        </w:tc>
        <w:tc>
          <w:tcPr>
            <w:tcW w:w="85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73.77%</w:t>
            </w:r>
          </w:p>
        </w:tc>
        <w:tc>
          <w:tcPr>
            <w:tcW w:w="107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$23,512</w:t>
            </w:r>
          </w:p>
        </w:tc>
        <w:tc>
          <w:tcPr>
            <w:tcW w:w="12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$17,345</w:t>
            </w:r>
          </w:p>
        </w:tc>
        <w:tc>
          <w:tcPr>
            <w:tcW w:w="12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0369" w:rsidRPr="00710369" w:rsidTr="00710369">
        <w:trPr>
          <w:trHeight w:val="58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Lung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1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3.4 GY for ipsilateral lung</w:t>
            </w:r>
          </w:p>
        </w:tc>
        <w:tc>
          <w:tcPr>
            <w:tcW w:w="10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98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61.44%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$5,685</w:t>
            </w:r>
          </w:p>
        </w:tc>
        <w:tc>
          <w:tcPr>
            <w:tcW w:w="12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$3,492.90</w:t>
            </w:r>
          </w:p>
        </w:tc>
      </w:tr>
      <w:tr w:rsidR="00710369" w:rsidRPr="00710369" w:rsidTr="00710369">
        <w:trPr>
          <w:trHeight w:val="58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Lung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1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0.03 GY for ipsilateral lung</w:t>
            </w:r>
          </w:p>
        </w:tc>
        <w:tc>
          <w:tcPr>
            <w:tcW w:w="10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  <w:tc>
          <w:tcPr>
            <w:tcW w:w="85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6.56%</w:t>
            </w:r>
          </w:p>
        </w:tc>
        <w:tc>
          <w:tcPr>
            <w:tcW w:w="107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$5,685</w:t>
            </w:r>
          </w:p>
        </w:tc>
        <w:tc>
          <w:tcPr>
            <w:tcW w:w="12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$372.79</w:t>
            </w:r>
          </w:p>
        </w:tc>
        <w:tc>
          <w:tcPr>
            <w:tcW w:w="12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0369" w:rsidRPr="00710369" w:rsidTr="00710369">
        <w:trPr>
          <w:trHeight w:val="58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1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  <w:tc>
          <w:tcPr>
            <w:tcW w:w="98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4.66%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$1,768</w:t>
            </w:r>
          </w:p>
        </w:tc>
        <w:tc>
          <w:tcPr>
            <w:tcW w:w="12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$82.41</w:t>
            </w:r>
          </w:p>
        </w:tc>
      </w:tr>
      <w:tr w:rsidR="00710369" w:rsidRPr="00710369" w:rsidTr="00710369">
        <w:trPr>
          <w:trHeight w:val="58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1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  <w:tc>
          <w:tcPr>
            <w:tcW w:w="85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19.67%</w:t>
            </w:r>
          </w:p>
        </w:tc>
        <w:tc>
          <w:tcPr>
            <w:tcW w:w="107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$1,768</w:t>
            </w:r>
          </w:p>
        </w:tc>
        <w:tc>
          <w:tcPr>
            <w:tcW w:w="12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$348</w:t>
            </w:r>
          </w:p>
        </w:tc>
        <w:tc>
          <w:tcPr>
            <w:tcW w:w="12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0369" w:rsidRPr="00710369" w:rsidTr="00710369">
        <w:trPr>
          <w:trHeight w:val="290"/>
        </w:trPr>
        <w:tc>
          <w:tcPr>
            <w:tcW w:w="206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lastRenderedPageBreak/>
              <w:t>Total percentages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8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0.31%</w:t>
            </w:r>
          </w:p>
        </w:tc>
        <w:tc>
          <w:tcPr>
            <w:tcW w:w="85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4.72%</w:t>
            </w:r>
          </w:p>
        </w:tc>
        <w:tc>
          <w:tcPr>
            <w:tcW w:w="98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8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$18,066</w:t>
            </w:r>
          </w:p>
        </w:tc>
        <w:tc>
          <w:tcPr>
            <w:tcW w:w="12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$11,545</w:t>
            </w:r>
          </w:p>
        </w:tc>
      </w:tr>
    </w:tbl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tbl>
      <w:tblPr>
        <w:tblW w:w="12700" w:type="dxa"/>
        <w:tblInd w:w="-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0"/>
        <w:gridCol w:w="963"/>
        <w:gridCol w:w="2171"/>
        <w:gridCol w:w="1082"/>
        <w:gridCol w:w="850"/>
        <w:gridCol w:w="987"/>
        <w:gridCol w:w="1076"/>
        <w:gridCol w:w="940"/>
        <w:gridCol w:w="1297"/>
        <w:gridCol w:w="1274"/>
      </w:tblGrid>
      <w:tr w:rsidR="00710369" w:rsidRPr="00710369" w:rsidTr="00710369">
        <w:trPr>
          <w:trHeight w:val="580"/>
          <w:tblHeader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  <w:r w:rsidRPr="00710369">
              <w:rPr>
                <w:rFonts w:eastAsia="Times New Roman" w:cstheme="minorHAnsi"/>
                <w:b/>
                <w:sz w:val="24"/>
                <w:szCs w:val="24"/>
                <w:u w:val="single"/>
              </w:rPr>
              <w:lastRenderedPageBreak/>
              <w:t>End of Life Care</w:t>
            </w:r>
          </w:p>
          <w:p w:rsidR="00710369" w:rsidRPr="00710369" w:rsidRDefault="00710369" w:rsidP="0071036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17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85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98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% </w:t>
            </w:r>
          </w:p>
        </w:tc>
        <w:tc>
          <w:tcPr>
            <w:tcW w:w="107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as a 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Cost to treat</w:t>
            </w:r>
          </w:p>
        </w:tc>
        <w:tc>
          <w:tcPr>
            <w:tcW w:w="129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cost IORT</w:t>
            </w:r>
          </w:p>
        </w:tc>
        <w:tc>
          <w:tcPr>
            <w:tcW w:w="127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cost EBRT</w:t>
            </w:r>
          </w:p>
        </w:tc>
      </w:tr>
      <w:tr w:rsidR="00710369" w:rsidRPr="00710369" w:rsidTr="00710369">
        <w:trPr>
          <w:trHeight w:val="580"/>
          <w:tblHeader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Complication</w:t>
            </w:r>
          </w:p>
        </w:tc>
        <w:tc>
          <w:tcPr>
            <w:tcW w:w="963" w:type="dxa"/>
            <w:shd w:val="clear" w:color="auto" w:fill="auto"/>
            <w:noWrap/>
            <w:vAlign w:val="bottom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Therapy</w:t>
            </w:r>
          </w:p>
        </w:tc>
        <w:tc>
          <w:tcPr>
            <w:tcW w:w="217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Assumed radiation exposure</w:t>
            </w:r>
          </w:p>
        </w:tc>
        <w:tc>
          <w:tcPr>
            <w:tcW w:w="1082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IORT</w:t>
            </w:r>
          </w:p>
        </w:tc>
        <w:tc>
          <w:tcPr>
            <w:tcW w:w="85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EBRT</w:t>
            </w:r>
          </w:p>
        </w:tc>
        <w:tc>
          <w:tcPr>
            <w:tcW w:w="98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IORT</w:t>
            </w:r>
          </w:p>
        </w:tc>
        <w:tc>
          <w:tcPr>
            <w:tcW w:w="107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EBRT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event</w:t>
            </w:r>
          </w:p>
        </w:tc>
        <w:tc>
          <w:tcPr>
            <w:tcW w:w="129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to treat initial event</w:t>
            </w:r>
          </w:p>
        </w:tc>
        <w:tc>
          <w:tcPr>
            <w:tcW w:w="127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710369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to treat  initial event</w:t>
            </w:r>
          </w:p>
        </w:tc>
      </w:tr>
      <w:tr w:rsidR="00710369" w:rsidRPr="00710369" w:rsidTr="00710369">
        <w:trPr>
          <w:trHeight w:val="2320"/>
        </w:trPr>
        <w:tc>
          <w:tcPr>
            <w:tcW w:w="206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17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5 GY; assumes 35% relative increase in rate of MCE; initial rate of with no pre-exist factors 4.5%.  35% increase from 4.5% is 6.1%; absolute increase of 1.6%</w:t>
            </w:r>
          </w:p>
        </w:tc>
        <w:tc>
          <w:tcPr>
            <w:tcW w:w="1082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98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33.90%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$57,600</w:t>
            </w:r>
          </w:p>
        </w:tc>
        <w:tc>
          <w:tcPr>
            <w:tcW w:w="129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$19,525</w:t>
            </w:r>
          </w:p>
        </w:tc>
      </w:tr>
      <w:tr w:rsidR="00710369" w:rsidRPr="00710369" w:rsidTr="00710369">
        <w:trPr>
          <w:trHeight w:val="2320"/>
        </w:trPr>
        <w:tc>
          <w:tcPr>
            <w:tcW w:w="206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17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1.25 GY; assumes 5% relative increase in rate of MCE; initial rate of with no pre-exist factors 4.5%.  5% increase from 4.5% is 4.725%; absolute increase of 0.225%</w:t>
            </w:r>
          </w:p>
        </w:tc>
        <w:tc>
          <w:tcPr>
            <w:tcW w:w="1082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0.23%</w:t>
            </w:r>
          </w:p>
        </w:tc>
        <w:tc>
          <w:tcPr>
            <w:tcW w:w="85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73.77%</w:t>
            </w:r>
          </w:p>
        </w:tc>
        <w:tc>
          <w:tcPr>
            <w:tcW w:w="107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$57,600</w:t>
            </w:r>
          </w:p>
        </w:tc>
        <w:tc>
          <w:tcPr>
            <w:tcW w:w="129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$42,492</w:t>
            </w:r>
          </w:p>
        </w:tc>
        <w:tc>
          <w:tcPr>
            <w:tcW w:w="127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0369" w:rsidRPr="00710369" w:rsidTr="00710369">
        <w:trPr>
          <w:trHeight w:val="580"/>
        </w:trPr>
        <w:tc>
          <w:tcPr>
            <w:tcW w:w="206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Lung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17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3.4 GY for ipsilateral lung</w:t>
            </w:r>
          </w:p>
        </w:tc>
        <w:tc>
          <w:tcPr>
            <w:tcW w:w="1082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98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61.44%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$74,815</w:t>
            </w:r>
          </w:p>
        </w:tc>
        <w:tc>
          <w:tcPr>
            <w:tcW w:w="129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$45,966.84</w:t>
            </w:r>
          </w:p>
        </w:tc>
      </w:tr>
      <w:tr w:rsidR="00710369" w:rsidRPr="00710369" w:rsidTr="00710369">
        <w:trPr>
          <w:trHeight w:val="580"/>
        </w:trPr>
        <w:tc>
          <w:tcPr>
            <w:tcW w:w="206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Lung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17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0.03 GY for ipsilateral lung</w:t>
            </w:r>
          </w:p>
        </w:tc>
        <w:tc>
          <w:tcPr>
            <w:tcW w:w="1082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  <w:tc>
          <w:tcPr>
            <w:tcW w:w="85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6.56%</w:t>
            </w:r>
          </w:p>
        </w:tc>
        <w:tc>
          <w:tcPr>
            <w:tcW w:w="107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$74,815</w:t>
            </w:r>
          </w:p>
        </w:tc>
        <w:tc>
          <w:tcPr>
            <w:tcW w:w="129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$4,905.90</w:t>
            </w:r>
          </w:p>
        </w:tc>
        <w:tc>
          <w:tcPr>
            <w:tcW w:w="127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0369" w:rsidRPr="00710369" w:rsidTr="00710369">
        <w:trPr>
          <w:trHeight w:val="870"/>
        </w:trPr>
        <w:tc>
          <w:tcPr>
            <w:tcW w:w="206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17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  <w:tc>
          <w:tcPr>
            <w:tcW w:w="98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4.66%</w:t>
            </w: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$38,879</w:t>
            </w:r>
          </w:p>
        </w:tc>
        <w:tc>
          <w:tcPr>
            <w:tcW w:w="129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$1,812.16</w:t>
            </w:r>
          </w:p>
        </w:tc>
      </w:tr>
      <w:tr w:rsidR="00710369" w:rsidRPr="00710369" w:rsidTr="00710369">
        <w:trPr>
          <w:trHeight w:val="870"/>
        </w:trPr>
        <w:tc>
          <w:tcPr>
            <w:tcW w:w="206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17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  <w:tc>
          <w:tcPr>
            <w:tcW w:w="85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8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19.67%</w:t>
            </w:r>
          </w:p>
        </w:tc>
        <w:tc>
          <w:tcPr>
            <w:tcW w:w="107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$38,879</w:t>
            </w:r>
          </w:p>
        </w:tc>
        <w:tc>
          <w:tcPr>
            <w:tcW w:w="129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$7,648</w:t>
            </w:r>
          </w:p>
        </w:tc>
        <w:tc>
          <w:tcPr>
            <w:tcW w:w="127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0369" w:rsidRPr="00710369" w:rsidTr="00710369">
        <w:trPr>
          <w:trHeight w:val="290"/>
        </w:trPr>
        <w:tc>
          <w:tcPr>
            <w:tcW w:w="206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lastRenderedPageBreak/>
              <w:t>Total percentages</w:t>
            </w:r>
          </w:p>
        </w:tc>
        <w:tc>
          <w:tcPr>
            <w:tcW w:w="963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71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0.31%</w:t>
            </w:r>
          </w:p>
        </w:tc>
        <w:tc>
          <w:tcPr>
            <w:tcW w:w="85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4.72%</w:t>
            </w:r>
          </w:p>
        </w:tc>
        <w:tc>
          <w:tcPr>
            <w:tcW w:w="98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$55,046</w:t>
            </w:r>
          </w:p>
        </w:tc>
        <w:tc>
          <w:tcPr>
            <w:tcW w:w="1274" w:type="dxa"/>
            <w:shd w:val="clear" w:color="auto" w:fill="auto"/>
            <w:hideMark/>
          </w:tcPr>
          <w:p w:rsidR="00710369" w:rsidRPr="00710369" w:rsidRDefault="00710369" w:rsidP="007103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10369">
              <w:rPr>
                <w:rFonts w:ascii="Calibri" w:eastAsia="Times New Roman" w:hAnsi="Calibri" w:cs="Calibri"/>
                <w:color w:val="000000"/>
              </w:rPr>
              <w:t>$67,304</w:t>
            </w:r>
          </w:p>
        </w:tc>
      </w:tr>
    </w:tbl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lastRenderedPageBreak/>
        <w:t xml:space="preserve">Quality of life </w:t>
      </w:r>
      <w:r w:rsidR="00917B4D">
        <w:rPr>
          <w:b/>
          <w:u w:val="single"/>
        </w:rPr>
        <w:t xml:space="preserve"> - initial</w:t>
      </w:r>
    </w:p>
    <w:tbl>
      <w:tblPr>
        <w:tblW w:w="15295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0"/>
        <w:gridCol w:w="1085"/>
        <w:gridCol w:w="2140"/>
        <w:gridCol w:w="785"/>
        <w:gridCol w:w="900"/>
        <w:gridCol w:w="1675"/>
        <w:gridCol w:w="1180"/>
        <w:gridCol w:w="1060"/>
        <w:gridCol w:w="1340"/>
        <w:gridCol w:w="1180"/>
        <w:gridCol w:w="1890"/>
      </w:tblGrid>
      <w:tr w:rsidR="00917B4D" w:rsidRPr="000E62A7" w:rsidTr="00917B4D">
        <w:trPr>
          <w:trHeight w:val="580"/>
          <w:tblHeader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917B4D" w:rsidRPr="00917B4D" w:rsidRDefault="00917B4D" w:rsidP="000E62A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u w:val="single"/>
              </w:rPr>
            </w:pPr>
            <w:r w:rsidRPr="00917B4D">
              <w:rPr>
                <w:rFonts w:eastAsia="Times New Roman" w:cstheme="minorHAnsi"/>
                <w:b/>
                <w:sz w:val="24"/>
                <w:szCs w:val="24"/>
                <w:u w:val="single"/>
              </w:rPr>
              <w:t>QOL initial</w:t>
            </w:r>
          </w:p>
          <w:p w:rsidR="00917B4D" w:rsidRPr="000E62A7" w:rsidRDefault="00917B4D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90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167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percent </w:t>
            </w: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percent </w:t>
            </w:r>
          </w:p>
        </w:tc>
        <w:tc>
          <w:tcPr>
            <w:tcW w:w="1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7B4D" w:rsidRPr="000E62A7" w:rsidTr="00917B4D">
        <w:trPr>
          <w:trHeight w:val="900"/>
          <w:tblHeader/>
        </w:trPr>
        <w:tc>
          <w:tcPr>
            <w:tcW w:w="2060" w:type="dxa"/>
            <w:shd w:val="clear" w:color="auto" w:fill="auto"/>
            <w:noWrap/>
            <w:vAlign w:val="bottom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Complication</w:t>
            </w:r>
          </w:p>
        </w:tc>
        <w:tc>
          <w:tcPr>
            <w:tcW w:w="10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Ther</w:t>
            </w:r>
          </w:p>
        </w:tc>
        <w:tc>
          <w:tcPr>
            <w:tcW w:w="21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Assumed radiation exposure</w:t>
            </w:r>
          </w:p>
        </w:tc>
        <w:tc>
          <w:tcPr>
            <w:tcW w:w="7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IORT</w:t>
            </w:r>
          </w:p>
        </w:tc>
        <w:tc>
          <w:tcPr>
            <w:tcW w:w="90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EBRT</w:t>
            </w:r>
          </w:p>
        </w:tc>
        <w:tc>
          <w:tcPr>
            <w:tcW w:w="167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IORT</w:t>
            </w: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EBRT</w:t>
            </w:r>
          </w:p>
        </w:tc>
        <w:tc>
          <w:tcPr>
            <w:tcW w:w="1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Quality Life initial</w:t>
            </w:r>
          </w:p>
        </w:tc>
        <w:tc>
          <w:tcPr>
            <w:tcW w:w="13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QOL initial EBRT</w:t>
            </w: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QOL initial IORT</w:t>
            </w:r>
          </w:p>
        </w:tc>
        <w:tc>
          <w:tcPr>
            <w:tcW w:w="189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0E62A7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Source</w:t>
            </w:r>
          </w:p>
        </w:tc>
      </w:tr>
      <w:tr w:rsidR="00917B4D" w:rsidRPr="000E62A7" w:rsidTr="00917B4D">
        <w:trPr>
          <w:trHeight w:val="2340"/>
        </w:trPr>
        <w:tc>
          <w:tcPr>
            <w:tcW w:w="2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10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1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5 GY; assumes 35% relative increase in rate of MCE; initial rate of with no pre-exist factors 4.5%.  35% increase from 4.5% is 6.1%; absolute increase of 1.6%</w:t>
            </w:r>
          </w:p>
        </w:tc>
        <w:tc>
          <w:tcPr>
            <w:tcW w:w="7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167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33.90%</w:t>
            </w:r>
          </w:p>
        </w:tc>
        <w:tc>
          <w:tcPr>
            <w:tcW w:w="1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13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 xml:space="preserve">Lewis EF, et al. Impact of cardiovascular events on change in quality of life and utilities in patients after MI. JACC Heart Failure. 2014. 2(2): 159-165. Table 1 page 162 - baseline utility US </w:t>
            </w:r>
          </w:p>
        </w:tc>
      </w:tr>
      <w:tr w:rsidR="00917B4D" w:rsidRPr="000E62A7" w:rsidTr="00917B4D">
        <w:trPr>
          <w:trHeight w:val="2470"/>
        </w:trPr>
        <w:tc>
          <w:tcPr>
            <w:tcW w:w="2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10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1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1.25 GY; assumes 5% relative increase in rate of MCE; initial rate of with no pre-exist factors 4.5%.  5% increase from 4.5% is 4.725%; absolute increase of 0.225%</w:t>
            </w:r>
          </w:p>
        </w:tc>
        <w:tc>
          <w:tcPr>
            <w:tcW w:w="7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0.23%</w:t>
            </w:r>
          </w:p>
        </w:tc>
        <w:tc>
          <w:tcPr>
            <w:tcW w:w="90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7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73.77%</w:t>
            </w: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13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189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 xml:space="preserve">Lewis EF, et al. Impact of cardiovascular events on change in quality of life and utilities in patients after MI. JACC Heart Failure. 2014. 2(2): 159-165. Table 1 page 162 - baseline utility US </w:t>
            </w:r>
          </w:p>
        </w:tc>
      </w:tr>
      <w:tr w:rsidR="00917B4D" w:rsidRPr="000E62A7" w:rsidTr="00917B4D">
        <w:trPr>
          <w:trHeight w:val="940"/>
        </w:trPr>
        <w:tc>
          <w:tcPr>
            <w:tcW w:w="2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lastRenderedPageBreak/>
              <w:t>Lung cancer</w:t>
            </w:r>
          </w:p>
        </w:tc>
        <w:tc>
          <w:tcPr>
            <w:tcW w:w="10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1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3.4 GY for ipsilateral lung</w:t>
            </w:r>
          </w:p>
        </w:tc>
        <w:tc>
          <w:tcPr>
            <w:tcW w:w="7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167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61.44%</w:t>
            </w:r>
          </w:p>
        </w:tc>
        <w:tc>
          <w:tcPr>
            <w:tcW w:w="1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13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Lairson DR, et al. Cost-utility analysis of treatments for advanced non-small cell lung cancer. Am Jrl Pharm Benefits. 2015. 7(6):271-279.</w:t>
            </w:r>
          </w:p>
        </w:tc>
      </w:tr>
      <w:tr w:rsidR="00917B4D" w:rsidRPr="000E62A7" w:rsidTr="00917B4D">
        <w:trPr>
          <w:trHeight w:val="600"/>
        </w:trPr>
        <w:tc>
          <w:tcPr>
            <w:tcW w:w="2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Lung cancer</w:t>
            </w:r>
          </w:p>
        </w:tc>
        <w:tc>
          <w:tcPr>
            <w:tcW w:w="10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1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0.03 GY for ipsilateral lung</w:t>
            </w:r>
          </w:p>
        </w:tc>
        <w:tc>
          <w:tcPr>
            <w:tcW w:w="7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  <w:tc>
          <w:tcPr>
            <w:tcW w:w="90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7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6.56%</w:t>
            </w: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13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189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Lairson DR, et al. Cost-utility analysis of treatments for advanced non-small cell lung cancer. Am Jrl Pharm Benefits. 2015. 7(6):271-279.</w:t>
            </w:r>
          </w:p>
        </w:tc>
      </w:tr>
      <w:tr w:rsidR="00917B4D" w:rsidRPr="000E62A7" w:rsidTr="00917B4D">
        <w:trPr>
          <w:trHeight w:val="1740"/>
        </w:trPr>
        <w:tc>
          <w:tcPr>
            <w:tcW w:w="2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10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21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  <w:tc>
          <w:tcPr>
            <w:tcW w:w="167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4.66%</w:t>
            </w:r>
          </w:p>
        </w:tc>
        <w:tc>
          <w:tcPr>
            <w:tcW w:w="1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0.70</w:t>
            </w:r>
          </w:p>
        </w:tc>
        <w:tc>
          <w:tcPr>
            <w:tcW w:w="13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9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 xml:space="preserve">Hillner BE, Smith TJ. Efficacy and cost effectiveness of adjuvant chemotherapy in women with node-negative breast  cancer. NEJM. 1991. </w:t>
            </w:r>
            <w:r w:rsidRPr="000E62A7">
              <w:rPr>
                <w:rFonts w:ascii="Calibri" w:eastAsia="Times New Roman" w:hAnsi="Calibri" w:cs="Calibri"/>
                <w:color w:val="000000"/>
              </w:rPr>
              <w:lastRenderedPageBreak/>
              <w:t>324:160-168. Table 1 page 162</w:t>
            </w:r>
          </w:p>
        </w:tc>
      </w:tr>
      <w:tr w:rsidR="00917B4D" w:rsidRPr="000E62A7" w:rsidTr="00917B4D">
        <w:trPr>
          <w:trHeight w:val="1480"/>
        </w:trPr>
        <w:tc>
          <w:tcPr>
            <w:tcW w:w="2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lastRenderedPageBreak/>
              <w:t>Contralateral breast cancer</w:t>
            </w:r>
          </w:p>
        </w:tc>
        <w:tc>
          <w:tcPr>
            <w:tcW w:w="10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21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  <w:tc>
          <w:tcPr>
            <w:tcW w:w="90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7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19.67%</w:t>
            </w: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0.70</w:t>
            </w:r>
          </w:p>
        </w:tc>
        <w:tc>
          <w:tcPr>
            <w:tcW w:w="13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189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Hillner BE, Smith TJ. Efficacy and cost effectiveness of adjuvant chemotherapy in women with node-negative breast  cancer. NEJM. 1991. 324:160-168. Table 1 page 162</w:t>
            </w:r>
          </w:p>
        </w:tc>
      </w:tr>
      <w:tr w:rsidR="00917B4D" w:rsidRPr="000E62A7" w:rsidTr="00917B4D">
        <w:trPr>
          <w:trHeight w:val="290"/>
        </w:trPr>
        <w:tc>
          <w:tcPr>
            <w:tcW w:w="2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Total percentages</w:t>
            </w:r>
          </w:p>
        </w:tc>
        <w:tc>
          <w:tcPr>
            <w:tcW w:w="10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0.31%</w:t>
            </w:r>
          </w:p>
        </w:tc>
        <w:tc>
          <w:tcPr>
            <w:tcW w:w="90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4.72%</w:t>
            </w:r>
          </w:p>
        </w:tc>
        <w:tc>
          <w:tcPr>
            <w:tcW w:w="1675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0.70</w:t>
            </w:r>
          </w:p>
        </w:tc>
        <w:tc>
          <w:tcPr>
            <w:tcW w:w="118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E62A7">
              <w:rPr>
                <w:rFonts w:ascii="Calibri" w:eastAsia="Times New Roman" w:hAnsi="Calibri" w:cs="Calibri"/>
                <w:color w:val="000000"/>
              </w:rPr>
              <w:t>0.79</w:t>
            </w:r>
          </w:p>
        </w:tc>
        <w:tc>
          <w:tcPr>
            <w:tcW w:w="1890" w:type="dxa"/>
            <w:shd w:val="clear" w:color="auto" w:fill="auto"/>
            <w:hideMark/>
          </w:tcPr>
          <w:p w:rsidR="00917B4D" w:rsidRPr="000E62A7" w:rsidRDefault="00917B4D" w:rsidP="000E62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710369" w:rsidRDefault="00710369" w:rsidP="003B5C4C">
      <w:pPr>
        <w:ind w:left="-630"/>
        <w:rPr>
          <w:b/>
          <w:u w:val="single"/>
        </w:rPr>
      </w:pPr>
    </w:p>
    <w:p w:rsidR="00710369" w:rsidRDefault="00710369" w:rsidP="003B5C4C">
      <w:pPr>
        <w:ind w:left="-630"/>
        <w:rPr>
          <w:b/>
          <w:u w:val="single"/>
        </w:rPr>
      </w:pPr>
    </w:p>
    <w:p w:rsidR="000E62A7" w:rsidRDefault="000E62A7" w:rsidP="003B5C4C">
      <w:pPr>
        <w:ind w:left="-630"/>
        <w:rPr>
          <w:b/>
          <w:u w:val="single"/>
        </w:rPr>
      </w:pPr>
    </w:p>
    <w:p w:rsidR="00C33915" w:rsidRDefault="00C33915" w:rsidP="003B5C4C">
      <w:pPr>
        <w:ind w:left="-630"/>
        <w:rPr>
          <w:b/>
          <w:u w:val="single"/>
        </w:rPr>
      </w:pPr>
    </w:p>
    <w:p w:rsidR="00C33915" w:rsidRDefault="00C33915" w:rsidP="003B5C4C">
      <w:pPr>
        <w:ind w:left="-630"/>
        <w:rPr>
          <w:b/>
          <w:u w:val="single"/>
        </w:rPr>
      </w:pPr>
    </w:p>
    <w:p w:rsidR="00C33915" w:rsidRDefault="00C33915" w:rsidP="003B5C4C">
      <w:pPr>
        <w:ind w:left="-630"/>
        <w:rPr>
          <w:b/>
          <w:u w:val="single"/>
        </w:rPr>
      </w:pPr>
    </w:p>
    <w:p w:rsidR="000E62A7" w:rsidRDefault="00917B4D" w:rsidP="003B5C4C">
      <w:pPr>
        <w:ind w:left="-630"/>
        <w:rPr>
          <w:b/>
          <w:u w:val="single"/>
        </w:rPr>
      </w:pPr>
      <w:r>
        <w:rPr>
          <w:b/>
          <w:u w:val="single"/>
        </w:rPr>
        <w:lastRenderedPageBreak/>
        <w:t>Quality of life stable disease</w:t>
      </w:r>
    </w:p>
    <w:tbl>
      <w:tblPr>
        <w:tblW w:w="16664" w:type="dxa"/>
        <w:tblInd w:w="-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0"/>
        <w:gridCol w:w="920"/>
        <w:gridCol w:w="1425"/>
        <w:gridCol w:w="859"/>
        <w:gridCol w:w="851"/>
        <w:gridCol w:w="1170"/>
        <w:gridCol w:w="1710"/>
        <w:gridCol w:w="1080"/>
        <w:gridCol w:w="990"/>
        <w:gridCol w:w="990"/>
        <w:gridCol w:w="3600"/>
        <w:gridCol w:w="1009"/>
      </w:tblGrid>
      <w:tr w:rsidR="00C33915" w:rsidRPr="00917B4D" w:rsidTr="00F01175">
        <w:trPr>
          <w:gridAfter w:val="1"/>
          <w:wAfter w:w="1009" w:type="dxa"/>
          <w:trHeight w:val="580"/>
          <w:tblHeader/>
        </w:trPr>
        <w:tc>
          <w:tcPr>
            <w:tcW w:w="2060" w:type="dxa"/>
            <w:shd w:val="clear" w:color="auto" w:fill="auto"/>
            <w:hideMark/>
          </w:tcPr>
          <w:p w:rsidR="00917B4D" w:rsidRPr="00917B4D" w:rsidRDefault="00C33915" w:rsidP="00917B4D">
            <w:pPr>
              <w:spacing w:after="0" w:line="240" w:lineRule="auto"/>
              <w:rPr>
                <w:rFonts w:eastAsia="Times New Roman" w:cstheme="minorHAnsi"/>
                <w:b/>
                <w:u w:val="single"/>
              </w:rPr>
            </w:pPr>
            <w:r w:rsidRPr="00C33915">
              <w:rPr>
                <w:rFonts w:eastAsia="Times New Roman" w:cstheme="minorHAnsi"/>
                <w:b/>
                <w:u w:val="single"/>
              </w:rPr>
              <w:t>QOL stable disease</w:t>
            </w:r>
          </w:p>
        </w:tc>
        <w:tc>
          <w:tcPr>
            <w:tcW w:w="92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851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117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percent </w:t>
            </w:r>
          </w:p>
        </w:tc>
        <w:tc>
          <w:tcPr>
            <w:tcW w:w="171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percent </w:t>
            </w:r>
          </w:p>
        </w:tc>
        <w:tc>
          <w:tcPr>
            <w:tcW w:w="108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3915" w:rsidRPr="00917B4D" w:rsidTr="00F01175">
        <w:trPr>
          <w:gridAfter w:val="1"/>
          <w:wAfter w:w="1009" w:type="dxa"/>
          <w:trHeight w:val="580"/>
          <w:tblHeader/>
        </w:trPr>
        <w:tc>
          <w:tcPr>
            <w:tcW w:w="206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Complication</w:t>
            </w:r>
          </w:p>
        </w:tc>
        <w:tc>
          <w:tcPr>
            <w:tcW w:w="92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Ther</w:t>
            </w:r>
          </w:p>
        </w:tc>
        <w:tc>
          <w:tcPr>
            <w:tcW w:w="1425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Assumed radiation exposure</w:t>
            </w:r>
          </w:p>
        </w:tc>
        <w:tc>
          <w:tcPr>
            <w:tcW w:w="859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IORT</w:t>
            </w:r>
          </w:p>
        </w:tc>
        <w:tc>
          <w:tcPr>
            <w:tcW w:w="851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EBRT</w:t>
            </w:r>
          </w:p>
        </w:tc>
        <w:tc>
          <w:tcPr>
            <w:tcW w:w="117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IORT</w:t>
            </w:r>
          </w:p>
        </w:tc>
        <w:tc>
          <w:tcPr>
            <w:tcW w:w="171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EBRT</w:t>
            </w:r>
          </w:p>
        </w:tc>
        <w:tc>
          <w:tcPr>
            <w:tcW w:w="108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QOL stable disease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QOL stable EBRT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QOL stable IORT</w:t>
            </w:r>
          </w:p>
        </w:tc>
        <w:tc>
          <w:tcPr>
            <w:tcW w:w="360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917B4D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Source:</w:t>
            </w:r>
          </w:p>
        </w:tc>
      </w:tr>
      <w:tr w:rsidR="00C33915" w:rsidRPr="00917B4D" w:rsidTr="00C33915">
        <w:trPr>
          <w:gridAfter w:val="1"/>
          <w:wAfter w:w="1009" w:type="dxa"/>
          <w:trHeight w:val="2120"/>
        </w:trPr>
        <w:tc>
          <w:tcPr>
            <w:tcW w:w="206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92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425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5 GY; assumes 35% relative increase in rate of MCE; initial rate of with no pre-exist factors 4.5%.  35% increase from 4.5% is 6.1%; absolute increase of 1.6%</w:t>
            </w:r>
          </w:p>
        </w:tc>
        <w:tc>
          <w:tcPr>
            <w:tcW w:w="859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117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33.90%</w:t>
            </w:r>
          </w:p>
        </w:tc>
        <w:tc>
          <w:tcPr>
            <w:tcW w:w="108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Lewis EF, et al. Impact of cardiovascular events on change in quality of life and utilities in patients after MI. JACC Heart Failure. 2014. 2(2): 159-165. Based on table 3, page 163 - mean trajectory change of -0.07</w:t>
            </w:r>
          </w:p>
        </w:tc>
      </w:tr>
      <w:tr w:rsidR="00C33915" w:rsidRPr="00917B4D" w:rsidTr="00C33915">
        <w:trPr>
          <w:gridAfter w:val="1"/>
          <w:wAfter w:w="1009" w:type="dxa"/>
          <w:trHeight w:val="2800"/>
        </w:trPr>
        <w:tc>
          <w:tcPr>
            <w:tcW w:w="206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92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425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 xml:space="preserve">1.25 GY; assumes 5% relative increase in rate of MCE; initial rate of with no pre-exist factors 4.5%.  5% increase from 4.5% is </w:t>
            </w:r>
            <w:r w:rsidRPr="00917B4D">
              <w:rPr>
                <w:rFonts w:ascii="Calibri" w:eastAsia="Times New Roman" w:hAnsi="Calibri" w:cs="Calibri"/>
                <w:color w:val="000000"/>
              </w:rPr>
              <w:lastRenderedPageBreak/>
              <w:t>4.725%; absolute increase of 0.225%</w:t>
            </w:r>
          </w:p>
        </w:tc>
        <w:tc>
          <w:tcPr>
            <w:tcW w:w="859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lastRenderedPageBreak/>
              <w:t>0.23%</w:t>
            </w:r>
          </w:p>
        </w:tc>
        <w:tc>
          <w:tcPr>
            <w:tcW w:w="851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73.77%</w:t>
            </w:r>
          </w:p>
        </w:tc>
        <w:tc>
          <w:tcPr>
            <w:tcW w:w="171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360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Lewis EF, et al. Impact of cardiovascular events on change in quality of life and utilities in patients after MI. JACC Heart Failure. 2014. 2(2): 159-165. Based on table 3, page 163 - mean trajectory change of -0.07</w:t>
            </w:r>
          </w:p>
        </w:tc>
      </w:tr>
      <w:tr w:rsidR="00C33915" w:rsidRPr="00917B4D" w:rsidTr="00C33915">
        <w:trPr>
          <w:gridAfter w:val="1"/>
          <w:wAfter w:w="1009" w:type="dxa"/>
          <w:trHeight w:val="940"/>
        </w:trPr>
        <w:tc>
          <w:tcPr>
            <w:tcW w:w="206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lastRenderedPageBreak/>
              <w:t>Lung cancer</w:t>
            </w:r>
          </w:p>
        </w:tc>
        <w:tc>
          <w:tcPr>
            <w:tcW w:w="92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425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3.4 GY for ipsilateral lung</w:t>
            </w:r>
          </w:p>
        </w:tc>
        <w:tc>
          <w:tcPr>
            <w:tcW w:w="859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117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61.44%</w:t>
            </w:r>
          </w:p>
        </w:tc>
        <w:tc>
          <w:tcPr>
            <w:tcW w:w="108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Doyle S et al. Health state utility scores in advanced non-small cell lung cancer. Lung Cancer. 2008. 62:374-380.</w:t>
            </w:r>
          </w:p>
        </w:tc>
      </w:tr>
      <w:tr w:rsidR="00C33915" w:rsidRPr="00917B4D" w:rsidTr="00C33915">
        <w:trPr>
          <w:gridAfter w:val="1"/>
          <w:wAfter w:w="1009" w:type="dxa"/>
          <w:trHeight w:val="920"/>
        </w:trPr>
        <w:tc>
          <w:tcPr>
            <w:tcW w:w="206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Lung cancer</w:t>
            </w:r>
          </w:p>
        </w:tc>
        <w:tc>
          <w:tcPr>
            <w:tcW w:w="92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425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0.03 GY for ipsilateral lung</w:t>
            </w:r>
          </w:p>
        </w:tc>
        <w:tc>
          <w:tcPr>
            <w:tcW w:w="859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  <w:tc>
          <w:tcPr>
            <w:tcW w:w="851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6.56%</w:t>
            </w:r>
          </w:p>
        </w:tc>
        <w:tc>
          <w:tcPr>
            <w:tcW w:w="171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  <w:tc>
          <w:tcPr>
            <w:tcW w:w="360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Doyle S et al. Health state utility scores in advanced non-small cell lung cancer. Lung Cancer. 2008. 62:374-380.</w:t>
            </w:r>
          </w:p>
        </w:tc>
      </w:tr>
      <w:tr w:rsidR="00C33915" w:rsidRPr="00917B4D" w:rsidTr="00C33915">
        <w:trPr>
          <w:gridAfter w:val="1"/>
          <w:wAfter w:w="1009" w:type="dxa"/>
          <w:trHeight w:val="2320"/>
        </w:trPr>
        <w:tc>
          <w:tcPr>
            <w:tcW w:w="206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92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425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9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  <w:tc>
          <w:tcPr>
            <w:tcW w:w="117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4.66%</w:t>
            </w:r>
          </w:p>
        </w:tc>
        <w:tc>
          <w:tcPr>
            <w:tcW w:w="108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Hillner BE, Smith TJ. Efficacy and cost effectiveness of adjuvant chemotherapy in women with node-negative breast  cancer. NEJM. 1991. 324:160-168. Table 1 page 162</w:t>
            </w:r>
          </w:p>
        </w:tc>
      </w:tr>
      <w:tr w:rsidR="00C33915" w:rsidRPr="00917B4D" w:rsidTr="00C33915">
        <w:trPr>
          <w:gridAfter w:val="1"/>
          <w:wAfter w:w="1009" w:type="dxa"/>
          <w:trHeight w:val="1480"/>
        </w:trPr>
        <w:tc>
          <w:tcPr>
            <w:tcW w:w="206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lastRenderedPageBreak/>
              <w:t>Contralateral breast cancer</w:t>
            </w:r>
          </w:p>
        </w:tc>
        <w:tc>
          <w:tcPr>
            <w:tcW w:w="92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425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59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  <w:tc>
          <w:tcPr>
            <w:tcW w:w="851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19.67%</w:t>
            </w:r>
          </w:p>
        </w:tc>
        <w:tc>
          <w:tcPr>
            <w:tcW w:w="171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360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Hillner BE, Smith TJ. Efficacy and cost effectiveness of adjuvant chemotherapy in women with node-negative breast  cancer. NEJM. 1991. 324:160-168. Table 1 page 162</w:t>
            </w:r>
          </w:p>
        </w:tc>
      </w:tr>
      <w:tr w:rsidR="00C33915" w:rsidRPr="00917B4D" w:rsidTr="00C33915">
        <w:trPr>
          <w:trHeight w:val="290"/>
        </w:trPr>
        <w:tc>
          <w:tcPr>
            <w:tcW w:w="206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Total percentages</w:t>
            </w:r>
          </w:p>
        </w:tc>
        <w:tc>
          <w:tcPr>
            <w:tcW w:w="92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5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0.31%</w:t>
            </w:r>
          </w:p>
        </w:tc>
        <w:tc>
          <w:tcPr>
            <w:tcW w:w="851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4.72%</w:t>
            </w:r>
          </w:p>
        </w:tc>
        <w:tc>
          <w:tcPr>
            <w:tcW w:w="117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1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0.73</w:t>
            </w:r>
          </w:p>
        </w:tc>
        <w:tc>
          <w:tcPr>
            <w:tcW w:w="990" w:type="dxa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17B4D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4609" w:type="dxa"/>
            <w:gridSpan w:val="2"/>
            <w:shd w:val="clear" w:color="auto" w:fill="auto"/>
            <w:hideMark/>
          </w:tcPr>
          <w:p w:rsidR="00917B4D" w:rsidRPr="00917B4D" w:rsidRDefault="00917B4D" w:rsidP="00917B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917B4D" w:rsidRDefault="00917B4D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  <w:r>
        <w:rPr>
          <w:b/>
          <w:u w:val="single"/>
        </w:rPr>
        <w:lastRenderedPageBreak/>
        <w:t>Estimated Time to event after exposure to radiation from treating breast cancer</w:t>
      </w:r>
    </w:p>
    <w:tbl>
      <w:tblPr>
        <w:tblW w:w="14920" w:type="dxa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963"/>
        <w:gridCol w:w="1669"/>
        <w:gridCol w:w="1055"/>
        <w:gridCol w:w="1133"/>
        <w:gridCol w:w="1038"/>
        <w:gridCol w:w="1175"/>
        <w:gridCol w:w="1467"/>
        <w:gridCol w:w="1274"/>
        <w:gridCol w:w="1098"/>
        <w:gridCol w:w="2248"/>
      </w:tblGrid>
      <w:tr w:rsidR="00F01175" w:rsidRPr="00F01175" w:rsidTr="00F01175">
        <w:trPr>
          <w:trHeight w:val="290"/>
          <w:tblHeader/>
        </w:trPr>
        <w:tc>
          <w:tcPr>
            <w:tcW w:w="1800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113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 rate</w:t>
            </w:r>
          </w:p>
        </w:tc>
        <w:tc>
          <w:tcPr>
            <w:tcW w:w="1038" w:type="dxa"/>
            <w:shd w:val="clear" w:color="auto" w:fill="auto"/>
            <w:vAlign w:val="bottom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percent </w:t>
            </w:r>
          </w:p>
        </w:tc>
        <w:tc>
          <w:tcPr>
            <w:tcW w:w="1175" w:type="dxa"/>
            <w:shd w:val="clear" w:color="auto" w:fill="auto"/>
            <w:vAlign w:val="bottom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 xml:space="preserve">Comp as a percent </w:t>
            </w:r>
          </w:p>
        </w:tc>
        <w:tc>
          <w:tcPr>
            <w:tcW w:w="1467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1274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01175" w:rsidRPr="00F01175" w:rsidTr="00F01175">
        <w:trPr>
          <w:trHeight w:val="910"/>
          <w:tblHeader/>
        </w:trPr>
        <w:tc>
          <w:tcPr>
            <w:tcW w:w="1800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Complication</w:t>
            </w:r>
          </w:p>
        </w:tc>
        <w:tc>
          <w:tcPr>
            <w:tcW w:w="96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Therapy</w:t>
            </w:r>
          </w:p>
        </w:tc>
        <w:tc>
          <w:tcPr>
            <w:tcW w:w="1669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Assumed radiation exposure</w:t>
            </w:r>
          </w:p>
        </w:tc>
        <w:tc>
          <w:tcPr>
            <w:tcW w:w="105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IORT</w:t>
            </w:r>
          </w:p>
        </w:tc>
        <w:tc>
          <w:tcPr>
            <w:tcW w:w="113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EBRT</w:t>
            </w:r>
          </w:p>
        </w:tc>
        <w:tc>
          <w:tcPr>
            <w:tcW w:w="103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IORT</w:t>
            </w:r>
          </w:p>
        </w:tc>
        <w:tc>
          <w:tcPr>
            <w:tcW w:w="117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all comps EBRT</w:t>
            </w:r>
          </w:p>
        </w:tc>
        <w:tc>
          <w:tcPr>
            <w:tcW w:w="1467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Time to first event (yrs)</w:t>
            </w:r>
          </w:p>
        </w:tc>
        <w:tc>
          <w:tcPr>
            <w:tcW w:w="1274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time yrs EBRT</w:t>
            </w:r>
          </w:p>
        </w:tc>
        <w:tc>
          <w:tcPr>
            <w:tcW w:w="109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Blended time yrs IORT</w:t>
            </w:r>
          </w:p>
        </w:tc>
        <w:tc>
          <w:tcPr>
            <w:tcW w:w="224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r w:rsidRPr="00F01175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Source</w:t>
            </w:r>
          </w:p>
        </w:tc>
      </w:tr>
      <w:tr w:rsidR="00F01175" w:rsidRPr="00F01175" w:rsidTr="00F01175">
        <w:trPr>
          <w:trHeight w:val="3230"/>
        </w:trPr>
        <w:tc>
          <w:tcPr>
            <w:tcW w:w="1800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96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669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5 GY; assumes 35% relative increase in rate of MCE; initial rate of with no pre-exist factors 4.5%.  35% increase from 4.5% is 6.1%; absolute increase of 1.6%</w:t>
            </w:r>
          </w:p>
        </w:tc>
        <w:tc>
          <w:tcPr>
            <w:tcW w:w="105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1.60%</w:t>
            </w:r>
          </w:p>
        </w:tc>
        <w:tc>
          <w:tcPr>
            <w:tcW w:w="103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33.90%</w:t>
            </w:r>
          </w:p>
        </w:tc>
        <w:tc>
          <w:tcPr>
            <w:tcW w:w="1467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12.32</w:t>
            </w:r>
          </w:p>
        </w:tc>
        <w:tc>
          <w:tcPr>
            <w:tcW w:w="1274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4.18</w:t>
            </w:r>
          </w:p>
        </w:tc>
        <w:tc>
          <w:tcPr>
            <w:tcW w:w="109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4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Darby SC et al. Risk of ischemic heart disease in women after radiotherapy for breast cancer. NEJM 2013. 368(11): 987-998. Supplementary Table 2S</w:t>
            </w:r>
          </w:p>
        </w:tc>
      </w:tr>
      <w:tr w:rsidR="00F01175" w:rsidRPr="00F01175" w:rsidTr="00F01175">
        <w:trPr>
          <w:trHeight w:val="3300"/>
        </w:trPr>
        <w:tc>
          <w:tcPr>
            <w:tcW w:w="1800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Major coronary event [MCE] (MI, death, coronary revascularization)</w:t>
            </w:r>
          </w:p>
        </w:tc>
        <w:tc>
          <w:tcPr>
            <w:tcW w:w="96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669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1.25 GY; assumes 5% relative increase in rate of MCE; initial rate of with no pre-exist factors 4.5%.  5% increase from 4.5% is 4.725%; absolute increase of 0.225%</w:t>
            </w:r>
          </w:p>
        </w:tc>
        <w:tc>
          <w:tcPr>
            <w:tcW w:w="105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0.23%</w:t>
            </w:r>
          </w:p>
        </w:tc>
        <w:tc>
          <w:tcPr>
            <w:tcW w:w="113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73.77%</w:t>
            </w:r>
          </w:p>
        </w:tc>
        <w:tc>
          <w:tcPr>
            <w:tcW w:w="117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7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12.32</w:t>
            </w:r>
          </w:p>
        </w:tc>
        <w:tc>
          <w:tcPr>
            <w:tcW w:w="1274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9.09</w:t>
            </w:r>
          </w:p>
        </w:tc>
        <w:tc>
          <w:tcPr>
            <w:tcW w:w="224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Darby SC et al. Risk of ischemic heart disease in women after radiotherapy for breast cancer. NEJM 2013. 368(11): 987-998. Supplementary Table 2S</w:t>
            </w:r>
          </w:p>
        </w:tc>
      </w:tr>
      <w:tr w:rsidR="00F01175" w:rsidRPr="00F01175" w:rsidTr="00F01175">
        <w:trPr>
          <w:trHeight w:val="2200"/>
        </w:trPr>
        <w:tc>
          <w:tcPr>
            <w:tcW w:w="1800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lastRenderedPageBreak/>
              <w:t>Lung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669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3.4 GY for ipsilateral lung</w:t>
            </w:r>
          </w:p>
        </w:tc>
        <w:tc>
          <w:tcPr>
            <w:tcW w:w="105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2.90%</w:t>
            </w:r>
          </w:p>
        </w:tc>
        <w:tc>
          <w:tcPr>
            <w:tcW w:w="103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61.44%</w:t>
            </w:r>
          </w:p>
        </w:tc>
        <w:tc>
          <w:tcPr>
            <w:tcW w:w="1467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10.39</w:t>
            </w:r>
          </w:p>
        </w:tc>
        <w:tc>
          <w:tcPr>
            <w:tcW w:w="1274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6.38</w:t>
            </w:r>
          </w:p>
        </w:tc>
        <w:tc>
          <w:tcPr>
            <w:tcW w:w="109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4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de Gonzalez, AB.  Second solid tumors after radiotherapy for breast cancer in SEER cancer registries. BJC 2010. 102:220-226. Table 3</w:t>
            </w:r>
          </w:p>
        </w:tc>
      </w:tr>
      <w:tr w:rsidR="00F01175" w:rsidRPr="00F01175" w:rsidTr="00F01175">
        <w:trPr>
          <w:trHeight w:val="2140"/>
        </w:trPr>
        <w:tc>
          <w:tcPr>
            <w:tcW w:w="1800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Lung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669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0.03 GY for ipsilateral lung</w:t>
            </w:r>
          </w:p>
        </w:tc>
        <w:tc>
          <w:tcPr>
            <w:tcW w:w="105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0.02%</w:t>
            </w:r>
          </w:p>
        </w:tc>
        <w:tc>
          <w:tcPr>
            <w:tcW w:w="113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6.56%</w:t>
            </w:r>
          </w:p>
        </w:tc>
        <w:tc>
          <w:tcPr>
            <w:tcW w:w="117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7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10.39</w:t>
            </w:r>
          </w:p>
        </w:tc>
        <w:tc>
          <w:tcPr>
            <w:tcW w:w="1274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0.68</w:t>
            </w:r>
          </w:p>
        </w:tc>
        <w:tc>
          <w:tcPr>
            <w:tcW w:w="224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de Gonzalez, AB.  Second solid tumors after radiotherapy for breast cancer in SEER cancer registries. BJC 2010. 102:220-226. Table 3</w:t>
            </w:r>
          </w:p>
        </w:tc>
      </w:tr>
      <w:tr w:rsidR="00F01175" w:rsidRPr="00F01175" w:rsidTr="00F01175">
        <w:trPr>
          <w:trHeight w:val="2130"/>
        </w:trPr>
        <w:tc>
          <w:tcPr>
            <w:tcW w:w="1800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Contralateral breast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EBRT</w:t>
            </w:r>
          </w:p>
        </w:tc>
        <w:tc>
          <w:tcPr>
            <w:tcW w:w="1669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0.22%</w:t>
            </w:r>
          </w:p>
        </w:tc>
        <w:tc>
          <w:tcPr>
            <w:tcW w:w="103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4.66%</w:t>
            </w:r>
          </w:p>
        </w:tc>
        <w:tc>
          <w:tcPr>
            <w:tcW w:w="1467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9.73</w:t>
            </w:r>
          </w:p>
        </w:tc>
        <w:tc>
          <w:tcPr>
            <w:tcW w:w="1274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109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4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de Gonzalez, AB.  Second solid tumors after radiotherapy for breast cancer in SEER cancer registries. BJC 2010. 102:220-226. Table 4</w:t>
            </w:r>
          </w:p>
        </w:tc>
      </w:tr>
      <w:tr w:rsidR="00F01175" w:rsidRPr="00F01175" w:rsidTr="00F01175">
        <w:trPr>
          <w:trHeight w:val="2010"/>
        </w:trPr>
        <w:tc>
          <w:tcPr>
            <w:tcW w:w="1800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lastRenderedPageBreak/>
              <w:t>Contralateral breast cancer</w:t>
            </w:r>
          </w:p>
        </w:tc>
        <w:tc>
          <w:tcPr>
            <w:tcW w:w="96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IORT</w:t>
            </w:r>
          </w:p>
        </w:tc>
        <w:tc>
          <w:tcPr>
            <w:tcW w:w="1669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5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0.06%</w:t>
            </w:r>
          </w:p>
        </w:tc>
        <w:tc>
          <w:tcPr>
            <w:tcW w:w="113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3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19.67%</w:t>
            </w:r>
          </w:p>
        </w:tc>
        <w:tc>
          <w:tcPr>
            <w:tcW w:w="117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7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9.73</w:t>
            </w:r>
          </w:p>
        </w:tc>
        <w:tc>
          <w:tcPr>
            <w:tcW w:w="1274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1.91</w:t>
            </w:r>
          </w:p>
        </w:tc>
        <w:tc>
          <w:tcPr>
            <w:tcW w:w="224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de Gonzalez, AB.  Second solid tumors after radiotherapy for breast cancer in SEER cancer registries. BJC 2010. 102:220-226. Table 4</w:t>
            </w:r>
          </w:p>
        </w:tc>
      </w:tr>
      <w:tr w:rsidR="00F01175" w:rsidRPr="00F01175" w:rsidTr="00F01175">
        <w:trPr>
          <w:trHeight w:val="290"/>
        </w:trPr>
        <w:tc>
          <w:tcPr>
            <w:tcW w:w="1800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Total percentages</w:t>
            </w:r>
          </w:p>
        </w:tc>
        <w:tc>
          <w:tcPr>
            <w:tcW w:w="96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69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0.31%</w:t>
            </w:r>
          </w:p>
        </w:tc>
        <w:tc>
          <w:tcPr>
            <w:tcW w:w="1133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4.72%</w:t>
            </w:r>
          </w:p>
        </w:tc>
        <w:tc>
          <w:tcPr>
            <w:tcW w:w="103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5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11.01</w:t>
            </w:r>
          </w:p>
        </w:tc>
        <w:tc>
          <w:tcPr>
            <w:tcW w:w="109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01175">
              <w:rPr>
                <w:rFonts w:ascii="Calibri" w:eastAsia="Times New Roman" w:hAnsi="Calibri" w:cs="Calibri"/>
                <w:color w:val="000000"/>
              </w:rPr>
              <w:t>11.68</w:t>
            </w:r>
          </w:p>
        </w:tc>
        <w:tc>
          <w:tcPr>
            <w:tcW w:w="2248" w:type="dxa"/>
            <w:shd w:val="clear" w:color="auto" w:fill="auto"/>
            <w:hideMark/>
          </w:tcPr>
          <w:p w:rsidR="00F01175" w:rsidRPr="00F01175" w:rsidRDefault="00F01175" w:rsidP="00F011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01175" w:rsidRDefault="00F01175" w:rsidP="003B5C4C">
      <w:pPr>
        <w:ind w:left="-630"/>
        <w:rPr>
          <w:b/>
          <w:u w:val="single"/>
        </w:rPr>
      </w:pPr>
    </w:p>
    <w:p w:rsidR="00F01175" w:rsidRDefault="00F01175" w:rsidP="003B5C4C">
      <w:pPr>
        <w:ind w:left="-630"/>
        <w:rPr>
          <w:b/>
          <w:u w:val="single"/>
        </w:rPr>
      </w:pPr>
    </w:p>
    <w:p w:rsidR="00F01175" w:rsidRPr="00AE2FA0" w:rsidRDefault="00F01175" w:rsidP="003B5C4C">
      <w:pPr>
        <w:ind w:left="-630"/>
        <w:rPr>
          <w:b/>
          <w:u w:val="single"/>
        </w:rPr>
      </w:pPr>
    </w:p>
    <w:sectPr w:rsidR="00F01175" w:rsidRPr="00AE2FA0" w:rsidSect="00AE2FA0">
      <w:footerReference w:type="default" r:id="rId6"/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CF6" w:rsidRDefault="005F2CF6" w:rsidP="0054240D">
      <w:pPr>
        <w:spacing w:after="0" w:line="240" w:lineRule="auto"/>
      </w:pPr>
      <w:r>
        <w:separator/>
      </w:r>
    </w:p>
  </w:endnote>
  <w:endnote w:type="continuationSeparator" w:id="0">
    <w:p w:rsidR="005F2CF6" w:rsidRDefault="005F2CF6" w:rsidP="0054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0506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3915" w:rsidRDefault="00FC32E3">
        <w:pPr>
          <w:pStyle w:val="Footer"/>
          <w:jc w:val="center"/>
        </w:pPr>
        <w:r>
          <w:fldChar w:fldCharType="begin"/>
        </w:r>
        <w:r w:rsidR="00C33915">
          <w:instrText xml:space="preserve"> PAGE   \* MERGEFORMAT </w:instrText>
        </w:r>
        <w:r>
          <w:fldChar w:fldCharType="separate"/>
        </w:r>
        <w:r w:rsidR="00C766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3915" w:rsidRDefault="00C339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CF6" w:rsidRDefault="005F2CF6" w:rsidP="0054240D">
      <w:pPr>
        <w:spacing w:after="0" w:line="240" w:lineRule="auto"/>
      </w:pPr>
      <w:r>
        <w:separator/>
      </w:r>
    </w:p>
  </w:footnote>
  <w:footnote w:type="continuationSeparator" w:id="0">
    <w:p w:rsidR="005F2CF6" w:rsidRDefault="005F2CF6" w:rsidP="005424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40D"/>
    <w:rsid w:val="00006715"/>
    <w:rsid w:val="000E62A7"/>
    <w:rsid w:val="001772E4"/>
    <w:rsid w:val="001E5326"/>
    <w:rsid w:val="00332E9F"/>
    <w:rsid w:val="003379D6"/>
    <w:rsid w:val="003B5C4C"/>
    <w:rsid w:val="0054240D"/>
    <w:rsid w:val="00596138"/>
    <w:rsid w:val="005F2CF6"/>
    <w:rsid w:val="00710369"/>
    <w:rsid w:val="00917B4D"/>
    <w:rsid w:val="0096202B"/>
    <w:rsid w:val="00AE2FA0"/>
    <w:rsid w:val="00B14C45"/>
    <w:rsid w:val="00C1542A"/>
    <w:rsid w:val="00C33915"/>
    <w:rsid w:val="00C7665F"/>
    <w:rsid w:val="00CA17E5"/>
    <w:rsid w:val="00E723EF"/>
    <w:rsid w:val="00F01175"/>
    <w:rsid w:val="00FC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4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40D"/>
  </w:style>
  <w:style w:type="paragraph" w:styleId="Footer">
    <w:name w:val="footer"/>
    <w:basedOn w:val="Normal"/>
    <w:link w:val="FooterChar"/>
    <w:uiPriority w:val="99"/>
    <w:unhideWhenUsed/>
    <w:rsid w:val="005424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40D"/>
  </w:style>
  <w:style w:type="paragraph" w:styleId="ListParagraph">
    <w:name w:val="List Paragraph"/>
    <w:basedOn w:val="Normal"/>
    <w:uiPriority w:val="34"/>
    <w:qFormat/>
    <w:rsid w:val="001E53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Jeff's</dc:creator>
  <cp:keywords/>
  <dc:description/>
  <cp:lastModifiedBy>0013439</cp:lastModifiedBy>
  <cp:revision>3</cp:revision>
  <dcterms:created xsi:type="dcterms:W3CDTF">2017-06-18T14:04:00Z</dcterms:created>
  <dcterms:modified xsi:type="dcterms:W3CDTF">2017-11-03T10:09:00Z</dcterms:modified>
</cp:coreProperties>
</file>