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6778" w:rsidRPr="007E2CCC" w:rsidRDefault="009B6778" w:rsidP="009B6778">
      <w:pPr>
        <w:pStyle w:val="Heading1"/>
        <w:rPr>
          <w:color w:val="auto"/>
          <w:lang w:eastAsia="zh-CN"/>
        </w:rPr>
      </w:pPr>
      <w:bookmarkStart w:id="0" w:name="_Toc410656215"/>
      <w:r w:rsidRPr="007E2CCC">
        <w:rPr>
          <w:color w:val="auto"/>
          <w:lang w:eastAsia="zh-CN"/>
        </w:rPr>
        <w:t xml:space="preserve">Cost-effectiveness of strategies to prevent road traffic injuries in eastern sub-Saharan Africa </w:t>
      </w:r>
      <w:r w:rsidRPr="007E2CCC">
        <w:rPr>
          <w:noProof/>
          <w:color w:val="auto"/>
          <w:lang w:eastAsia="zh-CN"/>
        </w:rPr>
        <w:t>and</w:t>
      </w:r>
      <w:r w:rsidRPr="007E2CCC">
        <w:rPr>
          <w:color w:val="auto"/>
          <w:lang w:eastAsia="zh-CN"/>
        </w:rPr>
        <w:t xml:space="preserve"> Southeast Asia: new results from WHO-CHOICE </w:t>
      </w:r>
      <w:bookmarkStart w:id="1" w:name="_GoBack"/>
      <w:bookmarkEnd w:id="1"/>
    </w:p>
    <w:p w:rsidR="009B6778" w:rsidRPr="007E2CCC" w:rsidRDefault="009B6778" w:rsidP="009B6778">
      <w:pPr>
        <w:pStyle w:val="Heading1"/>
        <w:rPr>
          <w:color w:val="auto"/>
        </w:rPr>
      </w:pPr>
      <w:r w:rsidRPr="007E2CCC">
        <w:rPr>
          <w:color w:val="auto"/>
          <w:lang w:eastAsia="zh-CN"/>
        </w:rPr>
        <w:t>Additional file 1: Detailed results of the literature review</w:t>
      </w:r>
      <w:r w:rsidR="00EF36CD" w:rsidRPr="007E2CCC">
        <w:rPr>
          <w:color w:val="auto"/>
          <w:lang w:eastAsia="zh-CN"/>
        </w:rPr>
        <w:t xml:space="preserve"> (2006-2014)</w:t>
      </w:r>
    </w:p>
    <w:p w:rsidR="00E27D83" w:rsidRPr="007E2CCC" w:rsidRDefault="00E27D83" w:rsidP="008E0F91">
      <w:pPr>
        <w:pStyle w:val="Heading2"/>
        <w:rPr>
          <w:color w:val="auto"/>
          <w:lang w:bidi="en-US"/>
        </w:rPr>
      </w:pPr>
      <w:bookmarkStart w:id="2" w:name="_Toc404917299"/>
      <w:bookmarkEnd w:id="0"/>
      <w:r w:rsidRPr="007E2CCC">
        <w:rPr>
          <w:color w:val="auto"/>
          <w:lang w:bidi="en-US"/>
        </w:rPr>
        <w:t>Introduction</w:t>
      </w:r>
      <w:bookmarkEnd w:id="2"/>
      <w:r w:rsidRPr="007E2CCC">
        <w:rPr>
          <w:color w:val="auto"/>
          <w:lang w:bidi="en-US"/>
        </w:rPr>
        <w:t xml:space="preserve"> </w:t>
      </w:r>
    </w:p>
    <w:p w:rsidR="00E27D83" w:rsidRPr="007E2CCC" w:rsidRDefault="00E27D83" w:rsidP="00E27D83">
      <w:pPr>
        <w:spacing w:after="120" w:line="240" w:lineRule="auto"/>
        <w:rPr>
          <w:lang w:val="et-EE"/>
        </w:rPr>
      </w:pPr>
      <w:r w:rsidRPr="007E2CCC">
        <w:rPr>
          <w:lang w:val="et-EE"/>
        </w:rPr>
        <w:t xml:space="preserve">The aim of this literature review is to give an overview of recently published data on fatal and non-fatal road traffic injuries, their risk factors and </w:t>
      </w:r>
      <w:r w:rsidR="0077222F" w:rsidRPr="007E2CCC">
        <w:rPr>
          <w:lang w:val="et-EE"/>
        </w:rPr>
        <w:t xml:space="preserve">sequelae in Sub-Saharan Africa </w:t>
      </w:r>
      <w:r w:rsidRPr="007E2CCC">
        <w:rPr>
          <w:lang w:val="et-EE"/>
        </w:rPr>
        <w:t xml:space="preserve">and South-East Asia for renewing the model of cost-effectiveness of road traffic safety interventions. </w:t>
      </w:r>
    </w:p>
    <w:p w:rsidR="00E27D83" w:rsidRPr="007E2CCC" w:rsidRDefault="00E27D83" w:rsidP="00E27D83">
      <w:pPr>
        <w:spacing w:after="120" w:line="240" w:lineRule="auto"/>
        <w:rPr>
          <w:lang w:val="et-EE"/>
        </w:rPr>
      </w:pPr>
      <w:r w:rsidRPr="007E2CCC">
        <w:rPr>
          <w:lang w:val="et-EE"/>
        </w:rPr>
        <w:t>Published studies and unpublished reports on country-specific road traffic injuries, their sequelae and road user distribution from 2006 and later (that were not used in the previous report) were sought by:</w:t>
      </w:r>
    </w:p>
    <w:p w:rsidR="00E27D83" w:rsidRPr="007E2CCC" w:rsidRDefault="00E27D83" w:rsidP="00E27D83">
      <w:pPr>
        <w:numPr>
          <w:ilvl w:val="0"/>
          <w:numId w:val="12"/>
        </w:numPr>
        <w:spacing w:after="120" w:line="240" w:lineRule="auto"/>
        <w:contextualSpacing/>
        <w:rPr>
          <w:lang w:val="et-EE"/>
        </w:rPr>
      </w:pPr>
      <w:r w:rsidRPr="007E2CCC">
        <w:rPr>
          <w:lang w:val="et-EE"/>
        </w:rPr>
        <w:t>An online keyword search using search engines such as EBSCO (incl. Medline), Google Scholar, Google, PubMed</w:t>
      </w:r>
    </w:p>
    <w:p w:rsidR="00E27D83" w:rsidRPr="007E2CCC" w:rsidRDefault="00E27D83" w:rsidP="00E27D83">
      <w:pPr>
        <w:numPr>
          <w:ilvl w:val="0"/>
          <w:numId w:val="12"/>
        </w:numPr>
        <w:spacing w:after="120" w:line="240" w:lineRule="auto"/>
        <w:contextualSpacing/>
        <w:rPr>
          <w:lang w:val="et-EE"/>
        </w:rPr>
      </w:pPr>
      <w:r w:rsidRPr="007E2CCC">
        <w:rPr>
          <w:lang w:val="et-EE"/>
        </w:rPr>
        <w:t>Relevant references cited in articles identified by the electronic search and relevant articles referring to identified articles were selected</w:t>
      </w:r>
    </w:p>
    <w:p w:rsidR="00E27D83" w:rsidRPr="007E2CCC" w:rsidRDefault="00E27D83" w:rsidP="00E27D83">
      <w:pPr>
        <w:spacing w:after="120" w:line="240" w:lineRule="auto"/>
        <w:rPr>
          <w:lang w:val="et-EE"/>
        </w:rPr>
      </w:pPr>
      <w:r w:rsidRPr="007E2CCC">
        <w:rPr>
          <w:lang w:val="et-EE"/>
        </w:rPr>
        <w:t xml:space="preserve">The number of peer-reviewed articles reporting population-based distributions of road traffic injuries by road user category was limited; the majority of the data sources were mostly urban, hospital-based studies. More than one data source was identified for a number of countries. </w:t>
      </w:r>
    </w:p>
    <w:p w:rsidR="00E27D83" w:rsidRPr="007E2CCC" w:rsidRDefault="00E27D83" w:rsidP="00E27D83">
      <w:pPr>
        <w:spacing w:after="120" w:line="240" w:lineRule="auto"/>
        <w:rPr>
          <w:lang w:val="et-EE"/>
        </w:rPr>
      </w:pPr>
      <w:r w:rsidRPr="007E2CCC">
        <w:rPr>
          <w:lang w:val="et-EE"/>
        </w:rPr>
        <w:t xml:space="preserve">Some articles are cited under more than one topic, if they include data on both. </w:t>
      </w:r>
    </w:p>
    <w:p w:rsidR="00E27D83" w:rsidRPr="007E2CCC" w:rsidRDefault="00E27D83" w:rsidP="00E27D83">
      <w:pPr>
        <w:spacing w:after="120" w:line="240" w:lineRule="auto"/>
        <w:rPr>
          <w:lang w:val="et-EE"/>
        </w:rPr>
      </w:pPr>
    </w:p>
    <w:p w:rsidR="00E27D83" w:rsidRPr="007E2CCC" w:rsidRDefault="00E27D83" w:rsidP="009B6778">
      <w:pPr>
        <w:pStyle w:val="Heading2"/>
        <w:rPr>
          <w:color w:val="auto"/>
          <w:lang w:bidi="en-US"/>
        </w:rPr>
      </w:pPr>
      <w:bookmarkStart w:id="3" w:name="_Toc404917300"/>
      <w:r w:rsidRPr="007E2CCC">
        <w:rPr>
          <w:color w:val="auto"/>
          <w:lang w:bidi="en-US"/>
        </w:rPr>
        <w:t>1. Age- and sex-specific road traffic fatality rates</w:t>
      </w:r>
      <w:bookmarkEnd w:id="3"/>
    </w:p>
    <w:p w:rsidR="00E27D83" w:rsidRPr="007E2CCC" w:rsidRDefault="00E27D83" w:rsidP="00E27D83">
      <w:pPr>
        <w:spacing w:after="120" w:line="240" w:lineRule="auto"/>
        <w:rPr>
          <w:lang w:val="et-EE"/>
        </w:rPr>
      </w:pPr>
      <w:r w:rsidRPr="007E2CCC">
        <w:rPr>
          <w:lang w:val="et-EE"/>
        </w:rPr>
        <w:t xml:space="preserve">For attributing total injury estimates across different age groups, we tried to find a sub-set of countries that provided this detailed level of information (data were found for South Africa, Tanzania, India, Thailand). Last (2008) report by Chisholm &amp; Naci found that the overall age distribution for fatalities and non-fatal injuries by road user type does not differ greatly among countries, although South Africa is at variance with the other countries due to a much lower life expectancy in age groups over 60. </w:t>
      </w:r>
    </w:p>
    <w:p w:rsidR="00E27D83" w:rsidRPr="007E2CCC" w:rsidRDefault="00E27D83" w:rsidP="00E27D83">
      <w:pPr>
        <w:spacing w:after="120" w:line="240" w:lineRule="auto"/>
        <w:rPr>
          <w:lang w:val="et-EE"/>
        </w:rPr>
      </w:pPr>
      <w:r w:rsidRPr="007E2CCC">
        <w:rPr>
          <w:lang w:val="et-EE"/>
        </w:rPr>
        <w:t xml:space="preserve">Data on fatal road traffic injuries were more widespread than for non-fatal injuries. Very few studies provided a detailed distribution of road traffic fatalities or injuries by sex and age group, and more detailed age groups were available in very few studies. </w:t>
      </w:r>
    </w:p>
    <w:p w:rsidR="00E27D83" w:rsidRPr="007E2CCC" w:rsidRDefault="00E27D83" w:rsidP="009B6778">
      <w:pPr>
        <w:pStyle w:val="Heading3"/>
        <w:rPr>
          <w:i/>
          <w:iCs/>
          <w:color w:val="auto"/>
          <w:spacing w:val="10"/>
          <w:sz w:val="24"/>
          <w:szCs w:val="60"/>
          <w:lang w:bidi="en-US"/>
        </w:rPr>
      </w:pPr>
      <w:bookmarkStart w:id="4" w:name="_Toc404917301"/>
      <w:r w:rsidRPr="007E2CCC">
        <w:rPr>
          <w:i/>
          <w:iCs/>
          <w:color w:val="auto"/>
          <w:spacing w:val="10"/>
          <w:sz w:val="24"/>
          <w:szCs w:val="60"/>
          <w:lang w:bidi="en-US"/>
        </w:rPr>
        <w:t xml:space="preserve">1.1 Age- and sex specific RTI fatality rates in </w:t>
      </w:r>
      <w:bookmarkEnd w:id="4"/>
      <w:r w:rsidR="0077222F" w:rsidRPr="007E2CCC">
        <w:rPr>
          <w:i/>
          <w:iCs/>
          <w:color w:val="auto"/>
          <w:spacing w:val="10"/>
          <w:sz w:val="24"/>
          <w:szCs w:val="60"/>
          <w:lang w:bidi="en-US"/>
        </w:rPr>
        <w:t>Sub-Saharan Africa</w:t>
      </w:r>
    </w:p>
    <w:p w:rsidR="00E27D83" w:rsidRPr="007E2CCC" w:rsidRDefault="00E27D83" w:rsidP="00E27D83">
      <w:pPr>
        <w:spacing w:after="120" w:line="240" w:lineRule="auto"/>
        <w:rPr>
          <w:lang w:val="et-EE"/>
        </w:rPr>
      </w:pPr>
      <w:r w:rsidRPr="007E2CCC">
        <w:rPr>
          <w:lang w:val="et-EE"/>
        </w:rPr>
        <w:t xml:space="preserve">For </w:t>
      </w:r>
      <w:r w:rsidR="0077222F" w:rsidRPr="007E2CCC">
        <w:rPr>
          <w:lang w:val="et-EE"/>
        </w:rPr>
        <w:t xml:space="preserve">Sub-Saharan Africa </w:t>
      </w:r>
      <w:r w:rsidRPr="007E2CCC">
        <w:rPr>
          <w:lang w:val="et-EE"/>
        </w:rPr>
        <w:t xml:space="preserve">region an age distribution of RTI fatalities was detected for 4 countries, a total of 10 articles. These studies are outlined in Table 1. Of these, data for Republic of South Africa, Tanzania, and Kenya provided a detailed distribution of RTI by age that was close to the distribution used in the previous study. </w:t>
      </w:r>
    </w:p>
    <w:p w:rsidR="00E27D83" w:rsidRPr="007E2CCC" w:rsidRDefault="00E27D83" w:rsidP="00E27D83">
      <w:pPr>
        <w:spacing w:after="120" w:line="240" w:lineRule="auto"/>
        <w:rPr>
          <w:lang w:val="et-EE"/>
        </w:rPr>
      </w:pPr>
      <w:r w:rsidRPr="007E2CCC">
        <w:rPr>
          <w:lang w:val="et-EE"/>
        </w:rPr>
        <w:t xml:space="preserve">Most comprehensive statistics on RTI fatalities are available for South Africa where a mortality surveillance system is in place. For Kenya one hospital-based study was found, as well as one report based on data from the police, and one survey study. For Tanzania and Ethiopia survey data and a few hospital-based studies were found. In most of these studies road traffic fatality data were reported by age groups and by sex separately, so that a detailed age/sex distribution has to be imputed. </w:t>
      </w:r>
    </w:p>
    <w:p w:rsidR="00E27D83" w:rsidRPr="007E2CCC" w:rsidRDefault="00E27D83" w:rsidP="00E27D83">
      <w:pPr>
        <w:spacing w:after="120" w:line="240" w:lineRule="auto"/>
        <w:rPr>
          <w:lang w:val="et-EE"/>
        </w:rPr>
      </w:pPr>
    </w:p>
    <w:p w:rsidR="00E27D83" w:rsidRPr="007E2CCC" w:rsidRDefault="00E27D83" w:rsidP="00E27D83">
      <w:pPr>
        <w:spacing w:after="120" w:line="240" w:lineRule="auto"/>
        <w:rPr>
          <w:lang w:val="et-EE"/>
        </w:rPr>
      </w:pPr>
      <w:r w:rsidRPr="007E2CCC">
        <w:rPr>
          <w:b/>
          <w:lang w:val="et-EE"/>
        </w:rPr>
        <w:t>Table 1.</w:t>
      </w:r>
      <w:r w:rsidRPr="007E2CCC">
        <w:rPr>
          <w:lang w:val="et-EE"/>
        </w:rPr>
        <w:t xml:space="preserve"> Data sources for age- and sex-specific road traffic fatality rates in </w:t>
      </w:r>
      <w:r w:rsidR="0077222F" w:rsidRPr="007E2CCC">
        <w:rPr>
          <w:lang w:val="et-EE"/>
        </w:rPr>
        <w:t>Sub-Saharan Africa</w:t>
      </w:r>
    </w:p>
    <w:tbl>
      <w:tblPr>
        <w:tblW w:w="9780" w:type="dxa"/>
        <w:tblInd w:w="55" w:type="dxa"/>
        <w:tblLayout w:type="fixed"/>
        <w:tblCellMar>
          <w:left w:w="70" w:type="dxa"/>
          <w:right w:w="70" w:type="dxa"/>
        </w:tblCellMar>
        <w:tblLook w:val="04A0"/>
      </w:tblPr>
      <w:tblGrid>
        <w:gridCol w:w="2567"/>
        <w:gridCol w:w="851"/>
        <w:gridCol w:w="850"/>
        <w:gridCol w:w="1134"/>
        <w:gridCol w:w="709"/>
        <w:gridCol w:w="1275"/>
        <w:gridCol w:w="1276"/>
        <w:gridCol w:w="1118"/>
      </w:tblGrid>
      <w:tr w:rsidR="007E2CCC" w:rsidRPr="007E2CCC" w:rsidTr="0077222F">
        <w:trPr>
          <w:trHeight w:val="570"/>
        </w:trPr>
        <w:tc>
          <w:tcPr>
            <w:tcW w:w="2567" w:type="dxa"/>
            <w:tcBorders>
              <w:top w:val="single" w:sz="4" w:space="0" w:color="auto"/>
              <w:left w:val="single" w:sz="4" w:space="0" w:color="auto"/>
              <w:bottom w:val="single" w:sz="4" w:space="0" w:color="auto"/>
              <w:right w:val="single" w:sz="4" w:space="0" w:color="auto"/>
            </w:tcBorders>
            <w:shd w:val="clear" w:color="000000" w:fill="D8D8D8"/>
            <w:vAlign w:val="center"/>
            <w:hideMark/>
          </w:tcPr>
          <w:p w:rsidR="00E27D83" w:rsidRPr="007E2CCC" w:rsidRDefault="00E27D83" w:rsidP="00E27D83">
            <w:pPr>
              <w:spacing w:after="0" w:line="240" w:lineRule="auto"/>
              <w:rPr>
                <w:rFonts w:eastAsia="Times New Roman" w:cs="Arial"/>
                <w:b/>
                <w:bCs/>
                <w:sz w:val="18"/>
                <w:szCs w:val="18"/>
                <w:lang w:val="et-EE" w:eastAsia="et-EE"/>
              </w:rPr>
            </w:pPr>
            <w:r w:rsidRPr="007E2CCC">
              <w:rPr>
                <w:rFonts w:eastAsia="Times New Roman" w:cs="Arial"/>
                <w:b/>
                <w:bCs/>
                <w:sz w:val="18"/>
                <w:szCs w:val="18"/>
                <w:lang w:val="et-EE" w:eastAsia="et-EE"/>
              </w:rPr>
              <w:t>Reference</w:t>
            </w:r>
          </w:p>
        </w:tc>
        <w:tc>
          <w:tcPr>
            <w:tcW w:w="851" w:type="dxa"/>
            <w:tcBorders>
              <w:top w:val="single" w:sz="4" w:space="0" w:color="auto"/>
              <w:left w:val="single" w:sz="4" w:space="0" w:color="auto"/>
              <w:bottom w:val="single" w:sz="4" w:space="0" w:color="auto"/>
              <w:right w:val="single" w:sz="4" w:space="0" w:color="auto"/>
            </w:tcBorders>
            <w:shd w:val="clear" w:color="000000" w:fill="D8D8D8"/>
            <w:vAlign w:val="center"/>
            <w:hideMark/>
          </w:tcPr>
          <w:p w:rsidR="00E27D83" w:rsidRPr="007E2CCC" w:rsidRDefault="00E27D83" w:rsidP="00E27D83">
            <w:pPr>
              <w:spacing w:after="0" w:line="240" w:lineRule="auto"/>
              <w:rPr>
                <w:rFonts w:eastAsia="Times New Roman" w:cs="Arial"/>
                <w:b/>
                <w:bCs/>
                <w:sz w:val="18"/>
                <w:szCs w:val="18"/>
                <w:lang w:val="et-EE" w:eastAsia="et-EE"/>
              </w:rPr>
            </w:pPr>
            <w:r w:rsidRPr="007E2CCC">
              <w:rPr>
                <w:rFonts w:eastAsia="Times New Roman" w:cs="Arial"/>
                <w:b/>
                <w:bCs/>
                <w:sz w:val="18"/>
                <w:szCs w:val="18"/>
                <w:lang w:val="et-EE" w:eastAsia="et-EE"/>
              </w:rPr>
              <w:t>Country</w:t>
            </w:r>
          </w:p>
        </w:tc>
        <w:tc>
          <w:tcPr>
            <w:tcW w:w="850" w:type="dxa"/>
            <w:tcBorders>
              <w:top w:val="single" w:sz="4" w:space="0" w:color="auto"/>
              <w:left w:val="single" w:sz="4" w:space="0" w:color="auto"/>
              <w:bottom w:val="single" w:sz="4" w:space="0" w:color="auto"/>
              <w:right w:val="single" w:sz="4" w:space="0" w:color="auto"/>
            </w:tcBorders>
            <w:shd w:val="clear" w:color="000000" w:fill="D8D8D8"/>
            <w:vAlign w:val="center"/>
            <w:hideMark/>
          </w:tcPr>
          <w:p w:rsidR="00E27D83" w:rsidRPr="007E2CCC" w:rsidRDefault="00E27D83" w:rsidP="00E27D83">
            <w:pPr>
              <w:spacing w:after="0" w:line="240" w:lineRule="auto"/>
              <w:rPr>
                <w:rFonts w:eastAsia="Times New Roman" w:cs="Arial"/>
                <w:b/>
                <w:bCs/>
                <w:sz w:val="18"/>
                <w:szCs w:val="18"/>
                <w:lang w:val="et-EE" w:eastAsia="et-EE"/>
              </w:rPr>
            </w:pPr>
            <w:r w:rsidRPr="007E2CCC">
              <w:rPr>
                <w:rFonts w:eastAsia="Times New Roman" w:cs="Arial"/>
                <w:b/>
                <w:bCs/>
                <w:sz w:val="18"/>
                <w:szCs w:val="18"/>
                <w:lang w:val="et-EE" w:eastAsia="et-EE"/>
              </w:rPr>
              <w:t>Region</w:t>
            </w:r>
          </w:p>
        </w:tc>
        <w:tc>
          <w:tcPr>
            <w:tcW w:w="1134" w:type="dxa"/>
            <w:tcBorders>
              <w:top w:val="single" w:sz="4" w:space="0" w:color="auto"/>
              <w:left w:val="single" w:sz="4" w:space="0" w:color="auto"/>
              <w:bottom w:val="single" w:sz="4" w:space="0" w:color="auto"/>
              <w:right w:val="single" w:sz="4" w:space="0" w:color="auto"/>
            </w:tcBorders>
            <w:shd w:val="clear" w:color="000000" w:fill="D8D8D8"/>
            <w:vAlign w:val="center"/>
            <w:hideMark/>
          </w:tcPr>
          <w:p w:rsidR="00E27D83" w:rsidRPr="007E2CCC" w:rsidRDefault="00E27D83" w:rsidP="00E27D83">
            <w:pPr>
              <w:spacing w:after="0" w:line="240" w:lineRule="auto"/>
              <w:rPr>
                <w:rFonts w:eastAsia="Times New Roman" w:cs="Arial"/>
                <w:b/>
                <w:bCs/>
                <w:sz w:val="18"/>
                <w:szCs w:val="18"/>
                <w:lang w:val="et-EE" w:eastAsia="et-EE"/>
              </w:rPr>
            </w:pPr>
            <w:r w:rsidRPr="007E2CCC">
              <w:rPr>
                <w:rFonts w:eastAsia="Times New Roman" w:cs="Arial"/>
                <w:b/>
                <w:bCs/>
                <w:sz w:val="18"/>
                <w:szCs w:val="18"/>
                <w:lang w:val="et-EE" w:eastAsia="et-EE"/>
              </w:rPr>
              <w:t>Type of data</w:t>
            </w:r>
          </w:p>
        </w:tc>
        <w:tc>
          <w:tcPr>
            <w:tcW w:w="709" w:type="dxa"/>
            <w:tcBorders>
              <w:top w:val="single" w:sz="4" w:space="0" w:color="auto"/>
              <w:left w:val="single" w:sz="4" w:space="0" w:color="auto"/>
              <w:bottom w:val="single" w:sz="4" w:space="0" w:color="auto"/>
              <w:right w:val="single" w:sz="4" w:space="0" w:color="auto"/>
            </w:tcBorders>
            <w:shd w:val="clear" w:color="000000" w:fill="D8D8D8"/>
            <w:vAlign w:val="center"/>
            <w:hideMark/>
          </w:tcPr>
          <w:p w:rsidR="00E27D83" w:rsidRPr="007E2CCC" w:rsidRDefault="00E27D83" w:rsidP="00E27D83">
            <w:pPr>
              <w:spacing w:after="0" w:line="240" w:lineRule="auto"/>
              <w:rPr>
                <w:rFonts w:eastAsia="Times New Roman" w:cs="Arial"/>
                <w:b/>
                <w:bCs/>
                <w:sz w:val="18"/>
                <w:szCs w:val="18"/>
                <w:lang w:val="et-EE" w:eastAsia="et-EE"/>
              </w:rPr>
            </w:pPr>
            <w:r w:rsidRPr="007E2CCC">
              <w:rPr>
                <w:rFonts w:eastAsia="Times New Roman" w:cs="Arial"/>
                <w:b/>
                <w:bCs/>
                <w:sz w:val="18"/>
                <w:szCs w:val="18"/>
                <w:lang w:val="et-EE" w:eastAsia="et-EE"/>
              </w:rPr>
              <w:t>Data period</w:t>
            </w:r>
          </w:p>
        </w:tc>
        <w:tc>
          <w:tcPr>
            <w:tcW w:w="1275" w:type="dxa"/>
            <w:tcBorders>
              <w:top w:val="single" w:sz="4" w:space="0" w:color="auto"/>
              <w:left w:val="single" w:sz="4" w:space="0" w:color="auto"/>
              <w:bottom w:val="single" w:sz="4" w:space="0" w:color="auto"/>
              <w:right w:val="single" w:sz="4" w:space="0" w:color="auto"/>
            </w:tcBorders>
            <w:shd w:val="clear" w:color="000000" w:fill="D8D8D8"/>
            <w:vAlign w:val="center"/>
            <w:hideMark/>
          </w:tcPr>
          <w:p w:rsidR="00E27D83" w:rsidRPr="007E2CCC" w:rsidRDefault="00E27D83" w:rsidP="00E27D83">
            <w:pPr>
              <w:spacing w:after="0" w:line="240" w:lineRule="auto"/>
              <w:rPr>
                <w:rFonts w:eastAsia="Times New Roman" w:cs="Arial"/>
                <w:b/>
                <w:bCs/>
                <w:sz w:val="18"/>
                <w:szCs w:val="18"/>
                <w:lang w:val="et-EE" w:eastAsia="et-EE"/>
              </w:rPr>
            </w:pPr>
            <w:r w:rsidRPr="007E2CCC">
              <w:rPr>
                <w:rFonts w:eastAsia="Times New Roman" w:cs="Arial"/>
                <w:b/>
                <w:bCs/>
                <w:sz w:val="18"/>
                <w:szCs w:val="18"/>
                <w:lang w:val="et-EE" w:eastAsia="et-EE"/>
              </w:rPr>
              <w:t>n</w:t>
            </w:r>
          </w:p>
        </w:tc>
        <w:tc>
          <w:tcPr>
            <w:tcW w:w="1276" w:type="dxa"/>
            <w:tcBorders>
              <w:top w:val="single" w:sz="4" w:space="0" w:color="auto"/>
              <w:left w:val="single" w:sz="4" w:space="0" w:color="auto"/>
              <w:bottom w:val="single" w:sz="4" w:space="0" w:color="auto"/>
              <w:right w:val="single" w:sz="4" w:space="0" w:color="auto"/>
            </w:tcBorders>
            <w:shd w:val="clear" w:color="000000" w:fill="D8D8D8"/>
            <w:vAlign w:val="center"/>
            <w:hideMark/>
          </w:tcPr>
          <w:p w:rsidR="00E27D83" w:rsidRPr="007E2CCC" w:rsidRDefault="00E27D83" w:rsidP="00E27D83">
            <w:pPr>
              <w:spacing w:after="0" w:line="240" w:lineRule="auto"/>
              <w:rPr>
                <w:rFonts w:eastAsia="Times New Roman" w:cs="Arial"/>
                <w:b/>
                <w:bCs/>
                <w:sz w:val="18"/>
                <w:szCs w:val="18"/>
                <w:lang w:val="et-EE" w:eastAsia="et-EE"/>
              </w:rPr>
            </w:pPr>
            <w:r w:rsidRPr="007E2CCC">
              <w:rPr>
                <w:rFonts w:eastAsia="Times New Roman" w:cs="Arial"/>
                <w:b/>
                <w:bCs/>
                <w:sz w:val="18"/>
                <w:szCs w:val="18"/>
                <w:lang w:val="et-EE" w:eastAsia="et-EE"/>
              </w:rPr>
              <w:t>Age groups reported</w:t>
            </w:r>
          </w:p>
        </w:tc>
        <w:tc>
          <w:tcPr>
            <w:tcW w:w="1118" w:type="dxa"/>
            <w:tcBorders>
              <w:top w:val="single" w:sz="4" w:space="0" w:color="auto"/>
              <w:left w:val="single" w:sz="4" w:space="0" w:color="auto"/>
              <w:bottom w:val="single" w:sz="4" w:space="0" w:color="auto"/>
              <w:right w:val="single" w:sz="4" w:space="0" w:color="auto"/>
            </w:tcBorders>
            <w:shd w:val="clear" w:color="000000" w:fill="D8D8D8"/>
            <w:vAlign w:val="center"/>
            <w:hideMark/>
          </w:tcPr>
          <w:p w:rsidR="00E27D83" w:rsidRPr="007E2CCC" w:rsidRDefault="00E27D83" w:rsidP="00E27D83">
            <w:pPr>
              <w:spacing w:after="0" w:line="240" w:lineRule="auto"/>
              <w:rPr>
                <w:rFonts w:eastAsia="Times New Roman" w:cs="Arial"/>
                <w:b/>
                <w:bCs/>
                <w:sz w:val="18"/>
                <w:szCs w:val="18"/>
                <w:lang w:val="et-EE" w:eastAsia="et-EE"/>
              </w:rPr>
            </w:pPr>
            <w:r w:rsidRPr="007E2CCC">
              <w:rPr>
                <w:rFonts w:eastAsia="Times New Roman" w:cs="Arial"/>
                <w:b/>
                <w:bCs/>
                <w:sz w:val="18"/>
                <w:szCs w:val="18"/>
                <w:lang w:val="et-EE" w:eastAsia="et-EE"/>
              </w:rPr>
              <w:t>Findings</w:t>
            </w:r>
          </w:p>
        </w:tc>
      </w:tr>
      <w:tr w:rsidR="007E2CCC" w:rsidRPr="007E2CCC" w:rsidTr="0077222F">
        <w:trPr>
          <w:trHeight w:val="960"/>
        </w:trPr>
        <w:tc>
          <w:tcPr>
            <w:tcW w:w="2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7D83" w:rsidRPr="007E2CCC" w:rsidRDefault="00E27D83" w:rsidP="00E27D83">
            <w:pPr>
              <w:spacing w:after="0" w:line="240" w:lineRule="auto"/>
              <w:rPr>
                <w:rFonts w:eastAsia="Times New Roman" w:cs="Arial"/>
                <w:sz w:val="18"/>
                <w:szCs w:val="18"/>
                <w:lang w:val="et-EE" w:eastAsia="et-EE"/>
              </w:rPr>
            </w:pPr>
            <w:r w:rsidRPr="007E2CCC">
              <w:rPr>
                <w:rFonts w:eastAsia="Times New Roman" w:cs="Arial"/>
                <w:sz w:val="18"/>
                <w:szCs w:val="18"/>
                <w:lang w:val="et-EE" w:eastAsia="et-EE"/>
              </w:rPr>
              <w:t xml:space="preserve">Norman, R., Matzopoulos, R., Groenewald, P., &amp; Bradshawa, D. (2007). The high burden of injuries in South Africa. </w:t>
            </w:r>
            <w:r w:rsidRPr="007E2CCC">
              <w:rPr>
                <w:rFonts w:eastAsia="Times New Roman" w:cs="Arial"/>
                <w:i/>
                <w:iCs/>
                <w:sz w:val="18"/>
                <w:szCs w:val="18"/>
                <w:lang w:val="et-EE" w:eastAsia="et-EE"/>
              </w:rPr>
              <w:t>Bulletin of the World Health Organization 2007</w:t>
            </w:r>
            <w:r w:rsidRPr="007E2CCC">
              <w:rPr>
                <w:rFonts w:eastAsia="Times New Roman" w:cs="Arial"/>
                <w:sz w:val="18"/>
                <w:szCs w:val="18"/>
                <w:lang w:val="et-EE" w:eastAsia="et-EE"/>
              </w:rPr>
              <w:t>(85), 695–702.</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7D83" w:rsidRPr="007E2CCC" w:rsidRDefault="00E27D83" w:rsidP="00E27D83">
            <w:pPr>
              <w:spacing w:after="0" w:line="240" w:lineRule="auto"/>
              <w:rPr>
                <w:rFonts w:eastAsia="Times New Roman" w:cs="Arial"/>
                <w:sz w:val="18"/>
                <w:szCs w:val="18"/>
                <w:lang w:val="et-EE" w:eastAsia="et-EE"/>
              </w:rPr>
            </w:pPr>
            <w:r w:rsidRPr="007E2CCC">
              <w:rPr>
                <w:rFonts w:eastAsia="Times New Roman" w:cs="Arial"/>
                <w:sz w:val="18"/>
                <w:szCs w:val="18"/>
                <w:lang w:val="et-EE" w:eastAsia="et-EE"/>
              </w:rPr>
              <w:t>South Africa</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7D83" w:rsidRPr="007E2CCC" w:rsidRDefault="00E27D83" w:rsidP="00E27D83">
            <w:pPr>
              <w:spacing w:after="0" w:line="240" w:lineRule="auto"/>
              <w:rPr>
                <w:rFonts w:eastAsia="Times New Roman" w:cs="Arial"/>
                <w:sz w:val="18"/>
                <w:szCs w:val="18"/>
                <w:lang w:val="et-EE" w:eastAsia="et-EE"/>
              </w:rPr>
            </w:pPr>
            <w:r w:rsidRPr="007E2CCC">
              <w:rPr>
                <w:rFonts w:eastAsia="Times New Roman" w:cs="Arial"/>
                <w:sz w:val="18"/>
                <w:szCs w:val="18"/>
                <w:lang w:val="et-EE" w:eastAsia="et-EE"/>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7D83" w:rsidRPr="007E2CCC" w:rsidRDefault="00E27D83" w:rsidP="00E27D83">
            <w:pPr>
              <w:spacing w:after="0" w:line="240" w:lineRule="auto"/>
              <w:rPr>
                <w:rFonts w:eastAsia="Times New Roman" w:cs="Arial"/>
                <w:sz w:val="18"/>
                <w:szCs w:val="18"/>
                <w:lang w:val="et-EE" w:eastAsia="et-EE"/>
              </w:rPr>
            </w:pPr>
            <w:r w:rsidRPr="007E2CCC">
              <w:rPr>
                <w:rFonts w:eastAsia="Times New Roman" w:cs="Arial"/>
                <w:sz w:val="18"/>
                <w:szCs w:val="18"/>
                <w:lang w:val="et-EE" w:eastAsia="et-EE"/>
              </w:rPr>
              <w:t>surveillance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7D83" w:rsidRPr="007E2CCC" w:rsidRDefault="00E27D83" w:rsidP="00E27D83">
            <w:pPr>
              <w:spacing w:after="0" w:line="240" w:lineRule="auto"/>
              <w:jc w:val="right"/>
              <w:rPr>
                <w:rFonts w:eastAsia="Times New Roman" w:cs="Arial"/>
                <w:sz w:val="18"/>
                <w:szCs w:val="18"/>
                <w:lang w:val="et-EE" w:eastAsia="et-EE"/>
              </w:rPr>
            </w:pPr>
            <w:r w:rsidRPr="007E2CCC">
              <w:rPr>
                <w:rFonts w:eastAsia="Times New Roman" w:cs="Arial"/>
                <w:sz w:val="18"/>
                <w:szCs w:val="18"/>
                <w:lang w:val="et-EE" w:eastAsia="et-EE"/>
              </w:rPr>
              <w:t>2000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7D83" w:rsidRPr="007E2CCC" w:rsidRDefault="00E27D83" w:rsidP="00E27D83">
            <w:pPr>
              <w:spacing w:after="0" w:line="240" w:lineRule="auto"/>
              <w:rPr>
                <w:rFonts w:eastAsia="Times New Roman" w:cs="Arial"/>
                <w:sz w:val="18"/>
                <w:szCs w:val="18"/>
                <w:lang w:val="et-EE" w:eastAsia="et-EE"/>
              </w:rPr>
            </w:pPr>
            <w:r w:rsidRPr="007E2CCC">
              <w:rPr>
                <w:rFonts w:eastAsia="Times New Roman" w:cs="Arial"/>
                <w:sz w:val="18"/>
                <w:szCs w:val="18"/>
                <w:lang w:val="et-EE" w:eastAsia="et-EE"/>
              </w:rPr>
              <w:t>59 935 injury deaths</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7D83" w:rsidRPr="007E2CCC" w:rsidRDefault="00E27D83" w:rsidP="00E27D83">
            <w:pPr>
              <w:spacing w:after="0" w:line="240" w:lineRule="auto"/>
              <w:rPr>
                <w:rFonts w:eastAsia="Times New Roman" w:cs="Arial"/>
                <w:sz w:val="18"/>
                <w:szCs w:val="18"/>
                <w:lang w:val="et-EE" w:eastAsia="et-EE"/>
              </w:rPr>
            </w:pPr>
            <w:r w:rsidRPr="007E2CCC">
              <w:rPr>
                <w:rFonts w:eastAsia="Times New Roman" w:cs="Arial"/>
                <w:sz w:val="18"/>
                <w:szCs w:val="18"/>
                <w:lang w:val="et-EE" w:eastAsia="et-EE"/>
              </w:rPr>
              <w:t>0-4, 5-14, 15-29, 30-44, &gt;60</w:t>
            </w:r>
          </w:p>
        </w:tc>
        <w:tc>
          <w:tcPr>
            <w:tcW w:w="11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7D83" w:rsidRPr="007E2CCC" w:rsidRDefault="00E27D83" w:rsidP="00E27D83">
            <w:pPr>
              <w:spacing w:after="0" w:line="240" w:lineRule="auto"/>
              <w:rPr>
                <w:rFonts w:eastAsia="Times New Roman" w:cs="Arial"/>
                <w:sz w:val="18"/>
                <w:szCs w:val="18"/>
                <w:lang w:val="et-EE" w:eastAsia="et-EE"/>
              </w:rPr>
            </w:pPr>
            <w:r w:rsidRPr="007E2CCC">
              <w:rPr>
                <w:rFonts w:eastAsia="Times New Roman" w:cs="Arial"/>
                <w:sz w:val="18"/>
                <w:szCs w:val="18"/>
                <w:lang w:val="et-EE" w:eastAsia="et-EE"/>
              </w:rPr>
              <w:t>Rate per 100 000 by sex &amp; age group</w:t>
            </w:r>
          </w:p>
        </w:tc>
      </w:tr>
      <w:tr w:rsidR="007E2CCC" w:rsidRPr="007E2CCC" w:rsidTr="0077222F">
        <w:trPr>
          <w:trHeight w:val="1678"/>
        </w:trPr>
        <w:tc>
          <w:tcPr>
            <w:tcW w:w="2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7D83" w:rsidRPr="007E2CCC" w:rsidRDefault="00E27D83" w:rsidP="00E27D83">
            <w:pPr>
              <w:spacing w:after="0" w:line="240" w:lineRule="auto"/>
              <w:rPr>
                <w:rFonts w:eastAsia="Times New Roman" w:cs="Arial"/>
                <w:sz w:val="18"/>
                <w:szCs w:val="18"/>
                <w:lang w:val="et-EE" w:eastAsia="et-EE"/>
              </w:rPr>
            </w:pPr>
            <w:r w:rsidRPr="007E2CCC">
              <w:rPr>
                <w:rFonts w:eastAsia="Times New Roman" w:cs="Arial"/>
                <w:i/>
                <w:sz w:val="18"/>
                <w:szCs w:val="18"/>
                <w:lang w:val="et-EE" w:eastAsia="et-EE"/>
              </w:rPr>
              <w:t>A profile of fatal injuries in South Africa</w:t>
            </w:r>
            <w:r w:rsidRPr="007E2CCC">
              <w:rPr>
                <w:rFonts w:eastAsia="Times New Roman" w:cs="Arial"/>
                <w:sz w:val="18"/>
                <w:szCs w:val="18"/>
                <w:lang w:val="et-EE" w:eastAsia="et-EE"/>
              </w:rPr>
              <w:t xml:space="preserve"> - 7th Annual Report of the NATIONAL INJURY MORTALITY SURVEILLANCE SYSTEM 2005 </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7D83" w:rsidRPr="007E2CCC" w:rsidRDefault="00E27D83" w:rsidP="00E27D83">
            <w:pPr>
              <w:spacing w:after="0" w:line="240" w:lineRule="auto"/>
              <w:rPr>
                <w:rFonts w:eastAsia="Times New Roman" w:cs="Arial"/>
                <w:sz w:val="18"/>
                <w:szCs w:val="18"/>
                <w:lang w:val="et-EE" w:eastAsia="et-EE"/>
              </w:rPr>
            </w:pPr>
            <w:r w:rsidRPr="007E2CCC">
              <w:rPr>
                <w:rFonts w:eastAsia="Times New Roman" w:cs="Arial"/>
                <w:sz w:val="18"/>
                <w:szCs w:val="18"/>
                <w:lang w:val="et-EE" w:eastAsia="et-EE"/>
              </w:rPr>
              <w:t>South Africa</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7D83" w:rsidRPr="007E2CCC" w:rsidRDefault="00E27D83" w:rsidP="00E27D83">
            <w:pPr>
              <w:spacing w:after="0" w:line="240" w:lineRule="auto"/>
              <w:rPr>
                <w:rFonts w:eastAsia="Times New Roman" w:cs="Arial"/>
                <w:sz w:val="18"/>
                <w:szCs w:val="18"/>
                <w:lang w:val="et-EE" w:eastAsia="et-EE"/>
              </w:rPr>
            </w:pPr>
            <w:r w:rsidRPr="007E2CCC">
              <w:rPr>
                <w:rFonts w:eastAsia="Times New Roman" w:cs="Arial"/>
                <w:sz w:val="18"/>
                <w:szCs w:val="18"/>
                <w:lang w:val="et-EE" w:eastAsia="et-EE"/>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7D83" w:rsidRPr="007E2CCC" w:rsidRDefault="00E27D83" w:rsidP="00E27D83">
            <w:pPr>
              <w:spacing w:after="0" w:line="240" w:lineRule="auto"/>
              <w:rPr>
                <w:rFonts w:eastAsia="Times New Roman" w:cs="Arial"/>
                <w:sz w:val="18"/>
                <w:szCs w:val="18"/>
                <w:lang w:val="et-EE" w:eastAsia="et-EE"/>
              </w:rPr>
            </w:pPr>
            <w:r w:rsidRPr="007E2CCC">
              <w:rPr>
                <w:rFonts w:eastAsia="Times New Roman" w:cs="Arial"/>
                <w:sz w:val="18"/>
                <w:szCs w:val="18"/>
                <w:lang w:val="et-EE" w:eastAsia="et-EE"/>
              </w:rPr>
              <w:t>surveillance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7D83" w:rsidRPr="007E2CCC" w:rsidRDefault="00E27D83" w:rsidP="00E27D83">
            <w:pPr>
              <w:spacing w:after="0" w:line="240" w:lineRule="auto"/>
              <w:jc w:val="right"/>
              <w:rPr>
                <w:rFonts w:eastAsia="Times New Roman" w:cs="Arial"/>
                <w:sz w:val="18"/>
                <w:szCs w:val="18"/>
                <w:lang w:val="et-EE" w:eastAsia="et-EE"/>
              </w:rPr>
            </w:pPr>
            <w:r w:rsidRPr="007E2CCC">
              <w:rPr>
                <w:rFonts w:eastAsia="Times New Roman" w:cs="Arial"/>
                <w:sz w:val="18"/>
                <w:szCs w:val="18"/>
                <w:lang w:val="et-EE" w:eastAsia="et-EE"/>
              </w:rPr>
              <w:t>2005</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7D83" w:rsidRPr="007E2CCC" w:rsidRDefault="00E27D83" w:rsidP="00E27D83">
            <w:pPr>
              <w:spacing w:after="0" w:line="240" w:lineRule="auto"/>
              <w:rPr>
                <w:rFonts w:eastAsia="Times New Roman" w:cs="Arial"/>
                <w:sz w:val="18"/>
                <w:szCs w:val="18"/>
                <w:lang w:val="et-EE" w:eastAsia="et-EE"/>
              </w:rPr>
            </w:pPr>
            <w:r w:rsidRPr="007E2CCC">
              <w:rPr>
                <w:rFonts w:eastAsia="Times New Roman" w:cs="Arial"/>
                <w:sz w:val="18"/>
                <w:szCs w:val="18"/>
                <w:lang w:val="et-EE" w:eastAsia="et-EE"/>
              </w:rPr>
              <w:t>29 596 injury deaths, 5675 traffic deaths</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7D83" w:rsidRPr="007E2CCC" w:rsidRDefault="00E27D83" w:rsidP="00E27D83">
            <w:pPr>
              <w:spacing w:after="0" w:line="240" w:lineRule="auto"/>
              <w:rPr>
                <w:rFonts w:eastAsia="Times New Roman" w:cs="Arial"/>
                <w:sz w:val="18"/>
                <w:szCs w:val="18"/>
                <w:lang w:val="et-EE" w:eastAsia="et-EE"/>
              </w:rPr>
            </w:pPr>
            <w:r w:rsidRPr="007E2CCC">
              <w:rPr>
                <w:rFonts w:eastAsia="Times New Roman" w:cs="Arial"/>
                <w:sz w:val="18"/>
                <w:szCs w:val="18"/>
                <w:lang w:val="et-EE" w:eastAsia="et-EE"/>
              </w:rPr>
              <w:t>&lt;1, 1-4, 5-9, 10-14, 15-19, 20-24, 25-29, 30-34, 35-39, 40-44, 45-49, 50-54, 55-59, 60-64, 65+</w:t>
            </w:r>
          </w:p>
        </w:tc>
        <w:tc>
          <w:tcPr>
            <w:tcW w:w="11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7D83" w:rsidRPr="007E2CCC" w:rsidRDefault="00E27D83" w:rsidP="00E27D83">
            <w:pPr>
              <w:spacing w:after="0" w:line="240" w:lineRule="auto"/>
              <w:rPr>
                <w:rFonts w:eastAsia="Times New Roman" w:cs="Arial"/>
                <w:sz w:val="18"/>
                <w:szCs w:val="18"/>
                <w:lang w:val="et-EE" w:eastAsia="et-EE"/>
              </w:rPr>
            </w:pPr>
            <w:r w:rsidRPr="007E2CCC">
              <w:rPr>
                <w:rFonts w:eastAsia="Times New Roman" w:cs="Arial"/>
                <w:sz w:val="18"/>
                <w:szCs w:val="18"/>
                <w:lang w:val="et-EE" w:eastAsia="et-EE"/>
              </w:rPr>
              <w:t>Absolute numbers by age group</w:t>
            </w:r>
          </w:p>
        </w:tc>
      </w:tr>
      <w:tr w:rsidR="007E2CCC" w:rsidRPr="007E2CCC" w:rsidTr="0077222F">
        <w:trPr>
          <w:trHeight w:val="765"/>
        </w:trPr>
        <w:tc>
          <w:tcPr>
            <w:tcW w:w="2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7D83" w:rsidRPr="007E2CCC" w:rsidRDefault="00E27D83" w:rsidP="00E27D83">
            <w:pPr>
              <w:spacing w:after="0" w:line="240" w:lineRule="auto"/>
              <w:rPr>
                <w:rFonts w:eastAsia="Times New Roman" w:cs="Arial"/>
                <w:sz w:val="18"/>
                <w:szCs w:val="18"/>
                <w:lang w:val="et-EE" w:eastAsia="et-EE"/>
              </w:rPr>
            </w:pPr>
            <w:r w:rsidRPr="007E2CCC">
              <w:rPr>
                <w:rFonts w:eastAsia="Times New Roman" w:cs="Arial"/>
                <w:sz w:val="18"/>
                <w:szCs w:val="18"/>
                <w:lang w:val="et-EE" w:eastAsia="et-EE"/>
              </w:rPr>
              <w:t xml:space="preserve">Statistics South Africa (2009). </w:t>
            </w:r>
            <w:r w:rsidRPr="007E2CCC">
              <w:rPr>
                <w:rFonts w:eastAsia="Times New Roman" w:cs="Arial"/>
                <w:i/>
                <w:sz w:val="18"/>
                <w:szCs w:val="18"/>
                <w:lang w:val="et-EE" w:eastAsia="et-EE"/>
              </w:rPr>
              <w:t>Road Traffic Accident Deaths in South Africa, 2001–2006: Evidence from death notification.</w:t>
            </w:r>
            <w:r w:rsidRPr="007E2CCC">
              <w:rPr>
                <w:rFonts w:eastAsia="Times New Roman" w:cs="Arial"/>
                <w:sz w:val="18"/>
                <w:szCs w:val="18"/>
                <w:lang w:val="et-EE" w:eastAsia="et-EE"/>
              </w:rPr>
              <w:t xml:space="preserve"> Report No. 03-09-07 (2001–2006). </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7D83" w:rsidRPr="007E2CCC" w:rsidRDefault="00E27D83" w:rsidP="00E27D83">
            <w:pPr>
              <w:spacing w:after="0" w:line="240" w:lineRule="auto"/>
              <w:rPr>
                <w:rFonts w:eastAsia="Times New Roman" w:cs="Arial"/>
                <w:sz w:val="18"/>
                <w:szCs w:val="18"/>
                <w:lang w:val="et-EE" w:eastAsia="et-EE"/>
              </w:rPr>
            </w:pPr>
            <w:r w:rsidRPr="007E2CCC">
              <w:rPr>
                <w:rFonts w:eastAsia="Times New Roman" w:cs="Arial"/>
                <w:sz w:val="18"/>
                <w:szCs w:val="18"/>
                <w:lang w:val="et-EE" w:eastAsia="et-EE"/>
              </w:rPr>
              <w:t>South Africa</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7D83" w:rsidRPr="007E2CCC" w:rsidRDefault="00E27D83" w:rsidP="00E27D83">
            <w:pPr>
              <w:spacing w:after="0" w:line="240" w:lineRule="auto"/>
              <w:rPr>
                <w:rFonts w:eastAsia="Times New Roman" w:cs="Arial"/>
                <w:sz w:val="18"/>
                <w:szCs w:val="18"/>
                <w:lang w:val="et-EE" w:eastAsia="et-EE"/>
              </w:rPr>
            </w:pPr>
            <w:r w:rsidRPr="007E2CCC">
              <w:rPr>
                <w:rFonts w:eastAsia="Times New Roman" w:cs="Arial"/>
                <w:sz w:val="18"/>
                <w:szCs w:val="18"/>
                <w:lang w:val="et-EE" w:eastAsia="et-EE"/>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7D83" w:rsidRPr="007E2CCC" w:rsidRDefault="00E27D83" w:rsidP="00E27D83">
            <w:pPr>
              <w:spacing w:after="0" w:line="240" w:lineRule="auto"/>
              <w:rPr>
                <w:rFonts w:eastAsia="Times New Roman" w:cs="Arial"/>
                <w:sz w:val="18"/>
                <w:szCs w:val="18"/>
                <w:lang w:val="et-EE" w:eastAsia="et-EE"/>
              </w:rPr>
            </w:pPr>
            <w:r w:rsidRPr="007E2CCC">
              <w:rPr>
                <w:rFonts w:eastAsia="Times New Roman" w:cs="Arial"/>
                <w:sz w:val="18"/>
                <w:szCs w:val="18"/>
                <w:lang w:val="et-EE" w:eastAsia="et-EE"/>
              </w:rPr>
              <w:t>death notifications</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7D83" w:rsidRPr="007E2CCC" w:rsidRDefault="00E27D83" w:rsidP="00E27D83">
            <w:pPr>
              <w:spacing w:after="0" w:line="240" w:lineRule="auto"/>
              <w:rPr>
                <w:rFonts w:eastAsia="Times New Roman" w:cs="Arial"/>
                <w:sz w:val="18"/>
                <w:szCs w:val="18"/>
                <w:lang w:val="et-EE" w:eastAsia="et-EE"/>
              </w:rPr>
            </w:pPr>
            <w:r w:rsidRPr="007E2CCC">
              <w:rPr>
                <w:rFonts w:eastAsia="Times New Roman" w:cs="Arial"/>
                <w:sz w:val="18"/>
                <w:szCs w:val="18"/>
                <w:lang w:val="et-EE" w:eastAsia="et-EE"/>
              </w:rPr>
              <w:t>2001-2006</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7D83" w:rsidRPr="007E2CCC" w:rsidRDefault="00E27D83" w:rsidP="00E27D83">
            <w:pPr>
              <w:spacing w:after="0" w:line="240" w:lineRule="auto"/>
              <w:rPr>
                <w:rFonts w:eastAsia="Times New Roman" w:cs="Arial"/>
                <w:sz w:val="18"/>
                <w:szCs w:val="18"/>
                <w:lang w:val="et-EE" w:eastAsia="et-EE"/>
              </w:rPr>
            </w:pPr>
            <w:r w:rsidRPr="007E2CCC">
              <w:rPr>
                <w:rFonts w:eastAsia="Times New Roman" w:cs="Arial"/>
                <w:sz w:val="18"/>
                <w:szCs w:val="18"/>
                <w:lang w:val="et-EE" w:eastAsia="et-EE"/>
              </w:rPr>
              <w:t>28 890 road traffic deaths</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7D83" w:rsidRPr="007E2CCC" w:rsidRDefault="00E27D83" w:rsidP="00E27D83">
            <w:pPr>
              <w:spacing w:after="0" w:line="240" w:lineRule="auto"/>
              <w:rPr>
                <w:rFonts w:eastAsia="Times New Roman" w:cs="Arial"/>
                <w:sz w:val="18"/>
                <w:szCs w:val="18"/>
                <w:lang w:val="et-EE" w:eastAsia="et-EE"/>
              </w:rPr>
            </w:pPr>
            <w:r w:rsidRPr="007E2CCC">
              <w:rPr>
                <w:rFonts w:eastAsia="Times New Roman" w:cs="Arial"/>
                <w:sz w:val="18"/>
                <w:szCs w:val="18"/>
                <w:lang w:val="et-EE" w:eastAsia="et-EE"/>
              </w:rPr>
              <w:t>0-14, 15-24, 25-34, 35-49, 50-64, 65+</w:t>
            </w:r>
          </w:p>
        </w:tc>
        <w:tc>
          <w:tcPr>
            <w:tcW w:w="11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7D83" w:rsidRPr="007E2CCC" w:rsidRDefault="00E27D83" w:rsidP="00E27D83">
            <w:pPr>
              <w:spacing w:after="0" w:line="240" w:lineRule="auto"/>
              <w:rPr>
                <w:rFonts w:eastAsia="Times New Roman" w:cs="Arial"/>
                <w:sz w:val="18"/>
                <w:szCs w:val="18"/>
                <w:lang w:val="et-EE" w:eastAsia="et-EE"/>
              </w:rPr>
            </w:pPr>
            <w:r w:rsidRPr="007E2CCC">
              <w:rPr>
                <w:rFonts w:eastAsia="Times New Roman" w:cs="Arial"/>
                <w:sz w:val="18"/>
                <w:szCs w:val="18"/>
                <w:lang w:val="et-EE" w:eastAsia="et-EE"/>
              </w:rPr>
              <w:t>Deaths per 100 000 by sex &amp; year, deaths per 100 000 by age &amp; year, deaths per 100 000 by sex and age</w:t>
            </w:r>
          </w:p>
        </w:tc>
      </w:tr>
      <w:tr w:rsidR="007E2CCC" w:rsidRPr="007E2CCC" w:rsidTr="0077222F">
        <w:trPr>
          <w:trHeight w:val="1200"/>
        </w:trPr>
        <w:tc>
          <w:tcPr>
            <w:tcW w:w="2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7D83" w:rsidRPr="007E2CCC" w:rsidRDefault="00E27D83" w:rsidP="00E27D83">
            <w:pPr>
              <w:spacing w:after="0" w:line="240" w:lineRule="auto"/>
              <w:rPr>
                <w:rFonts w:eastAsia="Times New Roman" w:cs="Arial"/>
                <w:sz w:val="18"/>
                <w:szCs w:val="18"/>
                <w:lang w:val="et-EE" w:eastAsia="et-EE"/>
              </w:rPr>
            </w:pPr>
            <w:r w:rsidRPr="007E2CCC">
              <w:rPr>
                <w:rFonts w:eastAsia="Times New Roman" w:cs="Arial"/>
                <w:sz w:val="18"/>
                <w:szCs w:val="18"/>
                <w:lang w:val="et-EE" w:eastAsia="et-EE"/>
              </w:rPr>
              <w:t xml:space="preserve">Bachani, A. M., Koradia, P., Herbert, H. K., Mogere, S., Akungah, D., Nyamari, J., Osoro, E., Maina, W., &amp; Stevens, K. A. (2012) Road Traffic Injuries in Kenya: The Health Burden and Risk Factors in Two Districts, </w:t>
            </w:r>
            <w:r w:rsidRPr="007E2CCC">
              <w:rPr>
                <w:rFonts w:eastAsia="Times New Roman" w:cs="Arial"/>
                <w:i/>
                <w:iCs/>
                <w:sz w:val="18"/>
                <w:szCs w:val="18"/>
                <w:lang w:val="et-EE" w:eastAsia="et-EE"/>
              </w:rPr>
              <w:t>Traffic Injury Prevention, 13</w:t>
            </w:r>
            <w:r w:rsidRPr="007E2CCC">
              <w:rPr>
                <w:rFonts w:eastAsia="Times New Roman" w:cs="Arial"/>
                <w:sz w:val="18"/>
                <w:szCs w:val="18"/>
                <w:lang w:val="et-EE" w:eastAsia="et-EE"/>
              </w:rPr>
              <w:t>(sup1), 24-30.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7D83" w:rsidRPr="007E2CCC" w:rsidRDefault="00E27D83" w:rsidP="00E27D83">
            <w:pPr>
              <w:spacing w:after="0" w:line="240" w:lineRule="auto"/>
              <w:rPr>
                <w:rFonts w:eastAsia="Times New Roman" w:cs="Arial"/>
                <w:sz w:val="18"/>
                <w:szCs w:val="18"/>
                <w:lang w:val="et-EE" w:eastAsia="et-EE"/>
              </w:rPr>
            </w:pPr>
            <w:r w:rsidRPr="007E2CCC">
              <w:rPr>
                <w:rFonts w:eastAsia="Times New Roman" w:cs="Arial"/>
                <w:sz w:val="18"/>
                <w:szCs w:val="18"/>
                <w:lang w:val="et-EE" w:eastAsia="et-EE"/>
              </w:rPr>
              <w:t>Kenya</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7D83" w:rsidRPr="007E2CCC" w:rsidRDefault="00E27D83" w:rsidP="00E27D83">
            <w:pPr>
              <w:spacing w:after="0" w:line="240" w:lineRule="auto"/>
              <w:rPr>
                <w:rFonts w:eastAsia="Times New Roman" w:cs="Arial"/>
                <w:sz w:val="18"/>
                <w:szCs w:val="18"/>
                <w:lang w:val="et-EE" w:eastAsia="et-EE"/>
              </w:rPr>
            </w:pPr>
            <w:r w:rsidRPr="007E2CCC">
              <w:rPr>
                <w:rFonts w:eastAsia="Times New Roman" w:cs="Arial"/>
                <w:sz w:val="18"/>
                <w:szCs w:val="18"/>
                <w:lang w:val="et-EE" w:eastAsia="et-EE"/>
              </w:rPr>
              <w:t>Thika, Naivasha, urban + rural</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7D83" w:rsidRPr="007E2CCC" w:rsidRDefault="00E27D83" w:rsidP="00E27D83">
            <w:pPr>
              <w:spacing w:after="0" w:line="240" w:lineRule="auto"/>
              <w:rPr>
                <w:rFonts w:eastAsia="Times New Roman" w:cs="Arial"/>
                <w:sz w:val="18"/>
                <w:szCs w:val="18"/>
                <w:lang w:val="et-EE" w:eastAsia="et-EE"/>
              </w:rPr>
            </w:pPr>
            <w:r w:rsidRPr="007E2CCC">
              <w:rPr>
                <w:rFonts w:eastAsia="Times New Roman" w:cs="Arial"/>
                <w:sz w:val="18"/>
                <w:szCs w:val="18"/>
                <w:lang w:val="et-EE" w:eastAsia="et-EE"/>
              </w:rPr>
              <w:t>traffic police, vital registration, observations</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7D83" w:rsidRPr="007E2CCC" w:rsidRDefault="00E27D83" w:rsidP="00E27D83">
            <w:pPr>
              <w:spacing w:after="0" w:line="240" w:lineRule="auto"/>
              <w:rPr>
                <w:rFonts w:eastAsia="Times New Roman" w:cs="Arial"/>
                <w:sz w:val="18"/>
                <w:szCs w:val="18"/>
                <w:lang w:val="et-EE" w:eastAsia="et-EE"/>
              </w:rPr>
            </w:pPr>
            <w:r w:rsidRPr="007E2CCC">
              <w:rPr>
                <w:rFonts w:eastAsia="Times New Roman" w:cs="Arial"/>
                <w:sz w:val="18"/>
                <w:szCs w:val="18"/>
                <w:lang w:val="et-EE" w:eastAsia="et-EE"/>
              </w:rPr>
              <w:t>2004-2009</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7D83" w:rsidRPr="007E2CCC" w:rsidRDefault="00E27D83" w:rsidP="00E27D83">
            <w:pPr>
              <w:spacing w:after="0" w:line="240" w:lineRule="auto"/>
              <w:rPr>
                <w:rFonts w:eastAsia="Times New Roman" w:cs="Arial"/>
                <w:sz w:val="18"/>
                <w:szCs w:val="18"/>
                <w:lang w:val="et-EE" w:eastAsia="et-EE"/>
              </w:rPr>
            </w:pPr>
            <w:r w:rsidRPr="007E2CCC">
              <w:rPr>
                <w:rFonts w:eastAsia="Times New Roman" w:cs="Arial"/>
                <w:sz w:val="18"/>
                <w:szCs w:val="18"/>
                <w:lang w:val="et-EE" w:eastAsia="et-EE"/>
              </w:rPr>
              <w:t>n/a</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7D83" w:rsidRPr="007E2CCC" w:rsidRDefault="00E27D83" w:rsidP="00E27D83">
            <w:pPr>
              <w:spacing w:after="0" w:line="240" w:lineRule="auto"/>
              <w:rPr>
                <w:rFonts w:eastAsia="Times New Roman" w:cs="Arial"/>
                <w:sz w:val="18"/>
                <w:szCs w:val="18"/>
                <w:lang w:val="et-EE" w:eastAsia="et-EE"/>
              </w:rPr>
            </w:pPr>
            <w:r w:rsidRPr="007E2CCC">
              <w:rPr>
                <w:rFonts w:eastAsia="Times New Roman" w:cs="Arial"/>
                <w:sz w:val="18"/>
                <w:szCs w:val="18"/>
                <w:lang w:val="et-EE" w:eastAsia="et-EE"/>
              </w:rPr>
              <w:t>&lt;1, 1-4, 5-14, 15-24, 25-34, 35-44, 45-54, 55-74, &gt;74</w:t>
            </w:r>
          </w:p>
        </w:tc>
        <w:tc>
          <w:tcPr>
            <w:tcW w:w="11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7D83" w:rsidRPr="007E2CCC" w:rsidRDefault="00E27D83" w:rsidP="00E27D83">
            <w:pPr>
              <w:spacing w:after="0" w:line="240" w:lineRule="auto"/>
              <w:rPr>
                <w:rFonts w:eastAsia="Times New Roman" w:cs="Arial"/>
                <w:sz w:val="18"/>
                <w:szCs w:val="18"/>
                <w:lang w:val="et-EE" w:eastAsia="et-EE"/>
              </w:rPr>
            </w:pPr>
            <w:r w:rsidRPr="007E2CCC">
              <w:rPr>
                <w:rFonts w:eastAsia="Times New Roman" w:cs="Arial"/>
                <w:sz w:val="18"/>
                <w:szCs w:val="18"/>
                <w:lang w:val="et-EE" w:eastAsia="et-EE"/>
              </w:rPr>
              <w:t>% of RTI fatalities by sex &amp; age</w:t>
            </w:r>
          </w:p>
        </w:tc>
      </w:tr>
      <w:tr w:rsidR="007E2CCC" w:rsidRPr="007E2CCC" w:rsidTr="0077222F">
        <w:trPr>
          <w:trHeight w:val="1785"/>
        </w:trPr>
        <w:tc>
          <w:tcPr>
            <w:tcW w:w="2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7D83" w:rsidRPr="007E2CCC" w:rsidRDefault="00E27D83" w:rsidP="00E27D83">
            <w:pPr>
              <w:spacing w:after="0" w:line="240" w:lineRule="auto"/>
              <w:rPr>
                <w:rFonts w:eastAsia="Times New Roman" w:cs="Arial"/>
                <w:sz w:val="18"/>
                <w:szCs w:val="18"/>
                <w:lang w:val="et-EE" w:eastAsia="et-EE"/>
              </w:rPr>
            </w:pPr>
            <w:r w:rsidRPr="007E2CCC">
              <w:rPr>
                <w:rFonts w:eastAsia="Times New Roman" w:cs="Arial"/>
                <w:sz w:val="18"/>
                <w:szCs w:val="18"/>
                <w:lang w:val="et-EE" w:eastAsia="et-EE"/>
              </w:rPr>
              <w:t xml:space="preserve">Gichuhi , K. (2007). Injury Pattern Among Non-fatal Road Traffic Crash Victims. </w:t>
            </w:r>
            <w:r w:rsidRPr="007E2CCC">
              <w:rPr>
                <w:rFonts w:eastAsia="Times New Roman" w:cs="Arial"/>
                <w:i/>
                <w:iCs/>
                <w:sz w:val="18"/>
                <w:szCs w:val="18"/>
                <w:lang w:val="et-EE" w:eastAsia="et-EE"/>
              </w:rPr>
              <w:t xml:space="preserve">East African Orthopaedic Journal 1. 23-25. </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7D83" w:rsidRPr="007E2CCC" w:rsidRDefault="00E27D83" w:rsidP="00E27D83">
            <w:pPr>
              <w:spacing w:after="0" w:line="240" w:lineRule="auto"/>
              <w:rPr>
                <w:rFonts w:eastAsia="Times New Roman" w:cs="Arial"/>
                <w:sz w:val="18"/>
                <w:szCs w:val="18"/>
                <w:lang w:val="et-EE" w:eastAsia="et-EE"/>
              </w:rPr>
            </w:pPr>
            <w:r w:rsidRPr="007E2CCC">
              <w:rPr>
                <w:rFonts w:eastAsia="Times New Roman" w:cs="Arial"/>
                <w:sz w:val="18"/>
                <w:szCs w:val="18"/>
                <w:lang w:val="et-EE" w:eastAsia="et-EE"/>
              </w:rPr>
              <w:t>Kenya</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7D83" w:rsidRPr="007E2CCC" w:rsidRDefault="00E27D83" w:rsidP="00E27D83">
            <w:pPr>
              <w:spacing w:after="0" w:line="240" w:lineRule="auto"/>
              <w:rPr>
                <w:rFonts w:eastAsia="Times New Roman" w:cs="Arial"/>
                <w:sz w:val="18"/>
                <w:szCs w:val="18"/>
                <w:lang w:val="et-EE" w:eastAsia="et-EE"/>
              </w:rPr>
            </w:pPr>
            <w:r w:rsidRPr="007E2CCC">
              <w:rPr>
                <w:rFonts w:eastAsia="Times New Roman" w:cs="Arial"/>
                <w:sz w:val="18"/>
                <w:szCs w:val="18"/>
                <w:lang w:val="et-EE" w:eastAsia="et-EE"/>
              </w:rPr>
              <w:t>Nairobi, urban?</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7D83" w:rsidRPr="007E2CCC" w:rsidRDefault="00E27D83" w:rsidP="00E27D83">
            <w:pPr>
              <w:spacing w:after="0" w:line="240" w:lineRule="auto"/>
              <w:rPr>
                <w:rFonts w:eastAsia="Times New Roman" w:cs="Arial"/>
                <w:sz w:val="18"/>
                <w:szCs w:val="18"/>
                <w:lang w:val="et-EE" w:eastAsia="et-EE"/>
              </w:rPr>
            </w:pPr>
            <w:r w:rsidRPr="007E2CCC">
              <w:rPr>
                <w:rFonts w:eastAsia="Times New Roman" w:cs="Arial"/>
                <w:sz w:val="18"/>
                <w:szCs w:val="18"/>
                <w:lang w:val="et-EE" w:eastAsia="et-EE"/>
              </w:rPr>
              <w:t>hospital-based study</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7D83" w:rsidRPr="007E2CCC" w:rsidRDefault="00E27D83" w:rsidP="00E27D83">
            <w:pPr>
              <w:spacing w:after="0" w:line="240" w:lineRule="auto"/>
              <w:jc w:val="right"/>
              <w:rPr>
                <w:rFonts w:eastAsia="Times New Roman" w:cs="Arial"/>
                <w:sz w:val="18"/>
                <w:szCs w:val="18"/>
                <w:lang w:val="et-EE" w:eastAsia="et-EE"/>
              </w:rPr>
            </w:pPr>
            <w:r w:rsidRPr="007E2CCC">
              <w:rPr>
                <w:rFonts w:eastAsia="Times New Roman" w:cs="Arial"/>
                <w:sz w:val="18"/>
                <w:szCs w:val="18"/>
                <w:lang w:val="et-EE" w:eastAsia="et-EE"/>
              </w:rPr>
              <w:t>2004</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7D83" w:rsidRPr="007E2CCC" w:rsidRDefault="00E27D83" w:rsidP="00E27D83">
            <w:pPr>
              <w:spacing w:after="0" w:line="240" w:lineRule="auto"/>
              <w:rPr>
                <w:rFonts w:eastAsia="Times New Roman" w:cs="Arial"/>
                <w:sz w:val="18"/>
                <w:szCs w:val="18"/>
                <w:lang w:val="et-EE" w:eastAsia="et-EE"/>
              </w:rPr>
            </w:pPr>
            <w:r w:rsidRPr="007E2CCC">
              <w:rPr>
                <w:rFonts w:eastAsia="Times New Roman" w:cs="Arial"/>
                <w:sz w:val="18"/>
                <w:szCs w:val="18"/>
                <w:lang w:val="et-EE" w:eastAsia="et-EE"/>
              </w:rPr>
              <w:t>1424 RTI victims treated in hospital</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7D83" w:rsidRPr="007E2CCC" w:rsidRDefault="00E27D83" w:rsidP="00E27D83">
            <w:pPr>
              <w:spacing w:after="0" w:line="240" w:lineRule="auto"/>
              <w:rPr>
                <w:rFonts w:eastAsia="Times New Roman" w:cs="Arial"/>
                <w:sz w:val="18"/>
                <w:szCs w:val="18"/>
                <w:lang w:val="et-EE" w:eastAsia="et-EE"/>
              </w:rPr>
            </w:pPr>
            <w:r w:rsidRPr="007E2CCC">
              <w:rPr>
                <w:rFonts w:eastAsia="Times New Roman" w:cs="Arial"/>
                <w:sz w:val="18"/>
                <w:szCs w:val="18"/>
                <w:lang w:val="et-EE" w:eastAsia="et-EE"/>
              </w:rPr>
              <w:t>0-4, 5-9, 10-14, 15-19, 20-24, 25-29, 30-34, 35-39, 40-44, 45-49, 50-54, 55-59, 60-64, 65-69, 70+</w:t>
            </w:r>
          </w:p>
        </w:tc>
        <w:tc>
          <w:tcPr>
            <w:tcW w:w="11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7D83" w:rsidRPr="007E2CCC" w:rsidRDefault="00E27D83" w:rsidP="00E27D83">
            <w:pPr>
              <w:spacing w:after="0" w:line="240" w:lineRule="auto"/>
              <w:rPr>
                <w:rFonts w:eastAsia="Times New Roman" w:cs="Arial"/>
                <w:sz w:val="18"/>
                <w:szCs w:val="18"/>
                <w:lang w:val="et-EE" w:eastAsia="et-EE"/>
              </w:rPr>
            </w:pPr>
            <w:r w:rsidRPr="007E2CCC">
              <w:rPr>
                <w:rFonts w:eastAsia="Times New Roman" w:cs="Arial"/>
                <w:sz w:val="18"/>
                <w:szCs w:val="18"/>
                <w:lang w:val="et-EE" w:eastAsia="et-EE"/>
              </w:rPr>
              <w:t>Number of RTIs by age group</w:t>
            </w:r>
          </w:p>
        </w:tc>
      </w:tr>
      <w:tr w:rsidR="007E2CCC" w:rsidRPr="007E2CCC" w:rsidTr="0077222F">
        <w:trPr>
          <w:trHeight w:val="825"/>
        </w:trPr>
        <w:tc>
          <w:tcPr>
            <w:tcW w:w="2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7D83" w:rsidRPr="007E2CCC" w:rsidRDefault="00E27D83" w:rsidP="00E27D83">
            <w:pPr>
              <w:spacing w:after="0" w:line="240" w:lineRule="auto"/>
              <w:rPr>
                <w:rFonts w:eastAsia="Times New Roman" w:cs="Arial"/>
                <w:sz w:val="18"/>
                <w:szCs w:val="18"/>
                <w:lang w:val="et-EE" w:eastAsia="et-EE"/>
              </w:rPr>
            </w:pPr>
            <w:r w:rsidRPr="007E2CCC">
              <w:rPr>
                <w:rFonts w:eastAsia="Times New Roman" w:cs="Arial"/>
                <w:sz w:val="18"/>
                <w:szCs w:val="18"/>
                <w:lang w:val="et-EE" w:eastAsia="et-EE"/>
              </w:rPr>
              <w:t xml:space="preserve">Macharia , W. M., Njeru, E. K., Muli-Musiime, F., &amp; Nantulya, V. (2009). Severe road traffic injuries in Kenya, quality of care and access. </w:t>
            </w:r>
            <w:r w:rsidRPr="007E2CCC">
              <w:rPr>
                <w:rFonts w:eastAsia="Times New Roman" w:cs="Arial"/>
                <w:i/>
                <w:iCs/>
                <w:sz w:val="18"/>
                <w:szCs w:val="18"/>
                <w:lang w:val="et-EE" w:eastAsia="et-EE"/>
              </w:rPr>
              <w:t>African Health Sciences 9</w:t>
            </w:r>
            <w:r w:rsidRPr="007E2CCC">
              <w:rPr>
                <w:rFonts w:eastAsia="Times New Roman" w:cs="Arial"/>
                <w:sz w:val="18"/>
                <w:szCs w:val="18"/>
                <w:lang w:val="et-EE" w:eastAsia="et-EE"/>
              </w:rPr>
              <w:t>(2), 118-124.</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7D83" w:rsidRPr="007E2CCC" w:rsidRDefault="00E27D83" w:rsidP="00E27D83">
            <w:pPr>
              <w:spacing w:after="0" w:line="240" w:lineRule="auto"/>
              <w:rPr>
                <w:rFonts w:eastAsia="Times New Roman" w:cs="Arial"/>
                <w:sz w:val="18"/>
                <w:szCs w:val="18"/>
                <w:lang w:val="et-EE" w:eastAsia="et-EE"/>
              </w:rPr>
            </w:pPr>
            <w:r w:rsidRPr="007E2CCC">
              <w:rPr>
                <w:rFonts w:eastAsia="Times New Roman" w:cs="Arial"/>
                <w:sz w:val="18"/>
                <w:szCs w:val="18"/>
                <w:lang w:val="et-EE" w:eastAsia="et-EE"/>
              </w:rPr>
              <w:t>Kenya</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7D83" w:rsidRPr="007E2CCC" w:rsidRDefault="00E27D83" w:rsidP="00E27D83">
            <w:pPr>
              <w:spacing w:after="0" w:line="240" w:lineRule="auto"/>
              <w:rPr>
                <w:rFonts w:eastAsia="Times New Roman" w:cs="Arial"/>
                <w:sz w:val="18"/>
                <w:szCs w:val="18"/>
                <w:lang w:val="et-EE" w:eastAsia="et-EE"/>
              </w:rPr>
            </w:pPr>
            <w:r w:rsidRPr="007E2CCC">
              <w:rPr>
                <w:rFonts w:eastAsia="Times New Roman" w:cs="Arial"/>
                <w:sz w:val="18"/>
                <w:szCs w:val="18"/>
                <w:lang w:val="et-EE" w:eastAsia="et-EE"/>
              </w:rPr>
              <w:t>n/a</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7D83" w:rsidRPr="007E2CCC" w:rsidRDefault="00E27D83" w:rsidP="00E27D83">
            <w:pPr>
              <w:spacing w:after="0" w:line="240" w:lineRule="auto"/>
              <w:rPr>
                <w:rFonts w:eastAsia="Times New Roman" w:cs="Arial"/>
                <w:sz w:val="18"/>
                <w:szCs w:val="18"/>
                <w:lang w:val="et-EE" w:eastAsia="et-EE"/>
              </w:rPr>
            </w:pPr>
            <w:r w:rsidRPr="007E2CCC">
              <w:rPr>
                <w:rFonts w:eastAsia="Times New Roman" w:cs="Arial"/>
                <w:sz w:val="18"/>
                <w:szCs w:val="18"/>
                <w:lang w:val="et-EE" w:eastAsia="et-EE"/>
              </w:rPr>
              <w:t>survey</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7D83" w:rsidRPr="007E2CCC" w:rsidRDefault="00E27D83" w:rsidP="00E27D83">
            <w:pPr>
              <w:spacing w:after="0" w:line="240" w:lineRule="auto"/>
              <w:rPr>
                <w:rFonts w:eastAsia="Times New Roman" w:cs="Arial"/>
                <w:sz w:val="18"/>
                <w:szCs w:val="18"/>
                <w:lang w:val="et-EE" w:eastAsia="et-EE"/>
              </w:rPr>
            </w:pPr>
            <w:r w:rsidRPr="007E2CCC">
              <w:rPr>
                <w:rFonts w:eastAsia="Times New Roman" w:cs="Arial"/>
                <w:sz w:val="18"/>
                <w:szCs w:val="18"/>
                <w:lang w:val="et-EE" w:eastAsia="et-EE"/>
              </w:rPr>
              <w:t>1998-1999</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7D83" w:rsidRPr="007E2CCC" w:rsidRDefault="00E27D83" w:rsidP="00E27D83">
            <w:pPr>
              <w:spacing w:after="0" w:line="240" w:lineRule="auto"/>
              <w:rPr>
                <w:rFonts w:eastAsia="Times New Roman" w:cs="Arial"/>
                <w:sz w:val="18"/>
                <w:szCs w:val="18"/>
                <w:lang w:val="et-EE" w:eastAsia="et-EE"/>
              </w:rPr>
            </w:pPr>
            <w:r w:rsidRPr="007E2CCC">
              <w:rPr>
                <w:rFonts w:eastAsia="Times New Roman" w:cs="Arial"/>
                <w:sz w:val="18"/>
                <w:szCs w:val="18"/>
                <w:lang w:val="et-EE" w:eastAsia="et-EE"/>
              </w:rPr>
              <w:t>310 RTI casualties</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7D83" w:rsidRPr="007E2CCC" w:rsidRDefault="00E27D83" w:rsidP="00E27D83">
            <w:pPr>
              <w:spacing w:after="0" w:line="240" w:lineRule="auto"/>
              <w:rPr>
                <w:rFonts w:eastAsia="Times New Roman" w:cs="Arial"/>
                <w:sz w:val="18"/>
                <w:szCs w:val="18"/>
                <w:lang w:val="et-EE" w:eastAsia="et-EE"/>
              </w:rPr>
            </w:pPr>
            <w:r w:rsidRPr="007E2CCC">
              <w:rPr>
                <w:rFonts w:eastAsia="Times New Roman" w:cs="Arial"/>
                <w:sz w:val="18"/>
                <w:szCs w:val="18"/>
                <w:lang w:val="et-EE" w:eastAsia="et-EE"/>
              </w:rPr>
              <w:t>&lt;15, 15-24, 25-49, &gt;49</w:t>
            </w:r>
          </w:p>
        </w:tc>
        <w:tc>
          <w:tcPr>
            <w:tcW w:w="11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7D83" w:rsidRPr="007E2CCC" w:rsidRDefault="00E27D83" w:rsidP="00E27D83">
            <w:pPr>
              <w:spacing w:after="0" w:line="240" w:lineRule="auto"/>
              <w:rPr>
                <w:rFonts w:eastAsia="Times New Roman" w:cs="Arial"/>
                <w:sz w:val="18"/>
                <w:szCs w:val="18"/>
                <w:lang w:val="et-EE" w:eastAsia="et-EE"/>
              </w:rPr>
            </w:pPr>
            <w:r w:rsidRPr="007E2CCC">
              <w:rPr>
                <w:rFonts w:eastAsia="Times New Roman" w:cs="Arial"/>
                <w:sz w:val="18"/>
                <w:szCs w:val="18"/>
                <w:lang w:val="et-EE" w:eastAsia="et-EE"/>
              </w:rPr>
              <w:t>Number of RTIs by age group, number of RTIs by sex</w:t>
            </w:r>
          </w:p>
        </w:tc>
      </w:tr>
      <w:tr w:rsidR="007E2CCC" w:rsidRPr="007E2CCC" w:rsidTr="0077222F">
        <w:trPr>
          <w:trHeight w:val="960"/>
        </w:trPr>
        <w:tc>
          <w:tcPr>
            <w:tcW w:w="2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7D83" w:rsidRPr="007E2CCC" w:rsidRDefault="00E27D83" w:rsidP="00E27D83">
            <w:pPr>
              <w:spacing w:after="0" w:line="240" w:lineRule="auto"/>
              <w:rPr>
                <w:rFonts w:eastAsia="Times New Roman" w:cs="Arial"/>
                <w:sz w:val="18"/>
                <w:szCs w:val="18"/>
                <w:lang w:val="et-EE" w:eastAsia="et-EE"/>
              </w:rPr>
            </w:pPr>
            <w:r w:rsidRPr="007E2CCC">
              <w:rPr>
                <w:rFonts w:eastAsia="Times New Roman" w:cs="Arial"/>
                <w:sz w:val="18"/>
                <w:szCs w:val="18"/>
                <w:lang w:val="et-EE" w:eastAsia="et-EE"/>
              </w:rPr>
              <w:t xml:space="preserve">Komba, D. D. (2006). </w:t>
            </w:r>
            <w:r w:rsidRPr="007E2CCC">
              <w:rPr>
                <w:rFonts w:eastAsia="Times New Roman" w:cs="Arial"/>
                <w:i/>
                <w:iCs/>
                <w:sz w:val="18"/>
                <w:szCs w:val="18"/>
                <w:lang w:val="et-EE" w:eastAsia="et-EE"/>
              </w:rPr>
              <w:t>Risk Factors and Road Traffic Accidents in Tanzania: A Case Study of Kibaha District</w:t>
            </w:r>
            <w:r w:rsidRPr="007E2CCC">
              <w:rPr>
                <w:rFonts w:eastAsia="Times New Roman" w:cs="Arial"/>
                <w:sz w:val="18"/>
                <w:szCs w:val="18"/>
                <w:lang w:val="et-EE" w:eastAsia="et-EE"/>
              </w:rPr>
              <w:t>. Master Thesis in Development Studies, Norwegian University of Science and Technology (NTNU)</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7D83" w:rsidRPr="007E2CCC" w:rsidRDefault="00E27D83" w:rsidP="00E27D83">
            <w:pPr>
              <w:spacing w:after="0" w:line="240" w:lineRule="auto"/>
              <w:rPr>
                <w:rFonts w:eastAsia="Times New Roman" w:cs="Arial"/>
                <w:sz w:val="18"/>
                <w:szCs w:val="18"/>
                <w:lang w:val="et-EE" w:eastAsia="et-EE"/>
              </w:rPr>
            </w:pPr>
            <w:r w:rsidRPr="007E2CCC">
              <w:rPr>
                <w:rFonts w:eastAsia="Times New Roman" w:cs="Arial"/>
                <w:sz w:val="18"/>
                <w:szCs w:val="18"/>
                <w:lang w:val="et-EE" w:eastAsia="et-EE"/>
              </w:rPr>
              <w:t>Tan</w:t>
            </w:r>
            <w:r w:rsidRPr="007E2CCC">
              <w:rPr>
                <w:rFonts w:eastAsia="Times New Roman" w:cs="Arial"/>
                <w:sz w:val="18"/>
                <w:szCs w:val="18"/>
                <w:lang w:val="et-EE" w:eastAsia="et-EE"/>
              </w:rPr>
              <w:softHyphen/>
              <w:t>zania</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7D83" w:rsidRPr="007E2CCC" w:rsidRDefault="00E27D83" w:rsidP="00E27D83">
            <w:pPr>
              <w:spacing w:after="0" w:line="240" w:lineRule="auto"/>
              <w:rPr>
                <w:rFonts w:eastAsia="Times New Roman" w:cs="Arial"/>
                <w:sz w:val="18"/>
                <w:szCs w:val="18"/>
                <w:lang w:val="et-EE" w:eastAsia="et-EE"/>
              </w:rPr>
            </w:pPr>
            <w:r w:rsidRPr="007E2CCC">
              <w:rPr>
                <w:rFonts w:eastAsia="Times New Roman" w:cs="Arial"/>
                <w:sz w:val="18"/>
                <w:szCs w:val="18"/>
                <w:lang w:val="et-EE" w:eastAsia="et-EE"/>
              </w:rPr>
              <w:t>Kibaha</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7D83" w:rsidRPr="007E2CCC" w:rsidRDefault="00E27D83" w:rsidP="00E27D83">
            <w:pPr>
              <w:spacing w:after="0" w:line="240" w:lineRule="auto"/>
              <w:rPr>
                <w:rFonts w:eastAsia="Times New Roman" w:cs="Arial"/>
                <w:sz w:val="18"/>
                <w:szCs w:val="18"/>
                <w:lang w:val="et-EE" w:eastAsia="et-EE"/>
              </w:rPr>
            </w:pPr>
            <w:r w:rsidRPr="007E2CCC">
              <w:rPr>
                <w:rFonts w:eastAsia="Times New Roman" w:cs="Arial"/>
                <w:sz w:val="18"/>
                <w:szCs w:val="18"/>
                <w:lang w:val="et-EE" w:eastAsia="et-EE"/>
              </w:rPr>
              <w:t>hospital data</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7D83" w:rsidRPr="007E2CCC" w:rsidRDefault="00E27D83" w:rsidP="00E27D83">
            <w:pPr>
              <w:spacing w:after="0" w:line="240" w:lineRule="auto"/>
              <w:rPr>
                <w:rFonts w:eastAsia="Times New Roman" w:cs="Arial"/>
                <w:sz w:val="18"/>
                <w:szCs w:val="18"/>
                <w:lang w:val="et-EE" w:eastAsia="et-EE"/>
              </w:rPr>
            </w:pPr>
            <w:r w:rsidRPr="007E2CCC">
              <w:rPr>
                <w:rFonts w:eastAsia="Times New Roman" w:cs="Arial"/>
                <w:sz w:val="18"/>
                <w:szCs w:val="18"/>
                <w:lang w:val="et-EE" w:eastAsia="et-EE"/>
              </w:rPr>
              <w:t>2001-2004</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7D83" w:rsidRPr="007E2CCC" w:rsidRDefault="00E27D83" w:rsidP="00E27D83">
            <w:pPr>
              <w:spacing w:after="0" w:line="240" w:lineRule="auto"/>
              <w:rPr>
                <w:rFonts w:eastAsia="Times New Roman" w:cs="Arial"/>
                <w:sz w:val="18"/>
                <w:szCs w:val="18"/>
                <w:lang w:val="et-EE" w:eastAsia="et-EE"/>
              </w:rPr>
            </w:pPr>
            <w:r w:rsidRPr="007E2CCC">
              <w:rPr>
                <w:rFonts w:eastAsia="Times New Roman" w:cs="Arial"/>
                <w:sz w:val="18"/>
                <w:szCs w:val="18"/>
                <w:lang w:val="et-EE" w:eastAsia="et-EE"/>
              </w:rPr>
              <w:t>246 fatal, 591 non-fatal</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7D83" w:rsidRPr="007E2CCC" w:rsidRDefault="00E27D83" w:rsidP="00E27D83">
            <w:pPr>
              <w:spacing w:after="0" w:line="240" w:lineRule="auto"/>
              <w:rPr>
                <w:rFonts w:eastAsia="Times New Roman" w:cs="Arial"/>
                <w:sz w:val="18"/>
                <w:szCs w:val="18"/>
                <w:lang w:val="et-EE" w:eastAsia="et-EE"/>
              </w:rPr>
            </w:pPr>
            <w:r w:rsidRPr="007E2CCC">
              <w:rPr>
                <w:rFonts w:eastAsia="Times New Roman" w:cs="Arial"/>
                <w:sz w:val="18"/>
                <w:szCs w:val="18"/>
                <w:lang w:val="et-EE" w:eastAsia="et-EE"/>
              </w:rPr>
              <w:t>0-17, 18-24, 25-34, 35-44, 45+</w:t>
            </w:r>
          </w:p>
        </w:tc>
        <w:tc>
          <w:tcPr>
            <w:tcW w:w="11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7D83" w:rsidRPr="007E2CCC" w:rsidRDefault="00E27D83" w:rsidP="00E27D83">
            <w:pPr>
              <w:spacing w:after="0" w:line="240" w:lineRule="auto"/>
              <w:rPr>
                <w:rFonts w:eastAsia="Times New Roman" w:cs="Arial"/>
                <w:sz w:val="18"/>
                <w:szCs w:val="18"/>
                <w:lang w:val="et-EE" w:eastAsia="et-EE"/>
              </w:rPr>
            </w:pPr>
            <w:r w:rsidRPr="007E2CCC">
              <w:rPr>
                <w:rFonts w:eastAsia="Times New Roman" w:cs="Arial"/>
                <w:sz w:val="18"/>
                <w:szCs w:val="18"/>
                <w:lang w:val="et-EE" w:eastAsia="et-EE"/>
              </w:rPr>
              <w:t>Number of fatal &amp; non-fatal RTIs by sex &amp; age group</w:t>
            </w:r>
          </w:p>
        </w:tc>
      </w:tr>
      <w:tr w:rsidR="007E2CCC" w:rsidRPr="007E2CCC" w:rsidTr="0077222F">
        <w:trPr>
          <w:trHeight w:val="1575"/>
        </w:trPr>
        <w:tc>
          <w:tcPr>
            <w:tcW w:w="2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7D83" w:rsidRPr="007E2CCC" w:rsidRDefault="00E27D83" w:rsidP="00E27D83">
            <w:pPr>
              <w:spacing w:after="0" w:line="240" w:lineRule="auto"/>
              <w:rPr>
                <w:rFonts w:eastAsia="Times New Roman" w:cs="Arial"/>
                <w:sz w:val="18"/>
                <w:szCs w:val="18"/>
                <w:lang w:val="et-EE" w:eastAsia="et-EE"/>
              </w:rPr>
            </w:pPr>
            <w:r w:rsidRPr="007E2CCC">
              <w:rPr>
                <w:rFonts w:eastAsia="Times New Roman" w:cs="Arial"/>
                <w:sz w:val="18"/>
                <w:szCs w:val="18"/>
                <w:lang w:val="et-EE" w:eastAsia="et-EE"/>
              </w:rPr>
              <w:lastRenderedPageBreak/>
              <w:t>Masaoe, E. N. (2007). Study on Road Accidents in Mainland Tanzania. Final Report submitted to Surface and Marine Transport Regulatory Authority (SUMATRA). http://www.sumatra.or.tz/index.php/component/docman/doc_view/49-study-on-road-accidents-in-mainland-tanzania?Itemid=317 (Accessed on 24.07.2014)</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7D83" w:rsidRPr="007E2CCC" w:rsidRDefault="00E27D83" w:rsidP="00E27D83">
            <w:pPr>
              <w:spacing w:after="0" w:line="240" w:lineRule="auto"/>
              <w:rPr>
                <w:rFonts w:eastAsia="Times New Roman" w:cs="Arial"/>
                <w:sz w:val="18"/>
                <w:szCs w:val="18"/>
                <w:lang w:val="et-EE" w:eastAsia="et-EE"/>
              </w:rPr>
            </w:pPr>
            <w:r w:rsidRPr="007E2CCC">
              <w:rPr>
                <w:rFonts w:eastAsia="Times New Roman" w:cs="Arial"/>
                <w:sz w:val="18"/>
                <w:szCs w:val="18"/>
                <w:lang w:val="et-EE" w:eastAsia="et-EE"/>
              </w:rPr>
              <w:t>Tan</w:t>
            </w:r>
            <w:r w:rsidRPr="007E2CCC">
              <w:rPr>
                <w:rFonts w:eastAsia="Times New Roman" w:cs="Arial"/>
                <w:sz w:val="18"/>
                <w:szCs w:val="18"/>
                <w:lang w:val="et-EE" w:eastAsia="et-EE"/>
              </w:rPr>
              <w:softHyphen/>
              <w:t>zania</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7D83" w:rsidRPr="007E2CCC" w:rsidRDefault="00E27D83" w:rsidP="00E27D83">
            <w:pPr>
              <w:spacing w:after="0" w:line="240" w:lineRule="auto"/>
              <w:rPr>
                <w:rFonts w:eastAsia="Times New Roman" w:cs="Arial"/>
                <w:sz w:val="18"/>
                <w:szCs w:val="18"/>
                <w:lang w:val="et-EE" w:eastAsia="et-EE"/>
              </w:rPr>
            </w:pPr>
            <w:r w:rsidRPr="007E2CCC">
              <w:rPr>
                <w:rFonts w:eastAsia="Times New Roman" w:cs="Arial"/>
                <w:sz w:val="18"/>
                <w:szCs w:val="18"/>
                <w:lang w:val="et-EE" w:eastAsia="et-EE"/>
              </w:rPr>
              <w:t>Dar es Salaam, Coast, Arusha, Kilimanjaro</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7D83" w:rsidRPr="007E2CCC" w:rsidRDefault="00E27D83" w:rsidP="00E27D83">
            <w:pPr>
              <w:spacing w:after="0" w:line="240" w:lineRule="auto"/>
              <w:rPr>
                <w:rFonts w:eastAsia="Times New Roman" w:cs="Arial"/>
                <w:sz w:val="18"/>
                <w:szCs w:val="18"/>
                <w:lang w:val="et-EE" w:eastAsia="et-EE"/>
              </w:rPr>
            </w:pPr>
            <w:r w:rsidRPr="007E2CCC">
              <w:rPr>
                <w:rFonts w:eastAsia="Times New Roman" w:cs="Arial"/>
                <w:sz w:val="18"/>
                <w:szCs w:val="18"/>
                <w:lang w:val="et-EE" w:eastAsia="et-EE"/>
              </w:rPr>
              <w:t>post-accident survey</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7D83" w:rsidRPr="007E2CCC" w:rsidRDefault="00E27D83" w:rsidP="00E27D83">
            <w:pPr>
              <w:spacing w:after="0" w:line="240" w:lineRule="auto"/>
              <w:rPr>
                <w:rFonts w:eastAsia="Times New Roman" w:cs="Arial"/>
                <w:sz w:val="18"/>
                <w:szCs w:val="18"/>
                <w:lang w:val="et-EE" w:eastAsia="et-EE"/>
              </w:rPr>
            </w:pPr>
            <w:r w:rsidRPr="007E2CCC">
              <w:rPr>
                <w:rFonts w:eastAsia="Times New Roman" w:cs="Arial"/>
                <w:sz w:val="18"/>
                <w:szCs w:val="18"/>
                <w:lang w:val="et-EE" w:eastAsia="et-EE"/>
              </w:rPr>
              <w:t>1994-2007</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7D83" w:rsidRPr="007E2CCC" w:rsidRDefault="00E27D83" w:rsidP="00E27D83">
            <w:pPr>
              <w:spacing w:after="0" w:line="240" w:lineRule="auto"/>
              <w:rPr>
                <w:rFonts w:eastAsia="Times New Roman" w:cs="Arial"/>
                <w:sz w:val="18"/>
                <w:szCs w:val="18"/>
                <w:lang w:val="et-EE" w:eastAsia="et-EE"/>
              </w:rPr>
            </w:pPr>
            <w:r w:rsidRPr="007E2CCC">
              <w:rPr>
                <w:rFonts w:eastAsia="Times New Roman" w:cs="Arial"/>
                <w:sz w:val="18"/>
                <w:szCs w:val="18"/>
                <w:lang w:val="et-EE" w:eastAsia="et-EE"/>
              </w:rPr>
              <w:t>102 accident victims</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7D83" w:rsidRPr="007E2CCC" w:rsidRDefault="00E27D83" w:rsidP="00E27D83">
            <w:pPr>
              <w:spacing w:after="0" w:line="240" w:lineRule="auto"/>
              <w:rPr>
                <w:rFonts w:eastAsia="Times New Roman" w:cs="Arial"/>
                <w:sz w:val="18"/>
                <w:szCs w:val="18"/>
                <w:lang w:val="et-EE" w:eastAsia="et-EE"/>
              </w:rPr>
            </w:pPr>
            <w:r w:rsidRPr="007E2CCC">
              <w:rPr>
                <w:rFonts w:eastAsia="Times New Roman" w:cs="Arial"/>
                <w:sz w:val="18"/>
                <w:szCs w:val="18"/>
                <w:lang w:val="et-EE" w:eastAsia="et-EE"/>
              </w:rPr>
              <w:t>&lt;7, 8-12, 13-19, 20-24, 25-29, 30-34, 35-39, 40-44, 45-49, 50-54, &gt;55</w:t>
            </w:r>
          </w:p>
        </w:tc>
        <w:tc>
          <w:tcPr>
            <w:tcW w:w="11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7D83" w:rsidRPr="007E2CCC" w:rsidRDefault="00E27D83" w:rsidP="00E27D83">
            <w:pPr>
              <w:spacing w:after="0" w:line="240" w:lineRule="auto"/>
              <w:rPr>
                <w:rFonts w:eastAsia="Times New Roman" w:cs="Arial"/>
                <w:sz w:val="18"/>
                <w:szCs w:val="18"/>
                <w:lang w:val="et-EE" w:eastAsia="et-EE"/>
              </w:rPr>
            </w:pPr>
            <w:r w:rsidRPr="007E2CCC">
              <w:rPr>
                <w:rFonts w:eastAsia="Times New Roman" w:cs="Arial"/>
                <w:sz w:val="18"/>
                <w:szCs w:val="18"/>
                <w:lang w:val="et-EE" w:eastAsia="et-EE"/>
              </w:rPr>
              <w:t>Distribution of RTIs by age group &amp; sex (approximate), fatal &amp; nonfatal injuries by age group (total + percentage)</w:t>
            </w:r>
          </w:p>
        </w:tc>
      </w:tr>
      <w:tr w:rsidR="007E2CCC" w:rsidRPr="007E2CCC" w:rsidTr="0077222F">
        <w:trPr>
          <w:trHeight w:val="1110"/>
        </w:trPr>
        <w:tc>
          <w:tcPr>
            <w:tcW w:w="2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7D83" w:rsidRPr="007E2CCC" w:rsidRDefault="00E27D83" w:rsidP="00E27D83">
            <w:pPr>
              <w:spacing w:after="0" w:line="240" w:lineRule="auto"/>
              <w:rPr>
                <w:rFonts w:eastAsia="Times New Roman" w:cs="Arial"/>
                <w:sz w:val="18"/>
                <w:szCs w:val="18"/>
                <w:lang w:val="et-EE" w:eastAsia="et-EE"/>
              </w:rPr>
            </w:pPr>
            <w:r w:rsidRPr="007E2CCC">
              <w:rPr>
                <w:rFonts w:eastAsia="Times New Roman" w:cs="Arial"/>
                <w:sz w:val="18"/>
                <w:szCs w:val="18"/>
                <w:lang w:val="et-EE" w:eastAsia="et-EE"/>
              </w:rPr>
              <w:t xml:space="preserve">Zimmerman, K., Mzige, A. A., Kibatala, P. L., Museru, L. M., Guerrero, A. (2012). Road traffic injury incidence and crash characteristics in Dar es Salaam: A population based study. </w:t>
            </w:r>
            <w:r w:rsidRPr="007E2CCC">
              <w:rPr>
                <w:rFonts w:eastAsia="Times New Roman" w:cs="Arial"/>
                <w:i/>
                <w:iCs/>
                <w:sz w:val="18"/>
                <w:szCs w:val="18"/>
                <w:lang w:val="et-EE" w:eastAsia="et-EE"/>
              </w:rPr>
              <w:t>Accident Analysis and Prevention 45</w:t>
            </w:r>
            <w:r w:rsidRPr="007E2CCC">
              <w:rPr>
                <w:rFonts w:eastAsia="Times New Roman" w:cs="Arial"/>
                <w:sz w:val="18"/>
                <w:szCs w:val="18"/>
                <w:lang w:val="et-EE" w:eastAsia="et-EE"/>
              </w:rPr>
              <w:t>, 204– 210.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7D83" w:rsidRPr="007E2CCC" w:rsidRDefault="00E27D83" w:rsidP="00E27D83">
            <w:pPr>
              <w:spacing w:after="0" w:line="240" w:lineRule="auto"/>
              <w:rPr>
                <w:rFonts w:eastAsia="Times New Roman" w:cs="Arial"/>
                <w:sz w:val="18"/>
                <w:szCs w:val="18"/>
                <w:lang w:val="et-EE" w:eastAsia="et-EE"/>
              </w:rPr>
            </w:pPr>
            <w:r w:rsidRPr="007E2CCC">
              <w:rPr>
                <w:rFonts w:eastAsia="Times New Roman" w:cs="Arial"/>
                <w:sz w:val="18"/>
                <w:szCs w:val="18"/>
                <w:lang w:val="et-EE" w:eastAsia="et-EE"/>
              </w:rPr>
              <w:t>Tan</w:t>
            </w:r>
            <w:r w:rsidRPr="007E2CCC">
              <w:rPr>
                <w:rFonts w:eastAsia="Times New Roman" w:cs="Arial"/>
                <w:sz w:val="18"/>
                <w:szCs w:val="18"/>
                <w:lang w:val="et-EE" w:eastAsia="et-EE"/>
              </w:rPr>
              <w:softHyphen/>
              <w:t>zania</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7D83" w:rsidRPr="007E2CCC" w:rsidRDefault="00E27D83" w:rsidP="00E27D83">
            <w:pPr>
              <w:spacing w:after="0" w:line="240" w:lineRule="auto"/>
              <w:rPr>
                <w:rFonts w:eastAsia="Times New Roman" w:cs="Arial"/>
                <w:sz w:val="18"/>
                <w:szCs w:val="18"/>
                <w:lang w:val="et-EE" w:eastAsia="et-EE"/>
              </w:rPr>
            </w:pPr>
            <w:r w:rsidRPr="007E2CCC">
              <w:rPr>
                <w:rFonts w:eastAsia="Times New Roman" w:cs="Arial"/>
                <w:sz w:val="18"/>
                <w:szCs w:val="18"/>
                <w:lang w:val="et-EE" w:eastAsia="et-EE"/>
              </w:rPr>
              <w:t>Dar es Salaam</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7D83" w:rsidRPr="007E2CCC" w:rsidRDefault="00E27D83" w:rsidP="00E27D83">
            <w:pPr>
              <w:spacing w:after="0" w:line="240" w:lineRule="auto"/>
              <w:rPr>
                <w:rFonts w:eastAsia="Times New Roman" w:cs="Arial"/>
                <w:sz w:val="18"/>
                <w:szCs w:val="18"/>
                <w:lang w:val="et-EE" w:eastAsia="et-EE"/>
              </w:rPr>
            </w:pPr>
            <w:r w:rsidRPr="007E2CCC">
              <w:rPr>
                <w:rFonts w:eastAsia="Times New Roman" w:cs="Arial"/>
                <w:sz w:val="18"/>
                <w:szCs w:val="18"/>
                <w:lang w:val="et-EE" w:eastAsia="et-EE"/>
              </w:rPr>
              <w:t>household survey</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7D83" w:rsidRPr="007E2CCC" w:rsidRDefault="00E27D83" w:rsidP="00E27D83">
            <w:pPr>
              <w:spacing w:after="0" w:line="240" w:lineRule="auto"/>
              <w:rPr>
                <w:rFonts w:eastAsia="Times New Roman" w:cs="Arial"/>
                <w:sz w:val="18"/>
                <w:szCs w:val="18"/>
                <w:lang w:val="et-EE" w:eastAsia="et-EE"/>
              </w:rPr>
            </w:pPr>
            <w:r w:rsidRPr="007E2CCC">
              <w:rPr>
                <w:rFonts w:eastAsia="Times New Roman" w:cs="Arial"/>
                <w:sz w:val="18"/>
                <w:szCs w:val="18"/>
                <w:lang w:val="et-EE" w:eastAsia="et-EE"/>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7D83" w:rsidRPr="007E2CCC" w:rsidRDefault="00E27D83" w:rsidP="00E27D83">
            <w:pPr>
              <w:spacing w:after="0" w:line="240" w:lineRule="auto"/>
              <w:rPr>
                <w:rFonts w:eastAsia="Times New Roman" w:cs="Arial"/>
                <w:sz w:val="18"/>
                <w:szCs w:val="18"/>
                <w:lang w:val="et-EE" w:eastAsia="et-EE"/>
              </w:rPr>
            </w:pPr>
            <w:r w:rsidRPr="007E2CCC">
              <w:rPr>
                <w:rFonts w:eastAsia="Times New Roman" w:cs="Arial"/>
                <w:sz w:val="18"/>
                <w:szCs w:val="18"/>
                <w:lang w:val="et-EE" w:eastAsia="et-EE"/>
              </w:rPr>
              <w:t>196 non-fatal RTI victims</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7D83" w:rsidRPr="007E2CCC" w:rsidRDefault="00E27D83" w:rsidP="00E27D83">
            <w:pPr>
              <w:spacing w:after="0" w:line="240" w:lineRule="auto"/>
              <w:rPr>
                <w:rFonts w:eastAsia="Times New Roman" w:cs="Arial"/>
                <w:sz w:val="18"/>
                <w:szCs w:val="18"/>
                <w:lang w:val="et-EE" w:eastAsia="et-EE"/>
              </w:rPr>
            </w:pPr>
            <w:r w:rsidRPr="007E2CCC">
              <w:rPr>
                <w:rFonts w:eastAsia="Times New Roman" w:cs="Arial"/>
                <w:sz w:val="18"/>
                <w:szCs w:val="18"/>
                <w:lang w:val="et-EE" w:eastAsia="et-EE"/>
              </w:rPr>
              <w:t>0–4, 5–14, 15–44, &gt;45</w:t>
            </w:r>
          </w:p>
        </w:tc>
        <w:tc>
          <w:tcPr>
            <w:tcW w:w="11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7D83" w:rsidRPr="007E2CCC" w:rsidRDefault="00E27D83" w:rsidP="00E27D83">
            <w:pPr>
              <w:spacing w:after="0" w:line="240" w:lineRule="auto"/>
              <w:rPr>
                <w:rFonts w:eastAsia="Times New Roman" w:cs="Arial"/>
                <w:sz w:val="18"/>
                <w:szCs w:val="18"/>
                <w:lang w:val="et-EE" w:eastAsia="et-EE"/>
              </w:rPr>
            </w:pPr>
            <w:r w:rsidRPr="007E2CCC">
              <w:rPr>
                <w:rFonts w:eastAsia="Times New Roman" w:cs="Arial"/>
                <w:sz w:val="18"/>
                <w:szCs w:val="18"/>
                <w:lang w:val="et-EE" w:eastAsia="et-EE"/>
              </w:rPr>
              <w:t>Number of RTIs by age group</w:t>
            </w:r>
          </w:p>
        </w:tc>
      </w:tr>
      <w:tr w:rsidR="00E27D83" w:rsidRPr="007E2CCC" w:rsidTr="0077222F">
        <w:trPr>
          <w:trHeight w:val="960"/>
        </w:trPr>
        <w:tc>
          <w:tcPr>
            <w:tcW w:w="2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7D83" w:rsidRPr="007E2CCC" w:rsidRDefault="00E27D83" w:rsidP="00E27D83">
            <w:pPr>
              <w:spacing w:after="0" w:line="240" w:lineRule="auto"/>
              <w:rPr>
                <w:rFonts w:eastAsia="Times New Roman" w:cs="Arial"/>
                <w:sz w:val="18"/>
                <w:szCs w:val="18"/>
                <w:lang w:val="et-EE" w:eastAsia="et-EE"/>
              </w:rPr>
            </w:pPr>
            <w:r w:rsidRPr="007E2CCC">
              <w:rPr>
                <w:rFonts w:eastAsia="Times New Roman" w:cs="Arial"/>
                <w:sz w:val="18"/>
                <w:szCs w:val="18"/>
                <w:lang w:val="et-EE" w:eastAsia="et-EE"/>
              </w:rPr>
              <w:t xml:space="preserve">Woldemichael, K., &amp; Berhanu, N. (2011). Magnitude and pattern of injury in Jimma University specialized hospital, South-West Ethiopia. </w:t>
            </w:r>
            <w:r w:rsidRPr="007E2CCC">
              <w:rPr>
                <w:rFonts w:eastAsia="Times New Roman" w:cs="Arial"/>
                <w:i/>
                <w:iCs/>
                <w:sz w:val="18"/>
                <w:szCs w:val="18"/>
                <w:lang w:val="et-EE" w:eastAsia="et-EE"/>
              </w:rPr>
              <w:t>Ethiopian Journal of Health Sciences 21</w:t>
            </w:r>
            <w:r w:rsidRPr="007E2CCC">
              <w:rPr>
                <w:rFonts w:eastAsia="Times New Roman" w:cs="Arial"/>
                <w:sz w:val="18"/>
                <w:szCs w:val="18"/>
                <w:lang w:val="et-EE" w:eastAsia="et-EE"/>
              </w:rPr>
              <w:t>(3). 155-165.</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7D83" w:rsidRPr="007E2CCC" w:rsidRDefault="00E27D83" w:rsidP="00E27D83">
            <w:pPr>
              <w:spacing w:after="0" w:line="240" w:lineRule="auto"/>
              <w:rPr>
                <w:rFonts w:eastAsia="Times New Roman" w:cs="Arial"/>
                <w:sz w:val="18"/>
                <w:szCs w:val="18"/>
                <w:lang w:val="et-EE" w:eastAsia="et-EE"/>
              </w:rPr>
            </w:pPr>
            <w:r w:rsidRPr="007E2CCC">
              <w:rPr>
                <w:rFonts w:eastAsia="Times New Roman" w:cs="Arial"/>
                <w:sz w:val="18"/>
                <w:szCs w:val="18"/>
                <w:lang w:val="et-EE" w:eastAsia="et-EE"/>
              </w:rPr>
              <w:t>Ethiopia</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7D83" w:rsidRPr="007E2CCC" w:rsidRDefault="00E27D83" w:rsidP="00E27D83">
            <w:pPr>
              <w:spacing w:after="0" w:line="240" w:lineRule="auto"/>
              <w:rPr>
                <w:rFonts w:eastAsia="Times New Roman" w:cs="Arial"/>
                <w:sz w:val="18"/>
                <w:szCs w:val="18"/>
                <w:lang w:val="et-EE" w:eastAsia="et-EE"/>
              </w:rPr>
            </w:pPr>
            <w:r w:rsidRPr="007E2CCC">
              <w:rPr>
                <w:rFonts w:eastAsia="Times New Roman" w:cs="Arial"/>
                <w:sz w:val="18"/>
                <w:szCs w:val="18"/>
                <w:lang w:val="et-EE" w:eastAsia="et-EE"/>
              </w:rPr>
              <w:t>Jimma, South-West Ethiopia</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7D83" w:rsidRPr="007E2CCC" w:rsidRDefault="00E27D83" w:rsidP="00E27D83">
            <w:pPr>
              <w:spacing w:after="0" w:line="240" w:lineRule="auto"/>
              <w:rPr>
                <w:rFonts w:eastAsia="Times New Roman" w:cs="Arial"/>
                <w:sz w:val="18"/>
                <w:szCs w:val="18"/>
                <w:lang w:val="et-EE" w:eastAsia="et-EE"/>
              </w:rPr>
            </w:pPr>
            <w:r w:rsidRPr="007E2CCC">
              <w:rPr>
                <w:rFonts w:eastAsia="Times New Roman" w:cs="Arial"/>
                <w:sz w:val="18"/>
                <w:szCs w:val="18"/>
                <w:lang w:val="et-EE" w:eastAsia="et-EE"/>
              </w:rPr>
              <w:t>hospital-based study</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7D83" w:rsidRPr="007E2CCC" w:rsidRDefault="00E27D83" w:rsidP="00E27D83">
            <w:pPr>
              <w:spacing w:after="0" w:line="240" w:lineRule="auto"/>
              <w:rPr>
                <w:rFonts w:eastAsia="Times New Roman" w:cs="Arial"/>
                <w:sz w:val="18"/>
                <w:szCs w:val="18"/>
                <w:lang w:val="et-EE" w:eastAsia="et-EE"/>
              </w:rPr>
            </w:pPr>
            <w:r w:rsidRPr="007E2CCC">
              <w:rPr>
                <w:rFonts w:eastAsia="Times New Roman" w:cs="Arial"/>
                <w:sz w:val="18"/>
                <w:szCs w:val="18"/>
                <w:lang w:val="et-EE" w:eastAsia="et-EE"/>
              </w:rPr>
              <w:t>2010-2011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7D83" w:rsidRPr="007E2CCC" w:rsidRDefault="00E27D83" w:rsidP="00E27D83">
            <w:pPr>
              <w:spacing w:after="0" w:line="240" w:lineRule="auto"/>
              <w:rPr>
                <w:rFonts w:eastAsia="Times New Roman" w:cs="Arial"/>
                <w:sz w:val="18"/>
                <w:szCs w:val="18"/>
                <w:lang w:val="et-EE" w:eastAsia="et-EE"/>
              </w:rPr>
            </w:pPr>
            <w:r w:rsidRPr="007E2CCC">
              <w:rPr>
                <w:rFonts w:eastAsia="Times New Roman" w:cs="Arial"/>
                <w:sz w:val="18"/>
                <w:szCs w:val="18"/>
                <w:lang w:val="et-EE" w:eastAsia="et-EE"/>
              </w:rPr>
              <w:t>334 RTA victims</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7D83" w:rsidRPr="007E2CCC" w:rsidRDefault="00E27D83" w:rsidP="00E27D83">
            <w:pPr>
              <w:spacing w:after="0" w:line="240" w:lineRule="auto"/>
              <w:rPr>
                <w:rFonts w:eastAsia="Times New Roman" w:cs="Arial"/>
                <w:sz w:val="18"/>
                <w:szCs w:val="18"/>
                <w:lang w:val="et-EE" w:eastAsia="et-EE"/>
              </w:rPr>
            </w:pPr>
            <w:r w:rsidRPr="007E2CCC">
              <w:rPr>
                <w:rFonts w:eastAsia="Times New Roman" w:cs="Arial"/>
                <w:sz w:val="18"/>
                <w:szCs w:val="18"/>
                <w:lang w:val="et-EE" w:eastAsia="et-EE"/>
              </w:rPr>
              <w:t>0-4, 5-14, 15-49, 50-64, &gt;64</w:t>
            </w:r>
          </w:p>
        </w:tc>
        <w:tc>
          <w:tcPr>
            <w:tcW w:w="11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7D83" w:rsidRPr="007E2CCC" w:rsidRDefault="00E27D83" w:rsidP="00E27D83">
            <w:pPr>
              <w:spacing w:after="0" w:line="240" w:lineRule="auto"/>
              <w:rPr>
                <w:rFonts w:eastAsia="Times New Roman" w:cs="Arial"/>
                <w:sz w:val="18"/>
                <w:szCs w:val="18"/>
                <w:lang w:val="et-EE" w:eastAsia="et-EE"/>
              </w:rPr>
            </w:pPr>
            <w:r w:rsidRPr="007E2CCC">
              <w:rPr>
                <w:rFonts w:eastAsia="Times New Roman" w:cs="Arial"/>
                <w:sz w:val="18"/>
                <w:szCs w:val="18"/>
                <w:lang w:val="et-EE" w:eastAsia="et-EE"/>
              </w:rPr>
              <w:t>Number of RTIs by age group, number of RTIs by sex</w:t>
            </w:r>
          </w:p>
        </w:tc>
      </w:tr>
    </w:tbl>
    <w:p w:rsidR="00E27D83" w:rsidRPr="007E2CCC" w:rsidRDefault="00E27D83" w:rsidP="00E27D83">
      <w:pPr>
        <w:spacing w:after="120" w:line="240" w:lineRule="auto"/>
        <w:rPr>
          <w:lang w:val="et-EE"/>
        </w:rPr>
      </w:pPr>
    </w:p>
    <w:p w:rsidR="00E27D83" w:rsidRPr="007E2CCC" w:rsidRDefault="00E27D83" w:rsidP="009B6778">
      <w:pPr>
        <w:pStyle w:val="Heading3"/>
        <w:rPr>
          <w:color w:val="auto"/>
          <w:lang w:bidi="en-US"/>
        </w:rPr>
      </w:pPr>
      <w:bookmarkStart w:id="5" w:name="_Toc404917302"/>
      <w:r w:rsidRPr="007E2CCC">
        <w:rPr>
          <w:color w:val="auto"/>
          <w:lang w:bidi="en-US"/>
        </w:rPr>
        <w:t xml:space="preserve">1.2 Age- and sex specific RTI fatality rates in </w:t>
      </w:r>
      <w:bookmarkEnd w:id="5"/>
      <w:r w:rsidR="0077222F" w:rsidRPr="007E2CCC">
        <w:rPr>
          <w:color w:val="auto"/>
          <w:lang w:bidi="en-US"/>
        </w:rPr>
        <w:t>South-East Asia</w:t>
      </w:r>
    </w:p>
    <w:p w:rsidR="00E27D83" w:rsidRPr="007E2CCC" w:rsidRDefault="00E27D83" w:rsidP="00E27D83">
      <w:pPr>
        <w:spacing w:after="120" w:line="240" w:lineRule="auto"/>
        <w:rPr>
          <w:lang w:val="et-EE"/>
        </w:rPr>
      </w:pPr>
      <w:r w:rsidRPr="007E2CCC">
        <w:rPr>
          <w:lang w:val="et-EE"/>
        </w:rPr>
        <w:t xml:space="preserve">For </w:t>
      </w:r>
      <w:r w:rsidR="0077222F" w:rsidRPr="007E2CCC">
        <w:rPr>
          <w:lang w:val="et-EE"/>
        </w:rPr>
        <w:t xml:space="preserve">South-East Asia </w:t>
      </w:r>
      <w:r w:rsidRPr="007E2CCC">
        <w:rPr>
          <w:lang w:val="et-EE"/>
        </w:rPr>
        <w:t xml:space="preserve">data for 4 countries were detected, a total of 12 articles with available data for India, Thailand, Vietnam and Nepal (see Table 2). Of these, some data for India and Thailand provided a detailed distribution of RTI by age, and couple of studies (e.g. Hsiao et al. 2013; Ditsuwan et al. 2011) attempted to correct for underreporting of RTIs and to fill in the data gaps with data from various sources. </w:t>
      </w:r>
    </w:p>
    <w:p w:rsidR="00E27D83" w:rsidRPr="007E2CCC" w:rsidRDefault="00E27D83" w:rsidP="00E27D83">
      <w:pPr>
        <w:spacing w:after="120" w:line="240" w:lineRule="auto"/>
        <w:rPr>
          <w:lang w:val="et-EE"/>
        </w:rPr>
      </w:pPr>
      <w:r w:rsidRPr="007E2CCC">
        <w:rPr>
          <w:lang w:val="et-EE"/>
        </w:rPr>
        <w:t xml:space="preserve">For India, mostly hospital-based and autopsy studies were available, but one large mortality survey/verbal autopsy study (Hsiao et al. 2013) is probably the most comprehensive data source for RTI-related mortality in India, and provides good estimates. </w:t>
      </w:r>
    </w:p>
    <w:p w:rsidR="00E27D83" w:rsidRPr="007E2CCC" w:rsidRDefault="00E27D83" w:rsidP="00E27D83">
      <w:pPr>
        <w:spacing w:after="120" w:line="240" w:lineRule="auto"/>
        <w:rPr>
          <w:lang w:val="et-EE"/>
        </w:rPr>
      </w:pPr>
      <w:r w:rsidRPr="007E2CCC">
        <w:rPr>
          <w:lang w:val="et-EE"/>
        </w:rPr>
        <w:t xml:space="preserve">For Thailand a comprehensive Burden of Disease study was found (Ditsuwan et al. 2011) and for Vietnam some quite comprehensive preliminary surveillance data (Ngo et al. 2012) representing 3% of the population was found. For Nepal only one hospital-based study was available, and for other countries in the region no recent data were found. </w:t>
      </w:r>
    </w:p>
    <w:p w:rsidR="00E27D83" w:rsidRPr="007E2CCC" w:rsidRDefault="00E27D83" w:rsidP="00E27D83">
      <w:pPr>
        <w:spacing w:after="120" w:line="240" w:lineRule="auto"/>
        <w:rPr>
          <w:lang w:val="et-EE"/>
        </w:rPr>
      </w:pPr>
      <w:r w:rsidRPr="007E2CCC">
        <w:rPr>
          <w:lang w:val="et-EE"/>
        </w:rPr>
        <w:br w:type="page"/>
      </w:r>
    </w:p>
    <w:p w:rsidR="00E27D83" w:rsidRPr="007E2CCC" w:rsidRDefault="00E27D83" w:rsidP="00E27D83">
      <w:pPr>
        <w:spacing w:after="120" w:line="240" w:lineRule="auto"/>
        <w:rPr>
          <w:lang w:val="et-EE"/>
        </w:rPr>
      </w:pPr>
      <w:r w:rsidRPr="007E2CCC">
        <w:rPr>
          <w:b/>
          <w:lang w:val="et-EE"/>
        </w:rPr>
        <w:lastRenderedPageBreak/>
        <w:t>Table 2.</w:t>
      </w:r>
      <w:r w:rsidRPr="007E2CCC">
        <w:rPr>
          <w:lang w:val="et-EE"/>
        </w:rPr>
        <w:t xml:space="preserve"> Data sources for age- and sex-specific road traffic fatality rates in </w:t>
      </w:r>
      <w:r w:rsidR="0077222F" w:rsidRPr="007E2CCC">
        <w:rPr>
          <w:lang w:val="et-EE"/>
        </w:rPr>
        <w:t>South-East Asia</w:t>
      </w:r>
    </w:p>
    <w:tbl>
      <w:tblPr>
        <w:tblW w:w="10080"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2850"/>
        <w:gridCol w:w="851"/>
        <w:gridCol w:w="1340"/>
        <w:gridCol w:w="1070"/>
        <w:gridCol w:w="708"/>
        <w:gridCol w:w="1175"/>
        <w:gridCol w:w="952"/>
        <w:gridCol w:w="1134"/>
      </w:tblGrid>
      <w:tr w:rsidR="007E2CCC" w:rsidRPr="007E2CCC" w:rsidTr="0077222F">
        <w:trPr>
          <w:trHeight w:val="1020"/>
        </w:trPr>
        <w:tc>
          <w:tcPr>
            <w:tcW w:w="285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E27D83" w:rsidRPr="007E2CCC" w:rsidRDefault="00E27D83" w:rsidP="00E27D83">
            <w:pPr>
              <w:spacing w:after="0" w:line="240" w:lineRule="auto"/>
              <w:rPr>
                <w:rFonts w:ascii="Arial" w:eastAsia="Times New Roman" w:hAnsi="Arial" w:cs="Arial"/>
                <w:b/>
                <w:bCs/>
                <w:sz w:val="16"/>
                <w:szCs w:val="16"/>
                <w:lang w:val="et-EE" w:eastAsia="et-EE"/>
              </w:rPr>
            </w:pPr>
            <w:r w:rsidRPr="007E2CCC">
              <w:rPr>
                <w:rFonts w:ascii="Arial" w:eastAsia="Times New Roman" w:hAnsi="Arial" w:cs="Arial"/>
                <w:b/>
                <w:bCs/>
                <w:sz w:val="16"/>
                <w:szCs w:val="16"/>
                <w:lang w:val="et-EE" w:eastAsia="et-EE"/>
              </w:rPr>
              <w:t>Reference</w:t>
            </w:r>
          </w:p>
        </w:tc>
        <w:tc>
          <w:tcPr>
            <w:tcW w:w="85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E27D83" w:rsidRPr="007E2CCC" w:rsidRDefault="00E27D83" w:rsidP="00E27D83">
            <w:pPr>
              <w:spacing w:after="0" w:line="240" w:lineRule="auto"/>
              <w:rPr>
                <w:rFonts w:ascii="Arial" w:eastAsia="Times New Roman" w:hAnsi="Arial" w:cs="Arial"/>
                <w:b/>
                <w:bCs/>
                <w:sz w:val="16"/>
                <w:szCs w:val="16"/>
                <w:lang w:val="et-EE" w:eastAsia="et-EE"/>
              </w:rPr>
            </w:pPr>
            <w:r w:rsidRPr="007E2CCC">
              <w:rPr>
                <w:rFonts w:ascii="Arial" w:eastAsia="Times New Roman" w:hAnsi="Arial" w:cs="Arial"/>
                <w:b/>
                <w:bCs/>
                <w:sz w:val="16"/>
                <w:szCs w:val="16"/>
                <w:lang w:val="et-EE" w:eastAsia="et-EE"/>
              </w:rPr>
              <w:t>Country</w:t>
            </w:r>
          </w:p>
        </w:tc>
        <w:tc>
          <w:tcPr>
            <w:tcW w:w="134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E27D83" w:rsidRPr="007E2CCC" w:rsidRDefault="00E27D83" w:rsidP="00E27D83">
            <w:pPr>
              <w:spacing w:after="0" w:line="240" w:lineRule="auto"/>
              <w:rPr>
                <w:rFonts w:ascii="Arial" w:eastAsia="Times New Roman" w:hAnsi="Arial" w:cs="Arial"/>
                <w:b/>
                <w:bCs/>
                <w:sz w:val="16"/>
                <w:szCs w:val="16"/>
                <w:lang w:val="et-EE" w:eastAsia="et-EE"/>
              </w:rPr>
            </w:pPr>
            <w:r w:rsidRPr="007E2CCC">
              <w:rPr>
                <w:rFonts w:ascii="Arial" w:eastAsia="Times New Roman" w:hAnsi="Arial" w:cs="Arial"/>
                <w:b/>
                <w:bCs/>
                <w:sz w:val="16"/>
                <w:szCs w:val="16"/>
                <w:lang w:val="et-EE" w:eastAsia="et-EE"/>
              </w:rPr>
              <w:t>Region</w:t>
            </w:r>
          </w:p>
        </w:tc>
        <w:tc>
          <w:tcPr>
            <w:tcW w:w="107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E27D83" w:rsidRPr="007E2CCC" w:rsidRDefault="00E27D83" w:rsidP="00E27D83">
            <w:pPr>
              <w:spacing w:after="0" w:line="240" w:lineRule="auto"/>
              <w:rPr>
                <w:rFonts w:ascii="Arial" w:eastAsia="Times New Roman" w:hAnsi="Arial" w:cs="Arial"/>
                <w:b/>
                <w:bCs/>
                <w:sz w:val="16"/>
                <w:szCs w:val="16"/>
                <w:lang w:val="et-EE" w:eastAsia="et-EE"/>
              </w:rPr>
            </w:pPr>
            <w:r w:rsidRPr="007E2CCC">
              <w:rPr>
                <w:rFonts w:ascii="Arial" w:eastAsia="Times New Roman" w:hAnsi="Arial" w:cs="Arial"/>
                <w:b/>
                <w:bCs/>
                <w:sz w:val="16"/>
                <w:szCs w:val="16"/>
                <w:lang w:val="et-EE" w:eastAsia="et-EE"/>
              </w:rPr>
              <w:t>Type of data</w:t>
            </w:r>
          </w:p>
        </w:tc>
        <w:tc>
          <w:tcPr>
            <w:tcW w:w="70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E27D83" w:rsidRPr="007E2CCC" w:rsidRDefault="00E27D83" w:rsidP="00E27D83">
            <w:pPr>
              <w:spacing w:after="0" w:line="240" w:lineRule="auto"/>
              <w:rPr>
                <w:rFonts w:ascii="Arial" w:eastAsia="Times New Roman" w:hAnsi="Arial" w:cs="Arial"/>
                <w:b/>
                <w:bCs/>
                <w:sz w:val="16"/>
                <w:szCs w:val="16"/>
                <w:lang w:val="et-EE" w:eastAsia="et-EE"/>
              </w:rPr>
            </w:pPr>
            <w:r w:rsidRPr="007E2CCC">
              <w:rPr>
                <w:rFonts w:ascii="Arial" w:eastAsia="Times New Roman" w:hAnsi="Arial" w:cs="Arial"/>
                <w:b/>
                <w:bCs/>
                <w:sz w:val="16"/>
                <w:szCs w:val="16"/>
                <w:lang w:val="et-EE" w:eastAsia="et-EE"/>
              </w:rPr>
              <w:t>Data period</w:t>
            </w:r>
          </w:p>
        </w:tc>
        <w:tc>
          <w:tcPr>
            <w:tcW w:w="117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E27D83" w:rsidRPr="007E2CCC" w:rsidRDefault="00E27D83" w:rsidP="00E27D83">
            <w:pPr>
              <w:spacing w:after="0" w:line="240" w:lineRule="auto"/>
              <w:rPr>
                <w:rFonts w:ascii="Arial" w:eastAsia="Times New Roman" w:hAnsi="Arial" w:cs="Arial"/>
                <w:b/>
                <w:bCs/>
                <w:sz w:val="16"/>
                <w:szCs w:val="16"/>
                <w:lang w:val="et-EE" w:eastAsia="et-EE"/>
              </w:rPr>
            </w:pPr>
            <w:r w:rsidRPr="007E2CCC">
              <w:rPr>
                <w:rFonts w:ascii="Arial" w:eastAsia="Times New Roman" w:hAnsi="Arial" w:cs="Arial"/>
                <w:b/>
                <w:bCs/>
                <w:sz w:val="16"/>
                <w:szCs w:val="16"/>
                <w:lang w:val="et-EE" w:eastAsia="et-EE"/>
              </w:rPr>
              <w:t>n</w:t>
            </w:r>
          </w:p>
        </w:tc>
        <w:tc>
          <w:tcPr>
            <w:tcW w:w="95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E27D83" w:rsidRPr="007E2CCC" w:rsidRDefault="00E27D83" w:rsidP="00E27D83">
            <w:pPr>
              <w:spacing w:after="0" w:line="240" w:lineRule="auto"/>
              <w:rPr>
                <w:rFonts w:ascii="Arial" w:eastAsia="Times New Roman" w:hAnsi="Arial" w:cs="Arial"/>
                <w:b/>
                <w:bCs/>
                <w:sz w:val="16"/>
                <w:szCs w:val="16"/>
                <w:lang w:val="et-EE" w:eastAsia="et-EE"/>
              </w:rPr>
            </w:pPr>
            <w:r w:rsidRPr="007E2CCC">
              <w:rPr>
                <w:rFonts w:ascii="Arial" w:eastAsia="Times New Roman" w:hAnsi="Arial" w:cs="Arial"/>
                <w:b/>
                <w:bCs/>
                <w:sz w:val="16"/>
                <w:szCs w:val="16"/>
                <w:lang w:val="et-EE" w:eastAsia="et-EE"/>
              </w:rPr>
              <w:t>Age groups reported</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E27D83" w:rsidRPr="007E2CCC" w:rsidRDefault="00E27D83" w:rsidP="00E27D83">
            <w:pPr>
              <w:spacing w:after="0" w:line="240" w:lineRule="auto"/>
              <w:rPr>
                <w:rFonts w:ascii="Arial" w:eastAsia="Times New Roman" w:hAnsi="Arial" w:cs="Arial"/>
                <w:b/>
                <w:bCs/>
                <w:sz w:val="16"/>
                <w:szCs w:val="16"/>
                <w:lang w:val="et-EE" w:eastAsia="et-EE"/>
              </w:rPr>
            </w:pPr>
            <w:r w:rsidRPr="007E2CCC">
              <w:rPr>
                <w:rFonts w:ascii="Arial" w:eastAsia="Times New Roman" w:hAnsi="Arial" w:cs="Arial"/>
                <w:b/>
                <w:bCs/>
                <w:sz w:val="16"/>
                <w:szCs w:val="16"/>
                <w:lang w:val="et-EE" w:eastAsia="et-EE"/>
              </w:rPr>
              <w:t>Findings</w:t>
            </w:r>
          </w:p>
        </w:tc>
      </w:tr>
      <w:tr w:rsidR="007E2CCC" w:rsidRPr="007E2CCC" w:rsidTr="0077222F">
        <w:trPr>
          <w:trHeight w:val="1020"/>
        </w:trPr>
        <w:tc>
          <w:tcPr>
            <w:tcW w:w="2850"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Dandona, R., Kumar, A., Ameer, A., Ahmed, M., &amp; Dandona, L. (2008). Incidence and Burden of Road Traffic Injuries in Urban India.</w:t>
            </w:r>
            <w:r w:rsidRPr="007E2CCC">
              <w:rPr>
                <w:rFonts w:ascii="Arial" w:eastAsia="Times New Roman" w:hAnsi="Arial" w:cs="Arial"/>
                <w:i/>
                <w:iCs/>
                <w:sz w:val="16"/>
                <w:szCs w:val="16"/>
                <w:lang w:val="et-EE" w:eastAsia="et-EE"/>
              </w:rPr>
              <w:t xml:space="preserve"> Injury Prevention 14</w:t>
            </w:r>
            <w:r w:rsidRPr="007E2CCC">
              <w:rPr>
                <w:rFonts w:ascii="Arial" w:eastAsia="Times New Roman" w:hAnsi="Arial" w:cs="Arial"/>
                <w:sz w:val="16"/>
                <w:szCs w:val="16"/>
                <w:lang w:val="et-EE" w:eastAsia="et-EE"/>
              </w:rPr>
              <w:t xml:space="preserve">(6), 354–359. </w:t>
            </w:r>
          </w:p>
        </w:tc>
        <w:tc>
          <w:tcPr>
            <w:tcW w:w="851"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India</w:t>
            </w:r>
          </w:p>
        </w:tc>
        <w:tc>
          <w:tcPr>
            <w:tcW w:w="1340"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Hyderabad city</w:t>
            </w:r>
          </w:p>
        </w:tc>
        <w:tc>
          <w:tcPr>
            <w:tcW w:w="1070"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survey data</w:t>
            </w:r>
          </w:p>
        </w:tc>
        <w:tc>
          <w:tcPr>
            <w:tcW w:w="708"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2005-2009</w:t>
            </w:r>
          </w:p>
        </w:tc>
        <w:tc>
          <w:tcPr>
            <w:tcW w:w="1175"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536 non-fatal RTIs by 520 participants</w:t>
            </w:r>
          </w:p>
        </w:tc>
        <w:tc>
          <w:tcPr>
            <w:tcW w:w="952"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5-9, 10-14, 15-19, 20-29, 30-39, 40-49</w:t>
            </w:r>
          </w:p>
        </w:tc>
        <w:tc>
          <w:tcPr>
            <w:tcW w:w="1134"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Estimated annual non-fatal RTI incidence rate per 100 persons in population aged 5-49 years</w:t>
            </w:r>
          </w:p>
        </w:tc>
      </w:tr>
      <w:tr w:rsidR="007E2CCC" w:rsidRPr="007E2CCC" w:rsidTr="0077222F">
        <w:trPr>
          <w:trHeight w:val="1200"/>
        </w:trPr>
        <w:tc>
          <w:tcPr>
            <w:tcW w:w="2850"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 xml:space="preserve">Honnungar, R. S., Aramani, S. C., Vijay Kumar, A. G., Ajay Kumar, T. S, Jirli, P. S. (2011). An Epidemiological Survey of Fatal Road Traffic Accidents and their Relationship with Head Injuries. </w:t>
            </w:r>
            <w:r w:rsidRPr="007E2CCC">
              <w:rPr>
                <w:rFonts w:ascii="Arial" w:eastAsia="Times New Roman" w:hAnsi="Arial" w:cs="Arial"/>
                <w:i/>
                <w:iCs/>
                <w:sz w:val="16"/>
                <w:szCs w:val="16"/>
                <w:lang w:val="et-EE" w:eastAsia="et-EE"/>
              </w:rPr>
              <w:t>Journal of Indian Academic Forensic Medicine 33</w:t>
            </w:r>
            <w:r w:rsidRPr="007E2CCC">
              <w:rPr>
                <w:rFonts w:ascii="Arial" w:eastAsia="Times New Roman" w:hAnsi="Arial" w:cs="Arial"/>
                <w:sz w:val="16"/>
                <w:szCs w:val="16"/>
                <w:lang w:val="et-EE" w:eastAsia="et-EE"/>
              </w:rPr>
              <w:t>(2), 135-137.</w:t>
            </w:r>
          </w:p>
        </w:tc>
        <w:tc>
          <w:tcPr>
            <w:tcW w:w="851"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India</w:t>
            </w:r>
          </w:p>
        </w:tc>
        <w:tc>
          <w:tcPr>
            <w:tcW w:w="1340"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Karnataka</w:t>
            </w:r>
          </w:p>
        </w:tc>
        <w:tc>
          <w:tcPr>
            <w:tcW w:w="1070"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autopsy study</w:t>
            </w:r>
          </w:p>
        </w:tc>
        <w:tc>
          <w:tcPr>
            <w:tcW w:w="708"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2004-2009</w:t>
            </w:r>
          </w:p>
        </w:tc>
        <w:tc>
          <w:tcPr>
            <w:tcW w:w="1175"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506 vehicle accident fatalities</w:t>
            </w:r>
          </w:p>
        </w:tc>
        <w:tc>
          <w:tcPr>
            <w:tcW w:w="952"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&lt;10, 11-20, 21-30, 31-40, 41-50, 51-60, &gt;60</w:t>
            </w:r>
          </w:p>
        </w:tc>
        <w:tc>
          <w:tcPr>
            <w:tcW w:w="1134"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Fatal RTIs by age group &amp; sex</w:t>
            </w:r>
          </w:p>
        </w:tc>
      </w:tr>
      <w:tr w:rsidR="007E2CCC" w:rsidRPr="007E2CCC" w:rsidTr="0077222F">
        <w:trPr>
          <w:trHeight w:val="960"/>
        </w:trPr>
        <w:tc>
          <w:tcPr>
            <w:tcW w:w="2850"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 xml:space="preserve">Hsiao, M., Malhotra, A., Thakur, J.S., et al. (2013). Road traffic injury mortality and its mechanisms in India: nationally representative mortality survey of 1.1 million homes. </w:t>
            </w:r>
            <w:r w:rsidRPr="007E2CCC">
              <w:rPr>
                <w:rFonts w:ascii="Arial" w:eastAsia="Times New Roman" w:hAnsi="Arial" w:cs="Arial"/>
                <w:i/>
                <w:iCs/>
                <w:sz w:val="16"/>
                <w:szCs w:val="16"/>
                <w:lang w:val="et-EE" w:eastAsia="et-EE"/>
              </w:rPr>
              <w:t>BMJ Open 2013(3</w:t>
            </w:r>
            <w:r w:rsidRPr="007E2CCC">
              <w:rPr>
                <w:rFonts w:ascii="Arial" w:eastAsia="Times New Roman" w:hAnsi="Arial" w:cs="Arial"/>
                <w:sz w:val="16"/>
                <w:szCs w:val="16"/>
                <w:lang w:val="et-EE" w:eastAsia="et-EE"/>
              </w:rPr>
              <w:t>):e002621.</w:t>
            </w:r>
          </w:p>
        </w:tc>
        <w:tc>
          <w:tcPr>
            <w:tcW w:w="851"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India</w:t>
            </w:r>
          </w:p>
        </w:tc>
        <w:tc>
          <w:tcPr>
            <w:tcW w:w="1340" w:type="dxa"/>
            <w:shd w:val="clear" w:color="auto" w:fill="auto"/>
            <w:noWrap/>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p>
        </w:tc>
        <w:tc>
          <w:tcPr>
            <w:tcW w:w="1070"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large mortality survey, verbal autopsy</w:t>
            </w:r>
          </w:p>
        </w:tc>
        <w:tc>
          <w:tcPr>
            <w:tcW w:w="708"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2001-2005</w:t>
            </w:r>
          </w:p>
        </w:tc>
        <w:tc>
          <w:tcPr>
            <w:tcW w:w="1175"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11543 injury deaths</w:t>
            </w:r>
          </w:p>
        </w:tc>
        <w:tc>
          <w:tcPr>
            <w:tcW w:w="952"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0-4, 5-14, 15-29, 30-44, 45-59, 60-69, &gt;70</w:t>
            </w:r>
          </w:p>
        </w:tc>
        <w:tc>
          <w:tcPr>
            <w:tcW w:w="1134"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Number of RTIs by sex and age group, estimated totals for 2005</w:t>
            </w:r>
          </w:p>
        </w:tc>
      </w:tr>
      <w:tr w:rsidR="007E2CCC" w:rsidRPr="007E2CCC" w:rsidTr="0077222F">
        <w:trPr>
          <w:trHeight w:val="1200"/>
        </w:trPr>
        <w:tc>
          <w:tcPr>
            <w:tcW w:w="2850"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 xml:space="preserve">Kakeri, S. R., Bagali, M.A., Goudar, E.S., &amp; Qadri, S. Y. (2014). Pattern of injuries and death sustained by the occupants of the two-wheeler during road traffic accidents. </w:t>
            </w:r>
            <w:r w:rsidRPr="007E2CCC">
              <w:rPr>
                <w:rFonts w:ascii="Arial" w:eastAsia="Times New Roman" w:hAnsi="Arial" w:cs="Arial"/>
                <w:i/>
                <w:iCs/>
                <w:sz w:val="16"/>
                <w:szCs w:val="16"/>
                <w:lang w:val="et-EE" w:eastAsia="et-EE"/>
              </w:rPr>
              <w:t>Al Ameen Journal of Medical Science 7</w:t>
            </w:r>
            <w:r w:rsidRPr="007E2CCC">
              <w:rPr>
                <w:rFonts w:ascii="Arial" w:eastAsia="Times New Roman" w:hAnsi="Arial" w:cs="Arial"/>
                <w:sz w:val="16"/>
                <w:szCs w:val="16"/>
                <w:lang w:val="et-EE" w:eastAsia="et-EE"/>
              </w:rPr>
              <w:t xml:space="preserve">(2), 118-124. </w:t>
            </w:r>
          </w:p>
        </w:tc>
        <w:tc>
          <w:tcPr>
            <w:tcW w:w="851"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India</w:t>
            </w:r>
          </w:p>
        </w:tc>
        <w:tc>
          <w:tcPr>
            <w:tcW w:w="1340"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Bijapur</w:t>
            </w:r>
          </w:p>
        </w:tc>
        <w:tc>
          <w:tcPr>
            <w:tcW w:w="1070"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hospital-based study</w:t>
            </w:r>
          </w:p>
        </w:tc>
        <w:tc>
          <w:tcPr>
            <w:tcW w:w="708"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2005-2007</w:t>
            </w:r>
          </w:p>
        </w:tc>
        <w:tc>
          <w:tcPr>
            <w:tcW w:w="1175"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150 RTA victims</w:t>
            </w:r>
          </w:p>
        </w:tc>
        <w:tc>
          <w:tcPr>
            <w:tcW w:w="952"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&lt;10, 10-20, 20-30, 30-40, 40-50, 50-60, 60-70, &gt;70</w:t>
            </w:r>
          </w:p>
        </w:tc>
        <w:tc>
          <w:tcPr>
            <w:tcW w:w="1134"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Fatal RTIs by age group</w:t>
            </w:r>
          </w:p>
        </w:tc>
      </w:tr>
      <w:tr w:rsidR="007E2CCC" w:rsidRPr="007E2CCC" w:rsidTr="0077222F">
        <w:trPr>
          <w:trHeight w:val="720"/>
        </w:trPr>
        <w:tc>
          <w:tcPr>
            <w:tcW w:w="2850"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 xml:space="preserve">Khajuria, B., Sharma, R., &amp; Verma, A. (2008). A profile of the autopsies of road traffic accident victims in Jammu. </w:t>
            </w:r>
            <w:r w:rsidRPr="007E2CCC">
              <w:rPr>
                <w:rFonts w:ascii="Arial" w:eastAsia="Times New Roman" w:hAnsi="Arial" w:cs="Arial"/>
                <w:i/>
                <w:iCs/>
                <w:sz w:val="16"/>
                <w:szCs w:val="16"/>
                <w:lang w:val="et-EE" w:eastAsia="et-EE"/>
              </w:rPr>
              <w:t>Journal of Clinical and Diagnostic Research 2</w:t>
            </w:r>
            <w:r w:rsidRPr="007E2CCC">
              <w:rPr>
                <w:rFonts w:ascii="Arial" w:eastAsia="Times New Roman" w:hAnsi="Arial" w:cs="Arial"/>
                <w:sz w:val="16"/>
                <w:szCs w:val="16"/>
                <w:lang w:val="et-EE" w:eastAsia="et-EE"/>
              </w:rPr>
              <w:t>, 639-642</w:t>
            </w:r>
          </w:p>
        </w:tc>
        <w:tc>
          <w:tcPr>
            <w:tcW w:w="851"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India</w:t>
            </w:r>
          </w:p>
        </w:tc>
        <w:tc>
          <w:tcPr>
            <w:tcW w:w="1340"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Jammu</w:t>
            </w:r>
          </w:p>
        </w:tc>
        <w:tc>
          <w:tcPr>
            <w:tcW w:w="1070"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autopsy study</w:t>
            </w:r>
          </w:p>
        </w:tc>
        <w:tc>
          <w:tcPr>
            <w:tcW w:w="708"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2000-2005</w:t>
            </w:r>
          </w:p>
        </w:tc>
        <w:tc>
          <w:tcPr>
            <w:tcW w:w="1175"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249 RTA victims</w:t>
            </w:r>
          </w:p>
        </w:tc>
        <w:tc>
          <w:tcPr>
            <w:tcW w:w="952"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&lt;20, 20-40, 41-60, &gt;60</w:t>
            </w:r>
          </w:p>
        </w:tc>
        <w:tc>
          <w:tcPr>
            <w:tcW w:w="1134"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Fatal RTIs by age group, fatal RTIs by sex</w:t>
            </w:r>
          </w:p>
        </w:tc>
      </w:tr>
      <w:tr w:rsidR="007E2CCC" w:rsidRPr="007E2CCC" w:rsidTr="0077222F">
        <w:trPr>
          <w:trHeight w:val="1020"/>
        </w:trPr>
        <w:tc>
          <w:tcPr>
            <w:tcW w:w="2850"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 xml:space="preserve">Mohan Kumar, T.S., Tanuj Kanchan, Yoganarasimha, K., Pradeep Kumar, G. (2006). Profile of unnatural deaths in Manipal, Southern India 1994–2004. </w:t>
            </w:r>
            <w:r w:rsidRPr="007E2CCC">
              <w:rPr>
                <w:rFonts w:ascii="Arial" w:eastAsia="Times New Roman" w:hAnsi="Arial" w:cs="Arial"/>
                <w:i/>
                <w:iCs/>
                <w:sz w:val="16"/>
                <w:szCs w:val="16"/>
                <w:lang w:val="et-EE" w:eastAsia="et-EE"/>
              </w:rPr>
              <w:t>Journal of Clinical Forensic Medicine 13</w:t>
            </w:r>
            <w:r w:rsidRPr="007E2CCC">
              <w:rPr>
                <w:rFonts w:ascii="Arial" w:eastAsia="Times New Roman" w:hAnsi="Arial" w:cs="Arial"/>
                <w:sz w:val="16"/>
                <w:szCs w:val="16"/>
                <w:lang w:val="et-EE" w:eastAsia="et-EE"/>
              </w:rPr>
              <w:t xml:space="preserve">(3), 117-120. </w:t>
            </w:r>
          </w:p>
        </w:tc>
        <w:tc>
          <w:tcPr>
            <w:tcW w:w="851"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India</w:t>
            </w:r>
          </w:p>
        </w:tc>
        <w:tc>
          <w:tcPr>
            <w:tcW w:w="1340"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Manipal, Southern India</w:t>
            </w:r>
          </w:p>
        </w:tc>
        <w:tc>
          <w:tcPr>
            <w:tcW w:w="1070"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autopsy study</w:t>
            </w:r>
          </w:p>
        </w:tc>
        <w:tc>
          <w:tcPr>
            <w:tcW w:w="708"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1994-2004</w:t>
            </w:r>
          </w:p>
        </w:tc>
        <w:tc>
          <w:tcPr>
            <w:tcW w:w="1175"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653 RTA victims</w:t>
            </w:r>
          </w:p>
        </w:tc>
        <w:tc>
          <w:tcPr>
            <w:tcW w:w="952"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0–9, 10–19, 20–29, 30–39, 40–49, 50–59, &gt;60</w:t>
            </w:r>
          </w:p>
        </w:tc>
        <w:tc>
          <w:tcPr>
            <w:tcW w:w="1134"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Fatal RTIs by age group &amp; sex</w:t>
            </w:r>
          </w:p>
        </w:tc>
      </w:tr>
      <w:tr w:rsidR="007E2CCC" w:rsidRPr="007E2CCC" w:rsidTr="0077222F">
        <w:trPr>
          <w:trHeight w:val="1020"/>
        </w:trPr>
        <w:tc>
          <w:tcPr>
            <w:tcW w:w="2850"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 xml:space="preserve">Sharma, B.R., Sharma, A.K., Sharma, S. &amp; Singh, H. (2007). Fatal Road Traffic Injuries in Northern India: Can They Be Prevented? </w:t>
            </w:r>
            <w:r w:rsidRPr="007E2CCC">
              <w:rPr>
                <w:rFonts w:ascii="Arial" w:eastAsia="Times New Roman" w:hAnsi="Arial" w:cs="Arial"/>
                <w:i/>
                <w:iCs/>
                <w:sz w:val="16"/>
                <w:szCs w:val="16"/>
                <w:lang w:val="et-EE" w:eastAsia="et-EE"/>
              </w:rPr>
              <w:t>Trends in Medical Research 2</w:t>
            </w:r>
            <w:r w:rsidRPr="007E2CCC">
              <w:rPr>
                <w:rFonts w:ascii="Arial" w:eastAsia="Times New Roman" w:hAnsi="Arial" w:cs="Arial"/>
                <w:sz w:val="16"/>
                <w:szCs w:val="16"/>
                <w:lang w:val="et-EE" w:eastAsia="et-EE"/>
              </w:rPr>
              <w:t>(3), 142-148.</w:t>
            </w:r>
          </w:p>
        </w:tc>
        <w:tc>
          <w:tcPr>
            <w:tcW w:w="851"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India</w:t>
            </w:r>
          </w:p>
        </w:tc>
        <w:tc>
          <w:tcPr>
            <w:tcW w:w="1340"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Northern India</w:t>
            </w:r>
          </w:p>
        </w:tc>
        <w:tc>
          <w:tcPr>
            <w:tcW w:w="1070"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autopsy study</w:t>
            </w:r>
          </w:p>
        </w:tc>
        <w:tc>
          <w:tcPr>
            <w:tcW w:w="708"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1996-2005</w:t>
            </w:r>
          </w:p>
        </w:tc>
        <w:tc>
          <w:tcPr>
            <w:tcW w:w="1175"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1109 RTA victims</w:t>
            </w:r>
          </w:p>
        </w:tc>
        <w:tc>
          <w:tcPr>
            <w:tcW w:w="952"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0-10, 11-15, 16-20, 21-25, 26-30, 31-40, 41-50, 51-60, &gt;61</w:t>
            </w:r>
          </w:p>
        </w:tc>
        <w:tc>
          <w:tcPr>
            <w:tcW w:w="1134"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Fatal RTIs by age group &amp; sex</w:t>
            </w:r>
          </w:p>
        </w:tc>
      </w:tr>
      <w:tr w:rsidR="007E2CCC" w:rsidRPr="007E2CCC" w:rsidTr="0077222F">
        <w:trPr>
          <w:trHeight w:val="1020"/>
        </w:trPr>
        <w:tc>
          <w:tcPr>
            <w:tcW w:w="2850"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Manish, K, Jyothi, N. S, Pawar, G. S., Jatti, V. B. (2012). Fatal Head Injuries in Road Traffic Accidents in and around Davangere: A Prospective Study. Indian Journal of Forensic Medicine and Pathology 5(2).</w:t>
            </w:r>
          </w:p>
        </w:tc>
        <w:tc>
          <w:tcPr>
            <w:tcW w:w="851"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India</w:t>
            </w:r>
          </w:p>
        </w:tc>
        <w:tc>
          <w:tcPr>
            <w:tcW w:w="1340"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Davangere</w:t>
            </w:r>
          </w:p>
        </w:tc>
        <w:tc>
          <w:tcPr>
            <w:tcW w:w="1070"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hospital-based study</w:t>
            </w:r>
          </w:p>
        </w:tc>
        <w:tc>
          <w:tcPr>
            <w:tcW w:w="708"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2005-2007</w:t>
            </w:r>
          </w:p>
        </w:tc>
        <w:tc>
          <w:tcPr>
            <w:tcW w:w="1175"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408 RTI deaths</w:t>
            </w:r>
          </w:p>
        </w:tc>
        <w:tc>
          <w:tcPr>
            <w:tcW w:w="952"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0-10, 11-20, 21-30, 31-40, 41-50, 51-60, 61-70, 71-80</w:t>
            </w:r>
          </w:p>
        </w:tc>
        <w:tc>
          <w:tcPr>
            <w:tcW w:w="1134"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Fatal RTIs by age group</w:t>
            </w:r>
          </w:p>
        </w:tc>
      </w:tr>
      <w:tr w:rsidR="007E2CCC" w:rsidRPr="007E2CCC" w:rsidTr="0077222F">
        <w:trPr>
          <w:trHeight w:val="2550"/>
        </w:trPr>
        <w:tc>
          <w:tcPr>
            <w:tcW w:w="2850"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 xml:space="preserve">Ditsuwan, V., Veerman, L. J., Barendregt, J. J., Bertram, M., &amp; Vos, T. (2011). The national burden of road traffic injuries in Thailand. </w:t>
            </w:r>
            <w:r w:rsidRPr="007E2CCC">
              <w:rPr>
                <w:rFonts w:ascii="Arial" w:eastAsia="Times New Roman" w:hAnsi="Arial" w:cs="Arial"/>
                <w:i/>
                <w:iCs/>
                <w:sz w:val="16"/>
                <w:szCs w:val="16"/>
                <w:lang w:val="et-EE" w:eastAsia="et-EE"/>
              </w:rPr>
              <w:t>Population Health Metrics 9</w:t>
            </w:r>
            <w:r w:rsidRPr="007E2CCC">
              <w:rPr>
                <w:rFonts w:ascii="Arial" w:eastAsia="Times New Roman" w:hAnsi="Arial" w:cs="Arial"/>
                <w:sz w:val="16"/>
                <w:szCs w:val="16"/>
                <w:lang w:val="et-EE" w:eastAsia="et-EE"/>
              </w:rPr>
              <w:t>(2)</w:t>
            </w:r>
          </w:p>
        </w:tc>
        <w:tc>
          <w:tcPr>
            <w:tcW w:w="851"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Thailand</w:t>
            </w:r>
          </w:p>
        </w:tc>
        <w:tc>
          <w:tcPr>
            <w:tcW w:w="1340" w:type="dxa"/>
            <w:shd w:val="clear" w:color="auto" w:fill="auto"/>
            <w:noWrap/>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p>
        </w:tc>
        <w:tc>
          <w:tcPr>
            <w:tcW w:w="1070"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estimate of fatal RTIs from SPICE cause of death study, hospital data, injury surveillance data, emergency department data</w:t>
            </w:r>
          </w:p>
        </w:tc>
        <w:tc>
          <w:tcPr>
            <w:tcW w:w="708" w:type="dxa"/>
            <w:shd w:val="clear" w:color="auto" w:fill="auto"/>
            <w:vAlign w:val="center"/>
            <w:hideMark/>
          </w:tcPr>
          <w:p w:rsidR="00E27D83" w:rsidRPr="007E2CCC" w:rsidRDefault="00E27D83" w:rsidP="00E27D83">
            <w:pPr>
              <w:spacing w:after="0" w:line="240" w:lineRule="auto"/>
              <w:jc w:val="right"/>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2004</w:t>
            </w:r>
          </w:p>
        </w:tc>
        <w:tc>
          <w:tcPr>
            <w:tcW w:w="1175"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567000 RTI victims</w:t>
            </w:r>
          </w:p>
        </w:tc>
        <w:tc>
          <w:tcPr>
            <w:tcW w:w="952"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0-4, 5-14, 15-29, 30-44, 45-59, 60-69, 70-79, 80+</w:t>
            </w:r>
          </w:p>
        </w:tc>
        <w:tc>
          <w:tcPr>
            <w:tcW w:w="1134"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Fatal &amp; nonfatal RTIs: deaths, admissions and RTI victims at emergency departments by age group &amp; sex</w:t>
            </w:r>
          </w:p>
        </w:tc>
      </w:tr>
      <w:tr w:rsidR="007E2CCC" w:rsidRPr="007E2CCC" w:rsidTr="0077222F">
        <w:trPr>
          <w:trHeight w:val="1440"/>
        </w:trPr>
        <w:tc>
          <w:tcPr>
            <w:tcW w:w="2850"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lastRenderedPageBreak/>
              <w:t xml:space="preserve">Nakahara, S., Chadbunchachai, W., Ichikawa, M., </w:t>
            </w:r>
            <w:r w:rsidRPr="007E2CCC">
              <w:rPr>
                <w:rFonts w:ascii="Arial" w:eastAsia="Times New Roman" w:hAnsi="Arial" w:cs="Arial"/>
                <w:i/>
                <w:iCs/>
                <w:sz w:val="16"/>
                <w:szCs w:val="16"/>
                <w:lang w:val="et-EE" w:eastAsia="et-EE"/>
              </w:rPr>
              <w:t>Tipsuntornsak</w:t>
            </w:r>
            <w:r w:rsidRPr="007E2CCC">
              <w:rPr>
                <w:rFonts w:ascii="Arial" w:eastAsia="Times New Roman" w:hAnsi="Arial" w:cs="Arial"/>
                <w:sz w:val="16"/>
                <w:szCs w:val="16"/>
                <w:lang w:val="et-EE" w:eastAsia="et-EE"/>
              </w:rPr>
              <w:t xml:space="preserve"> N., Wakai, S. (2005). Temporal distribution of motorcyclist injuries and risk of fatalities in relation to age, helmet use, and riding while intoxicated in Khon Kaen, Thailand. </w:t>
            </w:r>
            <w:r w:rsidRPr="007E2CCC">
              <w:rPr>
                <w:rFonts w:ascii="Arial" w:eastAsia="Times New Roman" w:hAnsi="Arial" w:cs="Arial"/>
                <w:i/>
                <w:iCs/>
                <w:sz w:val="16"/>
                <w:szCs w:val="16"/>
                <w:lang w:val="et-EE" w:eastAsia="et-EE"/>
              </w:rPr>
              <w:t>Accident Analysis and Prevention 37</w:t>
            </w:r>
            <w:r w:rsidRPr="007E2CCC">
              <w:rPr>
                <w:rFonts w:ascii="Arial" w:eastAsia="Times New Roman" w:hAnsi="Arial" w:cs="Arial"/>
                <w:sz w:val="16"/>
                <w:szCs w:val="16"/>
                <w:lang w:val="et-EE" w:eastAsia="et-EE"/>
              </w:rPr>
              <w:t>, 833–842.</w:t>
            </w:r>
          </w:p>
        </w:tc>
        <w:tc>
          <w:tcPr>
            <w:tcW w:w="851"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Thailand</w:t>
            </w:r>
          </w:p>
        </w:tc>
        <w:tc>
          <w:tcPr>
            <w:tcW w:w="1340"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Khon Khaen</w:t>
            </w:r>
          </w:p>
        </w:tc>
        <w:tc>
          <w:tcPr>
            <w:tcW w:w="1070"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hospital-based study</w:t>
            </w:r>
          </w:p>
        </w:tc>
        <w:tc>
          <w:tcPr>
            <w:tcW w:w="708"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1998-2002</w:t>
            </w:r>
          </w:p>
        </w:tc>
        <w:tc>
          <w:tcPr>
            <w:tcW w:w="1175"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9948 injured motorcyclists</w:t>
            </w:r>
          </w:p>
        </w:tc>
        <w:tc>
          <w:tcPr>
            <w:tcW w:w="952"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10-19, 20-29, 30-39, 40+</w:t>
            </w:r>
          </w:p>
        </w:tc>
        <w:tc>
          <w:tcPr>
            <w:tcW w:w="1134"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Motorcycle RTIs by age group, motorcycle RTIs by sex</w:t>
            </w:r>
          </w:p>
        </w:tc>
      </w:tr>
      <w:tr w:rsidR="007E2CCC" w:rsidRPr="007E2CCC" w:rsidTr="0077222F">
        <w:trPr>
          <w:trHeight w:val="2040"/>
        </w:trPr>
        <w:tc>
          <w:tcPr>
            <w:tcW w:w="2850"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 xml:space="preserve">Ngo, A.D., Rao, C., Phuong Hoa, N., Hoy, D. G., Quynh Trang, K. T., &amp; Hill, P. S. (2012). Road traffic related mortality in Vietnam: Evidence for policy from a national sample mortality surveillance system. </w:t>
            </w:r>
            <w:r w:rsidRPr="007E2CCC">
              <w:rPr>
                <w:rFonts w:ascii="Arial" w:eastAsia="Times New Roman" w:hAnsi="Arial" w:cs="Arial"/>
                <w:i/>
                <w:iCs/>
                <w:sz w:val="16"/>
                <w:szCs w:val="16"/>
                <w:lang w:val="et-EE" w:eastAsia="et-EE"/>
              </w:rPr>
              <w:t>BMC Public Health 12</w:t>
            </w:r>
            <w:r w:rsidRPr="007E2CCC">
              <w:rPr>
                <w:rFonts w:ascii="Arial" w:eastAsia="Times New Roman" w:hAnsi="Arial" w:cs="Arial"/>
                <w:sz w:val="16"/>
                <w:szCs w:val="16"/>
                <w:lang w:val="et-EE" w:eastAsia="et-EE"/>
              </w:rPr>
              <w:t xml:space="preserve">, 561. </w:t>
            </w:r>
          </w:p>
        </w:tc>
        <w:tc>
          <w:tcPr>
            <w:tcW w:w="851"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Vietnam</w:t>
            </w:r>
          </w:p>
        </w:tc>
        <w:tc>
          <w:tcPr>
            <w:tcW w:w="1340"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Sample of 192 communes in 16 provinces, representing six socioeconomic regions in Vietnam (3% of pop)</w:t>
            </w:r>
          </w:p>
        </w:tc>
        <w:tc>
          <w:tcPr>
            <w:tcW w:w="1070"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surveillance data, verbal autopsy</w:t>
            </w:r>
          </w:p>
        </w:tc>
        <w:tc>
          <w:tcPr>
            <w:tcW w:w="708"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2008-2009</w:t>
            </w:r>
          </w:p>
        </w:tc>
        <w:tc>
          <w:tcPr>
            <w:tcW w:w="1175"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1061 RTA victims</w:t>
            </w:r>
          </w:p>
        </w:tc>
        <w:tc>
          <w:tcPr>
            <w:tcW w:w="952"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&lt;15, 15-19, 20-29, 30-39, 40-49, 50-59, 60+</w:t>
            </w:r>
          </w:p>
        </w:tc>
        <w:tc>
          <w:tcPr>
            <w:tcW w:w="1134"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Number of RTI deaths by age group, number of RTI victims by sex</w:t>
            </w:r>
          </w:p>
        </w:tc>
      </w:tr>
      <w:tr w:rsidR="00E27D83" w:rsidRPr="007E2CCC" w:rsidTr="0077222F">
        <w:trPr>
          <w:trHeight w:val="960"/>
        </w:trPr>
        <w:tc>
          <w:tcPr>
            <w:tcW w:w="2850"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 xml:space="preserve">Mishra, B., Sinha, N. D., Suhkla, S. K., &amp; Sinha, A. K. (2010). Epidemiological Study of Road Traffic Accident Cases from Western Nepal. </w:t>
            </w:r>
            <w:r w:rsidRPr="007E2CCC">
              <w:rPr>
                <w:rFonts w:ascii="Arial" w:eastAsia="Times New Roman" w:hAnsi="Arial" w:cs="Arial"/>
                <w:i/>
                <w:iCs/>
                <w:sz w:val="16"/>
                <w:szCs w:val="16"/>
                <w:lang w:val="et-EE" w:eastAsia="et-EE"/>
              </w:rPr>
              <w:t>Indian Journal of Community Medicine 35</w:t>
            </w:r>
            <w:r w:rsidRPr="007E2CCC">
              <w:rPr>
                <w:rFonts w:ascii="Arial" w:eastAsia="Times New Roman" w:hAnsi="Arial" w:cs="Arial"/>
                <w:sz w:val="16"/>
                <w:szCs w:val="16"/>
                <w:lang w:val="et-EE" w:eastAsia="et-EE"/>
              </w:rPr>
              <w:t>(1), 115–121.</w:t>
            </w:r>
          </w:p>
        </w:tc>
        <w:tc>
          <w:tcPr>
            <w:tcW w:w="851"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Nepal</w:t>
            </w:r>
          </w:p>
        </w:tc>
        <w:tc>
          <w:tcPr>
            <w:tcW w:w="1340"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Western Nepal</w:t>
            </w:r>
          </w:p>
        </w:tc>
        <w:tc>
          <w:tcPr>
            <w:tcW w:w="1070"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hospital-based study</w:t>
            </w:r>
          </w:p>
        </w:tc>
        <w:tc>
          <w:tcPr>
            <w:tcW w:w="708"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p>
        </w:tc>
        <w:tc>
          <w:tcPr>
            <w:tcW w:w="1175"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360 RTA victims</w:t>
            </w:r>
          </w:p>
        </w:tc>
        <w:tc>
          <w:tcPr>
            <w:tcW w:w="952"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0-15, 16-30, 31-45, 46-60, &gt;60</w:t>
            </w:r>
          </w:p>
        </w:tc>
        <w:tc>
          <w:tcPr>
            <w:tcW w:w="1134"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RTA victims by age, RTA victims by sex</w:t>
            </w:r>
          </w:p>
        </w:tc>
      </w:tr>
    </w:tbl>
    <w:p w:rsidR="00E27D83" w:rsidRPr="007E2CCC" w:rsidRDefault="00E27D83" w:rsidP="00E27D83">
      <w:pPr>
        <w:spacing w:after="120" w:line="240" w:lineRule="auto"/>
        <w:rPr>
          <w:lang w:val="et-EE"/>
        </w:rPr>
      </w:pPr>
    </w:p>
    <w:p w:rsidR="00E27D83" w:rsidRPr="007E2CCC" w:rsidRDefault="00E27D83" w:rsidP="009B6778">
      <w:pPr>
        <w:pStyle w:val="Heading2"/>
        <w:rPr>
          <w:color w:val="auto"/>
          <w:lang w:bidi="en-US"/>
        </w:rPr>
      </w:pPr>
      <w:bookmarkStart w:id="6" w:name="_Toc404917303"/>
      <w:r w:rsidRPr="007E2CCC">
        <w:rPr>
          <w:color w:val="auto"/>
          <w:lang w:bidi="en-US"/>
        </w:rPr>
        <w:t>2. Road users: age distribution, risk factors &amp; injuries by road users</w:t>
      </w:r>
      <w:bookmarkEnd w:id="6"/>
    </w:p>
    <w:p w:rsidR="00E27D83" w:rsidRPr="007E2CCC" w:rsidRDefault="00E27D83" w:rsidP="00E27D83">
      <w:pPr>
        <w:spacing w:after="120" w:line="240" w:lineRule="auto"/>
        <w:rPr>
          <w:lang w:val="et-EE"/>
        </w:rPr>
      </w:pPr>
      <w:r w:rsidRPr="007E2CCC">
        <w:rPr>
          <w:lang w:val="et-EE"/>
        </w:rPr>
        <w:t xml:space="preserve">A standardized online keyword search was carried out to obtain country specific risk factor information, using online search engines such as Google, Google Scholar, and EBSCO. Keywords used were country name+road traffic injuries+road user, country name+ road traffic injuries+pedestrians, country name+road traffic injuries+motorcycle riders, country name+road traffic injuries+bicyclists, country name+road traffic injuries+car occupants, vehicle occupants. </w:t>
      </w:r>
    </w:p>
    <w:p w:rsidR="00E27D83" w:rsidRPr="007E2CCC" w:rsidRDefault="00E27D83" w:rsidP="00E27D83">
      <w:pPr>
        <w:spacing w:after="120" w:line="240" w:lineRule="auto"/>
        <w:rPr>
          <w:lang w:val="et-EE"/>
        </w:rPr>
      </w:pPr>
      <w:r w:rsidRPr="007E2CCC">
        <w:rPr>
          <w:lang w:val="et-EE"/>
        </w:rPr>
        <w:t>Very few studies provided information on the distribution of non-fatal injuries by road user category. Additionally, very few studies provided age breakdowns or compared deaths in different road user groups by sex. Classification of casualties by category of road-users was not uniform and in many instances such aggregated groupings did not allow for accurate identification of road-user categories.</w:t>
      </w:r>
    </w:p>
    <w:p w:rsidR="00E27D83" w:rsidRPr="007E2CCC" w:rsidRDefault="00E27D83" w:rsidP="00E27D83">
      <w:pPr>
        <w:spacing w:after="120" w:line="240" w:lineRule="auto"/>
        <w:rPr>
          <w:lang w:val="et-EE"/>
        </w:rPr>
      </w:pPr>
    </w:p>
    <w:p w:rsidR="00E27D83" w:rsidRPr="007E2CCC" w:rsidRDefault="00E27D83" w:rsidP="009B6778">
      <w:pPr>
        <w:pStyle w:val="Heading3"/>
        <w:rPr>
          <w:color w:val="auto"/>
          <w:lang w:bidi="en-US"/>
        </w:rPr>
      </w:pPr>
      <w:bookmarkStart w:id="7" w:name="_Toc404917304"/>
      <w:r w:rsidRPr="007E2CCC">
        <w:rPr>
          <w:color w:val="auto"/>
          <w:lang w:bidi="en-US"/>
        </w:rPr>
        <w:t>2.1 Age distribution of road users</w:t>
      </w:r>
      <w:bookmarkEnd w:id="7"/>
    </w:p>
    <w:p w:rsidR="00E27D83" w:rsidRPr="007E2CCC" w:rsidRDefault="00E27D83" w:rsidP="00E27D83">
      <w:pPr>
        <w:spacing w:after="120" w:line="240" w:lineRule="auto"/>
        <w:rPr>
          <w:lang w:val="et-EE"/>
        </w:rPr>
      </w:pPr>
      <w:r w:rsidRPr="007E2CCC">
        <w:rPr>
          <w:lang w:val="et-EE"/>
        </w:rPr>
        <w:t xml:space="preserve">As to age distribution of road users, the only available estimations were for South Africa. They originated from 2004, and provided an expected distribution of road users, based on calculations and data from 1997-1998 (Table 3). </w:t>
      </w:r>
    </w:p>
    <w:p w:rsidR="00E27D83" w:rsidRPr="007E2CCC" w:rsidRDefault="00E27D83" w:rsidP="00E27D83">
      <w:pPr>
        <w:spacing w:after="120" w:line="240" w:lineRule="auto"/>
        <w:rPr>
          <w:lang w:val="et-EE"/>
        </w:rPr>
      </w:pPr>
    </w:p>
    <w:p w:rsidR="00E27D83" w:rsidRPr="007E2CCC" w:rsidRDefault="00E27D83" w:rsidP="00E27D83">
      <w:pPr>
        <w:spacing w:after="120" w:line="240" w:lineRule="auto"/>
        <w:rPr>
          <w:lang w:val="et-EE"/>
        </w:rPr>
      </w:pPr>
      <w:r w:rsidRPr="007E2CCC">
        <w:rPr>
          <w:b/>
          <w:lang w:val="et-EE"/>
        </w:rPr>
        <w:t>Table 3.</w:t>
      </w:r>
      <w:r w:rsidRPr="007E2CCC">
        <w:rPr>
          <w:lang w:val="et-EE"/>
        </w:rPr>
        <w:t xml:space="preserve"> Data sources for age distribution of road users </w:t>
      </w:r>
    </w:p>
    <w:tbl>
      <w:tblPr>
        <w:tblW w:w="10080"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2850"/>
        <w:gridCol w:w="851"/>
        <w:gridCol w:w="1276"/>
        <w:gridCol w:w="1134"/>
        <w:gridCol w:w="708"/>
        <w:gridCol w:w="1134"/>
        <w:gridCol w:w="993"/>
        <w:gridCol w:w="1134"/>
      </w:tblGrid>
      <w:tr w:rsidR="007E2CCC" w:rsidRPr="007E2CCC" w:rsidTr="0077222F">
        <w:trPr>
          <w:trHeight w:val="570"/>
        </w:trPr>
        <w:tc>
          <w:tcPr>
            <w:tcW w:w="2850" w:type="dxa"/>
            <w:shd w:val="clear" w:color="000000" w:fill="D8D8D8"/>
            <w:vAlign w:val="center"/>
            <w:hideMark/>
          </w:tcPr>
          <w:p w:rsidR="00E27D83" w:rsidRPr="007E2CCC" w:rsidRDefault="00E27D83" w:rsidP="00E27D83">
            <w:pPr>
              <w:spacing w:after="0" w:line="240" w:lineRule="auto"/>
              <w:rPr>
                <w:rFonts w:ascii="Arial" w:eastAsia="Times New Roman" w:hAnsi="Arial" w:cs="Arial"/>
                <w:b/>
                <w:bCs/>
                <w:sz w:val="16"/>
                <w:szCs w:val="16"/>
                <w:lang w:val="et-EE" w:eastAsia="et-EE"/>
              </w:rPr>
            </w:pPr>
            <w:r w:rsidRPr="007E2CCC">
              <w:rPr>
                <w:rFonts w:ascii="Arial" w:eastAsia="Times New Roman" w:hAnsi="Arial" w:cs="Arial"/>
                <w:b/>
                <w:bCs/>
                <w:sz w:val="16"/>
                <w:szCs w:val="16"/>
                <w:lang w:val="et-EE" w:eastAsia="et-EE"/>
              </w:rPr>
              <w:t>Reference</w:t>
            </w:r>
          </w:p>
        </w:tc>
        <w:tc>
          <w:tcPr>
            <w:tcW w:w="851" w:type="dxa"/>
            <w:shd w:val="clear" w:color="000000" w:fill="D8D8D8"/>
            <w:vAlign w:val="center"/>
            <w:hideMark/>
          </w:tcPr>
          <w:p w:rsidR="00E27D83" w:rsidRPr="007E2CCC" w:rsidRDefault="00E27D83" w:rsidP="00E27D83">
            <w:pPr>
              <w:spacing w:after="0" w:line="240" w:lineRule="auto"/>
              <w:rPr>
                <w:rFonts w:ascii="Arial" w:eastAsia="Times New Roman" w:hAnsi="Arial" w:cs="Arial"/>
                <w:b/>
                <w:bCs/>
                <w:sz w:val="16"/>
                <w:szCs w:val="16"/>
                <w:lang w:val="et-EE" w:eastAsia="et-EE"/>
              </w:rPr>
            </w:pPr>
            <w:r w:rsidRPr="007E2CCC">
              <w:rPr>
                <w:rFonts w:ascii="Arial" w:eastAsia="Times New Roman" w:hAnsi="Arial" w:cs="Arial"/>
                <w:b/>
                <w:bCs/>
                <w:sz w:val="16"/>
                <w:szCs w:val="16"/>
                <w:lang w:val="et-EE" w:eastAsia="et-EE"/>
              </w:rPr>
              <w:t>Country</w:t>
            </w:r>
          </w:p>
        </w:tc>
        <w:tc>
          <w:tcPr>
            <w:tcW w:w="1276" w:type="dxa"/>
            <w:shd w:val="clear" w:color="000000" w:fill="D8D8D8"/>
            <w:vAlign w:val="center"/>
            <w:hideMark/>
          </w:tcPr>
          <w:p w:rsidR="00E27D83" w:rsidRPr="007E2CCC" w:rsidRDefault="00E27D83" w:rsidP="00E27D83">
            <w:pPr>
              <w:spacing w:after="0" w:line="240" w:lineRule="auto"/>
              <w:rPr>
                <w:rFonts w:ascii="Arial" w:eastAsia="Times New Roman" w:hAnsi="Arial" w:cs="Arial"/>
                <w:b/>
                <w:bCs/>
                <w:sz w:val="16"/>
                <w:szCs w:val="16"/>
                <w:lang w:val="et-EE" w:eastAsia="et-EE"/>
              </w:rPr>
            </w:pPr>
            <w:r w:rsidRPr="007E2CCC">
              <w:rPr>
                <w:rFonts w:ascii="Arial" w:eastAsia="Times New Roman" w:hAnsi="Arial" w:cs="Arial"/>
                <w:b/>
                <w:bCs/>
                <w:sz w:val="16"/>
                <w:szCs w:val="16"/>
                <w:lang w:val="et-EE" w:eastAsia="et-EE"/>
              </w:rPr>
              <w:t>Region</w:t>
            </w:r>
          </w:p>
        </w:tc>
        <w:tc>
          <w:tcPr>
            <w:tcW w:w="1134" w:type="dxa"/>
            <w:shd w:val="clear" w:color="000000" w:fill="D8D8D8"/>
            <w:vAlign w:val="center"/>
            <w:hideMark/>
          </w:tcPr>
          <w:p w:rsidR="00E27D83" w:rsidRPr="007E2CCC" w:rsidRDefault="00E27D83" w:rsidP="00E27D83">
            <w:pPr>
              <w:spacing w:after="0" w:line="240" w:lineRule="auto"/>
              <w:rPr>
                <w:rFonts w:ascii="Arial" w:eastAsia="Times New Roman" w:hAnsi="Arial" w:cs="Arial"/>
                <w:b/>
                <w:bCs/>
                <w:sz w:val="16"/>
                <w:szCs w:val="16"/>
                <w:lang w:val="et-EE" w:eastAsia="et-EE"/>
              </w:rPr>
            </w:pPr>
            <w:r w:rsidRPr="007E2CCC">
              <w:rPr>
                <w:rFonts w:ascii="Arial" w:eastAsia="Times New Roman" w:hAnsi="Arial" w:cs="Arial"/>
                <w:b/>
                <w:bCs/>
                <w:sz w:val="16"/>
                <w:szCs w:val="16"/>
                <w:lang w:val="et-EE" w:eastAsia="et-EE"/>
              </w:rPr>
              <w:t>Type of data</w:t>
            </w:r>
          </w:p>
        </w:tc>
        <w:tc>
          <w:tcPr>
            <w:tcW w:w="708" w:type="dxa"/>
            <w:shd w:val="clear" w:color="000000" w:fill="D8D8D8"/>
            <w:vAlign w:val="center"/>
            <w:hideMark/>
          </w:tcPr>
          <w:p w:rsidR="00E27D83" w:rsidRPr="007E2CCC" w:rsidRDefault="00E27D83" w:rsidP="00E27D83">
            <w:pPr>
              <w:spacing w:after="0" w:line="240" w:lineRule="auto"/>
              <w:rPr>
                <w:rFonts w:ascii="Arial" w:eastAsia="Times New Roman" w:hAnsi="Arial" w:cs="Arial"/>
                <w:b/>
                <w:bCs/>
                <w:sz w:val="16"/>
                <w:szCs w:val="16"/>
                <w:lang w:val="et-EE" w:eastAsia="et-EE"/>
              </w:rPr>
            </w:pPr>
            <w:r w:rsidRPr="007E2CCC">
              <w:rPr>
                <w:rFonts w:ascii="Arial" w:eastAsia="Times New Roman" w:hAnsi="Arial" w:cs="Arial"/>
                <w:b/>
                <w:bCs/>
                <w:sz w:val="16"/>
                <w:szCs w:val="16"/>
                <w:lang w:val="et-EE" w:eastAsia="et-EE"/>
              </w:rPr>
              <w:t>Data period</w:t>
            </w:r>
          </w:p>
        </w:tc>
        <w:tc>
          <w:tcPr>
            <w:tcW w:w="1134" w:type="dxa"/>
            <w:shd w:val="clear" w:color="000000" w:fill="D8D8D8"/>
            <w:vAlign w:val="center"/>
            <w:hideMark/>
          </w:tcPr>
          <w:p w:rsidR="00E27D83" w:rsidRPr="007E2CCC" w:rsidRDefault="00E27D83" w:rsidP="00E27D83">
            <w:pPr>
              <w:spacing w:after="0" w:line="240" w:lineRule="auto"/>
              <w:rPr>
                <w:rFonts w:ascii="Arial" w:eastAsia="Times New Roman" w:hAnsi="Arial" w:cs="Arial"/>
                <w:b/>
                <w:bCs/>
                <w:sz w:val="16"/>
                <w:szCs w:val="16"/>
                <w:lang w:val="et-EE" w:eastAsia="et-EE"/>
              </w:rPr>
            </w:pPr>
            <w:r w:rsidRPr="007E2CCC">
              <w:rPr>
                <w:rFonts w:ascii="Arial" w:eastAsia="Times New Roman" w:hAnsi="Arial" w:cs="Arial"/>
                <w:b/>
                <w:bCs/>
                <w:sz w:val="16"/>
                <w:szCs w:val="16"/>
                <w:lang w:val="et-EE" w:eastAsia="et-EE"/>
              </w:rPr>
              <w:t>n</w:t>
            </w:r>
          </w:p>
        </w:tc>
        <w:tc>
          <w:tcPr>
            <w:tcW w:w="993" w:type="dxa"/>
            <w:shd w:val="clear" w:color="000000" w:fill="D8D8D8"/>
            <w:vAlign w:val="center"/>
            <w:hideMark/>
          </w:tcPr>
          <w:p w:rsidR="00E27D83" w:rsidRPr="007E2CCC" w:rsidRDefault="00E27D83" w:rsidP="00E27D83">
            <w:pPr>
              <w:spacing w:after="0" w:line="240" w:lineRule="auto"/>
              <w:rPr>
                <w:rFonts w:ascii="Arial" w:eastAsia="Times New Roman" w:hAnsi="Arial" w:cs="Arial"/>
                <w:b/>
                <w:bCs/>
                <w:sz w:val="16"/>
                <w:szCs w:val="16"/>
                <w:lang w:val="et-EE" w:eastAsia="et-EE"/>
              </w:rPr>
            </w:pPr>
            <w:r w:rsidRPr="007E2CCC">
              <w:rPr>
                <w:rFonts w:ascii="Arial" w:eastAsia="Times New Roman" w:hAnsi="Arial" w:cs="Arial"/>
                <w:b/>
                <w:bCs/>
                <w:sz w:val="16"/>
                <w:szCs w:val="16"/>
                <w:lang w:val="et-EE" w:eastAsia="et-EE"/>
              </w:rPr>
              <w:t>Age groups reported</w:t>
            </w:r>
          </w:p>
        </w:tc>
        <w:tc>
          <w:tcPr>
            <w:tcW w:w="1134" w:type="dxa"/>
            <w:shd w:val="clear" w:color="000000" w:fill="D8D8D8"/>
            <w:vAlign w:val="center"/>
            <w:hideMark/>
          </w:tcPr>
          <w:p w:rsidR="00E27D83" w:rsidRPr="007E2CCC" w:rsidRDefault="00E27D83" w:rsidP="00E27D83">
            <w:pPr>
              <w:spacing w:after="0" w:line="240" w:lineRule="auto"/>
              <w:rPr>
                <w:rFonts w:ascii="Arial" w:eastAsia="Times New Roman" w:hAnsi="Arial" w:cs="Arial"/>
                <w:b/>
                <w:bCs/>
                <w:sz w:val="16"/>
                <w:szCs w:val="16"/>
                <w:lang w:val="et-EE" w:eastAsia="et-EE"/>
              </w:rPr>
            </w:pPr>
            <w:r w:rsidRPr="007E2CCC">
              <w:rPr>
                <w:rFonts w:ascii="Arial" w:eastAsia="Times New Roman" w:hAnsi="Arial" w:cs="Arial"/>
                <w:b/>
                <w:bCs/>
                <w:sz w:val="16"/>
                <w:szCs w:val="16"/>
                <w:lang w:val="et-EE" w:eastAsia="et-EE"/>
              </w:rPr>
              <w:t>Findings</w:t>
            </w:r>
          </w:p>
        </w:tc>
      </w:tr>
      <w:tr w:rsidR="00E27D83" w:rsidRPr="007E2CCC" w:rsidTr="0077222F">
        <w:trPr>
          <w:trHeight w:val="2040"/>
        </w:trPr>
        <w:tc>
          <w:tcPr>
            <w:tcW w:w="2850"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 xml:space="preserve">De Beer, E.J.H., &amp; van Niekerk, E.C. (2004). </w:t>
            </w:r>
            <w:r w:rsidRPr="007E2CCC">
              <w:rPr>
                <w:rFonts w:ascii="Arial" w:eastAsia="Times New Roman" w:hAnsi="Arial" w:cs="Arial"/>
                <w:i/>
                <w:iCs/>
                <w:sz w:val="16"/>
                <w:szCs w:val="16"/>
                <w:lang w:val="et-EE" w:eastAsia="et-EE"/>
              </w:rPr>
              <w:t>The estimation of unit costs of road traffic accidents in South Africa</w:t>
            </w:r>
            <w:r w:rsidRPr="007E2CCC">
              <w:rPr>
                <w:rFonts w:ascii="Arial" w:eastAsia="Times New Roman" w:hAnsi="Arial" w:cs="Arial"/>
                <w:sz w:val="16"/>
                <w:szCs w:val="16"/>
                <w:lang w:val="et-EE" w:eastAsia="et-EE"/>
              </w:rPr>
              <w:t>. National Department of Transport Contract Report CR-2004/6</w:t>
            </w:r>
          </w:p>
        </w:tc>
        <w:tc>
          <w:tcPr>
            <w:tcW w:w="851"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South Africa</w:t>
            </w:r>
          </w:p>
        </w:tc>
        <w:tc>
          <w:tcPr>
            <w:tcW w:w="1276"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p>
        </w:tc>
        <w:tc>
          <w:tcPr>
            <w:tcW w:w="1134"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calculations</w:t>
            </w:r>
          </w:p>
        </w:tc>
        <w:tc>
          <w:tcPr>
            <w:tcW w:w="708"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1997-1998</w:t>
            </w:r>
          </w:p>
        </w:tc>
        <w:tc>
          <w:tcPr>
            <w:tcW w:w="1134"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n/a</w:t>
            </w:r>
          </w:p>
        </w:tc>
        <w:tc>
          <w:tcPr>
            <w:tcW w:w="993"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0-1, 1-4, 5-9, 10-14, 15-19, 20-24, 25-29, 30-34, 35-39, 40-44, 45-49, 50-54, 55-59, 60-64, 65-69, 70-74, 75-59, 80+</w:t>
            </w:r>
          </w:p>
        </w:tc>
        <w:tc>
          <w:tcPr>
            <w:tcW w:w="1134"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expected distribution of road users, based on calculations</w:t>
            </w:r>
          </w:p>
        </w:tc>
      </w:tr>
    </w:tbl>
    <w:p w:rsidR="00E27D83" w:rsidRPr="007E2CCC" w:rsidRDefault="00E27D83" w:rsidP="00E27D83">
      <w:pPr>
        <w:spacing w:after="120" w:line="240" w:lineRule="auto"/>
        <w:rPr>
          <w:lang w:val="et-EE"/>
        </w:rPr>
      </w:pPr>
      <w:bookmarkStart w:id="8" w:name="_Toc404917305"/>
    </w:p>
    <w:p w:rsidR="00E27D83" w:rsidRPr="007E2CCC" w:rsidRDefault="00E27D83" w:rsidP="009B6778">
      <w:pPr>
        <w:pStyle w:val="Heading3"/>
        <w:rPr>
          <w:color w:val="auto"/>
          <w:lang w:bidi="en-US"/>
        </w:rPr>
      </w:pPr>
      <w:r w:rsidRPr="007E2CCC">
        <w:rPr>
          <w:color w:val="auto"/>
          <w:lang w:bidi="en-US"/>
        </w:rPr>
        <w:lastRenderedPageBreak/>
        <w:t>2.2 Distribution of risk factors by road users</w:t>
      </w:r>
      <w:bookmarkEnd w:id="8"/>
    </w:p>
    <w:p w:rsidR="00E27D83" w:rsidRPr="007E2CCC" w:rsidRDefault="00E27D83" w:rsidP="00E27D83">
      <w:pPr>
        <w:spacing w:after="120" w:line="240" w:lineRule="auto"/>
        <w:rPr>
          <w:lang w:val="et-EE"/>
        </w:rPr>
      </w:pPr>
      <w:r w:rsidRPr="007E2CCC">
        <w:rPr>
          <w:lang w:val="et-EE"/>
        </w:rPr>
        <w:t xml:space="preserve">Search keywords used were country name+seat belt, country name+helmet, country name+speeding, country name+drink-driving, driving under influence, alcohol-impaired driving. </w:t>
      </w:r>
    </w:p>
    <w:p w:rsidR="00E27D83" w:rsidRPr="007E2CCC" w:rsidRDefault="00E27D83" w:rsidP="00E27D83">
      <w:pPr>
        <w:spacing w:after="120" w:line="240" w:lineRule="auto"/>
        <w:rPr>
          <w:lang w:val="et-EE"/>
        </w:rPr>
      </w:pPr>
      <w:r w:rsidRPr="007E2CCC">
        <w:rPr>
          <w:lang w:val="et-EE"/>
        </w:rPr>
        <w:t xml:space="preserve">The aim was to locate country-specific risk-factor information, not only relating to direct assessment of the contribution of specific risk factors to overall road traffic injury rates, but also relating to levels of risk factor exposure (e.g. not wearing seatbelts). Concerning direct measures, only a limited number of country specific references were found, mostly from journal articles based on police or hospital data. </w:t>
      </w:r>
    </w:p>
    <w:p w:rsidR="00E27D83" w:rsidRPr="007E2CCC" w:rsidRDefault="00E27D83" w:rsidP="00E27D83">
      <w:pPr>
        <w:spacing w:after="120" w:line="240" w:lineRule="auto"/>
        <w:rPr>
          <w:lang w:val="et-EE"/>
        </w:rPr>
      </w:pPr>
      <w:r w:rsidRPr="007E2CCC">
        <w:rPr>
          <w:lang w:val="et-EE"/>
        </w:rPr>
        <w:t xml:space="preserve">Distributing road users into five distinct categories was problematic, because local classification systems included local means of transportation which have an arbitrary number of wheels and could be motorized or not, or powered by draft animals. </w:t>
      </w:r>
    </w:p>
    <w:p w:rsidR="00E27D83" w:rsidRPr="007E2CCC" w:rsidRDefault="00E27D83" w:rsidP="00E27D83">
      <w:pPr>
        <w:spacing w:after="120" w:line="240" w:lineRule="auto"/>
        <w:rPr>
          <w:lang w:val="et-EE"/>
        </w:rPr>
      </w:pPr>
      <w:r w:rsidRPr="007E2CCC">
        <w:rPr>
          <w:lang w:val="et-EE"/>
        </w:rPr>
        <w:t xml:space="preserve">In some cases no distinction was made between motorized and non-motorized two-wheelers, in some cases bus &amp; truck occupants were grouped together as motorized four-wheeler occupants. In some cases data for drivers and pillions were reported separately. </w:t>
      </w:r>
    </w:p>
    <w:p w:rsidR="00E27D83" w:rsidRPr="007E2CCC" w:rsidRDefault="00E27D83" w:rsidP="00E27D83">
      <w:pPr>
        <w:spacing w:after="120" w:line="240" w:lineRule="auto"/>
        <w:rPr>
          <w:lang w:val="et-EE"/>
        </w:rPr>
      </w:pPr>
    </w:p>
    <w:p w:rsidR="00E27D83" w:rsidRPr="007E2CCC" w:rsidRDefault="00E27D83" w:rsidP="009B6778">
      <w:pPr>
        <w:pStyle w:val="Heading4"/>
        <w:rPr>
          <w:color w:val="auto"/>
          <w:lang w:bidi="en-US"/>
        </w:rPr>
      </w:pPr>
      <w:bookmarkStart w:id="9" w:name="_Toc404917306"/>
      <w:r w:rsidRPr="007E2CCC">
        <w:rPr>
          <w:color w:val="auto"/>
          <w:lang w:bidi="en-US"/>
        </w:rPr>
        <w:t xml:space="preserve">2.2.1 Distribution of risk factors by road users in </w:t>
      </w:r>
      <w:bookmarkEnd w:id="9"/>
      <w:r w:rsidR="0077222F" w:rsidRPr="007E2CCC">
        <w:rPr>
          <w:color w:val="auto"/>
          <w:lang w:bidi="en-US"/>
        </w:rPr>
        <w:t>Sub-Saharan Africa</w:t>
      </w:r>
    </w:p>
    <w:p w:rsidR="00E27D83" w:rsidRPr="007E2CCC" w:rsidRDefault="00E27D83" w:rsidP="00E27D83">
      <w:pPr>
        <w:spacing w:after="120" w:line="240" w:lineRule="auto"/>
        <w:rPr>
          <w:lang w:val="et-EE"/>
        </w:rPr>
      </w:pPr>
      <w:r w:rsidRPr="007E2CCC">
        <w:rPr>
          <w:lang w:val="et-EE"/>
        </w:rPr>
        <w:t xml:space="preserve">Data on risk factor distribution by road users were available for 6 countries from </w:t>
      </w:r>
      <w:r w:rsidR="0077222F" w:rsidRPr="007E2CCC">
        <w:rPr>
          <w:lang w:val="et-EE"/>
        </w:rPr>
        <w:t>Sub-Saharan Africa</w:t>
      </w:r>
      <w:r w:rsidRPr="007E2CCC">
        <w:rPr>
          <w:lang w:val="et-EE"/>
        </w:rPr>
        <w:t xml:space="preserve">, a total of 7 articles (Table 4). Risk factor data are notably fragmented, and distribution of risk factors by age groups was not reported in any study. Blood alcohol concentration is not routinely measured, and not using safety equipment is often not recorded in hospital data. </w:t>
      </w:r>
    </w:p>
    <w:p w:rsidR="00E27D83" w:rsidRPr="007E2CCC" w:rsidRDefault="00E27D83" w:rsidP="00E27D83">
      <w:pPr>
        <w:spacing w:after="120" w:line="240" w:lineRule="auto"/>
        <w:rPr>
          <w:lang w:val="et-EE"/>
        </w:rPr>
      </w:pPr>
    </w:p>
    <w:p w:rsidR="00E27D83" w:rsidRPr="007E2CCC" w:rsidRDefault="00E27D83" w:rsidP="00E27D83">
      <w:pPr>
        <w:spacing w:after="120" w:line="240" w:lineRule="auto"/>
        <w:rPr>
          <w:lang w:val="et-EE"/>
        </w:rPr>
      </w:pPr>
      <w:r w:rsidRPr="007E2CCC">
        <w:rPr>
          <w:b/>
          <w:lang w:val="et-EE"/>
        </w:rPr>
        <w:t>Table 4.</w:t>
      </w:r>
      <w:r w:rsidRPr="007E2CCC">
        <w:rPr>
          <w:lang w:val="et-EE"/>
        </w:rPr>
        <w:t xml:space="preserve"> Data sources on distribution of risk factors by road users in </w:t>
      </w:r>
      <w:r w:rsidR="0077222F" w:rsidRPr="007E2CCC">
        <w:rPr>
          <w:lang w:val="et-EE"/>
        </w:rPr>
        <w:t>Sub-Saharan Africa</w:t>
      </w:r>
    </w:p>
    <w:tbl>
      <w:tblPr>
        <w:tblW w:w="10082" w:type="dxa"/>
        <w:tblInd w:w="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
      <w:tblGrid>
        <w:gridCol w:w="2852"/>
        <w:gridCol w:w="851"/>
        <w:gridCol w:w="1276"/>
        <w:gridCol w:w="1134"/>
        <w:gridCol w:w="708"/>
        <w:gridCol w:w="1134"/>
        <w:gridCol w:w="709"/>
        <w:gridCol w:w="1418"/>
      </w:tblGrid>
      <w:tr w:rsidR="007E2CCC" w:rsidRPr="007E2CCC" w:rsidTr="0077222F">
        <w:trPr>
          <w:trHeight w:val="855"/>
        </w:trPr>
        <w:tc>
          <w:tcPr>
            <w:tcW w:w="2852" w:type="dxa"/>
            <w:shd w:val="clear" w:color="000000" w:fill="D8D8D8"/>
            <w:vAlign w:val="center"/>
            <w:hideMark/>
          </w:tcPr>
          <w:p w:rsidR="00E27D83" w:rsidRPr="007E2CCC" w:rsidRDefault="00E27D83" w:rsidP="00E27D83">
            <w:pPr>
              <w:spacing w:after="0" w:line="240" w:lineRule="auto"/>
              <w:rPr>
                <w:rFonts w:ascii="Arial" w:eastAsia="Times New Roman" w:hAnsi="Arial" w:cs="Arial"/>
                <w:b/>
                <w:bCs/>
                <w:sz w:val="16"/>
                <w:szCs w:val="16"/>
                <w:lang w:val="et-EE" w:eastAsia="et-EE"/>
              </w:rPr>
            </w:pPr>
            <w:r w:rsidRPr="007E2CCC">
              <w:rPr>
                <w:rFonts w:ascii="Arial" w:eastAsia="Times New Roman" w:hAnsi="Arial" w:cs="Arial"/>
                <w:b/>
                <w:bCs/>
                <w:sz w:val="16"/>
                <w:szCs w:val="16"/>
                <w:lang w:val="et-EE" w:eastAsia="et-EE"/>
              </w:rPr>
              <w:t>Reference</w:t>
            </w:r>
          </w:p>
        </w:tc>
        <w:tc>
          <w:tcPr>
            <w:tcW w:w="851" w:type="dxa"/>
            <w:shd w:val="clear" w:color="000000" w:fill="D8D8D8"/>
            <w:vAlign w:val="center"/>
            <w:hideMark/>
          </w:tcPr>
          <w:p w:rsidR="00E27D83" w:rsidRPr="007E2CCC" w:rsidRDefault="00E27D83" w:rsidP="00E27D83">
            <w:pPr>
              <w:spacing w:after="0" w:line="240" w:lineRule="auto"/>
              <w:rPr>
                <w:rFonts w:ascii="Arial" w:eastAsia="Times New Roman" w:hAnsi="Arial" w:cs="Arial"/>
                <w:b/>
                <w:bCs/>
                <w:sz w:val="16"/>
                <w:szCs w:val="16"/>
                <w:lang w:val="et-EE" w:eastAsia="et-EE"/>
              </w:rPr>
            </w:pPr>
            <w:r w:rsidRPr="007E2CCC">
              <w:rPr>
                <w:rFonts w:ascii="Arial" w:eastAsia="Times New Roman" w:hAnsi="Arial" w:cs="Arial"/>
                <w:b/>
                <w:bCs/>
                <w:sz w:val="16"/>
                <w:szCs w:val="16"/>
                <w:lang w:val="et-EE" w:eastAsia="et-EE"/>
              </w:rPr>
              <w:t>Country</w:t>
            </w:r>
          </w:p>
        </w:tc>
        <w:tc>
          <w:tcPr>
            <w:tcW w:w="1276" w:type="dxa"/>
            <w:shd w:val="clear" w:color="000000" w:fill="D8D8D8"/>
            <w:vAlign w:val="center"/>
            <w:hideMark/>
          </w:tcPr>
          <w:p w:rsidR="00E27D83" w:rsidRPr="007E2CCC" w:rsidRDefault="00E27D83" w:rsidP="00E27D83">
            <w:pPr>
              <w:spacing w:after="0" w:line="240" w:lineRule="auto"/>
              <w:rPr>
                <w:rFonts w:ascii="Arial" w:eastAsia="Times New Roman" w:hAnsi="Arial" w:cs="Arial"/>
                <w:b/>
                <w:bCs/>
                <w:sz w:val="16"/>
                <w:szCs w:val="16"/>
                <w:lang w:val="et-EE" w:eastAsia="et-EE"/>
              </w:rPr>
            </w:pPr>
            <w:r w:rsidRPr="007E2CCC">
              <w:rPr>
                <w:rFonts w:ascii="Arial" w:eastAsia="Times New Roman" w:hAnsi="Arial" w:cs="Arial"/>
                <w:b/>
                <w:bCs/>
                <w:sz w:val="16"/>
                <w:szCs w:val="16"/>
                <w:lang w:val="et-EE" w:eastAsia="et-EE"/>
              </w:rPr>
              <w:t>Region</w:t>
            </w:r>
          </w:p>
        </w:tc>
        <w:tc>
          <w:tcPr>
            <w:tcW w:w="1134" w:type="dxa"/>
            <w:shd w:val="clear" w:color="000000" w:fill="D8D8D8"/>
            <w:vAlign w:val="center"/>
            <w:hideMark/>
          </w:tcPr>
          <w:p w:rsidR="00E27D83" w:rsidRPr="007E2CCC" w:rsidRDefault="00E27D83" w:rsidP="00E27D83">
            <w:pPr>
              <w:spacing w:after="0" w:line="240" w:lineRule="auto"/>
              <w:rPr>
                <w:rFonts w:ascii="Arial" w:eastAsia="Times New Roman" w:hAnsi="Arial" w:cs="Arial"/>
                <w:b/>
                <w:bCs/>
                <w:sz w:val="16"/>
                <w:szCs w:val="16"/>
                <w:lang w:val="et-EE" w:eastAsia="et-EE"/>
              </w:rPr>
            </w:pPr>
            <w:r w:rsidRPr="007E2CCC">
              <w:rPr>
                <w:rFonts w:ascii="Arial" w:eastAsia="Times New Roman" w:hAnsi="Arial" w:cs="Arial"/>
                <w:b/>
                <w:bCs/>
                <w:sz w:val="16"/>
                <w:szCs w:val="16"/>
                <w:lang w:val="et-EE" w:eastAsia="et-EE"/>
              </w:rPr>
              <w:t>Type of data</w:t>
            </w:r>
          </w:p>
        </w:tc>
        <w:tc>
          <w:tcPr>
            <w:tcW w:w="708" w:type="dxa"/>
            <w:shd w:val="clear" w:color="000000" w:fill="D8D8D8"/>
            <w:vAlign w:val="center"/>
            <w:hideMark/>
          </w:tcPr>
          <w:p w:rsidR="00E27D83" w:rsidRPr="007E2CCC" w:rsidRDefault="00E27D83" w:rsidP="00E27D83">
            <w:pPr>
              <w:spacing w:after="0" w:line="240" w:lineRule="auto"/>
              <w:rPr>
                <w:rFonts w:ascii="Arial" w:eastAsia="Times New Roman" w:hAnsi="Arial" w:cs="Arial"/>
                <w:b/>
                <w:bCs/>
                <w:sz w:val="16"/>
                <w:szCs w:val="16"/>
                <w:lang w:val="et-EE" w:eastAsia="et-EE"/>
              </w:rPr>
            </w:pPr>
            <w:r w:rsidRPr="007E2CCC">
              <w:rPr>
                <w:rFonts w:ascii="Arial" w:eastAsia="Times New Roman" w:hAnsi="Arial" w:cs="Arial"/>
                <w:b/>
                <w:bCs/>
                <w:sz w:val="16"/>
                <w:szCs w:val="16"/>
                <w:lang w:val="et-EE" w:eastAsia="et-EE"/>
              </w:rPr>
              <w:t>Data period</w:t>
            </w:r>
          </w:p>
        </w:tc>
        <w:tc>
          <w:tcPr>
            <w:tcW w:w="1134" w:type="dxa"/>
            <w:shd w:val="clear" w:color="000000" w:fill="D8D8D8"/>
            <w:vAlign w:val="center"/>
            <w:hideMark/>
          </w:tcPr>
          <w:p w:rsidR="00E27D83" w:rsidRPr="007E2CCC" w:rsidRDefault="00E27D83" w:rsidP="00E27D83">
            <w:pPr>
              <w:spacing w:after="0" w:line="240" w:lineRule="auto"/>
              <w:rPr>
                <w:rFonts w:ascii="Arial" w:eastAsia="Times New Roman" w:hAnsi="Arial" w:cs="Arial"/>
                <w:b/>
                <w:bCs/>
                <w:sz w:val="16"/>
                <w:szCs w:val="16"/>
                <w:lang w:val="et-EE" w:eastAsia="et-EE"/>
              </w:rPr>
            </w:pPr>
            <w:r w:rsidRPr="007E2CCC">
              <w:rPr>
                <w:rFonts w:ascii="Arial" w:eastAsia="Times New Roman" w:hAnsi="Arial" w:cs="Arial"/>
                <w:b/>
                <w:bCs/>
                <w:sz w:val="16"/>
                <w:szCs w:val="16"/>
                <w:lang w:val="et-EE" w:eastAsia="et-EE"/>
              </w:rPr>
              <w:t>n</w:t>
            </w:r>
          </w:p>
        </w:tc>
        <w:tc>
          <w:tcPr>
            <w:tcW w:w="709" w:type="dxa"/>
            <w:shd w:val="clear" w:color="000000" w:fill="D8D8D8"/>
            <w:vAlign w:val="center"/>
            <w:hideMark/>
          </w:tcPr>
          <w:p w:rsidR="00E27D83" w:rsidRPr="007E2CCC" w:rsidRDefault="00E27D83" w:rsidP="00E27D83">
            <w:pPr>
              <w:spacing w:after="0" w:line="240" w:lineRule="auto"/>
              <w:rPr>
                <w:rFonts w:ascii="Arial" w:eastAsia="Times New Roman" w:hAnsi="Arial" w:cs="Arial"/>
                <w:b/>
                <w:bCs/>
                <w:sz w:val="16"/>
                <w:szCs w:val="16"/>
                <w:lang w:val="et-EE" w:eastAsia="et-EE"/>
              </w:rPr>
            </w:pPr>
            <w:r w:rsidRPr="007E2CCC">
              <w:rPr>
                <w:rFonts w:ascii="Arial" w:eastAsia="Times New Roman" w:hAnsi="Arial" w:cs="Arial"/>
                <w:b/>
                <w:bCs/>
                <w:sz w:val="16"/>
                <w:szCs w:val="16"/>
                <w:lang w:val="et-EE" w:eastAsia="et-EE"/>
              </w:rPr>
              <w:t>Road user groups reported</w:t>
            </w:r>
          </w:p>
        </w:tc>
        <w:tc>
          <w:tcPr>
            <w:tcW w:w="1418" w:type="dxa"/>
            <w:shd w:val="clear" w:color="000000" w:fill="D8D8D8"/>
            <w:vAlign w:val="center"/>
            <w:hideMark/>
          </w:tcPr>
          <w:p w:rsidR="00E27D83" w:rsidRPr="007E2CCC" w:rsidRDefault="00E27D83" w:rsidP="00E27D83">
            <w:pPr>
              <w:spacing w:after="0" w:line="240" w:lineRule="auto"/>
              <w:rPr>
                <w:rFonts w:ascii="Arial" w:eastAsia="Times New Roman" w:hAnsi="Arial" w:cs="Arial"/>
                <w:b/>
                <w:bCs/>
                <w:sz w:val="16"/>
                <w:szCs w:val="16"/>
                <w:lang w:val="et-EE" w:eastAsia="et-EE"/>
              </w:rPr>
            </w:pPr>
            <w:r w:rsidRPr="007E2CCC">
              <w:rPr>
                <w:rFonts w:ascii="Arial" w:eastAsia="Times New Roman" w:hAnsi="Arial" w:cs="Arial"/>
                <w:b/>
                <w:bCs/>
                <w:sz w:val="16"/>
                <w:szCs w:val="16"/>
                <w:lang w:val="et-EE" w:eastAsia="et-EE"/>
              </w:rPr>
              <w:t>Findings</w:t>
            </w:r>
          </w:p>
        </w:tc>
      </w:tr>
      <w:tr w:rsidR="007E2CCC" w:rsidRPr="007E2CCC" w:rsidTr="0077222F">
        <w:trPr>
          <w:trHeight w:val="1200"/>
        </w:trPr>
        <w:tc>
          <w:tcPr>
            <w:tcW w:w="2852"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 xml:space="preserve">Bachani, A. M., Koradia, P., Herbert, H. K., Mogere, S., Akungah, D., Nyamari, J., Osoro, E., Maina, W., &amp; Stevens, K. A. (2012) Road Traffic Injuries in Kenya: The Health Burden and Risk Factors in Two Districts, </w:t>
            </w:r>
            <w:r w:rsidRPr="007E2CCC">
              <w:rPr>
                <w:rFonts w:ascii="Arial" w:eastAsia="Times New Roman" w:hAnsi="Arial" w:cs="Arial"/>
                <w:i/>
                <w:iCs/>
                <w:sz w:val="16"/>
                <w:szCs w:val="16"/>
                <w:lang w:val="et-EE" w:eastAsia="et-EE"/>
              </w:rPr>
              <w:t>Traffic Injury Prevention, 13</w:t>
            </w:r>
            <w:r w:rsidRPr="007E2CCC">
              <w:rPr>
                <w:rFonts w:ascii="Arial" w:eastAsia="Times New Roman" w:hAnsi="Arial" w:cs="Arial"/>
                <w:sz w:val="16"/>
                <w:szCs w:val="16"/>
                <w:lang w:val="et-EE" w:eastAsia="et-EE"/>
              </w:rPr>
              <w:t>(sup1), 24-30.</w:t>
            </w:r>
          </w:p>
        </w:tc>
        <w:tc>
          <w:tcPr>
            <w:tcW w:w="851"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Kenya</w:t>
            </w:r>
          </w:p>
        </w:tc>
        <w:tc>
          <w:tcPr>
            <w:tcW w:w="1276"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Thika, Naivasha, urban + rural</w:t>
            </w:r>
          </w:p>
        </w:tc>
        <w:tc>
          <w:tcPr>
            <w:tcW w:w="1134"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traffic police, vital registration, observations</w:t>
            </w:r>
          </w:p>
        </w:tc>
        <w:tc>
          <w:tcPr>
            <w:tcW w:w="708" w:type="dxa"/>
            <w:shd w:val="clear" w:color="auto" w:fill="auto"/>
            <w:vAlign w:val="center"/>
            <w:hideMark/>
          </w:tcPr>
          <w:p w:rsidR="00E27D83" w:rsidRPr="007E2CCC" w:rsidRDefault="00E27D83" w:rsidP="00E27D83">
            <w:pPr>
              <w:spacing w:after="0" w:line="240" w:lineRule="auto"/>
              <w:jc w:val="right"/>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2010</w:t>
            </w:r>
          </w:p>
        </w:tc>
        <w:tc>
          <w:tcPr>
            <w:tcW w:w="1134" w:type="dxa"/>
            <w:shd w:val="clear" w:color="auto" w:fill="auto"/>
            <w:vAlign w:val="center"/>
            <w:hideMark/>
          </w:tcPr>
          <w:p w:rsidR="00E27D83" w:rsidRPr="007E2CCC" w:rsidRDefault="00E27D83" w:rsidP="00E27D83">
            <w:pPr>
              <w:spacing w:after="0" w:line="240" w:lineRule="auto"/>
              <w:jc w:val="right"/>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6218</w:t>
            </w:r>
          </w:p>
        </w:tc>
        <w:tc>
          <w:tcPr>
            <w:tcW w:w="709"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all road users</w:t>
            </w:r>
          </w:p>
        </w:tc>
        <w:tc>
          <w:tcPr>
            <w:tcW w:w="1418"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Motorcycle drivers wearing a helmet - 30,37%, passengers 4,06</w:t>
            </w:r>
          </w:p>
        </w:tc>
      </w:tr>
      <w:tr w:rsidR="007E2CCC" w:rsidRPr="007E2CCC" w:rsidTr="0077222F">
        <w:trPr>
          <w:trHeight w:val="1635"/>
        </w:trPr>
        <w:tc>
          <w:tcPr>
            <w:tcW w:w="2852"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Masaoe, E. N. (2007). Study on Road Accidents in Mainland Tanzania. Final Report submitted to Surface and Marine Transport Regulatory Authority (SUMATRA). http://www.sumatra.or.tz/index.php/component/docman/doc_view/49-study-on-road-accidents-in-mainland-tanzania?Itemid=317 (Accessed on 24.07.2014)</w:t>
            </w:r>
          </w:p>
        </w:tc>
        <w:tc>
          <w:tcPr>
            <w:tcW w:w="851"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Tan</w:t>
            </w:r>
            <w:r w:rsidRPr="007E2CCC">
              <w:rPr>
                <w:rFonts w:ascii="Arial" w:eastAsia="Times New Roman" w:hAnsi="Arial" w:cs="Arial"/>
                <w:sz w:val="16"/>
                <w:szCs w:val="16"/>
                <w:lang w:val="et-EE" w:eastAsia="et-EE"/>
              </w:rPr>
              <w:softHyphen/>
              <w:t>zania</w:t>
            </w:r>
          </w:p>
        </w:tc>
        <w:tc>
          <w:tcPr>
            <w:tcW w:w="1276"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Dar es Salaam, Coast, Arusha, Kilimanjaro</w:t>
            </w:r>
          </w:p>
        </w:tc>
        <w:tc>
          <w:tcPr>
            <w:tcW w:w="1134"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traffic police statistics</w:t>
            </w:r>
          </w:p>
        </w:tc>
        <w:tc>
          <w:tcPr>
            <w:tcW w:w="708"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2000-2005</w:t>
            </w:r>
          </w:p>
        </w:tc>
        <w:tc>
          <w:tcPr>
            <w:tcW w:w="1134" w:type="dxa"/>
            <w:shd w:val="clear" w:color="auto" w:fill="auto"/>
            <w:vAlign w:val="center"/>
            <w:hideMark/>
          </w:tcPr>
          <w:p w:rsidR="00E27D83" w:rsidRPr="007E2CCC" w:rsidRDefault="00E27D83" w:rsidP="00E27D83">
            <w:pPr>
              <w:spacing w:after="0" w:line="240" w:lineRule="auto"/>
              <w:jc w:val="right"/>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85434</w:t>
            </w:r>
          </w:p>
        </w:tc>
        <w:tc>
          <w:tcPr>
            <w:tcW w:w="709"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all road users</w:t>
            </w:r>
          </w:p>
        </w:tc>
        <w:tc>
          <w:tcPr>
            <w:tcW w:w="1418"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Excessive speed 3,7%, reckless driving 54,5%, intoxication 0,8% of RTIs</w:t>
            </w:r>
          </w:p>
        </w:tc>
      </w:tr>
      <w:tr w:rsidR="007E2CCC" w:rsidRPr="007E2CCC" w:rsidTr="0077222F">
        <w:trPr>
          <w:trHeight w:val="1635"/>
        </w:trPr>
        <w:tc>
          <w:tcPr>
            <w:tcW w:w="2852"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 xml:space="preserve">Chalya, P. L., Mabula, J. B., Dass, R. M., Mbelenge, N., Ngayomela, I. H., Chandika, A. B., &amp; Gilyoma, J. M. (2012). Injury characteristics and outcome of road traffic crash victims at Bugando Medical Centre in Northwestern Tanzania. </w:t>
            </w:r>
            <w:r w:rsidRPr="007E2CCC">
              <w:rPr>
                <w:rFonts w:ascii="Arial" w:eastAsia="Times New Roman" w:hAnsi="Arial" w:cs="Arial"/>
                <w:i/>
                <w:iCs/>
                <w:sz w:val="16"/>
                <w:szCs w:val="16"/>
                <w:lang w:val="et-EE" w:eastAsia="et-EE"/>
              </w:rPr>
              <w:t>Journal of Trauma Management &amp; Outcomes 6</w:t>
            </w:r>
            <w:r w:rsidRPr="007E2CCC">
              <w:rPr>
                <w:rFonts w:ascii="Arial" w:eastAsia="Times New Roman" w:hAnsi="Arial" w:cs="Arial"/>
                <w:sz w:val="16"/>
                <w:szCs w:val="16"/>
                <w:lang w:val="et-EE" w:eastAsia="et-EE"/>
              </w:rPr>
              <w:t>(1).</w:t>
            </w:r>
          </w:p>
        </w:tc>
        <w:tc>
          <w:tcPr>
            <w:tcW w:w="851"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Tan</w:t>
            </w:r>
            <w:r w:rsidRPr="007E2CCC">
              <w:rPr>
                <w:rFonts w:ascii="Arial" w:eastAsia="Times New Roman" w:hAnsi="Arial" w:cs="Arial"/>
                <w:sz w:val="16"/>
                <w:szCs w:val="16"/>
                <w:lang w:val="et-EE" w:eastAsia="et-EE"/>
              </w:rPr>
              <w:softHyphen/>
              <w:t>zania</w:t>
            </w:r>
          </w:p>
        </w:tc>
        <w:tc>
          <w:tcPr>
            <w:tcW w:w="1276"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Northwestern Tanzania</w:t>
            </w:r>
          </w:p>
        </w:tc>
        <w:tc>
          <w:tcPr>
            <w:tcW w:w="1134"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hospital-based study</w:t>
            </w:r>
          </w:p>
        </w:tc>
        <w:tc>
          <w:tcPr>
            <w:tcW w:w="708"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2010-2011</w:t>
            </w:r>
          </w:p>
        </w:tc>
        <w:tc>
          <w:tcPr>
            <w:tcW w:w="1134"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1678 road traffic crash victims</w:t>
            </w:r>
          </w:p>
        </w:tc>
        <w:tc>
          <w:tcPr>
            <w:tcW w:w="709"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all road users</w:t>
            </w:r>
          </w:p>
        </w:tc>
        <w:tc>
          <w:tcPr>
            <w:tcW w:w="1418"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road traffic crash victims, helmet use by motorcyclists 24.7%, seat belt use by car occupants 13.5%, alcohol use prior to crash 17.2%</w:t>
            </w:r>
          </w:p>
        </w:tc>
      </w:tr>
      <w:tr w:rsidR="007E2CCC" w:rsidRPr="007E2CCC" w:rsidTr="0077222F">
        <w:trPr>
          <w:trHeight w:val="267"/>
        </w:trPr>
        <w:tc>
          <w:tcPr>
            <w:tcW w:w="2852"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 xml:space="preserve">Abegaz, T., Berhane, Y., Worku, A., Assrat, A., &amp; Assefa, A. (2014). Effects of excessive speeding and falling asleep while driving on crash injury severity in Ethiopia: A </w:t>
            </w:r>
            <w:r w:rsidRPr="007E2CCC">
              <w:rPr>
                <w:rFonts w:ascii="Arial" w:eastAsia="Times New Roman" w:hAnsi="Arial" w:cs="Arial"/>
                <w:sz w:val="16"/>
                <w:szCs w:val="16"/>
                <w:lang w:val="et-EE" w:eastAsia="et-EE"/>
              </w:rPr>
              <w:lastRenderedPageBreak/>
              <w:t xml:space="preserve">generalized ordered logit model analysis. </w:t>
            </w:r>
            <w:r w:rsidRPr="007E2CCC">
              <w:rPr>
                <w:rFonts w:ascii="Arial" w:eastAsia="Times New Roman" w:hAnsi="Arial" w:cs="Arial"/>
                <w:i/>
                <w:iCs/>
                <w:sz w:val="16"/>
                <w:szCs w:val="16"/>
                <w:lang w:val="et-EE" w:eastAsia="et-EE"/>
              </w:rPr>
              <w:t>Accident Analysis and Prevention 71</w:t>
            </w:r>
            <w:r w:rsidRPr="007E2CCC">
              <w:rPr>
                <w:rFonts w:ascii="Arial" w:eastAsia="Times New Roman" w:hAnsi="Arial" w:cs="Arial"/>
                <w:sz w:val="16"/>
                <w:szCs w:val="16"/>
                <w:lang w:val="et-EE" w:eastAsia="et-EE"/>
              </w:rPr>
              <w:t>, 15-21.</w:t>
            </w:r>
          </w:p>
        </w:tc>
        <w:tc>
          <w:tcPr>
            <w:tcW w:w="851"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lastRenderedPageBreak/>
              <w:t>Ethiopia</w:t>
            </w:r>
          </w:p>
        </w:tc>
        <w:tc>
          <w:tcPr>
            <w:tcW w:w="1276"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Addis Ababa-Hawassa highway</w:t>
            </w:r>
          </w:p>
        </w:tc>
        <w:tc>
          <w:tcPr>
            <w:tcW w:w="1134"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police data</w:t>
            </w:r>
          </w:p>
        </w:tc>
        <w:tc>
          <w:tcPr>
            <w:tcW w:w="708"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2012-2013</w:t>
            </w:r>
          </w:p>
        </w:tc>
        <w:tc>
          <w:tcPr>
            <w:tcW w:w="1134"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819 road crashes</w:t>
            </w:r>
          </w:p>
        </w:tc>
        <w:tc>
          <w:tcPr>
            <w:tcW w:w="709"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all road users</w:t>
            </w:r>
          </w:p>
        </w:tc>
        <w:tc>
          <w:tcPr>
            <w:tcW w:w="1418"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 xml:space="preserve">Alcohol use 9,8%, speeding 52,6% of total injuries, not using seatbelt 20,6%; </w:t>
            </w:r>
            <w:r w:rsidRPr="007E2CCC">
              <w:rPr>
                <w:rFonts w:ascii="Arial" w:eastAsia="Times New Roman" w:hAnsi="Arial" w:cs="Arial"/>
                <w:sz w:val="16"/>
                <w:szCs w:val="16"/>
                <w:lang w:val="et-EE" w:eastAsia="et-EE"/>
              </w:rPr>
              <w:lastRenderedPageBreak/>
              <w:t>distribution of types of vehicles involved in accidents</w:t>
            </w:r>
          </w:p>
        </w:tc>
      </w:tr>
      <w:tr w:rsidR="007E2CCC" w:rsidRPr="007E2CCC" w:rsidTr="0077222F">
        <w:trPr>
          <w:trHeight w:val="1020"/>
        </w:trPr>
        <w:tc>
          <w:tcPr>
            <w:tcW w:w="2852"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lastRenderedPageBreak/>
              <w:t xml:space="preserve">Damsere-Derry, J. Ebel, B. E., Mock, C. N., Afukaar, F., &amp; Donkor, P. (2010). Pedestrians’ injury patterns in Ghana. </w:t>
            </w:r>
            <w:r w:rsidRPr="007E2CCC">
              <w:rPr>
                <w:rFonts w:ascii="Arial" w:eastAsia="Times New Roman" w:hAnsi="Arial" w:cs="Arial"/>
                <w:i/>
                <w:iCs/>
                <w:sz w:val="16"/>
                <w:szCs w:val="16"/>
                <w:lang w:val="et-EE" w:eastAsia="et-EE"/>
              </w:rPr>
              <w:t>Accident Analysis and Prevention 42</w:t>
            </w:r>
            <w:r w:rsidRPr="007E2CCC">
              <w:rPr>
                <w:rFonts w:ascii="Arial" w:eastAsia="Times New Roman" w:hAnsi="Arial" w:cs="Arial"/>
                <w:sz w:val="16"/>
                <w:szCs w:val="16"/>
                <w:lang w:val="et-EE" w:eastAsia="et-EE"/>
              </w:rPr>
              <w:t>, 1080–1088.</w:t>
            </w:r>
          </w:p>
        </w:tc>
        <w:tc>
          <w:tcPr>
            <w:tcW w:w="851"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Ghana</w:t>
            </w:r>
          </w:p>
        </w:tc>
        <w:tc>
          <w:tcPr>
            <w:tcW w:w="1276"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Kumasi–Accra highway</w:t>
            </w:r>
          </w:p>
        </w:tc>
        <w:tc>
          <w:tcPr>
            <w:tcW w:w="1134"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police data</w:t>
            </w:r>
          </w:p>
        </w:tc>
        <w:tc>
          <w:tcPr>
            <w:tcW w:w="708"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2002-2006</w:t>
            </w:r>
          </w:p>
        </w:tc>
        <w:tc>
          <w:tcPr>
            <w:tcW w:w="1134"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812 fatal &amp; nonfatal RTIs</w:t>
            </w:r>
          </w:p>
        </w:tc>
        <w:tc>
          <w:tcPr>
            <w:tcW w:w="709"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pedestrians</w:t>
            </w:r>
          </w:p>
        </w:tc>
        <w:tc>
          <w:tcPr>
            <w:tcW w:w="1418"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27,9% of pedestrian total injuries speeding is a factor; probability that a pedestrian fatality occurring in Ghana attributable to excessive speeding is 65%</w:t>
            </w:r>
          </w:p>
        </w:tc>
      </w:tr>
      <w:tr w:rsidR="007E2CCC" w:rsidRPr="007E2CCC" w:rsidTr="0077222F">
        <w:trPr>
          <w:trHeight w:val="1785"/>
        </w:trPr>
        <w:tc>
          <w:tcPr>
            <w:tcW w:w="2852"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 xml:space="preserve">A profile of fatal injuries in South Africa - 7th Annual Report of the NATIONAL INJURY MORTALITY SURVEILLANCE SYSTEM 2005 </w:t>
            </w:r>
          </w:p>
        </w:tc>
        <w:tc>
          <w:tcPr>
            <w:tcW w:w="851"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South Africa</w:t>
            </w:r>
          </w:p>
        </w:tc>
        <w:tc>
          <w:tcPr>
            <w:tcW w:w="1276"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p>
        </w:tc>
        <w:tc>
          <w:tcPr>
            <w:tcW w:w="1134"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mortuary data</w:t>
            </w:r>
          </w:p>
        </w:tc>
        <w:tc>
          <w:tcPr>
            <w:tcW w:w="708" w:type="dxa"/>
            <w:shd w:val="clear" w:color="auto" w:fill="auto"/>
            <w:vAlign w:val="center"/>
            <w:hideMark/>
          </w:tcPr>
          <w:p w:rsidR="00E27D83" w:rsidRPr="007E2CCC" w:rsidRDefault="00E27D83" w:rsidP="00E27D83">
            <w:pPr>
              <w:spacing w:after="0" w:line="240" w:lineRule="auto"/>
              <w:jc w:val="right"/>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2005</w:t>
            </w:r>
          </w:p>
        </w:tc>
        <w:tc>
          <w:tcPr>
            <w:tcW w:w="1134"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5675 transport deaths</w:t>
            </w:r>
          </w:p>
        </w:tc>
        <w:tc>
          <w:tcPr>
            <w:tcW w:w="709"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all road users</w:t>
            </w:r>
          </w:p>
        </w:tc>
        <w:tc>
          <w:tcPr>
            <w:tcW w:w="1418"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 xml:space="preserve">Pedestrian &amp; vehicle driver &amp; passenger deaths by age. Car drivers 53,5% BAC positive, passengers 39,7% BAC positive, pedestrians 58,7% BAC positive, cyclists 44,9% BAC positive. </w:t>
            </w:r>
          </w:p>
        </w:tc>
      </w:tr>
      <w:tr w:rsidR="00E27D83" w:rsidRPr="007E2CCC" w:rsidTr="0077222F">
        <w:trPr>
          <w:trHeight w:val="765"/>
        </w:trPr>
        <w:tc>
          <w:tcPr>
            <w:tcW w:w="2852"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TRANSPORT STATISTICS: 2007. STATS BRIEF Released by the Central Statistics Office. Republic of Botswana</w:t>
            </w:r>
          </w:p>
        </w:tc>
        <w:tc>
          <w:tcPr>
            <w:tcW w:w="851"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Bots</w:t>
            </w:r>
            <w:r w:rsidRPr="007E2CCC">
              <w:rPr>
                <w:rFonts w:ascii="Arial" w:eastAsia="Times New Roman" w:hAnsi="Arial" w:cs="Arial"/>
                <w:sz w:val="16"/>
                <w:szCs w:val="16"/>
                <w:lang w:val="et-EE" w:eastAsia="et-EE"/>
              </w:rPr>
              <w:softHyphen/>
              <w:t>wana</w:t>
            </w:r>
          </w:p>
        </w:tc>
        <w:tc>
          <w:tcPr>
            <w:tcW w:w="1276"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p>
        </w:tc>
        <w:tc>
          <w:tcPr>
            <w:tcW w:w="1134"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police data/official statistics</w:t>
            </w:r>
          </w:p>
        </w:tc>
        <w:tc>
          <w:tcPr>
            <w:tcW w:w="708" w:type="dxa"/>
            <w:shd w:val="clear" w:color="auto" w:fill="auto"/>
            <w:vAlign w:val="center"/>
            <w:hideMark/>
          </w:tcPr>
          <w:p w:rsidR="00E27D83" w:rsidRPr="007E2CCC" w:rsidRDefault="00E27D83" w:rsidP="00E27D83">
            <w:pPr>
              <w:spacing w:after="0" w:line="240" w:lineRule="auto"/>
              <w:jc w:val="right"/>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2007</w:t>
            </w:r>
          </w:p>
        </w:tc>
        <w:tc>
          <w:tcPr>
            <w:tcW w:w="1134"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37463 casualties</w:t>
            </w:r>
          </w:p>
        </w:tc>
        <w:tc>
          <w:tcPr>
            <w:tcW w:w="709"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all road users</w:t>
            </w:r>
          </w:p>
        </w:tc>
        <w:tc>
          <w:tcPr>
            <w:tcW w:w="1418"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 xml:space="preserve">Deaths: alcohol/drugs 15 (3%) </w:t>
            </w:r>
            <w:r w:rsidRPr="007E2CCC">
              <w:rPr>
                <w:rFonts w:ascii="Arial" w:eastAsia="Times New Roman" w:hAnsi="Arial" w:cs="Arial"/>
                <w:sz w:val="16"/>
                <w:szCs w:val="16"/>
                <w:lang w:val="et-EE" w:eastAsia="et-EE"/>
              </w:rPr>
              <w:br/>
              <w:t>Injuries: alcohol/drugs 201 (2,8%)</w:t>
            </w:r>
          </w:p>
        </w:tc>
      </w:tr>
    </w:tbl>
    <w:p w:rsidR="00E27D83" w:rsidRPr="007E2CCC" w:rsidRDefault="00E27D83" w:rsidP="00E27D83">
      <w:pPr>
        <w:spacing w:after="120" w:line="240" w:lineRule="auto"/>
        <w:rPr>
          <w:lang w:val="et-EE"/>
        </w:rPr>
      </w:pPr>
    </w:p>
    <w:p w:rsidR="00E27D83" w:rsidRPr="007E2CCC" w:rsidRDefault="00E27D83" w:rsidP="009B6778">
      <w:pPr>
        <w:pStyle w:val="Heading4"/>
        <w:rPr>
          <w:color w:val="auto"/>
          <w:lang w:bidi="en-US"/>
        </w:rPr>
      </w:pPr>
      <w:bookmarkStart w:id="10" w:name="_Toc404917307"/>
      <w:r w:rsidRPr="007E2CCC">
        <w:rPr>
          <w:color w:val="auto"/>
          <w:lang w:bidi="en-US"/>
        </w:rPr>
        <w:t xml:space="preserve">2.2.2 Distribution of risk factors by road users in </w:t>
      </w:r>
      <w:bookmarkEnd w:id="10"/>
      <w:r w:rsidR="0077222F" w:rsidRPr="007E2CCC">
        <w:rPr>
          <w:color w:val="auto"/>
          <w:lang w:bidi="en-US"/>
        </w:rPr>
        <w:t>South-East Asia</w:t>
      </w:r>
    </w:p>
    <w:p w:rsidR="00E27D83" w:rsidRPr="007E2CCC" w:rsidRDefault="00E27D83" w:rsidP="00E27D83">
      <w:pPr>
        <w:spacing w:after="120" w:line="240" w:lineRule="auto"/>
        <w:rPr>
          <w:lang w:val="et-EE"/>
        </w:rPr>
      </w:pPr>
      <w:r w:rsidRPr="007E2CCC">
        <w:rPr>
          <w:lang w:val="et-EE"/>
        </w:rPr>
        <w:t xml:space="preserve">Some data on risk factor distribution by road users were found for 4 countries from </w:t>
      </w:r>
      <w:r w:rsidR="0077222F" w:rsidRPr="007E2CCC">
        <w:rPr>
          <w:lang w:val="et-EE"/>
        </w:rPr>
        <w:t>South-East Asia</w:t>
      </w:r>
      <w:r w:rsidRPr="007E2CCC">
        <w:rPr>
          <w:lang w:val="et-EE"/>
        </w:rPr>
        <w:t xml:space="preserve">, a total of 7 articles (Table 5). For India, one comprehensive report for 2011 outlines deaths attributable to intake of alcohol and speeding; other studies are limited to certain road user groups (e.g. two-wheelers).  </w:t>
      </w:r>
    </w:p>
    <w:p w:rsidR="00E27D83" w:rsidRPr="007E2CCC" w:rsidRDefault="00E27D83" w:rsidP="00E27D83">
      <w:pPr>
        <w:spacing w:after="120" w:line="240" w:lineRule="auto"/>
        <w:rPr>
          <w:lang w:val="et-EE"/>
        </w:rPr>
      </w:pPr>
    </w:p>
    <w:p w:rsidR="00E27D83" w:rsidRPr="007E2CCC" w:rsidRDefault="00E27D83" w:rsidP="00E27D83">
      <w:pPr>
        <w:spacing w:after="120" w:line="240" w:lineRule="auto"/>
        <w:rPr>
          <w:lang w:val="et-EE"/>
        </w:rPr>
      </w:pPr>
      <w:r w:rsidRPr="007E2CCC">
        <w:rPr>
          <w:b/>
          <w:lang w:val="et-EE"/>
        </w:rPr>
        <w:t>Table 5.</w:t>
      </w:r>
      <w:r w:rsidRPr="007E2CCC">
        <w:rPr>
          <w:lang w:val="et-EE"/>
        </w:rPr>
        <w:t xml:space="preserve"> Data sources for distribution of risk factors by road users in </w:t>
      </w:r>
      <w:r w:rsidR="0077222F" w:rsidRPr="007E2CCC">
        <w:rPr>
          <w:lang w:val="et-EE"/>
        </w:rPr>
        <w:t>South-East Asia</w:t>
      </w:r>
    </w:p>
    <w:tbl>
      <w:tblPr>
        <w:tblW w:w="10082" w:type="dxa"/>
        <w:tblInd w:w="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
      <w:tblGrid>
        <w:gridCol w:w="2852"/>
        <w:gridCol w:w="851"/>
        <w:gridCol w:w="1276"/>
        <w:gridCol w:w="1134"/>
        <w:gridCol w:w="708"/>
        <w:gridCol w:w="993"/>
        <w:gridCol w:w="850"/>
        <w:gridCol w:w="1418"/>
      </w:tblGrid>
      <w:tr w:rsidR="007E2CCC" w:rsidRPr="007E2CCC" w:rsidTr="0077222F">
        <w:trPr>
          <w:trHeight w:val="1020"/>
        </w:trPr>
        <w:tc>
          <w:tcPr>
            <w:tcW w:w="285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E27D83" w:rsidRPr="007E2CCC" w:rsidRDefault="00E27D83" w:rsidP="00E27D83">
            <w:pPr>
              <w:spacing w:after="0" w:line="240" w:lineRule="auto"/>
              <w:rPr>
                <w:rFonts w:ascii="Arial" w:eastAsia="Times New Roman" w:hAnsi="Arial" w:cs="Arial"/>
                <w:b/>
                <w:sz w:val="16"/>
                <w:szCs w:val="16"/>
                <w:lang w:val="et-EE" w:eastAsia="et-EE"/>
              </w:rPr>
            </w:pPr>
            <w:r w:rsidRPr="007E2CCC">
              <w:rPr>
                <w:rFonts w:ascii="Arial" w:eastAsia="Times New Roman" w:hAnsi="Arial" w:cs="Arial"/>
                <w:b/>
                <w:sz w:val="16"/>
                <w:szCs w:val="16"/>
                <w:lang w:val="et-EE" w:eastAsia="et-EE"/>
              </w:rPr>
              <w:t>Reference</w:t>
            </w:r>
          </w:p>
        </w:tc>
        <w:tc>
          <w:tcPr>
            <w:tcW w:w="85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E27D83" w:rsidRPr="007E2CCC" w:rsidRDefault="00E27D83" w:rsidP="00E27D83">
            <w:pPr>
              <w:spacing w:after="0" w:line="240" w:lineRule="auto"/>
              <w:rPr>
                <w:rFonts w:ascii="Arial" w:eastAsia="Times New Roman" w:hAnsi="Arial" w:cs="Arial"/>
                <w:b/>
                <w:sz w:val="16"/>
                <w:szCs w:val="16"/>
                <w:lang w:val="et-EE" w:eastAsia="et-EE"/>
              </w:rPr>
            </w:pPr>
            <w:r w:rsidRPr="007E2CCC">
              <w:rPr>
                <w:rFonts w:ascii="Arial" w:eastAsia="Times New Roman" w:hAnsi="Arial" w:cs="Arial"/>
                <w:b/>
                <w:sz w:val="16"/>
                <w:szCs w:val="16"/>
                <w:lang w:val="et-EE" w:eastAsia="et-EE"/>
              </w:rPr>
              <w:t>Country</w:t>
            </w:r>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E27D83" w:rsidRPr="007E2CCC" w:rsidRDefault="00E27D83" w:rsidP="00E27D83">
            <w:pPr>
              <w:spacing w:after="0" w:line="240" w:lineRule="auto"/>
              <w:rPr>
                <w:rFonts w:ascii="Arial" w:eastAsia="Times New Roman" w:hAnsi="Arial" w:cs="Arial"/>
                <w:b/>
                <w:sz w:val="16"/>
                <w:szCs w:val="16"/>
                <w:lang w:val="et-EE" w:eastAsia="et-EE"/>
              </w:rPr>
            </w:pPr>
            <w:r w:rsidRPr="007E2CCC">
              <w:rPr>
                <w:rFonts w:ascii="Arial" w:eastAsia="Times New Roman" w:hAnsi="Arial" w:cs="Arial"/>
                <w:b/>
                <w:sz w:val="16"/>
                <w:szCs w:val="16"/>
                <w:lang w:val="et-EE" w:eastAsia="et-EE"/>
              </w:rPr>
              <w:t>Region</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E27D83" w:rsidRPr="007E2CCC" w:rsidRDefault="00E27D83" w:rsidP="00E27D83">
            <w:pPr>
              <w:spacing w:after="0" w:line="240" w:lineRule="auto"/>
              <w:rPr>
                <w:rFonts w:ascii="Arial" w:eastAsia="Times New Roman" w:hAnsi="Arial" w:cs="Arial"/>
                <w:b/>
                <w:sz w:val="16"/>
                <w:szCs w:val="16"/>
                <w:lang w:val="et-EE" w:eastAsia="et-EE"/>
              </w:rPr>
            </w:pPr>
            <w:r w:rsidRPr="007E2CCC">
              <w:rPr>
                <w:rFonts w:ascii="Arial" w:eastAsia="Times New Roman" w:hAnsi="Arial" w:cs="Arial"/>
                <w:b/>
                <w:sz w:val="16"/>
                <w:szCs w:val="16"/>
                <w:lang w:val="et-EE" w:eastAsia="et-EE"/>
              </w:rPr>
              <w:t>Type of data</w:t>
            </w:r>
          </w:p>
        </w:tc>
        <w:tc>
          <w:tcPr>
            <w:tcW w:w="70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E27D83" w:rsidRPr="007E2CCC" w:rsidRDefault="00E27D83" w:rsidP="00E27D83">
            <w:pPr>
              <w:spacing w:after="0" w:line="240" w:lineRule="auto"/>
              <w:rPr>
                <w:rFonts w:ascii="Arial" w:eastAsia="Times New Roman" w:hAnsi="Arial" w:cs="Arial"/>
                <w:b/>
                <w:sz w:val="16"/>
                <w:szCs w:val="16"/>
                <w:lang w:val="et-EE" w:eastAsia="et-EE"/>
              </w:rPr>
            </w:pPr>
            <w:r w:rsidRPr="007E2CCC">
              <w:rPr>
                <w:rFonts w:ascii="Arial" w:eastAsia="Times New Roman" w:hAnsi="Arial" w:cs="Arial"/>
                <w:b/>
                <w:sz w:val="16"/>
                <w:szCs w:val="16"/>
                <w:lang w:val="et-EE" w:eastAsia="et-EE"/>
              </w:rPr>
              <w:t>Data period</w:t>
            </w:r>
          </w:p>
        </w:tc>
        <w:tc>
          <w:tcPr>
            <w:tcW w:w="9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E27D83" w:rsidRPr="007E2CCC" w:rsidRDefault="00E27D83" w:rsidP="00E27D83">
            <w:pPr>
              <w:spacing w:after="0" w:line="240" w:lineRule="auto"/>
              <w:rPr>
                <w:rFonts w:ascii="Arial" w:eastAsia="Times New Roman" w:hAnsi="Arial" w:cs="Arial"/>
                <w:b/>
                <w:sz w:val="16"/>
                <w:szCs w:val="16"/>
                <w:lang w:val="et-EE" w:eastAsia="et-EE"/>
              </w:rPr>
            </w:pPr>
            <w:r w:rsidRPr="007E2CCC">
              <w:rPr>
                <w:rFonts w:ascii="Arial" w:eastAsia="Times New Roman" w:hAnsi="Arial" w:cs="Arial"/>
                <w:b/>
                <w:sz w:val="16"/>
                <w:szCs w:val="16"/>
                <w:lang w:val="et-EE" w:eastAsia="et-EE"/>
              </w:rPr>
              <w:t>n</w:t>
            </w:r>
          </w:p>
        </w:tc>
        <w:tc>
          <w:tcPr>
            <w:tcW w:w="85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E27D83" w:rsidRPr="007E2CCC" w:rsidRDefault="00E27D83" w:rsidP="00E27D83">
            <w:pPr>
              <w:spacing w:after="0" w:line="240" w:lineRule="auto"/>
              <w:rPr>
                <w:rFonts w:ascii="Arial" w:eastAsia="Times New Roman" w:hAnsi="Arial" w:cs="Arial"/>
                <w:b/>
                <w:sz w:val="16"/>
                <w:szCs w:val="16"/>
                <w:lang w:val="et-EE" w:eastAsia="et-EE"/>
              </w:rPr>
            </w:pPr>
            <w:r w:rsidRPr="007E2CCC">
              <w:rPr>
                <w:rFonts w:ascii="Arial" w:eastAsia="Times New Roman" w:hAnsi="Arial" w:cs="Arial"/>
                <w:b/>
                <w:sz w:val="16"/>
                <w:szCs w:val="16"/>
                <w:lang w:val="et-EE" w:eastAsia="et-EE"/>
              </w:rPr>
              <w:t>Road user groups reported</w:t>
            </w:r>
          </w:p>
        </w:tc>
        <w:tc>
          <w:tcPr>
            <w:tcW w:w="141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E27D83" w:rsidRPr="007E2CCC" w:rsidRDefault="00E27D83" w:rsidP="00E27D83">
            <w:pPr>
              <w:spacing w:after="0" w:line="240" w:lineRule="auto"/>
              <w:rPr>
                <w:rFonts w:ascii="Arial" w:eastAsia="Times New Roman" w:hAnsi="Arial" w:cs="Arial"/>
                <w:b/>
                <w:sz w:val="16"/>
                <w:szCs w:val="16"/>
                <w:lang w:val="et-EE" w:eastAsia="et-EE"/>
              </w:rPr>
            </w:pPr>
            <w:r w:rsidRPr="007E2CCC">
              <w:rPr>
                <w:rFonts w:ascii="Arial" w:eastAsia="Times New Roman" w:hAnsi="Arial" w:cs="Arial"/>
                <w:b/>
                <w:sz w:val="16"/>
                <w:szCs w:val="16"/>
                <w:lang w:val="et-EE" w:eastAsia="et-EE"/>
              </w:rPr>
              <w:t>Findings</w:t>
            </w:r>
          </w:p>
        </w:tc>
      </w:tr>
      <w:tr w:rsidR="007E2CCC" w:rsidRPr="007E2CCC" w:rsidTr="0077222F">
        <w:trPr>
          <w:trHeight w:val="1020"/>
        </w:trPr>
        <w:tc>
          <w:tcPr>
            <w:tcW w:w="2852"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 xml:space="preserve">Road accidents in India 2011. Government of India, Ministry of Road Transport and Highways, Transport research wing, New Delhi. </w:t>
            </w:r>
          </w:p>
        </w:tc>
        <w:tc>
          <w:tcPr>
            <w:tcW w:w="851"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India</w:t>
            </w:r>
          </w:p>
        </w:tc>
        <w:tc>
          <w:tcPr>
            <w:tcW w:w="1276"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p>
        </w:tc>
        <w:tc>
          <w:tcPr>
            <w:tcW w:w="1134"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police data</w:t>
            </w:r>
          </w:p>
        </w:tc>
        <w:tc>
          <w:tcPr>
            <w:tcW w:w="708" w:type="dxa"/>
            <w:shd w:val="clear" w:color="auto" w:fill="auto"/>
            <w:vAlign w:val="center"/>
            <w:hideMark/>
          </w:tcPr>
          <w:p w:rsidR="00E27D83" w:rsidRPr="007E2CCC" w:rsidRDefault="00E27D83" w:rsidP="00E27D83">
            <w:pPr>
              <w:spacing w:after="0" w:line="240" w:lineRule="auto"/>
              <w:jc w:val="right"/>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2011</w:t>
            </w:r>
          </w:p>
        </w:tc>
        <w:tc>
          <w:tcPr>
            <w:tcW w:w="993"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497 686 accidents, 653 879 victims</w:t>
            </w:r>
          </w:p>
        </w:tc>
        <w:tc>
          <w:tcPr>
            <w:tcW w:w="850"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all road users</w:t>
            </w:r>
          </w:p>
        </w:tc>
        <w:tc>
          <w:tcPr>
            <w:tcW w:w="1418"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accidents caused due to intake of alcohol/drugs 6,4% of accidents, 10,3% of deaths; speeding 59% of accidents, 58,4% of deaths</w:t>
            </w:r>
          </w:p>
        </w:tc>
      </w:tr>
      <w:tr w:rsidR="007E2CCC" w:rsidRPr="007E2CCC" w:rsidTr="0077222F">
        <w:trPr>
          <w:trHeight w:val="1260"/>
        </w:trPr>
        <w:tc>
          <w:tcPr>
            <w:tcW w:w="2852"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 xml:space="preserve">Kakeri, S. R., Bagali, M. A., Goudar, E.S., &amp; Qadri, S. Y. (2014). Pattern of injuries and death sustained by the occupants of the two-wheeler during road traffic accidents. </w:t>
            </w:r>
            <w:r w:rsidRPr="007E2CCC">
              <w:rPr>
                <w:rFonts w:ascii="Arial" w:eastAsia="Times New Roman" w:hAnsi="Arial" w:cs="Arial"/>
                <w:i/>
                <w:iCs/>
                <w:sz w:val="16"/>
                <w:szCs w:val="16"/>
                <w:lang w:val="et-EE" w:eastAsia="et-EE"/>
              </w:rPr>
              <w:t>Al Ameen Journal of Medical Science 7</w:t>
            </w:r>
            <w:r w:rsidRPr="007E2CCC">
              <w:rPr>
                <w:rFonts w:ascii="Arial" w:eastAsia="Times New Roman" w:hAnsi="Arial" w:cs="Arial"/>
                <w:sz w:val="16"/>
                <w:szCs w:val="16"/>
                <w:lang w:val="et-EE" w:eastAsia="et-EE"/>
              </w:rPr>
              <w:t>(2) , 118-124.</w:t>
            </w:r>
          </w:p>
        </w:tc>
        <w:tc>
          <w:tcPr>
            <w:tcW w:w="851"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India</w:t>
            </w:r>
          </w:p>
        </w:tc>
        <w:tc>
          <w:tcPr>
            <w:tcW w:w="1276"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Bijapur</w:t>
            </w:r>
          </w:p>
        </w:tc>
        <w:tc>
          <w:tcPr>
            <w:tcW w:w="1134"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hospital-based study</w:t>
            </w:r>
          </w:p>
        </w:tc>
        <w:tc>
          <w:tcPr>
            <w:tcW w:w="708"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2005-2007</w:t>
            </w:r>
          </w:p>
        </w:tc>
        <w:tc>
          <w:tcPr>
            <w:tcW w:w="993"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150 RTA victims</w:t>
            </w:r>
          </w:p>
        </w:tc>
        <w:tc>
          <w:tcPr>
            <w:tcW w:w="850"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two-wheelers</w:t>
            </w:r>
          </w:p>
        </w:tc>
        <w:tc>
          <w:tcPr>
            <w:tcW w:w="1418"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74% two-wheeler road traffic accident victims did not wear helmets</w:t>
            </w:r>
          </w:p>
        </w:tc>
      </w:tr>
      <w:tr w:rsidR="007E2CCC" w:rsidRPr="007E2CCC" w:rsidTr="0077222F">
        <w:trPr>
          <w:trHeight w:val="1020"/>
        </w:trPr>
        <w:tc>
          <w:tcPr>
            <w:tcW w:w="2852"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lastRenderedPageBreak/>
              <w:t xml:space="preserve">Fitzharris, M., Dandona, R., Kumar, R., &amp; Dandona, L. (2009). Crash characteristics and patterns of injury among hospitalizedmotorised two-wheeled vehicle users in urban India. </w:t>
            </w:r>
            <w:r w:rsidRPr="007E2CCC">
              <w:rPr>
                <w:rFonts w:ascii="Arial" w:eastAsia="Times New Roman" w:hAnsi="Arial" w:cs="Arial"/>
                <w:i/>
                <w:iCs/>
                <w:sz w:val="16"/>
                <w:szCs w:val="16"/>
                <w:lang w:val="et-EE" w:eastAsia="et-EE"/>
              </w:rPr>
              <w:t>BMC Public Health 9(</w:t>
            </w:r>
            <w:r w:rsidRPr="007E2CCC">
              <w:rPr>
                <w:rFonts w:ascii="Arial" w:eastAsia="Times New Roman" w:hAnsi="Arial" w:cs="Arial"/>
                <w:sz w:val="16"/>
                <w:szCs w:val="16"/>
                <w:lang w:val="et-EE" w:eastAsia="et-EE"/>
              </w:rPr>
              <w:t>11).</w:t>
            </w:r>
          </w:p>
        </w:tc>
        <w:tc>
          <w:tcPr>
            <w:tcW w:w="851"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India</w:t>
            </w:r>
          </w:p>
        </w:tc>
        <w:tc>
          <w:tcPr>
            <w:tcW w:w="1276"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Hyderabad city, urban</w:t>
            </w:r>
          </w:p>
        </w:tc>
        <w:tc>
          <w:tcPr>
            <w:tcW w:w="1134"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multiple hospital study</w:t>
            </w:r>
          </w:p>
        </w:tc>
        <w:tc>
          <w:tcPr>
            <w:tcW w:w="708"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2005-2006</w:t>
            </w:r>
          </w:p>
        </w:tc>
        <w:tc>
          <w:tcPr>
            <w:tcW w:w="993"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378 motorized two-wheeler users</w:t>
            </w:r>
          </w:p>
        </w:tc>
        <w:tc>
          <w:tcPr>
            <w:tcW w:w="850"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motorized two-wheelers</w:t>
            </w:r>
          </w:p>
        </w:tc>
        <w:tc>
          <w:tcPr>
            <w:tcW w:w="1418"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19.6% of injured and deaths wore a helmet correctly; 80,4% of injured and deaths did not wear a helmet</w:t>
            </w:r>
          </w:p>
        </w:tc>
      </w:tr>
      <w:tr w:rsidR="007E2CCC" w:rsidRPr="007E2CCC" w:rsidTr="0077222F">
        <w:trPr>
          <w:trHeight w:val="1005"/>
        </w:trPr>
        <w:tc>
          <w:tcPr>
            <w:tcW w:w="2852"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Waseela M, &amp; Laosee O. (2014). Determinants of Road Traffic Injury Among Adult Motorcyclists in Malé, Maldives. A</w:t>
            </w:r>
            <w:r w:rsidRPr="007E2CCC">
              <w:rPr>
                <w:rFonts w:ascii="Arial" w:eastAsia="Times New Roman" w:hAnsi="Arial" w:cs="Arial"/>
                <w:i/>
                <w:iCs/>
                <w:sz w:val="16"/>
                <w:szCs w:val="16"/>
                <w:lang w:val="et-EE" w:eastAsia="et-EE"/>
              </w:rPr>
              <w:t>sian Pacific Journal of Public Health. 2014 Jun 23</w:t>
            </w:r>
            <w:r w:rsidRPr="007E2CCC">
              <w:rPr>
                <w:rFonts w:ascii="Arial" w:eastAsia="Times New Roman" w:hAnsi="Arial" w:cs="Arial"/>
                <w:sz w:val="16"/>
                <w:szCs w:val="16"/>
                <w:lang w:val="et-EE" w:eastAsia="et-EE"/>
              </w:rPr>
              <w:t>. [Epub ahead of print]</w:t>
            </w:r>
          </w:p>
        </w:tc>
        <w:tc>
          <w:tcPr>
            <w:tcW w:w="851"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Maldives</w:t>
            </w:r>
          </w:p>
        </w:tc>
        <w:tc>
          <w:tcPr>
            <w:tcW w:w="1276"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Malé</w:t>
            </w:r>
          </w:p>
        </w:tc>
        <w:tc>
          <w:tcPr>
            <w:tcW w:w="1134"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survey data</w:t>
            </w:r>
          </w:p>
        </w:tc>
        <w:tc>
          <w:tcPr>
            <w:tcW w:w="708"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2012-2013</w:t>
            </w:r>
          </w:p>
        </w:tc>
        <w:tc>
          <w:tcPr>
            <w:tcW w:w="993"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294 motorcycle riders</w:t>
            </w:r>
          </w:p>
        </w:tc>
        <w:tc>
          <w:tcPr>
            <w:tcW w:w="850"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motorcyclists</w:t>
            </w:r>
          </w:p>
        </w:tc>
        <w:tc>
          <w:tcPr>
            <w:tcW w:w="1418"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Excessive speed 14,5% as the primary cause for motorcycle RTIs</w:t>
            </w:r>
          </w:p>
        </w:tc>
      </w:tr>
      <w:tr w:rsidR="007E2CCC" w:rsidRPr="007E2CCC" w:rsidTr="0077222F">
        <w:trPr>
          <w:trHeight w:val="1620"/>
        </w:trPr>
        <w:tc>
          <w:tcPr>
            <w:tcW w:w="2852"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 xml:space="preserve">Weerawardena, W. A. K., Illanagasingha, T. D. B, Piyadasa, I. J., Rathnayaka, S.M., Subaweera, W.T.D.U.P.L., &amp; Niroshana, G.A.L. (2013). Analysis of patients admitted with history of Road Traffic Accidents to surgical unit B Teaching Hospital Anuradhapura, Sri Lanka. </w:t>
            </w:r>
            <w:r w:rsidRPr="007E2CCC">
              <w:rPr>
                <w:rFonts w:ascii="Arial" w:eastAsia="Times New Roman" w:hAnsi="Arial" w:cs="Arial"/>
                <w:i/>
                <w:iCs/>
                <w:sz w:val="16"/>
                <w:szCs w:val="16"/>
                <w:lang w:val="et-EE" w:eastAsia="et-EE"/>
              </w:rPr>
              <w:t>Anuradhapura Medical Journal 7</w:t>
            </w:r>
            <w:r w:rsidRPr="007E2CCC">
              <w:rPr>
                <w:rFonts w:ascii="Arial" w:eastAsia="Times New Roman" w:hAnsi="Arial" w:cs="Arial"/>
                <w:sz w:val="16"/>
                <w:szCs w:val="16"/>
                <w:lang w:val="et-EE" w:eastAsia="et-EE"/>
              </w:rPr>
              <w:t>(1), 2-5.</w:t>
            </w:r>
          </w:p>
        </w:tc>
        <w:tc>
          <w:tcPr>
            <w:tcW w:w="851"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Sri Lanka</w:t>
            </w:r>
          </w:p>
        </w:tc>
        <w:tc>
          <w:tcPr>
            <w:tcW w:w="1276"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Anuradhapura</w:t>
            </w:r>
          </w:p>
        </w:tc>
        <w:tc>
          <w:tcPr>
            <w:tcW w:w="1134"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hospital-based study</w:t>
            </w:r>
          </w:p>
        </w:tc>
        <w:tc>
          <w:tcPr>
            <w:tcW w:w="708"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2012-2013</w:t>
            </w:r>
          </w:p>
        </w:tc>
        <w:tc>
          <w:tcPr>
            <w:tcW w:w="993"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214 patients</w:t>
            </w:r>
          </w:p>
        </w:tc>
        <w:tc>
          <w:tcPr>
            <w:tcW w:w="850"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all road users, admitted patients</w:t>
            </w:r>
          </w:p>
        </w:tc>
        <w:tc>
          <w:tcPr>
            <w:tcW w:w="1418"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distribution of injuries by vehicle types &amp; road users, 32% alcohol use, 39% not wearing a helmet.</w:t>
            </w:r>
          </w:p>
        </w:tc>
      </w:tr>
      <w:tr w:rsidR="00E27D83" w:rsidRPr="007E2CCC" w:rsidTr="0077222F">
        <w:trPr>
          <w:trHeight w:val="1515"/>
        </w:trPr>
        <w:tc>
          <w:tcPr>
            <w:tcW w:w="2852"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 xml:space="preserve">Nakahara, S., Chadbunchachai, W., Ichikawa, M., Tipsuntornsak, N., &amp; Wakai, S. (2005). Temporal distribution of motorcyclist injuries and risk of fatalities in relation to age, helmet use, and riding while intoxicated in Khon Kaen, Thailand. </w:t>
            </w:r>
            <w:r w:rsidRPr="007E2CCC">
              <w:rPr>
                <w:rFonts w:ascii="Arial" w:eastAsia="Times New Roman" w:hAnsi="Arial" w:cs="Arial"/>
                <w:i/>
                <w:iCs/>
                <w:sz w:val="16"/>
                <w:szCs w:val="16"/>
                <w:lang w:val="et-EE" w:eastAsia="et-EE"/>
              </w:rPr>
              <w:t>Accident Analysis and Prevention 37</w:t>
            </w:r>
            <w:r w:rsidRPr="007E2CCC">
              <w:rPr>
                <w:rFonts w:ascii="Arial" w:eastAsia="Times New Roman" w:hAnsi="Arial" w:cs="Arial"/>
                <w:sz w:val="16"/>
                <w:szCs w:val="16"/>
                <w:lang w:val="et-EE" w:eastAsia="et-EE"/>
              </w:rPr>
              <w:t>, 833–842.</w:t>
            </w:r>
          </w:p>
        </w:tc>
        <w:tc>
          <w:tcPr>
            <w:tcW w:w="851"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Thailand</w:t>
            </w:r>
          </w:p>
        </w:tc>
        <w:tc>
          <w:tcPr>
            <w:tcW w:w="1276"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Khon Khaen</w:t>
            </w:r>
          </w:p>
        </w:tc>
        <w:tc>
          <w:tcPr>
            <w:tcW w:w="1134"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hospital-based study</w:t>
            </w:r>
          </w:p>
        </w:tc>
        <w:tc>
          <w:tcPr>
            <w:tcW w:w="708"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1998-2002</w:t>
            </w:r>
          </w:p>
        </w:tc>
        <w:tc>
          <w:tcPr>
            <w:tcW w:w="993"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9948 injured motorcyclists</w:t>
            </w:r>
          </w:p>
        </w:tc>
        <w:tc>
          <w:tcPr>
            <w:tcW w:w="850"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motorcyclists</w:t>
            </w:r>
          </w:p>
        </w:tc>
        <w:tc>
          <w:tcPr>
            <w:tcW w:w="1418"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fatal &amp; nonfatal cases of motorcyclist injuries, 74,9% not wearing a helmet, 36,5% drink-driving.</w:t>
            </w:r>
          </w:p>
        </w:tc>
      </w:tr>
    </w:tbl>
    <w:p w:rsidR="00E27D83" w:rsidRPr="007E2CCC" w:rsidRDefault="00E27D83" w:rsidP="00E27D83">
      <w:pPr>
        <w:spacing w:after="120" w:line="240" w:lineRule="auto"/>
        <w:rPr>
          <w:lang w:val="et-EE"/>
        </w:rPr>
      </w:pPr>
    </w:p>
    <w:p w:rsidR="00E27D83" w:rsidRPr="007E2CCC" w:rsidRDefault="00E27D83" w:rsidP="009B6778">
      <w:pPr>
        <w:pStyle w:val="Heading3"/>
        <w:rPr>
          <w:color w:val="auto"/>
          <w:lang w:bidi="en-US"/>
        </w:rPr>
      </w:pPr>
      <w:bookmarkStart w:id="11" w:name="_Toc404917308"/>
      <w:r w:rsidRPr="007E2CCC">
        <w:rPr>
          <w:color w:val="auto"/>
          <w:lang w:bidi="en-US"/>
        </w:rPr>
        <w:t>2.3. Fatal and non-fatal injuries by road users</w:t>
      </w:r>
      <w:bookmarkEnd w:id="11"/>
    </w:p>
    <w:p w:rsidR="00E27D83" w:rsidRPr="007E2CCC" w:rsidRDefault="00E27D83" w:rsidP="009B6778">
      <w:pPr>
        <w:pStyle w:val="Heading4"/>
        <w:rPr>
          <w:color w:val="auto"/>
          <w:lang w:bidi="en-US"/>
        </w:rPr>
      </w:pPr>
      <w:bookmarkStart w:id="12" w:name="_Toc404917309"/>
      <w:r w:rsidRPr="007E2CCC">
        <w:rPr>
          <w:color w:val="auto"/>
          <w:lang w:bidi="en-US"/>
        </w:rPr>
        <w:t xml:space="preserve">2.3.1 Fatal and non-fatal injuries by road users, </w:t>
      </w:r>
      <w:bookmarkEnd w:id="12"/>
      <w:r w:rsidR="0077222F" w:rsidRPr="007E2CCC">
        <w:rPr>
          <w:color w:val="auto"/>
          <w:lang w:bidi="en-US"/>
        </w:rPr>
        <w:t>Sub-Saharan Africa</w:t>
      </w:r>
    </w:p>
    <w:p w:rsidR="00E27D83" w:rsidRPr="007E2CCC" w:rsidRDefault="00E27D83" w:rsidP="00E27D83">
      <w:pPr>
        <w:spacing w:after="120" w:line="240" w:lineRule="auto"/>
        <w:rPr>
          <w:lang w:val="et-EE"/>
        </w:rPr>
      </w:pPr>
      <w:r w:rsidRPr="007E2CCC">
        <w:rPr>
          <w:lang w:val="et-EE"/>
        </w:rPr>
        <w:t xml:space="preserve">Report by WHO, “Global Status Report on Road Safety 2013” provides data for fatal road traffic injures by country and road user type. Other than that, data for multiple </w:t>
      </w:r>
      <w:r w:rsidR="0077222F" w:rsidRPr="007E2CCC">
        <w:rPr>
          <w:lang w:val="et-EE"/>
        </w:rPr>
        <w:t xml:space="preserve">Sub-Saharan Africa </w:t>
      </w:r>
      <w:r w:rsidRPr="007E2CCC">
        <w:rPr>
          <w:lang w:val="et-EE"/>
        </w:rPr>
        <w:t xml:space="preserve">countries were found (a total of 11 data sources). Also some regional data were reported on WHO factsheets, and a review from 2009 by Naci, Chisholm &amp; Baker. Usually most RTI studies provide some distribution by road users, although the categories may not correspond to those used previously, and an age distribution of these road users is usually missing. Table 6 shows data sources for RTI distribution by road users in </w:t>
      </w:r>
      <w:r w:rsidR="0077222F" w:rsidRPr="007E2CCC">
        <w:rPr>
          <w:lang w:val="et-EE"/>
        </w:rPr>
        <w:t xml:space="preserve">Sub-Saharan Africa </w:t>
      </w:r>
      <w:r w:rsidRPr="007E2CCC">
        <w:rPr>
          <w:lang w:val="et-EE"/>
        </w:rPr>
        <w:t xml:space="preserve">region. Most studies find pedestrians the most vulnerable road user group, accounting for 19-60% of RTIs, followed by car occupants and motorcycle riders. The share of car occupants in RTI casualties in </w:t>
      </w:r>
      <w:r w:rsidR="0077222F" w:rsidRPr="007E2CCC">
        <w:rPr>
          <w:lang w:val="et-EE"/>
        </w:rPr>
        <w:t xml:space="preserve">Sub-Saharan Africa </w:t>
      </w:r>
      <w:r w:rsidRPr="007E2CCC">
        <w:rPr>
          <w:lang w:val="et-EE"/>
        </w:rPr>
        <w:t xml:space="preserve">has increased when </w:t>
      </w:r>
      <w:r w:rsidR="0077222F" w:rsidRPr="007E2CCC">
        <w:rPr>
          <w:lang w:val="et-EE"/>
        </w:rPr>
        <w:t xml:space="preserve">compared to previous analysis. </w:t>
      </w:r>
    </w:p>
    <w:p w:rsidR="00E27D83" w:rsidRPr="007E2CCC" w:rsidRDefault="00E27D83" w:rsidP="00E27D83">
      <w:pPr>
        <w:spacing w:after="120" w:line="240" w:lineRule="auto"/>
        <w:rPr>
          <w:lang w:val="et-EE"/>
        </w:rPr>
      </w:pPr>
    </w:p>
    <w:p w:rsidR="00E27D83" w:rsidRPr="007E2CCC" w:rsidRDefault="00E27D83" w:rsidP="00E27D83">
      <w:pPr>
        <w:spacing w:after="120" w:line="240" w:lineRule="auto"/>
        <w:rPr>
          <w:lang w:val="et-EE"/>
        </w:rPr>
      </w:pPr>
      <w:r w:rsidRPr="007E2CCC">
        <w:rPr>
          <w:b/>
          <w:lang w:val="et-EE"/>
        </w:rPr>
        <w:t>Table 6.</w:t>
      </w:r>
      <w:r w:rsidRPr="007E2CCC">
        <w:rPr>
          <w:lang w:val="et-EE"/>
        </w:rPr>
        <w:t xml:space="preserve"> Data sources for fatal and non-fatal injuries by road users, </w:t>
      </w:r>
      <w:r w:rsidR="0077222F" w:rsidRPr="007E2CCC">
        <w:rPr>
          <w:lang w:val="et-EE"/>
        </w:rPr>
        <w:t>Sub-Saharan Africa</w:t>
      </w:r>
    </w:p>
    <w:tbl>
      <w:tblPr>
        <w:tblW w:w="10082" w:type="dxa"/>
        <w:tblInd w:w="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
      <w:tblGrid>
        <w:gridCol w:w="2852"/>
        <w:gridCol w:w="851"/>
        <w:gridCol w:w="1276"/>
        <w:gridCol w:w="1134"/>
        <w:gridCol w:w="708"/>
        <w:gridCol w:w="993"/>
        <w:gridCol w:w="850"/>
        <w:gridCol w:w="1418"/>
      </w:tblGrid>
      <w:tr w:rsidR="007E2CCC" w:rsidRPr="007E2CCC" w:rsidTr="0077222F">
        <w:trPr>
          <w:trHeight w:val="855"/>
        </w:trPr>
        <w:tc>
          <w:tcPr>
            <w:tcW w:w="2852" w:type="dxa"/>
            <w:shd w:val="clear" w:color="000000" w:fill="D8D8D8"/>
            <w:vAlign w:val="center"/>
            <w:hideMark/>
          </w:tcPr>
          <w:p w:rsidR="00E27D83" w:rsidRPr="007E2CCC" w:rsidRDefault="00E27D83" w:rsidP="00E27D83">
            <w:pPr>
              <w:spacing w:after="0" w:line="240" w:lineRule="auto"/>
              <w:rPr>
                <w:rFonts w:ascii="Arial" w:eastAsia="Times New Roman" w:hAnsi="Arial" w:cs="Arial"/>
                <w:b/>
                <w:bCs/>
                <w:sz w:val="16"/>
                <w:szCs w:val="16"/>
                <w:lang w:val="et-EE" w:eastAsia="et-EE"/>
              </w:rPr>
            </w:pPr>
            <w:r w:rsidRPr="007E2CCC">
              <w:rPr>
                <w:rFonts w:ascii="Arial" w:eastAsia="Times New Roman" w:hAnsi="Arial" w:cs="Arial"/>
                <w:b/>
                <w:bCs/>
                <w:sz w:val="16"/>
                <w:szCs w:val="16"/>
                <w:lang w:val="et-EE" w:eastAsia="et-EE"/>
              </w:rPr>
              <w:t>Reference</w:t>
            </w:r>
          </w:p>
        </w:tc>
        <w:tc>
          <w:tcPr>
            <w:tcW w:w="851" w:type="dxa"/>
            <w:shd w:val="clear" w:color="000000" w:fill="D8D8D8"/>
            <w:vAlign w:val="center"/>
            <w:hideMark/>
          </w:tcPr>
          <w:p w:rsidR="00E27D83" w:rsidRPr="007E2CCC" w:rsidRDefault="00E27D83" w:rsidP="00E27D83">
            <w:pPr>
              <w:spacing w:after="0" w:line="240" w:lineRule="auto"/>
              <w:rPr>
                <w:rFonts w:ascii="Arial" w:eastAsia="Times New Roman" w:hAnsi="Arial" w:cs="Arial"/>
                <w:b/>
                <w:bCs/>
                <w:sz w:val="16"/>
                <w:szCs w:val="16"/>
                <w:lang w:val="et-EE" w:eastAsia="et-EE"/>
              </w:rPr>
            </w:pPr>
            <w:r w:rsidRPr="007E2CCC">
              <w:rPr>
                <w:rFonts w:ascii="Arial" w:eastAsia="Times New Roman" w:hAnsi="Arial" w:cs="Arial"/>
                <w:b/>
                <w:bCs/>
                <w:sz w:val="16"/>
                <w:szCs w:val="16"/>
                <w:lang w:val="et-EE" w:eastAsia="et-EE"/>
              </w:rPr>
              <w:t>Country</w:t>
            </w:r>
          </w:p>
        </w:tc>
        <w:tc>
          <w:tcPr>
            <w:tcW w:w="1276" w:type="dxa"/>
            <w:shd w:val="clear" w:color="000000" w:fill="D8D8D8"/>
            <w:vAlign w:val="center"/>
            <w:hideMark/>
          </w:tcPr>
          <w:p w:rsidR="00E27D83" w:rsidRPr="007E2CCC" w:rsidRDefault="00E27D83" w:rsidP="00E27D83">
            <w:pPr>
              <w:spacing w:after="0" w:line="240" w:lineRule="auto"/>
              <w:rPr>
                <w:rFonts w:ascii="Arial" w:eastAsia="Times New Roman" w:hAnsi="Arial" w:cs="Arial"/>
                <w:b/>
                <w:bCs/>
                <w:sz w:val="16"/>
                <w:szCs w:val="16"/>
                <w:lang w:val="et-EE" w:eastAsia="et-EE"/>
              </w:rPr>
            </w:pPr>
            <w:r w:rsidRPr="007E2CCC">
              <w:rPr>
                <w:rFonts w:ascii="Arial" w:eastAsia="Times New Roman" w:hAnsi="Arial" w:cs="Arial"/>
                <w:b/>
                <w:bCs/>
                <w:sz w:val="16"/>
                <w:szCs w:val="16"/>
                <w:lang w:val="et-EE" w:eastAsia="et-EE"/>
              </w:rPr>
              <w:t>Region</w:t>
            </w:r>
          </w:p>
        </w:tc>
        <w:tc>
          <w:tcPr>
            <w:tcW w:w="1134" w:type="dxa"/>
            <w:shd w:val="clear" w:color="000000" w:fill="D8D8D8"/>
            <w:vAlign w:val="center"/>
            <w:hideMark/>
          </w:tcPr>
          <w:p w:rsidR="00E27D83" w:rsidRPr="007E2CCC" w:rsidRDefault="00E27D83" w:rsidP="00E27D83">
            <w:pPr>
              <w:spacing w:after="0" w:line="240" w:lineRule="auto"/>
              <w:rPr>
                <w:rFonts w:ascii="Arial" w:eastAsia="Times New Roman" w:hAnsi="Arial" w:cs="Arial"/>
                <w:b/>
                <w:bCs/>
                <w:sz w:val="16"/>
                <w:szCs w:val="16"/>
                <w:lang w:val="et-EE" w:eastAsia="et-EE"/>
              </w:rPr>
            </w:pPr>
            <w:r w:rsidRPr="007E2CCC">
              <w:rPr>
                <w:rFonts w:ascii="Arial" w:eastAsia="Times New Roman" w:hAnsi="Arial" w:cs="Arial"/>
                <w:b/>
                <w:bCs/>
                <w:sz w:val="16"/>
                <w:szCs w:val="16"/>
                <w:lang w:val="et-EE" w:eastAsia="et-EE"/>
              </w:rPr>
              <w:t>Type of data</w:t>
            </w:r>
          </w:p>
        </w:tc>
        <w:tc>
          <w:tcPr>
            <w:tcW w:w="708" w:type="dxa"/>
            <w:shd w:val="clear" w:color="000000" w:fill="D8D8D8"/>
            <w:vAlign w:val="center"/>
            <w:hideMark/>
          </w:tcPr>
          <w:p w:rsidR="00E27D83" w:rsidRPr="007E2CCC" w:rsidRDefault="00E27D83" w:rsidP="00E27D83">
            <w:pPr>
              <w:spacing w:after="0" w:line="240" w:lineRule="auto"/>
              <w:rPr>
                <w:rFonts w:ascii="Arial" w:eastAsia="Times New Roman" w:hAnsi="Arial" w:cs="Arial"/>
                <w:b/>
                <w:bCs/>
                <w:sz w:val="16"/>
                <w:szCs w:val="16"/>
                <w:lang w:val="et-EE" w:eastAsia="et-EE"/>
              </w:rPr>
            </w:pPr>
            <w:r w:rsidRPr="007E2CCC">
              <w:rPr>
                <w:rFonts w:ascii="Arial" w:eastAsia="Times New Roman" w:hAnsi="Arial" w:cs="Arial"/>
                <w:b/>
                <w:bCs/>
                <w:sz w:val="16"/>
                <w:szCs w:val="16"/>
                <w:lang w:val="et-EE" w:eastAsia="et-EE"/>
              </w:rPr>
              <w:t>Data period</w:t>
            </w:r>
          </w:p>
        </w:tc>
        <w:tc>
          <w:tcPr>
            <w:tcW w:w="993" w:type="dxa"/>
            <w:shd w:val="clear" w:color="000000" w:fill="D8D8D8"/>
            <w:vAlign w:val="center"/>
            <w:hideMark/>
          </w:tcPr>
          <w:p w:rsidR="00E27D83" w:rsidRPr="007E2CCC" w:rsidRDefault="00E27D83" w:rsidP="00E27D83">
            <w:pPr>
              <w:spacing w:after="0" w:line="240" w:lineRule="auto"/>
              <w:rPr>
                <w:rFonts w:ascii="Arial" w:eastAsia="Times New Roman" w:hAnsi="Arial" w:cs="Arial"/>
                <w:b/>
                <w:bCs/>
                <w:sz w:val="16"/>
                <w:szCs w:val="16"/>
                <w:lang w:val="et-EE" w:eastAsia="et-EE"/>
              </w:rPr>
            </w:pPr>
            <w:r w:rsidRPr="007E2CCC">
              <w:rPr>
                <w:rFonts w:ascii="Arial" w:eastAsia="Times New Roman" w:hAnsi="Arial" w:cs="Arial"/>
                <w:b/>
                <w:bCs/>
                <w:sz w:val="16"/>
                <w:szCs w:val="16"/>
                <w:lang w:val="et-EE" w:eastAsia="et-EE"/>
              </w:rPr>
              <w:t>n</w:t>
            </w:r>
          </w:p>
        </w:tc>
        <w:tc>
          <w:tcPr>
            <w:tcW w:w="850" w:type="dxa"/>
            <w:shd w:val="clear" w:color="000000" w:fill="D8D8D8"/>
            <w:vAlign w:val="center"/>
            <w:hideMark/>
          </w:tcPr>
          <w:p w:rsidR="00E27D83" w:rsidRPr="007E2CCC" w:rsidRDefault="00E27D83" w:rsidP="00E27D83">
            <w:pPr>
              <w:spacing w:after="0" w:line="240" w:lineRule="auto"/>
              <w:rPr>
                <w:rFonts w:ascii="Arial" w:eastAsia="Times New Roman" w:hAnsi="Arial" w:cs="Arial"/>
                <w:b/>
                <w:bCs/>
                <w:sz w:val="16"/>
                <w:szCs w:val="16"/>
                <w:lang w:val="et-EE" w:eastAsia="et-EE"/>
              </w:rPr>
            </w:pPr>
            <w:r w:rsidRPr="007E2CCC">
              <w:rPr>
                <w:rFonts w:ascii="Arial" w:eastAsia="Times New Roman" w:hAnsi="Arial" w:cs="Arial"/>
                <w:b/>
                <w:bCs/>
                <w:sz w:val="16"/>
                <w:szCs w:val="16"/>
                <w:lang w:val="et-EE" w:eastAsia="et-EE"/>
              </w:rPr>
              <w:t>Road user groups / fatality</w:t>
            </w:r>
          </w:p>
        </w:tc>
        <w:tc>
          <w:tcPr>
            <w:tcW w:w="1418" w:type="dxa"/>
            <w:shd w:val="clear" w:color="000000" w:fill="D8D8D8"/>
            <w:vAlign w:val="center"/>
            <w:hideMark/>
          </w:tcPr>
          <w:p w:rsidR="00E27D83" w:rsidRPr="007E2CCC" w:rsidRDefault="00E27D83" w:rsidP="00E27D83">
            <w:pPr>
              <w:spacing w:after="0" w:line="240" w:lineRule="auto"/>
              <w:rPr>
                <w:rFonts w:ascii="Arial" w:eastAsia="Times New Roman" w:hAnsi="Arial" w:cs="Arial"/>
                <w:b/>
                <w:bCs/>
                <w:sz w:val="16"/>
                <w:szCs w:val="16"/>
                <w:lang w:val="et-EE" w:eastAsia="et-EE"/>
              </w:rPr>
            </w:pPr>
            <w:r w:rsidRPr="007E2CCC">
              <w:rPr>
                <w:rFonts w:ascii="Arial" w:eastAsia="Times New Roman" w:hAnsi="Arial" w:cs="Arial"/>
                <w:b/>
                <w:bCs/>
                <w:sz w:val="16"/>
                <w:szCs w:val="16"/>
                <w:lang w:val="et-EE" w:eastAsia="et-EE"/>
              </w:rPr>
              <w:t>Findings</w:t>
            </w:r>
          </w:p>
        </w:tc>
      </w:tr>
      <w:tr w:rsidR="007E2CCC" w:rsidRPr="007E2CCC" w:rsidTr="0077222F">
        <w:trPr>
          <w:trHeight w:val="765"/>
        </w:trPr>
        <w:tc>
          <w:tcPr>
            <w:tcW w:w="2852"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ROAD SAFETY IN THE WHO AFRICAN REGION. THE FACTS 2013 (WHO factsheet)</w:t>
            </w:r>
          </w:p>
        </w:tc>
        <w:tc>
          <w:tcPr>
            <w:tcW w:w="851"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African region</w:t>
            </w:r>
          </w:p>
        </w:tc>
        <w:tc>
          <w:tcPr>
            <w:tcW w:w="1276"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w:t>
            </w:r>
          </w:p>
        </w:tc>
        <w:tc>
          <w:tcPr>
            <w:tcW w:w="1134"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WHO data</w:t>
            </w:r>
          </w:p>
        </w:tc>
        <w:tc>
          <w:tcPr>
            <w:tcW w:w="708" w:type="dxa"/>
            <w:shd w:val="clear" w:color="auto" w:fill="auto"/>
            <w:vAlign w:val="center"/>
            <w:hideMark/>
          </w:tcPr>
          <w:p w:rsidR="00E27D83" w:rsidRPr="007E2CCC" w:rsidRDefault="00E27D83" w:rsidP="00E27D83">
            <w:pPr>
              <w:spacing w:after="0" w:line="240" w:lineRule="auto"/>
              <w:jc w:val="right"/>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2013</w:t>
            </w:r>
          </w:p>
        </w:tc>
        <w:tc>
          <w:tcPr>
            <w:tcW w:w="993"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w:t>
            </w:r>
          </w:p>
        </w:tc>
        <w:tc>
          <w:tcPr>
            <w:tcW w:w="850"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all road users, fatal injuries</w:t>
            </w:r>
          </w:p>
        </w:tc>
        <w:tc>
          <w:tcPr>
            <w:tcW w:w="1418"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Deaths: 43% vehicle occupants, 38% pedestrians, 7% cyclists, 7% 2- &amp; 3-wheeler occupants, 5% other</w:t>
            </w:r>
          </w:p>
        </w:tc>
      </w:tr>
      <w:tr w:rsidR="007E2CCC" w:rsidRPr="007E2CCC" w:rsidTr="0077222F">
        <w:trPr>
          <w:trHeight w:val="1275"/>
        </w:trPr>
        <w:tc>
          <w:tcPr>
            <w:tcW w:w="2852"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lastRenderedPageBreak/>
              <w:t xml:space="preserve">Naci, H., Chisholm, D., Baker, T. D. (2009). Distribution of road traffic deaths by road user group: a global comparison. </w:t>
            </w:r>
            <w:r w:rsidRPr="007E2CCC">
              <w:rPr>
                <w:rFonts w:ascii="Arial" w:eastAsia="Times New Roman" w:hAnsi="Arial" w:cs="Arial"/>
                <w:i/>
                <w:iCs/>
                <w:sz w:val="16"/>
                <w:szCs w:val="16"/>
                <w:lang w:val="et-EE" w:eastAsia="et-EE"/>
              </w:rPr>
              <w:t>Injury Prevention 15,</w:t>
            </w:r>
            <w:r w:rsidRPr="007E2CCC">
              <w:rPr>
                <w:rFonts w:ascii="Arial" w:eastAsia="Times New Roman" w:hAnsi="Arial" w:cs="Arial"/>
                <w:sz w:val="16"/>
                <w:szCs w:val="16"/>
                <w:lang w:val="et-EE" w:eastAsia="et-EE"/>
              </w:rPr>
              <w:t xml:space="preserve"> 55–59</w:t>
            </w:r>
          </w:p>
        </w:tc>
        <w:tc>
          <w:tcPr>
            <w:tcW w:w="851"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African region, South-East Asia Region</w:t>
            </w:r>
          </w:p>
        </w:tc>
        <w:tc>
          <w:tcPr>
            <w:tcW w:w="1276"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w:t>
            </w:r>
          </w:p>
        </w:tc>
        <w:tc>
          <w:tcPr>
            <w:tcW w:w="1134"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literature review</w:t>
            </w:r>
          </w:p>
        </w:tc>
        <w:tc>
          <w:tcPr>
            <w:tcW w:w="708"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1991-2006</w:t>
            </w:r>
          </w:p>
        </w:tc>
        <w:tc>
          <w:tcPr>
            <w:tcW w:w="993"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w:t>
            </w:r>
          </w:p>
        </w:tc>
        <w:tc>
          <w:tcPr>
            <w:tcW w:w="850"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all road users, fatal injuries</w:t>
            </w:r>
          </w:p>
        </w:tc>
        <w:tc>
          <w:tcPr>
            <w:tcW w:w="1418"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Deaths: AFRO-E motorized four-wheelers 29%, motorcyclists 5%, bicyclists 11%, pedestrians 55%; SEAR-D motorized four-wheelers 19%, motorcyclists 43%, bicyclists 8%, pedestrians 30%</w:t>
            </w:r>
          </w:p>
        </w:tc>
      </w:tr>
      <w:tr w:rsidR="007E2CCC" w:rsidRPr="007E2CCC" w:rsidTr="0077222F">
        <w:trPr>
          <w:trHeight w:val="1785"/>
        </w:trPr>
        <w:tc>
          <w:tcPr>
            <w:tcW w:w="2852"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 xml:space="preserve">Macharia, W. M., Njeru, E. K., Muli-Musiime, F., &amp; Nantulya, V. (2009). Severe road traffic injuries in Kenya, quality of care and access. </w:t>
            </w:r>
            <w:r w:rsidRPr="007E2CCC">
              <w:rPr>
                <w:rFonts w:ascii="Arial" w:eastAsia="Times New Roman" w:hAnsi="Arial" w:cs="Arial"/>
                <w:i/>
                <w:iCs/>
                <w:sz w:val="16"/>
                <w:szCs w:val="16"/>
                <w:lang w:val="et-EE" w:eastAsia="et-EE"/>
              </w:rPr>
              <w:t>African Health Sciences 9</w:t>
            </w:r>
            <w:r w:rsidRPr="007E2CCC">
              <w:rPr>
                <w:rFonts w:ascii="Arial" w:eastAsia="Times New Roman" w:hAnsi="Arial" w:cs="Arial"/>
                <w:sz w:val="16"/>
                <w:szCs w:val="16"/>
                <w:lang w:val="et-EE" w:eastAsia="et-EE"/>
              </w:rPr>
              <w:t>(2), 118-124.</w:t>
            </w:r>
          </w:p>
        </w:tc>
        <w:tc>
          <w:tcPr>
            <w:tcW w:w="851"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Kenya</w:t>
            </w:r>
          </w:p>
        </w:tc>
        <w:tc>
          <w:tcPr>
            <w:tcW w:w="1276"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w:t>
            </w:r>
          </w:p>
        </w:tc>
        <w:tc>
          <w:tcPr>
            <w:tcW w:w="1134"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hospital-based/survey study (sample: 50 hospitals)</w:t>
            </w:r>
          </w:p>
        </w:tc>
        <w:tc>
          <w:tcPr>
            <w:tcW w:w="708"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1997-1998</w:t>
            </w:r>
          </w:p>
        </w:tc>
        <w:tc>
          <w:tcPr>
            <w:tcW w:w="993"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310 RTI casualties</w:t>
            </w:r>
          </w:p>
        </w:tc>
        <w:tc>
          <w:tcPr>
            <w:tcW w:w="850"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all road users, nonfatal injuries</w:t>
            </w:r>
          </w:p>
        </w:tc>
        <w:tc>
          <w:tcPr>
            <w:tcW w:w="1418"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b/>
                <w:bCs/>
                <w:sz w:val="16"/>
                <w:szCs w:val="16"/>
                <w:lang w:val="et-EE" w:eastAsia="et-EE"/>
              </w:rPr>
              <w:t>Of RTI victims:</w:t>
            </w:r>
            <w:r w:rsidRPr="007E2CCC">
              <w:rPr>
                <w:rFonts w:ascii="Arial" w:eastAsia="Times New Roman" w:hAnsi="Arial" w:cs="Arial"/>
                <w:sz w:val="16"/>
                <w:szCs w:val="16"/>
                <w:lang w:val="et-EE" w:eastAsia="et-EE"/>
              </w:rPr>
              <w:t xml:space="preserve"> owner 2%, employee driver 4,2%, passenger 47,2%, pedestrian 32,9%, unspecified 13,7%.</w:t>
            </w:r>
            <w:r w:rsidRPr="007E2CCC">
              <w:rPr>
                <w:rFonts w:ascii="Arial" w:eastAsia="Times New Roman" w:hAnsi="Arial" w:cs="Arial"/>
                <w:b/>
                <w:bCs/>
                <w:sz w:val="16"/>
                <w:szCs w:val="16"/>
                <w:lang w:val="et-EE" w:eastAsia="et-EE"/>
              </w:rPr>
              <w:t xml:space="preserve"> Of crash vehicles: </w:t>
            </w:r>
            <w:r w:rsidRPr="007E2CCC">
              <w:rPr>
                <w:rFonts w:ascii="Arial" w:eastAsia="Times New Roman" w:hAnsi="Arial" w:cs="Arial"/>
                <w:sz w:val="16"/>
                <w:szCs w:val="16"/>
                <w:lang w:val="et-EE" w:eastAsia="et-EE"/>
              </w:rPr>
              <w:t>private cars 20,3%, buses 30%, commuter mini-buses 43,6%, lorries 12,9%, pedal/motorcycles 3,9%, unspecified 9,5%</w:t>
            </w:r>
          </w:p>
        </w:tc>
      </w:tr>
      <w:tr w:rsidR="007E2CCC" w:rsidRPr="007E2CCC" w:rsidTr="0077222F">
        <w:trPr>
          <w:trHeight w:val="1530"/>
        </w:trPr>
        <w:tc>
          <w:tcPr>
            <w:tcW w:w="2852"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 xml:space="preserve">Ogendi, J., Odero, W., Mitullah, W., &amp; Khayesi, M. (2013). Pattern of pedestrian injuries in the city of Nairobi: implications for urban safety planning. </w:t>
            </w:r>
            <w:r w:rsidRPr="007E2CCC">
              <w:rPr>
                <w:rFonts w:ascii="Arial" w:eastAsia="Times New Roman" w:hAnsi="Arial" w:cs="Arial"/>
                <w:i/>
                <w:iCs/>
                <w:sz w:val="16"/>
                <w:szCs w:val="16"/>
                <w:lang w:val="et-EE" w:eastAsia="et-EE"/>
              </w:rPr>
              <w:t>Journal of Urban Health 90</w:t>
            </w:r>
            <w:r w:rsidRPr="007E2CCC">
              <w:rPr>
                <w:rFonts w:ascii="Arial" w:eastAsia="Times New Roman" w:hAnsi="Arial" w:cs="Arial"/>
                <w:sz w:val="16"/>
                <w:szCs w:val="16"/>
                <w:lang w:val="et-EE" w:eastAsia="et-EE"/>
              </w:rPr>
              <w:t>(5).</w:t>
            </w:r>
          </w:p>
        </w:tc>
        <w:tc>
          <w:tcPr>
            <w:tcW w:w="851"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Kenya</w:t>
            </w:r>
          </w:p>
        </w:tc>
        <w:tc>
          <w:tcPr>
            <w:tcW w:w="1276"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City of Nairobi</w:t>
            </w:r>
          </w:p>
        </w:tc>
        <w:tc>
          <w:tcPr>
            <w:tcW w:w="1134"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hospital-based study</w:t>
            </w:r>
          </w:p>
        </w:tc>
        <w:tc>
          <w:tcPr>
            <w:tcW w:w="708" w:type="dxa"/>
            <w:shd w:val="clear" w:color="auto" w:fill="auto"/>
            <w:vAlign w:val="center"/>
            <w:hideMark/>
          </w:tcPr>
          <w:p w:rsidR="00E27D83" w:rsidRPr="007E2CCC" w:rsidRDefault="00E27D83" w:rsidP="00E27D83">
            <w:pPr>
              <w:spacing w:after="0" w:line="240" w:lineRule="auto"/>
              <w:jc w:val="right"/>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2011</w:t>
            </w:r>
          </w:p>
        </w:tc>
        <w:tc>
          <w:tcPr>
            <w:tcW w:w="993"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176 persons with RTIs</w:t>
            </w:r>
          </w:p>
        </w:tc>
        <w:tc>
          <w:tcPr>
            <w:tcW w:w="850"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all road users, fatality not known</w:t>
            </w:r>
          </w:p>
        </w:tc>
        <w:tc>
          <w:tcPr>
            <w:tcW w:w="1418"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Pedestrians comprised the highest (59.1 %) proportion of road traffic injury admissions, followed by motor vehicle passengers (24.4 %) and motor cyclists (9.7 %). Bicyclists and drivers accounted for 5.1 and 1.7 %, respectively</w:t>
            </w:r>
          </w:p>
        </w:tc>
      </w:tr>
      <w:tr w:rsidR="007E2CCC" w:rsidRPr="007E2CCC" w:rsidTr="0077222F">
        <w:trPr>
          <w:trHeight w:val="1275"/>
        </w:trPr>
        <w:tc>
          <w:tcPr>
            <w:tcW w:w="2852"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 xml:space="preserve">Damsere-Derry, J. Ebel, B. E., Mock, C. N., Afukaar, F., &amp; Donkor, P. (2010). Pedestrians’ injury patterns in Ghana. </w:t>
            </w:r>
            <w:r w:rsidRPr="007E2CCC">
              <w:rPr>
                <w:rFonts w:ascii="Arial" w:eastAsia="Times New Roman" w:hAnsi="Arial" w:cs="Arial"/>
                <w:i/>
                <w:iCs/>
                <w:sz w:val="16"/>
                <w:szCs w:val="16"/>
                <w:lang w:val="et-EE" w:eastAsia="et-EE"/>
              </w:rPr>
              <w:t>Accident Analysis and Prevention 42</w:t>
            </w:r>
            <w:r w:rsidRPr="007E2CCC">
              <w:rPr>
                <w:rFonts w:ascii="Arial" w:eastAsia="Times New Roman" w:hAnsi="Arial" w:cs="Arial"/>
                <w:sz w:val="16"/>
                <w:szCs w:val="16"/>
                <w:lang w:val="et-EE" w:eastAsia="et-EE"/>
              </w:rPr>
              <w:t>, 1080–1088.</w:t>
            </w:r>
          </w:p>
        </w:tc>
        <w:tc>
          <w:tcPr>
            <w:tcW w:w="851"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Ghana</w:t>
            </w:r>
          </w:p>
        </w:tc>
        <w:tc>
          <w:tcPr>
            <w:tcW w:w="1276"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w:t>
            </w:r>
          </w:p>
        </w:tc>
        <w:tc>
          <w:tcPr>
            <w:tcW w:w="1134"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surveillance/police data</w:t>
            </w:r>
          </w:p>
        </w:tc>
        <w:tc>
          <w:tcPr>
            <w:tcW w:w="708"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2002-2006</w:t>
            </w:r>
          </w:p>
        </w:tc>
        <w:tc>
          <w:tcPr>
            <w:tcW w:w="993"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812 pedestrian casualties</w:t>
            </w:r>
          </w:p>
        </w:tc>
        <w:tc>
          <w:tcPr>
            <w:tcW w:w="850"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pedestrians</w:t>
            </w:r>
          </w:p>
        </w:tc>
        <w:tc>
          <w:tcPr>
            <w:tcW w:w="1418"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distribution of fatal &amp; non-fatal injuries by vehicle type, sex and injury severity / bus occupants 15,4% non-fatal, 11,0% fatal; motorcycle 2,9% non-fatal, 0,4% fatal; bicycle 0,5% non-fatal, 0% fatal</w:t>
            </w:r>
          </w:p>
        </w:tc>
      </w:tr>
      <w:tr w:rsidR="007E2CCC" w:rsidRPr="007E2CCC" w:rsidTr="0077222F">
        <w:trPr>
          <w:trHeight w:val="1515"/>
        </w:trPr>
        <w:tc>
          <w:tcPr>
            <w:tcW w:w="2852"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 xml:space="preserve">Whiteside, L.K., Oteng, R., Carter, P., Amuasi, J., Abban, E., Rominski, S., Nypaver, M., &amp; Cunningham, R.M. (2012) Non-fatal injuries among pediatric patients seeking care in an urban Ghanaian emergency department. </w:t>
            </w:r>
            <w:r w:rsidRPr="007E2CCC">
              <w:rPr>
                <w:rFonts w:ascii="Arial" w:eastAsia="Times New Roman" w:hAnsi="Arial" w:cs="Arial"/>
                <w:i/>
                <w:iCs/>
                <w:sz w:val="16"/>
                <w:szCs w:val="16"/>
                <w:lang w:val="et-EE" w:eastAsia="et-EE"/>
              </w:rPr>
              <w:t xml:space="preserve">International Journal Of Emergency Medicine 5 </w:t>
            </w:r>
            <w:r w:rsidRPr="007E2CCC">
              <w:rPr>
                <w:rFonts w:ascii="Arial" w:eastAsia="Times New Roman" w:hAnsi="Arial" w:cs="Arial"/>
                <w:sz w:val="16"/>
                <w:szCs w:val="16"/>
                <w:lang w:val="et-EE" w:eastAsia="et-EE"/>
              </w:rPr>
              <w:t xml:space="preserve">(1), 36. </w:t>
            </w:r>
          </w:p>
        </w:tc>
        <w:tc>
          <w:tcPr>
            <w:tcW w:w="851"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Ghana</w:t>
            </w:r>
          </w:p>
        </w:tc>
        <w:tc>
          <w:tcPr>
            <w:tcW w:w="1276"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Kumasi</w:t>
            </w:r>
          </w:p>
        </w:tc>
        <w:tc>
          <w:tcPr>
            <w:tcW w:w="1134"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hospital-based study</w:t>
            </w:r>
          </w:p>
        </w:tc>
        <w:tc>
          <w:tcPr>
            <w:tcW w:w="708" w:type="dxa"/>
            <w:shd w:val="clear" w:color="auto" w:fill="auto"/>
            <w:vAlign w:val="center"/>
            <w:hideMark/>
          </w:tcPr>
          <w:p w:rsidR="00E27D83" w:rsidRPr="007E2CCC" w:rsidRDefault="00E27D83" w:rsidP="00E27D83">
            <w:pPr>
              <w:spacing w:after="0" w:line="240" w:lineRule="auto"/>
              <w:jc w:val="right"/>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2009</w:t>
            </w:r>
          </w:p>
        </w:tc>
        <w:tc>
          <w:tcPr>
            <w:tcW w:w="993"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50 RTI patients</w:t>
            </w:r>
          </w:p>
        </w:tc>
        <w:tc>
          <w:tcPr>
            <w:tcW w:w="850"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children only</w:t>
            </w:r>
          </w:p>
        </w:tc>
        <w:tc>
          <w:tcPr>
            <w:tcW w:w="1418"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pediatric road traffic injuries by road user type: 58% (29) car crash, 26% (13) pedestrian injury, 14% (7), bicycle crash 2%(1)</w:t>
            </w:r>
          </w:p>
        </w:tc>
      </w:tr>
      <w:tr w:rsidR="007E2CCC" w:rsidRPr="007E2CCC" w:rsidTr="0077222F">
        <w:trPr>
          <w:trHeight w:val="765"/>
        </w:trPr>
        <w:tc>
          <w:tcPr>
            <w:tcW w:w="2852" w:type="dxa"/>
            <w:shd w:val="clear" w:color="auto" w:fill="auto"/>
            <w:vAlign w:val="center"/>
            <w:hideMark/>
          </w:tcPr>
          <w:p w:rsidR="00E27D83" w:rsidRPr="007E2CCC" w:rsidRDefault="009E4D72" w:rsidP="00E27D83">
            <w:pPr>
              <w:spacing w:after="0" w:line="240" w:lineRule="auto"/>
              <w:rPr>
                <w:rFonts w:ascii="Arial" w:eastAsia="Times New Roman" w:hAnsi="Arial" w:cs="Arial"/>
                <w:sz w:val="16"/>
                <w:szCs w:val="16"/>
                <w:lang w:val="et-EE" w:eastAsia="et-EE"/>
              </w:rPr>
            </w:pPr>
            <w:hyperlink r:id="rId7" w:history="1">
              <w:r w:rsidR="00E27D83" w:rsidRPr="007E2CCC">
                <w:rPr>
                  <w:rFonts w:ascii="Arial" w:eastAsia="Times New Roman" w:hAnsi="Arial" w:cs="Arial"/>
                  <w:sz w:val="16"/>
                  <w:szCs w:val="16"/>
                  <w:lang w:val="et-EE" w:eastAsia="et-EE"/>
                </w:rPr>
                <w:t xml:space="preserve">http://www.arrivealive.co.za/documents/FATAL%20CRASHES%20PER%20MONTH_Nov_2011-March_2012.pdf </w:t>
              </w:r>
            </w:hyperlink>
          </w:p>
        </w:tc>
        <w:tc>
          <w:tcPr>
            <w:tcW w:w="851"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South Africa</w:t>
            </w:r>
          </w:p>
        </w:tc>
        <w:tc>
          <w:tcPr>
            <w:tcW w:w="1276"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All provinces</w:t>
            </w:r>
          </w:p>
        </w:tc>
        <w:tc>
          <w:tcPr>
            <w:tcW w:w="1134"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surveillance data</w:t>
            </w:r>
          </w:p>
        </w:tc>
        <w:tc>
          <w:tcPr>
            <w:tcW w:w="708"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2011-2012</w:t>
            </w:r>
          </w:p>
        </w:tc>
        <w:tc>
          <w:tcPr>
            <w:tcW w:w="993"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5514 fatalities</w:t>
            </w:r>
          </w:p>
        </w:tc>
        <w:tc>
          <w:tcPr>
            <w:tcW w:w="850"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drivers, passengers, pedestrians</w:t>
            </w:r>
          </w:p>
        </w:tc>
        <w:tc>
          <w:tcPr>
            <w:tcW w:w="1418"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Drivers (1681) 30,5%, passengers (1890) 34,3%, pedestrians (1944) 35,3%</w:t>
            </w:r>
          </w:p>
        </w:tc>
      </w:tr>
      <w:tr w:rsidR="007E2CCC" w:rsidRPr="007E2CCC" w:rsidTr="0077222F">
        <w:trPr>
          <w:trHeight w:val="2805"/>
        </w:trPr>
        <w:tc>
          <w:tcPr>
            <w:tcW w:w="2852"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lastRenderedPageBreak/>
              <w:t xml:space="preserve">Abegaz, T., Berhane, Y., Worku, A., &amp; Assrat, A. (2014). Effectiveness of an improved road safety policy in Ethiopia: an interrupted time series study. </w:t>
            </w:r>
            <w:r w:rsidRPr="007E2CCC">
              <w:rPr>
                <w:rFonts w:ascii="Arial" w:eastAsia="Times New Roman" w:hAnsi="Arial" w:cs="Arial"/>
                <w:i/>
                <w:iCs/>
                <w:sz w:val="16"/>
                <w:szCs w:val="16"/>
                <w:lang w:val="et-EE" w:eastAsia="et-EE"/>
              </w:rPr>
              <w:t>BMC Public Health 14</w:t>
            </w:r>
            <w:r w:rsidRPr="007E2CCC">
              <w:rPr>
                <w:rFonts w:ascii="Arial" w:eastAsia="Times New Roman" w:hAnsi="Arial" w:cs="Arial"/>
                <w:sz w:val="16"/>
                <w:szCs w:val="16"/>
                <w:lang w:val="et-EE" w:eastAsia="et-EE"/>
              </w:rPr>
              <w:t xml:space="preserve">(539). </w:t>
            </w:r>
          </w:p>
        </w:tc>
        <w:tc>
          <w:tcPr>
            <w:tcW w:w="851"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Ethiopia</w:t>
            </w:r>
          </w:p>
        </w:tc>
        <w:tc>
          <w:tcPr>
            <w:tcW w:w="1276"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Addis Ababa - Adama/Hawassa main road</w:t>
            </w:r>
          </w:p>
        </w:tc>
        <w:tc>
          <w:tcPr>
            <w:tcW w:w="1134"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police data/crash records</w:t>
            </w:r>
          </w:p>
        </w:tc>
        <w:tc>
          <w:tcPr>
            <w:tcW w:w="708"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2002-2011</w:t>
            </w:r>
          </w:p>
        </w:tc>
        <w:tc>
          <w:tcPr>
            <w:tcW w:w="993"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4,053 crashes, of those 1193 fatal &amp; 980 non-fatal injury crashes (1392 fatalities, 1749 injuries)</w:t>
            </w:r>
          </w:p>
        </w:tc>
        <w:tc>
          <w:tcPr>
            <w:tcW w:w="850"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all road users</w:t>
            </w:r>
          </w:p>
        </w:tc>
        <w:tc>
          <w:tcPr>
            <w:tcW w:w="1418"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From 1,193 fatal crashes 1,392 people were dying, on average 1.2 deaths per fatal crashes. Of these deaths, more than half  7.5% (800) were pedestrian, 32% (445) vehicle occupants and 10.5% (147) drivers. During the 980 injury crashes 1,749 people were injured, on average, 1.8 injuries per crash, over half, 55.2% (965) were vehicle occupants, followed by pedestrian 35.1% (614) and the rest 9.7% (170) were drivers.</w:t>
            </w:r>
          </w:p>
        </w:tc>
      </w:tr>
      <w:tr w:rsidR="007E2CCC" w:rsidRPr="007E2CCC" w:rsidTr="0077222F">
        <w:trPr>
          <w:trHeight w:val="1275"/>
        </w:trPr>
        <w:tc>
          <w:tcPr>
            <w:tcW w:w="2852"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TRANSPORT STATISTICS: 2007. STATS BRIEF Released by the Central Statistics Office. Republic of Botswana</w:t>
            </w:r>
          </w:p>
        </w:tc>
        <w:tc>
          <w:tcPr>
            <w:tcW w:w="851"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Botswana</w:t>
            </w:r>
          </w:p>
        </w:tc>
        <w:tc>
          <w:tcPr>
            <w:tcW w:w="1276"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p>
        </w:tc>
        <w:tc>
          <w:tcPr>
            <w:tcW w:w="1134"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police data/official statistics</w:t>
            </w:r>
          </w:p>
        </w:tc>
        <w:tc>
          <w:tcPr>
            <w:tcW w:w="708"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2003-2007</w:t>
            </w:r>
          </w:p>
        </w:tc>
        <w:tc>
          <w:tcPr>
            <w:tcW w:w="993"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37463 casualties</w:t>
            </w:r>
          </w:p>
        </w:tc>
        <w:tc>
          <w:tcPr>
            <w:tcW w:w="850"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all road users</w:t>
            </w:r>
          </w:p>
        </w:tc>
        <w:tc>
          <w:tcPr>
            <w:tcW w:w="1418"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 xml:space="preserve">Casualities by road user: 19,6% pedestrians, 1,1% cyclists, 1,1% motorcyclists, 30% car occupants (excl. taxi, 4WD, pickup), 24,7% pickup user, 8,1% bus or minibus user. </w:t>
            </w:r>
          </w:p>
        </w:tc>
      </w:tr>
      <w:tr w:rsidR="007E2CCC" w:rsidRPr="007E2CCC" w:rsidTr="0077222F">
        <w:trPr>
          <w:trHeight w:val="2550"/>
        </w:trPr>
        <w:tc>
          <w:tcPr>
            <w:tcW w:w="2852"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 xml:space="preserve">Chalya, P. L., Mabula, J. B., Dass, R. M., Mbelenge, N., Ngayomela, I. H., Chandika, A. B., &amp; Gilyoma, J. M. (2012). Injury characteristics and outcome of road traffic crash victims at Bugando Medical Centre in Northwestern Tanzania. </w:t>
            </w:r>
            <w:r w:rsidRPr="007E2CCC">
              <w:rPr>
                <w:rFonts w:ascii="Arial" w:eastAsia="Times New Roman" w:hAnsi="Arial" w:cs="Arial"/>
                <w:i/>
                <w:iCs/>
                <w:sz w:val="16"/>
                <w:szCs w:val="16"/>
                <w:lang w:val="et-EE" w:eastAsia="et-EE"/>
              </w:rPr>
              <w:t>Journal of Trauma Management &amp; Outcomes 6</w:t>
            </w:r>
            <w:r w:rsidRPr="007E2CCC">
              <w:rPr>
                <w:rFonts w:ascii="Arial" w:eastAsia="Times New Roman" w:hAnsi="Arial" w:cs="Arial"/>
                <w:sz w:val="16"/>
                <w:szCs w:val="16"/>
                <w:lang w:val="et-EE" w:eastAsia="et-EE"/>
              </w:rPr>
              <w:t>(1).</w:t>
            </w:r>
          </w:p>
        </w:tc>
        <w:tc>
          <w:tcPr>
            <w:tcW w:w="851"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Tanzania</w:t>
            </w:r>
          </w:p>
        </w:tc>
        <w:tc>
          <w:tcPr>
            <w:tcW w:w="1276"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Northwestern Tanzania</w:t>
            </w:r>
          </w:p>
        </w:tc>
        <w:tc>
          <w:tcPr>
            <w:tcW w:w="1134"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hospital-based study</w:t>
            </w:r>
          </w:p>
        </w:tc>
        <w:tc>
          <w:tcPr>
            <w:tcW w:w="708"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2010-2011</w:t>
            </w:r>
          </w:p>
        </w:tc>
        <w:tc>
          <w:tcPr>
            <w:tcW w:w="993"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1678 road traffic crash victims</w:t>
            </w:r>
          </w:p>
        </w:tc>
        <w:tc>
          <w:tcPr>
            <w:tcW w:w="850"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all road users</w:t>
            </w:r>
          </w:p>
        </w:tc>
        <w:tc>
          <w:tcPr>
            <w:tcW w:w="1418"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 xml:space="preserve">Motorcycle (986, 58.8%) was responsible for the majority of road traffic crashes, followed by motor-vehicles (650, 38.7%), bicycle (36, 2.1%) and other means of transport (e.g. donkey, trolley etc) in 4 (0.2%) of cases. Pedestrians (930, 55.4%) accounted for the majority of victims, followed by passengers (457, 27.2%), drivers/riders (287, 17.2%) and others (4, 0.2%). </w:t>
            </w:r>
          </w:p>
        </w:tc>
      </w:tr>
      <w:tr w:rsidR="007E2CCC" w:rsidRPr="007E2CCC" w:rsidTr="0077222F">
        <w:trPr>
          <w:trHeight w:val="1543"/>
        </w:trPr>
        <w:tc>
          <w:tcPr>
            <w:tcW w:w="2852"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Masaoe, E.N. (2007). Study on Road Accidents in Mainland Tanzania. Final Report submitted to Surface and Marine Transport Regulatory Authority (SUMATRA).</w:t>
            </w:r>
          </w:p>
        </w:tc>
        <w:tc>
          <w:tcPr>
            <w:tcW w:w="851"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Tanzania</w:t>
            </w:r>
          </w:p>
        </w:tc>
        <w:tc>
          <w:tcPr>
            <w:tcW w:w="1276"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p>
        </w:tc>
        <w:tc>
          <w:tcPr>
            <w:tcW w:w="1134"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police data</w:t>
            </w:r>
          </w:p>
        </w:tc>
        <w:tc>
          <w:tcPr>
            <w:tcW w:w="708"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2000-2005</w:t>
            </w:r>
          </w:p>
        </w:tc>
        <w:tc>
          <w:tcPr>
            <w:tcW w:w="993"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12538 fatalities &amp; 92123 injured in 2000-2005</w:t>
            </w:r>
          </w:p>
        </w:tc>
        <w:tc>
          <w:tcPr>
            <w:tcW w:w="850"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all road users</w:t>
            </w:r>
          </w:p>
        </w:tc>
        <w:tc>
          <w:tcPr>
            <w:tcW w:w="1418"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 xml:space="preserve">fatal &amp; non-fatal road traffic injuries by road user type &amp; vehicle type - </w:t>
            </w:r>
            <w:r w:rsidRPr="007E2CCC">
              <w:rPr>
                <w:rFonts w:ascii="Arial" w:eastAsia="Times New Roman" w:hAnsi="Arial" w:cs="Arial"/>
                <w:b/>
                <w:bCs/>
                <w:sz w:val="16"/>
                <w:szCs w:val="16"/>
                <w:lang w:val="et-EE" w:eastAsia="et-EE"/>
              </w:rPr>
              <w:t>fatal:</w:t>
            </w:r>
            <w:r w:rsidRPr="007E2CCC">
              <w:rPr>
                <w:rFonts w:ascii="Arial" w:eastAsia="Times New Roman" w:hAnsi="Arial" w:cs="Arial"/>
                <w:sz w:val="16"/>
                <w:szCs w:val="16"/>
                <w:lang w:val="et-EE" w:eastAsia="et-EE"/>
              </w:rPr>
              <w:t xml:space="preserve"> car occupants (drivers 11,6% + passengers </w:t>
            </w:r>
            <w:r w:rsidRPr="007E2CCC">
              <w:rPr>
                <w:rFonts w:ascii="Arial" w:eastAsia="Times New Roman" w:hAnsi="Arial" w:cs="Arial"/>
                <w:sz w:val="16"/>
                <w:szCs w:val="16"/>
                <w:lang w:val="et-EE" w:eastAsia="et-EE"/>
              </w:rPr>
              <w:lastRenderedPageBreak/>
              <w:t xml:space="preserve">42,8%) 54,4%; motorcyclists 3,9%; pedal cyclists 8,9%; pedestrians 32,9%. </w:t>
            </w:r>
            <w:r w:rsidRPr="007E2CCC">
              <w:rPr>
                <w:rFonts w:ascii="Arial" w:eastAsia="Times New Roman" w:hAnsi="Arial" w:cs="Arial"/>
                <w:b/>
                <w:bCs/>
                <w:sz w:val="16"/>
                <w:szCs w:val="16"/>
                <w:lang w:val="et-EE" w:eastAsia="et-EE"/>
              </w:rPr>
              <w:t>Non</w:t>
            </w:r>
            <w:r w:rsidRPr="007E2CCC">
              <w:rPr>
                <w:rFonts w:ascii="Arial" w:eastAsia="Times New Roman" w:hAnsi="Arial" w:cs="Arial"/>
                <w:sz w:val="16"/>
                <w:szCs w:val="16"/>
                <w:lang w:val="et-EE" w:eastAsia="et-EE"/>
              </w:rPr>
              <w:t>-</w:t>
            </w:r>
            <w:r w:rsidRPr="007E2CCC">
              <w:rPr>
                <w:rFonts w:ascii="Arial" w:eastAsia="Times New Roman" w:hAnsi="Arial" w:cs="Arial"/>
                <w:b/>
                <w:bCs/>
                <w:sz w:val="16"/>
                <w:szCs w:val="16"/>
                <w:lang w:val="et-EE" w:eastAsia="et-EE"/>
              </w:rPr>
              <w:t>fatal:</w:t>
            </w:r>
            <w:r w:rsidRPr="007E2CCC">
              <w:rPr>
                <w:rFonts w:ascii="Arial" w:eastAsia="Times New Roman" w:hAnsi="Arial" w:cs="Arial"/>
                <w:sz w:val="16"/>
                <w:szCs w:val="16"/>
                <w:lang w:val="et-EE" w:eastAsia="et-EE"/>
              </w:rPr>
              <w:t xml:space="preserve"> car occupants 59,6%; motorcyclists 2,8%; pedal cyclists 7,0%; pedestrians 30,6%. </w:t>
            </w:r>
          </w:p>
        </w:tc>
      </w:tr>
      <w:tr w:rsidR="00E27D83" w:rsidRPr="007E2CCC" w:rsidTr="0077222F">
        <w:trPr>
          <w:trHeight w:val="1215"/>
        </w:trPr>
        <w:tc>
          <w:tcPr>
            <w:tcW w:w="2852"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lastRenderedPageBreak/>
              <w:t xml:space="preserve">Komba, D. D. (2006). </w:t>
            </w:r>
            <w:r w:rsidRPr="007E2CCC">
              <w:rPr>
                <w:rFonts w:ascii="Arial" w:eastAsia="Times New Roman" w:hAnsi="Arial" w:cs="Arial"/>
                <w:i/>
                <w:iCs/>
                <w:sz w:val="16"/>
                <w:szCs w:val="16"/>
                <w:lang w:val="et-EE" w:eastAsia="et-EE"/>
              </w:rPr>
              <w:t>Risk Factors and Road Traffic Accidents in Tanzania: A Case Study of Kibaha District.</w:t>
            </w:r>
            <w:r w:rsidRPr="007E2CCC">
              <w:rPr>
                <w:rFonts w:ascii="Arial" w:eastAsia="Times New Roman" w:hAnsi="Arial" w:cs="Arial"/>
                <w:sz w:val="16"/>
                <w:szCs w:val="16"/>
                <w:lang w:val="et-EE" w:eastAsia="et-EE"/>
              </w:rPr>
              <w:t xml:space="preserve"> Master Thesis in Development Studies, Specialising In Geography Department of Geography Norwegian University of Science and Technology (NTNU).</w:t>
            </w:r>
          </w:p>
        </w:tc>
        <w:tc>
          <w:tcPr>
            <w:tcW w:w="851"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Tanzania</w:t>
            </w:r>
          </w:p>
        </w:tc>
        <w:tc>
          <w:tcPr>
            <w:tcW w:w="1276"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Kibaha / Tumbi hospital</w:t>
            </w:r>
          </w:p>
        </w:tc>
        <w:tc>
          <w:tcPr>
            <w:tcW w:w="1134"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hospital data</w:t>
            </w:r>
          </w:p>
        </w:tc>
        <w:tc>
          <w:tcPr>
            <w:tcW w:w="708"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2001-2004</w:t>
            </w:r>
          </w:p>
        </w:tc>
        <w:tc>
          <w:tcPr>
            <w:tcW w:w="993" w:type="dxa"/>
            <w:shd w:val="clear" w:color="auto" w:fill="auto"/>
            <w:vAlign w:val="center"/>
            <w:hideMark/>
          </w:tcPr>
          <w:p w:rsidR="00E27D83" w:rsidRPr="007E2CCC" w:rsidRDefault="00E27D83" w:rsidP="00E27D83">
            <w:pPr>
              <w:spacing w:after="0" w:line="240" w:lineRule="auto"/>
              <w:jc w:val="right"/>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764</w:t>
            </w:r>
          </w:p>
        </w:tc>
        <w:tc>
          <w:tcPr>
            <w:tcW w:w="850"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 xml:space="preserve">Age groups 0-17, 18-24, 25-34, 35-44, 45+ </w:t>
            </w:r>
          </w:p>
        </w:tc>
        <w:tc>
          <w:tcPr>
            <w:tcW w:w="1418"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age distribution of injuries by road user type: car occupants 75,8%, pedestrians 21%, motorcyclists 1,7% &amp; cyclists 1,6% of all injured persons</w:t>
            </w:r>
          </w:p>
        </w:tc>
      </w:tr>
    </w:tbl>
    <w:p w:rsidR="00E27D83" w:rsidRPr="007E2CCC" w:rsidRDefault="00E27D83" w:rsidP="00E27D83">
      <w:pPr>
        <w:spacing w:after="120" w:line="240" w:lineRule="auto"/>
        <w:rPr>
          <w:lang w:val="et-EE"/>
        </w:rPr>
      </w:pPr>
    </w:p>
    <w:p w:rsidR="00E27D83" w:rsidRPr="007E2CCC" w:rsidRDefault="00E27D83" w:rsidP="009B6778">
      <w:pPr>
        <w:pStyle w:val="Heading4"/>
        <w:rPr>
          <w:color w:val="auto"/>
          <w:lang w:bidi="en-US"/>
        </w:rPr>
      </w:pPr>
      <w:bookmarkStart w:id="13" w:name="_Toc404917310"/>
      <w:r w:rsidRPr="007E2CCC">
        <w:rPr>
          <w:color w:val="auto"/>
          <w:lang w:bidi="en-US"/>
        </w:rPr>
        <w:t xml:space="preserve">2.3.2 Fatal and non-fatal injuries by road users, </w:t>
      </w:r>
      <w:bookmarkEnd w:id="13"/>
      <w:r w:rsidR="0077222F" w:rsidRPr="007E2CCC">
        <w:rPr>
          <w:color w:val="auto"/>
          <w:lang w:bidi="en-US"/>
        </w:rPr>
        <w:t>South-East Asia</w:t>
      </w:r>
    </w:p>
    <w:p w:rsidR="00E27D83" w:rsidRPr="007E2CCC" w:rsidRDefault="00E27D83" w:rsidP="00E27D83">
      <w:pPr>
        <w:spacing w:after="120" w:line="240" w:lineRule="auto"/>
        <w:rPr>
          <w:lang w:val="et-EE"/>
        </w:rPr>
      </w:pPr>
      <w:r w:rsidRPr="007E2CCC">
        <w:rPr>
          <w:lang w:val="et-EE"/>
        </w:rPr>
        <w:t xml:space="preserve">In addition to already aggregated regional data for </w:t>
      </w:r>
      <w:r w:rsidR="0077222F" w:rsidRPr="007E2CCC">
        <w:rPr>
          <w:lang w:val="et-EE"/>
        </w:rPr>
        <w:t xml:space="preserve">South-East Asia </w:t>
      </w:r>
      <w:r w:rsidRPr="007E2CCC">
        <w:rPr>
          <w:lang w:val="et-EE"/>
        </w:rPr>
        <w:t xml:space="preserve">(Naci et al. 2009; Road Safety Status in the… 2013), data were found for 4 </w:t>
      </w:r>
      <w:r w:rsidR="0077222F" w:rsidRPr="007E2CCC">
        <w:rPr>
          <w:lang w:val="et-EE"/>
        </w:rPr>
        <w:t xml:space="preserve">South-East Asia </w:t>
      </w:r>
      <w:r w:rsidRPr="007E2CCC">
        <w:rPr>
          <w:lang w:val="et-EE"/>
        </w:rPr>
        <w:t xml:space="preserve">countries: India, Sri Lanka, Vietnam and Malawi (a total of 13 articles) (Table 7). Numerous data sources were found for India (although mainly small hospital-based and autopsy studies). The share of motorcyclists’ and other motorized light vehicle occupants among all RTI deaths and injured is typically high; although in some regions pedestrians appear to be the most endangered road user group (Malawi, Northern India). Compared to previous report the share of motorized light vehicles appears to be even higher during recent years. </w:t>
      </w:r>
    </w:p>
    <w:p w:rsidR="00E27D83" w:rsidRPr="007E2CCC" w:rsidRDefault="00E27D83" w:rsidP="00E27D83">
      <w:pPr>
        <w:spacing w:after="120" w:line="240" w:lineRule="auto"/>
        <w:rPr>
          <w:lang w:val="et-EE"/>
        </w:rPr>
      </w:pPr>
    </w:p>
    <w:p w:rsidR="00E27D83" w:rsidRPr="007E2CCC" w:rsidRDefault="00E27D83" w:rsidP="00E27D83">
      <w:pPr>
        <w:spacing w:after="120" w:line="240" w:lineRule="auto"/>
        <w:rPr>
          <w:lang w:val="et-EE"/>
        </w:rPr>
      </w:pPr>
      <w:r w:rsidRPr="007E2CCC">
        <w:rPr>
          <w:b/>
          <w:lang w:val="et-EE"/>
        </w:rPr>
        <w:t>Table 7.</w:t>
      </w:r>
      <w:r w:rsidRPr="007E2CCC">
        <w:rPr>
          <w:lang w:val="et-EE"/>
        </w:rPr>
        <w:t xml:space="preserve"> Data sources for datal and non-fatal injuries by road users in </w:t>
      </w:r>
      <w:r w:rsidR="0077222F" w:rsidRPr="007E2CCC">
        <w:rPr>
          <w:lang w:val="et-EE"/>
        </w:rPr>
        <w:t>South-East Asia</w:t>
      </w:r>
    </w:p>
    <w:tbl>
      <w:tblPr>
        <w:tblW w:w="10365" w:type="dxa"/>
        <w:tblInd w:w="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
      <w:tblGrid>
        <w:gridCol w:w="2852"/>
        <w:gridCol w:w="851"/>
        <w:gridCol w:w="1134"/>
        <w:gridCol w:w="1134"/>
        <w:gridCol w:w="709"/>
        <w:gridCol w:w="992"/>
        <w:gridCol w:w="850"/>
        <w:gridCol w:w="1843"/>
      </w:tblGrid>
      <w:tr w:rsidR="007E2CCC" w:rsidRPr="007E2CCC" w:rsidTr="0077222F">
        <w:trPr>
          <w:trHeight w:val="765"/>
        </w:trPr>
        <w:tc>
          <w:tcPr>
            <w:tcW w:w="2852" w:type="dxa"/>
            <w:shd w:val="clear" w:color="auto" w:fill="D9D9D9" w:themeFill="background1" w:themeFillShade="D9"/>
            <w:vAlign w:val="center"/>
            <w:hideMark/>
          </w:tcPr>
          <w:p w:rsidR="00E27D83" w:rsidRPr="007E2CCC" w:rsidRDefault="00E27D83" w:rsidP="00E27D83">
            <w:pPr>
              <w:spacing w:after="0" w:line="240" w:lineRule="auto"/>
              <w:rPr>
                <w:rFonts w:ascii="Arial" w:eastAsia="Times New Roman" w:hAnsi="Arial" w:cs="Arial"/>
                <w:b/>
                <w:bCs/>
                <w:sz w:val="16"/>
                <w:szCs w:val="16"/>
                <w:lang w:val="et-EE" w:eastAsia="et-EE"/>
              </w:rPr>
            </w:pPr>
            <w:r w:rsidRPr="007E2CCC">
              <w:rPr>
                <w:rFonts w:ascii="Arial" w:eastAsia="Times New Roman" w:hAnsi="Arial" w:cs="Arial"/>
                <w:b/>
                <w:bCs/>
                <w:sz w:val="16"/>
                <w:szCs w:val="16"/>
                <w:lang w:val="et-EE" w:eastAsia="et-EE"/>
              </w:rPr>
              <w:t>Reference</w:t>
            </w:r>
          </w:p>
        </w:tc>
        <w:tc>
          <w:tcPr>
            <w:tcW w:w="851" w:type="dxa"/>
            <w:shd w:val="clear" w:color="auto" w:fill="D9D9D9" w:themeFill="background1" w:themeFillShade="D9"/>
            <w:vAlign w:val="center"/>
            <w:hideMark/>
          </w:tcPr>
          <w:p w:rsidR="00E27D83" w:rsidRPr="007E2CCC" w:rsidRDefault="00E27D83" w:rsidP="00E27D83">
            <w:pPr>
              <w:spacing w:after="0" w:line="240" w:lineRule="auto"/>
              <w:rPr>
                <w:rFonts w:ascii="Arial" w:eastAsia="Times New Roman" w:hAnsi="Arial" w:cs="Arial"/>
                <w:b/>
                <w:bCs/>
                <w:sz w:val="16"/>
                <w:szCs w:val="16"/>
                <w:lang w:val="et-EE" w:eastAsia="et-EE"/>
              </w:rPr>
            </w:pPr>
            <w:r w:rsidRPr="007E2CCC">
              <w:rPr>
                <w:rFonts w:ascii="Arial" w:eastAsia="Times New Roman" w:hAnsi="Arial" w:cs="Arial"/>
                <w:b/>
                <w:bCs/>
                <w:sz w:val="16"/>
                <w:szCs w:val="16"/>
                <w:lang w:val="et-EE" w:eastAsia="et-EE"/>
              </w:rPr>
              <w:t>Country</w:t>
            </w:r>
          </w:p>
        </w:tc>
        <w:tc>
          <w:tcPr>
            <w:tcW w:w="1134" w:type="dxa"/>
            <w:shd w:val="clear" w:color="auto" w:fill="D9D9D9" w:themeFill="background1" w:themeFillShade="D9"/>
            <w:vAlign w:val="center"/>
            <w:hideMark/>
          </w:tcPr>
          <w:p w:rsidR="00E27D83" w:rsidRPr="007E2CCC" w:rsidRDefault="00E27D83" w:rsidP="00E27D83">
            <w:pPr>
              <w:spacing w:after="0" w:line="240" w:lineRule="auto"/>
              <w:rPr>
                <w:rFonts w:ascii="Arial" w:eastAsia="Times New Roman" w:hAnsi="Arial" w:cs="Arial"/>
                <w:b/>
                <w:bCs/>
                <w:sz w:val="16"/>
                <w:szCs w:val="16"/>
                <w:lang w:val="et-EE" w:eastAsia="et-EE"/>
              </w:rPr>
            </w:pPr>
            <w:r w:rsidRPr="007E2CCC">
              <w:rPr>
                <w:rFonts w:ascii="Arial" w:eastAsia="Times New Roman" w:hAnsi="Arial" w:cs="Arial"/>
                <w:b/>
                <w:bCs/>
                <w:sz w:val="16"/>
                <w:szCs w:val="16"/>
                <w:lang w:val="et-EE" w:eastAsia="et-EE"/>
              </w:rPr>
              <w:t>Region</w:t>
            </w:r>
          </w:p>
        </w:tc>
        <w:tc>
          <w:tcPr>
            <w:tcW w:w="1134" w:type="dxa"/>
            <w:shd w:val="clear" w:color="auto" w:fill="D9D9D9" w:themeFill="background1" w:themeFillShade="D9"/>
            <w:vAlign w:val="center"/>
            <w:hideMark/>
          </w:tcPr>
          <w:p w:rsidR="00E27D83" w:rsidRPr="007E2CCC" w:rsidRDefault="00E27D83" w:rsidP="00E27D83">
            <w:pPr>
              <w:spacing w:after="0" w:line="240" w:lineRule="auto"/>
              <w:rPr>
                <w:rFonts w:ascii="Arial" w:eastAsia="Times New Roman" w:hAnsi="Arial" w:cs="Arial"/>
                <w:b/>
                <w:bCs/>
                <w:sz w:val="16"/>
                <w:szCs w:val="16"/>
                <w:lang w:val="et-EE" w:eastAsia="et-EE"/>
              </w:rPr>
            </w:pPr>
            <w:r w:rsidRPr="007E2CCC">
              <w:rPr>
                <w:rFonts w:ascii="Arial" w:eastAsia="Times New Roman" w:hAnsi="Arial" w:cs="Arial"/>
                <w:b/>
                <w:bCs/>
                <w:sz w:val="16"/>
                <w:szCs w:val="16"/>
                <w:lang w:val="et-EE" w:eastAsia="et-EE"/>
              </w:rPr>
              <w:t>Type of data</w:t>
            </w:r>
          </w:p>
        </w:tc>
        <w:tc>
          <w:tcPr>
            <w:tcW w:w="709" w:type="dxa"/>
            <w:shd w:val="clear" w:color="auto" w:fill="D9D9D9" w:themeFill="background1" w:themeFillShade="D9"/>
            <w:vAlign w:val="center"/>
            <w:hideMark/>
          </w:tcPr>
          <w:p w:rsidR="00E27D83" w:rsidRPr="007E2CCC" w:rsidRDefault="00E27D83" w:rsidP="00E27D83">
            <w:pPr>
              <w:spacing w:after="0" w:line="240" w:lineRule="auto"/>
              <w:rPr>
                <w:rFonts w:ascii="Arial" w:eastAsia="Times New Roman" w:hAnsi="Arial" w:cs="Arial"/>
                <w:b/>
                <w:bCs/>
                <w:sz w:val="16"/>
                <w:szCs w:val="16"/>
                <w:lang w:val="et-EE" w:eastAsia="et-EE"/>
              </w:rPr>
            </w:pPr>
            <w:r w:rsidRPr="007E2CCC">
              <w:rPr>
                <w:rFonts w:ascii="Arial" w:eastAsia="Times New Roman" w:hAnsi="Arial" w:cs="Arial"/>
                <w:b/>
                <w:bCs/>
                <w:sz w:val="16"/>
                <w:szCs w:val="16"/>
                <w:lang w:val="et-EE" w:eastAsia="et-EE"/>
              </w:rPr>
              <w:t>Data period</w:t>
            </w:r>
          </w:p>
        </w:tc>
        <w:tc>
          <w:tcPr>
            <w:tcW w:w="992" w:type="dxa"/>
            <w:shd w:val="clear" w:color="auto" w:fill="D9D9D9" w:themeFill="background1" w:themeFillShade="D9"/>
            <w:vAlign w:val="center"/>
            <w:hideMark/>
          </w:tcPr>
          <w:p w:rsidR="00E27D83" w:rsidRPr="007E2CCC" w:rsidRDefault="00E27D83" w:rsidP="00E27D83">
            <w:pPr>
              <w:spacing w:after="0" w:line="240" w:lineRule="auto"/>
              <w:rPr>
                <w:rFonts w:ascii="Arial" w:eastAsia="Times New Roman" w:hAnsi="Arial" w:cs="Arial"/>
                <w:b/>
                <w:bCs/>
                <w:sz w:val="16"/>
                <w:szCs w:val="16"/>
                <w:lang w:val="et-EE" w:eastAsia="et-EE"/>
              </w:rPr>
            </w:pPr>
            <w:r w:rsidRPr="007E2CCC">
              <w:rPr>
                <w:rFonts w:ascii="Arial" w:eastAsia="Times New Roman" w:hAnsi="Arial" w:cs="Arial"/>
                <w:b/>
                <w:bCs/>
                <w:sz w:val="16"/>
                <w:szCs w:val="16"/>
                <w:lang w:val="et-EE" w:eastAsia="et-EE"/>
              </w:rPr>
              <w:t>n</w:t>
            </w:r>
          </w:p>
        </w:tc>
        <w:tc>
          <w:tcPr>
            <w:tcW w:w="850" w:type="dxa"/>
            <w:shd w:val="clear" w:color="auto" w:fill="D9D9D9" w:themeFill="background1" w:themeFillShade="D9"/>
            <w:vAlign w:val="center"/>
            <w:hideMark/>
          </w:tcPr>
          <w:p w:rsidR="00E27D83" w:rsidRPr="007E2CCC" w:rsidRDefault="00E27D83" w:rsidP="00E27D83">
            <w:pPr>
              <w:spacing w:after="0" w:line="240" w:lineRule="auto"/>
              <w:rPr>
                <w:rFonts w:ascii="Arial" w:eastAsia="Times New Roman" w:hAnsi="Arial" w:cs="Arial"/>
                <w:b/>
                <w:bCs/>
                <w:sz w:val="16"/>
                <w:szCs w:val="16"/>
                <w:lang w:val="et-EE" w:eastAsia="et-EE"/>
              </w:rPr>
            </w:pPr>
            <w:r w:rsidRPr="007E2CCC">
              <w:rPr>
                <w:rFonts w:ascii="Arial" w:eastAsia="Times New Roman" w:hAnsi="Arial" w:cs="Arial"/>
                <w:b/>
                <w:bCs/>
                <w:sz w:val="16"/>
                <w:szCs w:val="16"/>
                <w:lang w:val="et-EE" w:eastAsia="et-EE"/>
              </w:rPr>
              <w:t>Road user groups / fatality</w:t>
            </w:r>
          </w:p>
        </w:tc>
        <w:tc>
          <w:tcPr>
            <w:tcW w:w="1843" w:type="dxa"/>
            <w:shd w:val="clear" w:color="auto" w:fill="D9D9D9" w:themeFill="background1" w:themeFillShade="D9"/>
            <w:vAlign w:val="center"/>
            <w:hideMark/>
          </w:tcPr>
          <w:p w:rsidR="00E27D83" w:rsidRPr="007E2CCC" w:rsidRDefault="00E27D83" w:rsidP="00E27D83">
            <w:pPr>
              <w:spacing w:after="0" w:line="240" w:lineRule="auto"/>
              <w:rPr>
                <w:rFonts w:ascii="Arial" w:eastAsia="Times New Roman" w:hAnsi="Arial" w:cs="Arial"/>
                <w:b/>
                <w:bCs/>
                <w:sz w:val="16"/>
                <w:szCs w:val="16"/>
                <w:lang w:val="et-EE" w:eastAsia="et-EE"/>
              </w:rPr>
            </w:pPr>
            <w:r w:rsidRPr="007E2CCC">
              <w:rPr>
                <w:rFonts w:ascii="Arial" w:eastAsia="Times New Roman" w:hAnsi="Arial" w:cs="Arial"/>
                <w:b/>
                <w:bCs/>
                <w:sz w:val="16"/>
                <w:szCs w:val="16"/>
                <w:lang w:val="et-EE" w:eastAsia="et-EE"/>
              </w:rPr>
              <w:t>Findings</w:t>
            </w:r>
          </w:p>
        </w:tc>
      </w:tr>
      <w:tr w:rsidR="007E2CCC" w:rsidRPr="007E2CCC" w:rsidTr="0077222F">
        <w:trPr>
          <w:trHeight w:val="765"/>
        </w:trPr>
        <w:tc>
          <w:tcPr>
            <w:tcW w:w="2852"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 xml:space="preserve">Naci, H., Chisholm, D., Baker, T. D. (2009). Distribution of road traffic deaths by road user group: a global comparison. </w:t>
            </w:r>
            <w:r w:rsidRPr="007E2CCC">
              <w:rPr>
                <w:rFonts w:ascii="Arial" w:eastAsia="Times New Roman" w:hAnsi="Arial" w:cs="Arial"/>
                <w:i/>
                <w:iCs/>
                <w:sz w:val="16"/>
                <w:szCs w:val="16"/>
                <w:lang w:val="et-EE" w:eastAsia="et-EE"/>
              </w:rPr>
              <w:t>Injury Prevention 15,</w:t>
            </w:r>
            <w:r w:rsidRPr="007E2CCC">
              <w:rPr>
                <w:rFonts w:ascii="Arial" w:eastAsia="Times New Roman" w:hAnsi="Arial" w:cs="Arial"/>
                <w:sz w:val="16"/>
                <w:szCs w:val="16"/>
                <w:lang w:val="et-EE" w:eastAsia="et-EE"/>
              </w:rPr>
              <w:t xml:space="preserve"> 55–59</w:t>
            </w:r>
          </w:p>
        </w:tc>
        <w:tc>
          <w:tcPr>
            <w:tcW w:w="851"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South-East Asia Region</w:t>
            </w:r>
          </w:p>
        </w:tc>
        <w:tc>
          <w:tcPr>
            <w:tcW w:w="1134"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w:t>
            </w:r>
          </w:p>
        </w:tc>
        <w:tc>
          <w:tcPr>
            <w:tcW w:w="1134"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literature review</w:t>
            </w:r>
          </w:p>
        </w:tc>
        <w:tc>
          <w:tcPr>
            <w:tcW w:w="709"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1991-2006</w:t>
            </w:r>
          </w:p>
        </w:tc>
        <w:tc>
          <w:tcPr>
            <w:tcW w:w="992"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w:t>
            </w:r>
          </w:p>
        </w:tc>
        <w:tc>
          <w:tcPr>
            <w:tcW w:w="850"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all road users, fatal injuries</w:t>
            </w:r>
          </w:p>
        </w:tc>
        <w:tc>
          <w:tcPr>
            <w:tcW w:w="1843"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Deaths: SEAR-D motorized four-wheelers 19%, motorcyclists 43%, bicyclists 8%, pedestrians 30%</w:t>
            </w:r>
          </w:p>
        </w:tc>
      </w:tr>
      <w:tr w:rsidR="007E2CCC" w:rsidRPr="007E2CCC" w:rsidTr="0077222F">
        <w:trPr>
          <w:trHeight w:val="765"/>
        </w:trPr>
        <w:tc>
          <w:tcPr>
            <w:tcW w:w="2852"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Road safety status in the WHO South-East Asia Region, 2013 (WHO factsheet)</w:t>
            </w:r>
          </w:p>
        </w:tc>
        <w:tc>
          <w:tcPr>
            <w:tcW w:w="851"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South-East Asia Region</w:t>
            </w:r>
          </w:p>
        </w:tc>
        <w:tc>
          <w:tcPr>
            <w:tcW w:w="1134"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w:t>
            </w:r>
          </w:p>
        </w:tc>
        <w:tc>
          <w:tcPr>
            <w:tcW w:w="1134"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WHO data</w:t>
            </w:r>
          </w:p>
        </w:tc>
        <w:tc>
          <w:tcPr>
            <w:tcW w:w="709"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2009-2010</w:t>
            </w:r>
          </w:p>
        </w:tc>
        <w:tc>
          <w:tcPr>
            <w:tcW w:w="992"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w:t>
            </w:r>
          </w:p>
        </w:tc>
        <w:tc>
          <w:tcPr>
            <w:tcW w:w="850"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all road users, fatal injuries</w:t>
            </w:r>
          </w:p>
        </w:tc>
        <w:tc>
          <w:tcPr>
            <w:tcW w:w="1843"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Deaths: 33% motorized two- or three-wheelers, 12% pedestrians, 4% cyclists, 15% car occupants, 36% unspecified</w:t>
            </w:r>
          </w:p>
        </w:tc>
      </w:tr>
      <w:tr w:rsidR="007E2CCC" w:rsidRPr="007E2CCC" w:rsidTr="0077222F">
        <w:trPr>
          <w:trHeight w:val="2582"/>
        </w:trPr>
        <w:tc>
          <w:tcPr>
            <w:tcW w:w="2852"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 xml:space="preserve">Hsiao, M., Malhotra, A., Thakur, J.S., et al. (2013). Road traffic injury mortality and its mechanisms in India: nationally representative mortality survey of 1.1 million homes. </w:t>
            </w:r>
            <w:r w:rsidRPr="007E2CCC">
              <w:rPr>
                <w:rFonts w:ascii="Arial" w:eastAsia="Times New Roman" w:hAnsi="Arial" w:cs="Arial"/>
                <w:i/>
                <w:iCs/>
                <w:sz w:val="16"/>
                <w:szCs w:val="16"/>
                <w:lang w:val="et-EE" w:eastAsia="et-EE"/>
              </w:rPr>
              <w:t>BMJ Open 2013(3</w:t>
            </w:r>
            <w:r w:rsidRPr="007E2CCC">
              <w:rPr>
                <w:rFonts w:ascii="Arial" w:eastAsia="Times New Roman" w:hAnsi="Arial" w:cs="Arial"/>
                <w:sz w:val="16"/>
                <w:szCs w:val="16"/>
                <w:lang w:val="et-EE" w:eastAsia="et-EE"/>
              </w:rPr>
              <w:t>):e002621.</w:t>
            </w:r>
          </w:p>
        </w:tc>
        <w:tc>
          <w:tcPr>
            <w:tcW w:w="851"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India</w:t>
            </w:r>
          </w:p>
        </w:tc>
        <w:tc>
          <w:tcPr>
            <w:tcW w:w="1134"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w:t>
            </w:r>
          </w:p>
        </w:tc>
        <w:tc>
          <w:tcPr>
            <w:tcW w:w="1134"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large mortality survey, verbal autopsy</w:t>
            </w:r>
          </w:p>
        </w:tc>
        <w:tc>
          <w:tcPr>
            <w:tcW w:w="709"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2001-2003</w:t>
            </w:r>
          </w:p>
        </w:tc>
        <w:tc>
          <w:tcPr>
            <w:tcW w:w="992"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2299 RTI deaths in the survey correspond to an estimated 183 600 RTI deaths or about 2% of all deaths in 2005 nationally</w:t>
            </w:r>
          </w:p>
        </w:tc>
        <w:tc>
          <w:tcPr>
            <w:tcW w:w="850"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all road users</w:t>
            </w:r>
          </w:p>
        </w:tc>
        <w:tc>
          <w:tcPr>
            <w:tcW w:w="1843"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estimated road traffic deaths by road user type: pedestrians 37%, motorcyclists 20%, car occupants 16%, bicyclists 8% (+three-wheelers 3%).</w:t>
            </w:r>
          </w:p>
        </w:tc>
      </w:tr>
      <w:tr w:rsidR="007E2CCC" w:rsidRPr="007E2CCC" w:rsidTr="0077222F">
        <w:trPr>
          <w:trHeight w:val="1275"/>
        </w:trPr>
        <w:tc>
          <w:tcPr>
            <w:tcW w:w="2852"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lastRenderedPageBreak/>
              <w:t>Road accidents in India 2011. Government of India, Ministry of Road Transport and Highways, Transport Research Wing, New Delhi 2012. I</w:t>
            </w:r>
          </w:p>
        </w:tc>
        <w:tc>
          <w:tcPr>
            <w:tcW w:w="851"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India</w:t>
            </w:r>
          </w:p>
        </w:tc>
        <w:tc>
          <w:tcPr>
            <w:tcW w:w="1134"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w:t>
            </w:r>
          </w:p>
        </w:tc>
        <w:tc>
          <w:tcPr>
            <w:tcW w:w="1134"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official statistics</w:t>
            </w:r>
          </w:p>
        </w:tc>
        <w:tc>
          <w:tcPr>
            <w:tcW w:w="709" w:type="dxa"/>
            <w:shd w:val="clear" w:color="auto" w:fill="auto"/>
            <w:vAlign w:val="center"/>
            <w:hideMark/>
          </w:tcPr>
          <w:p w:rsidR="00E27D83" w:rsidRPr="007E2CCC" w:rsidRDefault="00E27D83" w:rsidP="00E27D83">
            <w:pPr>
              <w:spacing w:after="0" w:line="240" w:lineRule="auto"/>
              <w:jc w:val="right"/>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2011</w:t>
            </w:r>
          </w:p>
        </w:tc>
        <w:tc>
          <w:tcPr>
            <w:tcW w:w="992"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142 485 killed; 511 394 injured (in 497686 accidents)</w:t>
            </w:r>
          </w:p>
        </w:tc>
        <w:tc>
          <w:tcPr>
            <w:tcW w:w="850"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all road users</w:t>
            </w:r>
          </w:p>
        </w:tc>
        <w:tc>
          <w:tcPr>
            <w:tcW w:w="1843"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b/>
                <w:bCs/>
                <w:sz w:val="16"/>
                <w:szCs w:val="16"/>
                <w:lang w:val="et-EE" w:eastAsia="et-EE"/>
              </w:rPr>
              <w:t xml:space="preserve">% of killed: </w:t>
            </w:r>
            <w:r w:rsidRPr="007E2CCC">
              <w:rPr>
                <w:rFonts w:ascii="Arial" w:eastAsia="Times New Roman" w:hAnsi="Arial" w:cs="Arial"/>
                <w:sz w:val="16"/>
                <w:szCs w:val="16"/>
                <w:lang w:val="et-EE" w:eastAsia="et-EE"/>
              </w:rPr>
              <w:t xml:space="preserve">19,2% two-wheelers; 17,6% cars, 36,6% buses/trucks; </w:t>
            </w:r>
            <w:r w:rsidRPr="007E2CCC">
              <w:rPr>
                <w:rFonts w:ascii="Arial" w:eastAsia="Times New Roman" w:hAnsi="Arial" w:cs="Arial"/>
                <w:b/>
                <w:bCs/>
                <w:sz w:val="16"/>
                <w:szCs w:val="16"/>
                <w:lang w:val="et-EE" w:eastAsia="et-EE"/>
              </w:rPr>
              <w:t xml:space="preserve">of injured: </w:t>
            </w:r>
            <w:r w:rsidRPr="007E2CCC">
              <w:rPr>
                <w:rFonts w:ascii="Arial" w:eastAsia="Times New Roman" w:hAnsi="Arial" w:cs="Arial"/>
                <w:sz w:val="16"/>
                <w:szCs w:val="16"/>
                <w:lang w:val="et-EE" w:eastAsia="et-EE"/>
              </w:rPr>
              <w:t>22,5% two-wheelers; 20,4% cars, 32,6 buses/trucks</w:t>
            </w:r>
          </w:p>
        </w:tc>
      </w:tr>
      <w:tr w:rsidR="007E2CCC" w:rsidRPr="007E2CCC" w:rsidTr="0077222F">
        <w:trPr>
          <w:trHeight w:val="1530"/>
        </w:trPr>
        <w:tc>
          <w:tcPr>
            <w:tcW w:w="2852"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Patil, S. S., Kakade, R. V., Durgawale, P. M., &amp; Kakade, S. V. (2008). Pattern of Road Traffic Injuries: A Study from Western Maharashtra. Indian Journal of Community Medicine 33(1), 56-57.</w:t>
            </w:r>
          </w:p>
        </w:tc>
        <w:tc>
          <w:tcPr>
            <w:tcW w:w="851"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India</w:t>
            </w:r>
          </w:p>
        </w:tc>
        <w:tc>
          <w:tcPr>
            <w:tcW w:w="1134"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Western Maharashtra</w:t>
            </w:r>
          </w:p>
        </w:tc>
        <w:tc>
          <w:tcPr>
            <w:tcW w:w="1134"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hospital-based study</w:t>
            </w:r>
          </w:p>
        </w:tc>
        <w:tc>
          <w:tcPr>
            <w:tcW w:w="709"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2003-2004</w:t>
            </w:r>
          </w:p>
        </w:tc>
        <w:tc>
          <w:tcPr>
            <w:tcW w:w="992"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350 RTIs</w:t>
            </w:r>
          </w:p>
        </w:tc>
        <w:tc>
          <w:tcPr>
            <w:tcW w:w="850"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all road users</w:t>
            </w:r>
          </w:p>
        </w:tc>
        <w:tc>
          <w:tcPr>
            <w:tcW w:w="1843"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 xml:space="preserve">road traffic injuries by road user type, drivers &amp; passengers separately reported. Of casualities: 82,3% male, 17,7% female, highest number (29,4%) between 20-29 years of age. Pedestrians 13,4%, bicyclists 21,7% of drivers. </w:t>
            </w:r>
          </w:p>
        </w:tc>
      </w:tr>
      <w:tr w:rsidR="007E2CCC" w:rsidRPr="007E2CCC" w:rsidTr="0077222F">
        <w:trPr>
          <w:trHeight w:val="1020"/>
        </w:trPr>
        <w:tc>
          <w:tcPr>
            <w:tcW w:w="2852"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Manish, K, Jyothi, N. S, Pawar, G. S., Jatti, V. B. (2012). Fatal Head Injuries in Road Traffic Accidents in and around Davangere: A Prospective Study. Indian Journal of Forensic Medicine and Pathology 5(2).</w:t>
            </w:r>
          </w:p>
        </w:tc>
        <w:tc>
          <w:tcPr>
            <w:tcW w:w="851"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India</w:t>
            </w:r>
          </w:p>
        </w:tc>
        <w:tc>
          <w:tcPr>
            <w:tcW w:w="1134"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Davangere</w:t>
            </w:r>
          </w:p>
        </w:tc>
        <w:tc>
          <w:tcPr>
            <w:tcW w:w="1134"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hospital-based study</w:t>
            </w:r>
          </w:p>
        </w:tc>
        <w:tc>
          <w:tcPr>
            <w:tcW w:w="709"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2005-2007</w:t>
            </w:r>
          </w:p>
        </w:tc>
        <w:tc>
          <w:tcPr>
            <w:tcW w:w="992"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408 RTI deaths</w:t>
            </w:r>
          </w:p>
        </w:tc>
        <w:tc>
          <w:tcPr>
            <w:tcW w:w="850"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all road users</w:t>
            </w:r>
          </w:p>
        </w:tc>
        <w:tc>
          <w:tcPr>
            <w:tcW w:w="1843"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of fatalities: 46,3% motorcyclists, 31,7% pedestrians, 4,8% cyclists, 3,6% car occupants, 4,8% bus or truck occupants</w:t>
            </w:r>
          </w:p>
        </w:tc>
      </w:tr>
      <w:tr w:rsidR="007E2CCC" w:rsidRPr="007E2CCC" w:rsidTr="0077222F">
        <w:trPr>
          <w:trHeight w:val="1275"/>
        </w:trPr>
        <w:tc>
          <w:tcPr>
            <w:tcW w:w="2852"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 xml:space="preserve">Das, R. K., Chakraborty, P. N., Das, P. (2014). A Study of the pattern of Cranio-Facial Injuries in Fatal Road Traffic Accidents in Tripura. </w:t>
            </w:r>
            <w:r w:rsidRPr="007E2CCC">
              <w:rPr>
                <w:rFonts w:ascii="Arial" w:eastAsia="Times New Roman" w:hAnsi="Arial" w:cs="Arial"/>
                <w:i/>
                <w:iCs/>
                <w:sz w:val="16"/>
                <w:szCs w:val="16"/>
                <w:lang w:val="et-EE" w:eastAsia="et-EE"/>
              </w:rPr>
              <w:t>Journal of Evolution of Medical and Dental Sciences 3</w:t>
            </w:r>
            <w:r w:rsidRPr="007E2CCC">
              <w:rPr>
                <w:rFonts w:ascii="Arial" w:eastAsia="Times New Roman" w:hAnsi="Arial" w:cs="Arial"/>
                <w:sz w:val="16"/>
                <w:szCs w:val="16"/>
                <w:lang w:val="et-EE" w:eastAsia="et-EE"/>
              </w:rPr>
              <w:t>(24), 6726-6735.</w:t>
            </w:r>
          </w:p>
        </w:tc>
        <w:tc>
          <w:tcPr>
            <w:tcW w:w="851"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India</w:t>
            </w:r>
          </w:p>
        </w:tc>
        <w:tc>
          <w:tcPr>
            <w:tcW w:w="1134"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Tripura</w:t>
            </w:r>
          </w:p>
        </w:tc>
        <w:tc>
          <w:tcPr>
            <w:tcW w:w="1134"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autopsy study</w:t>
            </w:r>
          </w:p>
        </w:tc>
        <w:tc>
          <w:tcPr>
            <w:tcW w:w="709"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2011-2013</w:t>
            </w:r>
          </w:p>
        </w:tc>
        <w:tc>
          <w:tcPr>
            <w:tcW w:w="992"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196 victims of fatal RTIs, craniofacial injuries</w:t>
            </w:r>
          </w:p>
        </w:tc>
        <w:tc>
          <w:tcPr>
            <w:tcW w:w="850"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RTI victims with cranio-facial injuries</w:t>
            </w:r>
          </w:p>
        </w:tc>
        <w:tc>
          <w:tcPr>
            <w:tcW w:w="1843"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fatal RTI victims w/ craniofacial injuries: pedestrians 42,9%; car occupants 16,3; bicyclists 5,1%.</w:t>
            </w:r>
          </w:p>
        </w:tc>
      </w:tr>
      <w:tr w:rsidR="007E2CCC" w:rsidRPr="007E2CCC" w:rsidTr="0077222F">
        <w:trPr>
          <w:trHeight w:val="1005"/>
        </w:trPr>
        <w:tc>
          <w:tcPr>
            <w:tcW w:w="2852"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 xml:space="preserve">Khajuria, B., Sharma, R., Verma, A. (2008). A Profile of the Autopsies of Road Traffic Accident Victims in Jammu. </w:t>
            </w:r>
            <w:r w:rsidRPr="007E2CCC">
              <w:rPr>
                <w:rFonts w:ascii="Arial" w:eastAsia="Times New Roman" w:hAnsi="Arial" w:cs="Arial"/>
                <w:i/>
                <w:iCs/>
                <w:sz w:val="16"/>
                <w:szCs w:val="16"/>
                <w:lang w:val="et-EE" w:eastAsia="et-EE"/>
              </w:rPr>
              <w:t>Journal of Clinical and Diagnostic Research  2</w:t>
            </w:r>
            <w:r w:rsidRPr="007E2CCC">
              <w:rPr>
                <w:rFonts w:ascii="Arial" w:eastAsia="Times New Roman" w:hAnsi="Arial" w:cs="Arial"/>
                <w:sz w:val="16"/>
                <w:szCs w:val="16"/>
                <w:lang w:val="et-EE" w:eastAsia="et-EE"/>
              </w:rPr>
              <w:t>, 639-642.</w:t>
            </w:r>
          </w:p>
        </w:tc>
        <w:tc>
          <w:tcPr>
            <w:tcW w:w="851"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India</w:t>
            </w:r>
          </w:p>
        </w:tc>
        <w:tc>
          <w:tcPr>
            <w:tcW w:w="1134"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Jammu</w:t>
            </w:r>
          </w:p>
        </w:tc>
        <w:tc>
          <w:tcPr>
            <w:tcW w:w="1134"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autopsy study</w:t>
            </w:r>
          </w:p>
        </w:tc>
        <w:tc>
          <w:tcPr>
            <w:tcW w:w="709"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2000-2005</w:t>
            </w:r>
          </w:p>
        </w:tc>
        <w:tc>
          <w:tcPr>
            <w:tcW w:w="992"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249 RTA victims</w:t>
            </w:r>
          </w:p>
        </w:tc>
        <w:tc>
          <w:tcPr>
            <w:tcW w:w="850"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all road users</w:t>
            </w:r>
          </w:p>
        </w:tc>
        <w:tc>
          <w:tcPr>
            <w:tcW w:w="1843"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fatal RTI victims: pedestrians 55,32%, vehicle occupants 34,68</w:t>
            </w:r>
          </w:p>
        </w:tc>
      </w:tr>
      <w:tr w:rsidR="007E2CCC" w:rsidRPr="007E2CCC" w:rsidTr="0077222F">
        <w:trPr>
          <w:trHeight w:val="1020"/>
        </w:trPr>
        <w:tc>
          <w:tcPr>
            <w:tcW w:w="2852"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 xml:space="preserve">Sharma, B. R., Sharma, A. K., Sharma, S. &amp; Singh, H. (2007). Fatal Road Traffic Injuries in Northern India: Can They Be Prevented? </w:t>
            </w:r>
            <w:r w:rsidRPr="007E2CCC">
              <w:rPr>
                <w:rFonts w:ascii="Arial" w:eastAsia="Times New Roman" w:hAnsi="Arial" w:cs="Arial"/>
                <w:i/>
                <w:iCs/>
                <w:sz w:val="16"/>
                <w:szCs w:val="16"/>
                <w:lang w:val="et-EE" w:eastAsia="et-EE"/>
              </w:rPr>
              <w:t>Trends in Medical Research 2</w:t>
            </w:r>
            <w:r w:rsidRPr="007E2CCC">
              <w:rPr>
                <w:rFonts w:ascii="Arial" w:eastAsia="Times New Roman" w:hAnsi="Arial" w:cs="Arial"/>
                <w:sz w:val="16"/>
                <w:szCs w:val="16"/>
                <w:lang w:val="et-EE" w:eastAsia="et-EE"/>
              </w:rPr>
              <w:t>(3), 142-148.</w:t>
            </w:r>
          </w:p>
        </w:tc>
        <w:tc>
          <w:tcPr>
            <w:tcW w:w="851"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India</w:t>
            </w:r>
          </w:p>
        </w:tc>
        <w:tc>
          <w:tcPr>
            <w:tcW w:w="1134"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Northern India</w:t>
            </w:r>
          </w:p>
        </w:tc>
        <w:tc>
          <w:tcPr>
            <w:tcW w:w="1134"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hospital-based study, autopsies</w:t>
            </w:r>
          </w:p>
        </w:tc>
        <w:tc>
          <w:tcPr>
            <w:tcW w:w="709"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1996-2005</w:t>
            </w:r>
          </w:p>
        </w:tc>
        <w:tc>
          <w:tcPr>
            <w:tcW w:w="992"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1109 RTA victims</w:t>
            </w:r>
          </w:p>
        </w:tc>
        <w:tc>
          <w:tcPr>
            <w:tcW w:w="850"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all road users</w:t>
            </w:r>
          </w:p>
        </w:tc>
        <w:tc>
          <w:tcPr>
            <w:tcW w:w="1843"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Fatal RTIs: pedestrians 38,7%, motorized two-wheelers 34,1%, cyclists 5,9%, light motor vehicles 10,4%, bus occupants 2,9%.</w:t>
            </w:r>
          </w:p>
        </w:tc>
      </w:tr>
      <w:tr w:rsidR="007E2CCC" w:rsidRPr="007E2CCC" w:rsidTr="0077222F">
        <w:trPr>
          <w:trHeight w:val="1005"/>
        </w:trPr>
        <w:tc>
          <w:tcPr>
            <w:tcW w:w="2852"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 xml:space="preserve">Jain, A., Menezes, R. G., Kanchan, T., Gagan, S., &amp; Jain, R. (2009). Two wheeler accidents on Indian roads – a study from Mangalore, India. </w:t>
            </w:r>
            <w:r w:rsidRPr="007E2CCC">
              <w:rPr>
                <w:rFonts w:ascii="Arial" w:eastAsia="Times New Roman" w:hAnsi="Arial" w:cs="Arial"/>
                <w:i/>
                <w:iCs/>
                <w:sz w:val="16"/>
                <w:szCs w:val="16"/>
                <w:lang w:val="et-EE" w:eastAsia="et-EE"/>
              </w:rPr>
              <w:t>Journal of Forensic and Legal Medicine 16</w:t>
            </w:r>
            <w:r w:rsidRPr="007E2CCC">
              <w:rPr>
                <w:rFonts w:ascii="Arial" w:eastAsia="Times New Roman" w:hAnsi="Arial" w:cs="Arial"/>
                <w:sz w:val="16"/>
                <w:szCs w:val="16"/>
                <w:lang w:val="et-EE" w:eastAsia="et-EE"/>
              </w:rPr>
              <w:t>, 130–133.</w:t>
            </w:r>
          </w:p>
        </w:tc>
        <w:tc>
          <w:tcPr>
            <w:tcW w:w="851"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India</w:t>
            </w:r>
          </w:p>
        </w:tc>
        <w:tc>
          <w:tcPr>
            <w:tcW w:w="1134"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Mangalore</w:t>
            </w:r>
          </w:p>
        </w:tc>
        <w:tc>
          <w:tcPr>
            <w:tcW w:w="1134"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police data</w:t>
            </w:r>
          </w:p>
        </w:tc>
        <w:tc>
          <w:tcPr>
            <w:tcW w:w="709"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2000-2004</w:t>
            </w:r>
          </w:p>
        </w:tc>
        <w:tc>
          <w:tcPr>
            <w:tcW w:w="992"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1231 two-wheeler accidents</w:t>
            </w:r>
          </w:p>
        </w:tc>
        <w:tc>
          <w:tcPr>
            <w:tcW w:w="850"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two-wheelers only</w:t>
            </w:r>
          </w:p>
        </w:tc>
        <w:tc>
          <w:tcPr>
            <w:tcW w:w="1843"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age distribution of two-wheeler accident victims / age groups &lt;18, 18-24, 25-34, 35-44, 45-54, &gt;55</w:t>
            </w:r>
          </w:p>
        </w:tc>
      </w:tr>
      <w:tr w:rsidR="007E2CCC" w:rsidRPr="007E2CCC" w:rsidTr="0077222F">
        <w:trPr>
          <w:trHeight w:val="1530"/>
        </w:trPr>
        <w:tc>
          <w:tcPr>
            <w:tcW w:w="2852"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i/>
                <w:iCs/>
                <w:sz w:val="16"/>
                <w:szCs w:val="16"/>
                <w:lang w:val="et-EE" w:eastAsia="et-EE"/>
              </w:rPr>
              <w:t>Road Safety in India: A Framework for Action.</w:t>
            </w:r>
            <w:r w:rsidRPr="007E2CCC">
              <w:rPr>
                <w:rFonts w:ascii="Arial" w:eastAsia="Times New Roman" w:hAnsi="Arial" w:cs="Arial"/>
                <w:sz w:val="16"/>
                <w:szCs w:val="16"/>
                <w:lang w:val="et-EE" w:eastAsia="et-EE"/>
              </w:rPr>
              <w:t xml:space="preserve"> (2011). National Institute of Mental Health &amp; Neuro Sciences, WHO Collaborating Centre for Injury Prevention &amp; Safety Promotion, Department of Epidemiology.</w:t>
            </w:r>
          </w:p>
        </w:tc>
        <w:tc>
          <w:tcPr>
            <w:tcW w:w="851"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India</w:t>
            </w:r>
          </w:p>
        </w:tc>
        <w:tc>
          <w:tcPr>
            <w:tcW w:w="1134"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w:t>
            </w:r>
          </w:p>
        </w:tc>
        <w:tc>
          <w:tcPr>
            <w:tcW w:w="1134"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official statistics</w:t>
            </w:r>
          </w:p>
        </w:tc>
        <w:tc>
          <w:tcPr>
            <w:tcW w:w="709"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2009-2010</w:t>
            </w:r>
          </w:p>
        </w:tc>
        <w:tc>
          <w:tcPr>
            <w:tcW w:w="992"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160000 estimated RTI deaths</w:t>
            </w:r>
          </w:p>
        </w:tc>
        <w:tc>
          <w:tcPr>
            <w:tcW w:w="850"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all road users</w:t>
            </w:r>
          </w:p>
        </w:tc>
        <w:tc>
          <w:tcPr>
            <w:tcW w:w="1843"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approximate distribution of fatal &amp; non-fatal road crashes by urban/rural &amp; by road user type. Fatal: ~40% pedestrians, 40% two-wheeler riders &amp; pillions. Non-fatal: 25% pedestrians, 50% two-wheeler riders &amp; pillions</w:t>
            </w:r>
          </w:p>
        </w:tc>
      </w:tr>
      <w:tr w:rsidR="007E2CCC" w:rsidRPr="007E2CCC" w:rsidTr="0077222F">
        <w:trPr>
          <w:trHeight w:val="1200"/>
        </w:trPr>
        <w:tc>
          <w:tcPr>
            <w:tcW w:w="2852"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 xml:space="preserve">Honnungar, R. S., Aramani, S. C., Vijay Kumar, A. G., Ajay Kumar, T. S, Jirli, P. S. (2011). An Epidemiological Survey of Fatal Road Traffic Accidents and their Relationship with Head Injuries. </w:t>
            </w:r>
            <w:r w:rsidRPr="007E2CCC">
              <w:rPr>
                <w:rFonts w:ascii="Arial" w:eastAsia="Times New Roman" w:hAnsi="Arial" w:cs="Arial"/>
                <w:i/>
                <w:iCs/>
                <w:sz w:val="16"/>
                <w:szCs w:val="16"/>
                <w:lang w:val="et-EE" w:eastAsia="et-EE"/>
              </w:rPr>
              <w:t>Journal of Indian Academic Forensic Medicine 33</w:t>
            </w:r>
            <w:r w:rsidRPr="007E2CCC">
              <w:rPr>
                <w:rFonts w:ascii="Arial" w:eastAsia="Times New Roman" w:hAnsi="Arial" w:cs="Arial"/>
                <w:sz w:val="16"/>
                <w:szCs w:val="16"/>
                <w:lang w:val="et-EE" w:eastAsia="et-EE"/>
              </w:rPr>
              <w:t>(2), 135-137.</w:t>
            </w:r>
          </w:p>
        </w:tc>
        <w:tc>
          <w:tcPr>
            <w:tcW w:w="851"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India</w:t>
            </w:r>
          </w:p>
        </w:tc>
        <w:tc>
          <w:tcPr>
            <w:tcW w:w="1134"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Karnataka</w:t>
            </w:r>
          </w:p>
        </w:tc>
        <w:tc>
          <w:tcPr>
            <w:tcW w:w="1134"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autopsy study</w:t>
            </w:r>
          </w:p>
        </w:tc>
        <w:tc>
          <w:tcPr>
            <w:tcW w:w="709"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2004-2009</w:t>
            </w:r>
          </w:p>
        </w:tc>
        <w:tc>
          <w:tcPr>
            <w:tcW w:w="992"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506 vehicle accident fatalities</w:t>
            </w:r>
          </w:p>
        </w:tc>
        <w:tc>
          <w:tcPr>
            <w:tcW w:w="850"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all road users</w:t>
            </w:r>
          </w:p>
        </w:tc>
        <w:tc>
          <w:tcPr>
            <w:tcW w:w="1843"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Fatal injuries: pedestrians 16,4%, pedal-cyclists 13,1%, motorcyclists 28,3%, drivers 42,2%</w:t>
            </w:r>
          </w:p>
        </w:tc>
      </w:tr>
      <w:tr w:rsidR="007E2CCC" w:rsidRPr="007E2CCC" w:rsidTr="0077222F">
        <w:trPr>
          <w:trHeight w:val="1530"/>
        </w:trPr>
        <w:tc>
          <w:tcPr>
            <w:tcW w:w="2852"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lastRenderedPageBreak/>
              <w:t>Somasundaraswaran, A. K. (2006). Accident Statistics in Sri Lanka.</w:t>
            </w:r>
            <w:r w:rsidRPr="007E2CCC">
              <w:rPr>
                <w:rFonts w:ascii="Arial" w:eastAsia="Times New Roman" w:hAnsi="Arial" w:cs="Arial"/>
                <w:i/>
                <w:iCs/>
                <w:sz w:val="16"/>
                <w:szCs w:val="16"/>
                <w:lang w:val="et-EE" w:eastAsia="et-EE"/>
              </w:rPr>
              <w:t xml:space="preserve"> IATSS Research 30</w:t>
            </w:r>
            <w:r w:rsidRPr="007E2CCC">
              <w:rPr>
                <w:rFonts w:ascii="Arial" w:eastAsia="Times New Roman" w:hAnsi="Arial" w:cs="Arial"/>
                <w:sz w:val="16"/>
                <w:szCs w:val="16"/>
                <w:lang w:val="et-EE" w:eastAsia="et-EE"/>
              </w:rPr>
              <w:t>(1).</w:t>
            </w:r>
          </w:p>
        </w:tc>
        <w:tc>
          <w:tcPr>
            <w:tcW w:w="851"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Sri Lanka</w:t>
            </w:r>
          </w:p>
        </w:tc>
        <w:tc>
          <w:tcPr>
            <w:tcW w:w="1134"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w:t>
            </w:r>
          </w:p>
        </w:tc>
        <w:tc>
          <w:tcPr>
            <w:tcW w:w="1134"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police data</w:t>
            </w:r>
          </w:p>
        </w:tc>
        <w:tc>
          <w:tcPr>
            <w:tcW w:w="709"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1989-2005</w:t>
            </w:r>
          </w:p>
        </w:tc>
        <w:tc>
          <w:tcPr>
            <w:tcW w:w="992"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All reported accidents during the period (43171 in 2005)</w:t>
            </w:r>
          </w:p>
        </w:tc>
        <w:tc>
          <w:tcPr>
            <w:tcW w:w="850"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all road users</w:t>
            </w:r>
          </w:p>
        </w:tc>
        <w:tc>
          <w:tcPr>
            <w:tcW w:w="1843"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fatalities &amp; casualties by road user type. Fatalities in 2005: 32,4% pedestrians, 26,3% car occupants, 14,1% bicyclists. Non-fatal in 2001: 30,8% pedestrians, 12,2% bicyclists, car occupants 40,7%</w:t>
            </w:r>
          </w:p>
        </w:tc>
      </w:tr>
      <w:tr w:rsidR="007E2CCC" w:rsidRPr="007E2CCC" w:rsidTr="0077222F">
        <w:trPr>
          <w:trHeight w:val="2040"/>
        </w:trPr>
        <w:tc>
          <w:tcPr>
            <w:tcW w:w="2852"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 xml:space="preserve">Weerawardena, W. A. K, Illanagasingha, T. D. B., Piyadasa, I.J., Rathnayaka, S. M., Subaweera, W. T. D. U. P. L., Niroshana, G. A. L. (2013). Analysis of patients admitted with history of Road Traffic Accidents to surgical unit B Teaching Hospital Anuradhapura, Sri Lanka. </w:t>
            </w:r>
            <w:r w:rsidRPr="007E2CCC">
              <w:rPr>
                <w:rFonts w:ascii="Arial" w:eastAsia="Times New Roman" w:hAnsi="Arial" w:cs="Arial"/>
                <w:i/>
                <w:iCs/>
                <w:sz w:val="16"/>
                <w:szCs w:val="16"/>
                <w:lang w:val="et-EE" w:eastAsia="et-EE"/>
              </w:rPr>
              <w:t>Anuradhapura Medical Journal 7</w:t>
            </w:r>
            <w:r w:rsidRPr="007E2CCC">
              <w:rPr>
                <w:rFonts w:ascii="Arial" w:eastAsia="Times New Roman" w:hAnsi="Arial" w:cs="Arial"/>
                <w:sz w:val="16"/>
                <w:szCs w:val="16"/>
                <w:lang w:val="et-EE" w:eastAsia="et-EE"/>
              </w:rPr>
              <w:t>(1), 2-5.</w:t>
            </w:r>
            <w:r w:rsidRPr="007E2CCC">
              <w:rPr>
                <w:rFonts w:ascii="Arial" w:eastAsia="Times New Roman" w:hAnsi="Arial" w:cs="Arial"/>
                <w:b/>
                <w:bCs/>
                <w:sz w:val="16"/>
                <w:szCs w:val="16"/>
                <w:lang w:val="et-EE" w:eastAsia="et-EE"/>
              </w:rPr>
              <w:t xml:space="preserve"> </w:t>
            </w:r>
          </w:p>
        </w:tc>
        <w:tc>
          <w:tcPr>
            <w:tcW w:w="851"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Sri Lanka</w:t>
            </w:r>
          </w:p>
        </w:tc>
        <w:tc>
          <w:tcPr>
            <w:tcW w:w="1134"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Anuradhapura</w:t>
            </w:r>
          </w:p>
        </w:tc>
        <w:tc>
          <w:tcPr>
            <w:tcW w:w="1134"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hospital-based study</w:t>
            </w:r>
          </w:p>
        </w:tc>
        <w:tc>
          <w:tcPr>
            <w:tcW w:w="709"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2012-2013</w:t>
            </w:r>
          </w:p>
        </w:tc>
        <w:tc>
          <w:tcPr>
            <w:tcW w:w="992"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214 RTI patients</w:t>
            </w:r>
          </w:p>
        </w:tc>
        <w:tc>
          <w:tcPr>
            <w:tcW w:w="850"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all road users</w:t>
            </w:r>
          </w:p>
        </w:tc>
        <w:tc>
          <w:tcPr>
            <w:tcW w:w="1843"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fatal &amp; nonfatal injuries. Vehicle type involved with the injury: motorcycle 138(65%), bicycles 23(11%), three wheelers 23(11%), tractors 11(5%), buses 5(2%), lorries 6(3%), cars 2(1%) and other 3(1%). There were 135(64%) drivers/riders, 59(28%) passengers and 17(8%)pedestrians.</w:t>
            </w:r>
          </w:p>
        </w:tc>
      </w:tr>
      <w:tr w:rsidR="007E2CCC" w:rsidRPr="007E2CCC" w:rsidTr="0077222F">
        <w:trPr>
          <w:trHeight w:val="1275"/>
        </w:trPr>
        <w:tc>
          <w:tcPr>
            <w:tcW w:w="2852"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 xml:space="preserve">Ngo, A.D., Rao, C., Phuong Hoa, N., Hoy, D. G., Quynh Trang, K. T., &amp; Hill, P. S. (2012). Road traffic related mortality in Vietnam: Evidence for policy from a national sample mortality surveillance system. </w:t>
            </w:r>
            <w:r w:rsidRPr="007E2CCC">
              <w:rPr>
                <w:rFonts w:ascii="Arial" w:eastAsia="Times New Roman" w:hAnsi="Arial" w:cs="Arial"/>
                <w:i/>
                <w:iCs/>
                <w:sz w:val="16"/>
                <w:szCs w:val="16"/>
                <w:lang w:val="et-EE" w:eastAsia="et-EE"/>
              </w:rPr>
              <w:t>BMC Public Health 12</w:t>
            </w:r>
            <w:r w:rsidRPr="007E2CCC">
              <w:rPr>
                <w:rFonts w:ascii="Arial" w:eastAsia="Times New Roman" w:hAnsi="Arial" w:cs="Arial"/>
                <w:sz w:val="16"/>
                <w:szCs w:val="16"/>
                <w:lang w:val="et-EE" w:eastAsia="et-EE"/>
              </w:rPr>
              <w:t xml:space="preserve">, 561. </w:t>
            </w:r>
          </w:p>
        </w:tc>
        <w:tc>
          <w:tcPr>
            <w:tcW w:w="851"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Vietnam</w:t>
            </w:r>
          </w:p>
        </w:tc>
        <w:tc>
          <w:tcPr>
            <w:tcW w:w="1134"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p>
        </w:tc>
        <w:tc>
          <w:tcPr>
            <w:tcW w:w="1134"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statistics from surveillance system</w:t>
            </w:r>
          </w:p>
        </w:tc>
        <w:tc>
          <w:tcPr>
            <w:tcW w:w="709"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2008-2009</w:t>
            </w:r>
          </w:p>
        </w:tc>
        <w:tc>
          <w:tcPr>
            <w:tcW w:w="992"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1,061 deaths attributable to road crashes</w:t>
            </w:r>
          </w:p>
        </w:tc>
        <w:tc>
          <w:tcPr>
            <w:tcW w:w="850"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all road users</w:t>
            </w:r>
          </w:p>
        </w:tc>
        <w:tc>
          <w:tcPr>
            <w:tcW w:w="1843"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 xml:space="preserve">Of deaths: 11,2% pedestrians, 3,2% cyclists, 57,9% motorcyclists, 2,45% car occupants </w:t>
            </w:r>
          </w:p>
        </w:tc>
      </w:tr>
      <w:tr w:rsidR="00E27D83" w:rsidRPr="007E2CCC" w:rsidTr="0077222F">
        <w:trPr>
          <w:trHeight w:val="1275"/>
        </w:trPr>
        <w:tc>
          <w:tcPr>
            <w:tcW w:w="2852"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 xml:space="preserve">Samuel, J. C., Sankhulani, E., Qureshi, J. S., Baloyi, P., Thupi, C., et al. (2012). Under-Reporting of Road Traffic Mortality in Developing Countries: Application of a Capture-Recapture Statistical Model to Refine Mortality Estimates. </w:t>
            </w:r>
            <w:r w:rsidRPr="007E2CCC">
              <w:rPr>
                <w:rFonts w:ascii="Arial" w:eastAsia="Times New Roman" w:hAnsi="Arial" w:cs="Arial"/>
                <w:i/>
                <w:iCs/>
                <w:sz w:val="16"/>
                <w:szCs w:val="16"/>
                <w:lang w:val="et-EE" w:eastAsia="et-EE"/>
              </w:rPr>
              <w:t>PLoS ONE 7</w:t>
            </w:r>
            <w:r w:rsidRPr="007E2CCC">
              <w:rPr>
                <w:rFonts w:ascii="Arial" w:eastAsia="Times New Roman" w:hAnsi="Arial" w:cs="Arial"/>
                <w:sz w:val="16"/>
                <w:szCs w:val="16"/>
                <w:lang w:val="et-EE" w:eastAsia="et-EE"/>
              </w:rPr>
              <w:t>(2): e31091.</w:t>
            </w:r>
          </w:p>
        </w:tc>
        <w:tc>
          <w:tcPr>
            <w:tcW w:w="851"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Malawi</w:t>
            </w:r>
          </w:p>
        </w:tc>
        <w:tc>
          <w:tcPr>
            <w:tcW w:w="1134"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p>
        </w:tc>
        <w:tc>
          <w:tcPr>
            <w:tcW w:w="1134"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hospital data, police data, estimated number</w:t>
            </w:r>
          </w:p>
        </w:tc>
        <w:tc>
          <w:tcPr>
            <w:tcW w:w="709"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2008-2009</w:t>
            </w:r>
          </w:p>
        </w:tc>
        <w:tc>
          <w:tcPr>
            <w:tcW w:w="992"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380 estimated RTI deaths</w:t>
            </w:r>
          </w:p>
        </w:tc>
        <w:tc>
          <w:tcPr>
            <w:tcW w:w="850"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all road users</w:t>
            </w:r>
          </w:p>
        </w:tc>
        <w:tc>
          <w:tcPr>
            <w:tcW w:w="1843"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 xml:space="preserve">road traffic deaths: 42,4% pedestrians, 10,3% bicyclists, 36,3% car occupants. </w:t>
            </w:r>
          </w:p>
        </w:tc>
      </w:tr>
    </w:tbl>
    <w:p w:rsidR="00E27D83" w:rsidRPr="007E2CCC" w:rsidRDefault="00E27D83" w:rsidP="00E27D83">
      <w:pPr>
        <w:spacing w:after="120" w:line="240" w:lineRule="auto"/>
        <w:rPr>
          <w:lang w:val="et-EE"/>
        </w:rPr>
      </w:pPr>
    </w:p>
    <w:p w:rsidR="00E27D83" w:rsidRPr="007E2CCC" w:rsidRDefault="00E27D83" w:rsidP="009B6778">
      <w:pPr>
        <w:pStyle w:val="Heading2"/>
        <w:rPr>
          <w:color w:val="auto"/>
          <w:lang w:bidi="en-US"/>
        </w:rPr>
      </w:pPr>
      <w:bookmarkStart w:id="14" w:name="_Toc404917311"/>
      <w:r w:rsidRPr="007E2CCC">
        <w:rPr>
          <w:color w:val="auto"/>
          <w:lang w:bidi="en-US"/>
        </w:rPr>
        <w:t>3. Road safety interventions</w:t>
      </w:r>
      <w:bookmarkEnd w:id="14"/>
      <w:r w:rsidRPr="007E2CCC">
        <w:rPr>
          <w:color w:val="auto"/>
          <w:lang w:bidi="en-US"/>
        </w:rPr>
        <w:t xml:space="preserve"> </w:t>
      </w:r>
    </w:p>
    <w:p w:rsidR="00E27D83" w:rsidRPr="007E2CCC" w:rsidRDefault="00E27D83" w:rsidP="00E27D83">
      <w:pPr>
        <w:spacing w:after="120" w:line="240" w:lineRule="auto"/>
        <w:rPr>
          <w:lang w:val="et-EE"/>
        </w:rPr>
      </w:pPr>
      <w:r w:rsidRPr="007E2CCC">
        <w:rPr>
          <w:lang w:val="et-EE"/>
        </w:rPr>
        <w:t xml:space="preserve">Search keywords used were country name+road safety, country name+speed bumps, country name+drink-driving, country name+speed cameras, country name+helmet use. </w:t>
      </w:r>
    </w:p>
    <w:p w:rsidR="00E27D83" w:rsidRPr="007E2CCC" w:rsidRDefault="00E27D83" w:rsidP="00E27D83">
      <w:pPr>
        <w:spacing w:after="120" w:line="240" w:lineRule="auto"/>
        <w:rPr>
          <w:lang w:val="et-EE"/>
        </w:rPr>
      </w:pPr>
      <w:r w:rsidRPr="007E2CCC">
        <w:rPr>
          <w:lang w:val="et-EE"/>
        </w:rPr>
        <w:t xml:space="preserve">No data were found on coverage of speed humps/bumps, drink-driving law &amp; enforcement nor coverage of speed cameras in </w:t>
      </w:r>
      <w:r w:rsidR="0077222F" w:rsidRPr="007E2CCC">
        <w:rPr>
          <w:lang w:val="et-EE"/>
        </w:rPr>
        <w:t>Sub-Saharan Africa</w:t>
      </w:r>
      <w:r w:rsidRPr="007E2CCC">
        <w:rPr>
          <w:lang w:val="et-EE"/>
        </w:rPr>
        <w:t xml:space="preserve"> or </w:t>
      </w:r>
      <w:r w:rsidR="0077222F" w:rsidRPr="007E2CCC">
        <w:rPr>
          <w:lang w:val="et-EE"/>
        </w:rPr>
        <w:t xml:space="preserve">South-East Asia </w:t>
      </w:r>
      <w:r w:rsidRPr="007E2CCC">
        <w:rPr>
          <w:lang w:val="et-EE"/>
        </w:rPr>
        <w:t xml:space="preserve">countries. </w:t>
      </w:r>
    </w:p>
    <w:p w:rsidR="00E27D83" w:rsidRPr="007E2CCC" w:rsidRDefault="00E27D83" w:rsidP="00E27D83">
      <w:pPr>
        <w:spacing w:after="120" w:line="240" w:lineRule="auto"/>
        <w:rPr>
          <w:lang w:val="et-EE"/>
        </w:rPr>
      </w:pPr>
      <w:r w:rsidRPr="007E2CCC">
        <w:rPr>
          <w:lang w:val="et-EE"/>
        </w:rPr>
        <w:t>Some data were found on seat belt, motorcycle and bicycle helmet use. Road safety intervention statistics are based mainly on surveillance data, and some survey data.</w:t>
      </w:r>
    </w:p>
    <w:p w:rsidR="00E27D83" w:rsidRPr="007E2CCC" w:rsidRDefault="00E27D83" w:rsidP="00E27D83">
      <w:pPr>
        <w:spacing w:after="120" w:line="240" w:lineRule="auto"/>
        <w:rPr>
          <w:lang w:val="et-EE"/>
        </w:rPr>
      </w:pPr>
    </w:p>
    <w:p w:rsidR="00E27D83" w:rsidRPr="007E2CCC" w:rsidRDefault="00E27D83" w:rsidP="009B6778">
      <w:pPr>
        <w:pStyle w:val="Heading3"/>
        <w:rPr>
          <w:color w:val="auto"/>
          <w:lang w:bidi="en-US"/>
        </w:rPr>
      </w:pPr>
      <w:bookmarkStart w:id="15" w:name="_Toc404917312"/>
      <w:r w:rsidRPr="007E2CCC">
        <w:rPr>
          <w:color w:val="auto"/>
          <w:lang w:bidi="en-US"/>
        </w:rPr>
        <w:t xml:space="preserve">3.1. Seat belts, </w:t>
      </w:r>
      <w:bookmarkEnd w:id="15"/>
      <w:r w:rsidR="0077222F" w:rsidRPr="007E2CCC">
        <w:rPr>
          <w:color w:val="auto"/>
          <w:lang w:bidi="en-US"/>
        </w:rPr>
        <w:t>Sub-Saharan Africa</w:t>
      </w:r>
    </w:p>
    <w:p w:rsidR="00E27D83" w:rsidRPr="007E2CCC" w:rsidRDefault="00E27D83" w:rsidP="00E27D83">
      <w:pPr>
        <w:spacing w:after="120" w:line="240" w:lineRule="auto"/>
        <w:rPr>
          <w:lang w:val="et-EE"/>
        </w:rPr>
      </w:pPr>
      <w:r w:rsidRPr="007E2CCC">
        <w:rPr>
          <w:lang w:val="et-EE"/>
        </w:rPr>
        <w:t xml:space="preserve">The percentage of vehicle occupants wearing a seatbelt was only available for South Africa (Table 8).  </w:t>
      </w:r>
    </w:p>
    <w:p w:rsidR="00E27D83" w:rsidRPr="007E2CCC" w:rsidRDefault="00E27D83" w:rsidP="00E27D83">
      <w:pPr>
        <w:spacing w:after="120" w:line="240" w:lineRule="auto"/>
        <w:rPr>
          <w:lang w:val="et-EE"/>
        </w:rPr>
      </w:pPr>
    </w:p>
    <w:p w:rsidR="00E27D83" w:rsidRPr="007E2CCC" w:rsidRDefault="00E27D83" w:rsidP="00E27D83">
      <w:pPr>
        <w:spacing w:after="120" w:line="240" w:lineRule="auto"/>
        <w:rPr>
          <w:lang w:val="et-EE"/>
        </w:rPr>
      </w:pPr>
      <w:r w:rsidRPr="007E2CCC">
        <w:rPr>
          <w:b/>
          <w:lang w:val="et-EE"/>
        </w:rPr>
        <w:t>Table 8.</w:t>
      </w:r>
      <w:r w:rsidRPr="007E2CCC">
        <w:rPr>
          <w:lang w:val="et-EE"/>
        </w:rPr>
        <w:t xml:space="preserve"> Data sources for seat belt use in </w:t>
      </w:r>
      <w:r w:rsidR="0077222F" w:rsidRPr="007E2CCC">
        <w:rPr>
          <w:lang w:val="et-EE"/>
        </w:rPr>
        <w:t>Sub-Saharan Africa</w:t>
      </w:r>
    </w:p>
    <w:tbl>
      <w:tblPr>
        <w:tblW w:w="10365" w:type="dxa"/>
        <w:tblInd w:w="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2852"/>
        <w:gridCol w:w="851"/>
        <w:gridCol w:w="1134"/>
        <w:gridCol w:w="1134"/>
        <w:gridCol w:w="709"/>
        <w:gridCol w:w="992"/>
        <w:gridCol w:w="992"/>
        <w:gridCol w:w="1701"/>
      </w:tblGrid>
      <w:tr w:rsidR="007E2CCC" w:rsidRPr="007E2CCC" w:rsidTr="0077222F">
        <w:trPr>
          <w:trHeight w:val="1530"/>
        </w:trPr>
        <w:tc>
          <w:tcPr>
            <w:tcW w:w="285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E27D83" w:rsidRPr="007E2CCC" w:rsidRDefault="00E27D83" w:rsidP="00E27D83">
            <w:pPr>
              <w:spacing w:after="0" w:line="240" w:lineRule="auto"/>
              <w:rPr>
                <w:rFonts w:ascii="Arial" w:eastAsia="Times New Roman" w:hAnsi="Arial" w:cs="Arial"/>
                <w:b/>
                <w:sz w:val="16"/>
                <w:szCs w:val="16"/>
                <w:lang w:val="et-EE" w:eastAsia="et-EE"/>
              </w:rPr>
            </w:pPr>
            <w:r w:rsidRPr="007E2CCC">
              <w:rPr>
                <w:rFonts w:ascii="Arial" w:eastAsia="Times New Roman" w:hAnsi="Arial" w:cs="Arial"/>
                <w:b/>
                <w:sz w:val="16"/>
                <w:szCs w:val="16"/>
                <w:lang w:val="et-EE" w:eastAsia="et-EE"/>
              </w:rPr>
              <w:t>Reference</w:t>
            </w:r>
          </w:p>
        </w:tc>
        <w:tc>
          <w:tcPr>
            <w:tcW w:w="85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E27D83" w:rsidRPr="007E2CCC" w:rsidRDefault="00E27D83" w:rsidP="00E27D83">
            <w:pPr>
              <w:spacing w:after="0" w:line="240" w:lineRule="auto"/>
              <w:rPr>
                <w:rFonts w:ascii="Arial" w:eastAsia="Times New Roman" w:hAnsi="Arial" w:cs="Arial"/>
                <w:b/>
                <w:sz w:val="16"/>
                <w:szCs w:val="16"/>
                <w:lang w:val="et-EE" w:eastAsia="et-EE"/>
              </w:rPr>
            </w:pPr>
            <w:r w:rsidRPr="007E2CCC">
              <w:rPr>
                <w:rFonts w:ascii="Arial" w:eastAsia="Times New Roman" w:hAnsi="Arial" w:cs="Arial"/>
                <w:b/>
                <w:sz w:val="16"/>
                <w:szCs w:val="16"/>
                <w:lang w:val="et-EE" w:eastAsia="et-EE"/>
              </w:rPr>
              <w:t>Country</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E27D83" w:rsidRPr="007E2CCC" w:rsidRDefault="00E27D83" w:rsidP="00E27D83">
            <w:pPr>
              <w:spacing w:after="0" w:line="240" w:lineRule="auto"/>
              <w:rPr>
                <w:rFonts w:ascii="Arial" w:eastAsia="Times New Roman" w:hAnsi="Arial" w:cs="Arial"/>
                <w:b/>
                <w:sz w:val="16"/>
                <w:szCs w:val="16"/>
                <w:lang w:val="et-EE" w:eastAsia="et-EE"/>
              </w:rPr>
            </w:pPr>
            <w:r w:rsidRPr="007E2CCC">
              <w:rPr>
                <w:rFonts w:ascii="Arial" w:eastAsia="Times New Roman" w:hAnsi="Arial" w:cs="Arial"/>
                <w:b/>
                <w:sz w:val="16"/>
                <w:szCs w:val="16"/>
                <w:lang w:val="et-EE" w:eastAsia="et-EE"/>
              </w:rPr>
              <w:t>Region</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E27D83" w:rsidRPr="007E2CCC" w:rsidRDefault="00E27D83" w:rsidP="00E27D83">
            <w:pPr>
              <w:spacing w:after="0" w:line="240" w:lineRule="auto"/>
              <w:rPr>
                <w:rFonts w:ascii="Arial" w:eastAsia="Times New Roman" w:hAnsi="Arial" w:cs="Arial"/>
                <w:b/>
                <w:sz w:val="16"/>
                <w:szCs w:val="16"/>
                <w:lang w:val="et-EE" w:eastAsia="et-EE"/>
              </w:rPr>
            </w:pPr>
            <w:r w:rsidRPr="007E2CCC">
              <w:rPr>
                <w:rFonts w:ascii="Arial" w:eastAsia="Times New Roman" w:hAnsi="Arial" w:cs="Arial"/>
                <w:b/>
                <w:sz w:val="16"/>
                <w:szCs w:val="16"/>
                <w:lang w:val="et-EE" w:eastAsia="et-EE"/>
              </w:rPr>
              <w:t>Type of data</w:t>
            </w: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E27D83" w:rsidRPr="007E2CCC" w:rsidRDefault="00E27D83" w:rsidP="00E27D83">
            <w:pPr>
              <w:spacing w:after="0" w:line="240" w:lineRule="auto"/>
              <w:rPr>
                <w:rFonts w:ascii="Arial" w:eastAsia="Times New Roman" w:hAnsi="Arial" w:cs="Arial"/>
                <w:b/>
                <w:sz w:val="16"/>
                <w:szCs w:val="16"/>
                <w:lang w:val="et-EE" w:eastAsia="et-EE"/>
              </w:rPr>
            </w:pPr>
            <w:r w:rsidRPr="007E2CCC">
              <w:rPr>
                <w:rFonts w:ascii="Arial" w:eastAsia="Times New Roman" w:hAnsi="Arial" w:cs="Arial"/>
                <w:b/>
                <w:sz w:val="16"/>
                <w:szCs w:val="16"/>
                <w:lang w:val="et-EE" w:eastAsia="et-EE"/>
              </w:rPr>
              <w:t>Data period</w:t>
            </w:r>
          </w:p>
        </w:tc>
        <w:tc>
          <w:tcPr>
            <w:tcW w:w="9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E27D83" w:rsidRPr="007E2CCC" w:rsidRDefault="00E27D83" w:rsidP="00E27D83">
            <w:pPr>
              <w:spacing w:after="0" w:line="240" w:lineRule="auto"/>
              <w:rPr>
                <w:rFonts w:ascii="Arial" w:eastAsia="Times New Roman" w:hAnsi="Arial" w:cs="Arial"/>
                <w:b/>
                <w:sz w:val="16"/>
                <w:szCs w:val="16"/>
                <w:lang w:val="et-EE" w:eastAsia="et-EE"/>
              </w:rPr>
            </w:pPr>
            <w:r w:rsidRPr="007E2CCC">
              <w:rPr>
                <w:rFonts w:ascii="Arial" w:eastAsia="Times New Roman" w:hAnsi="Arial" w:cs="Arial"/>
                <w:b/>
                <w:sz w:val="16"/>
                <w:szCs w:val="16"/>
                <w:lang w:val="et-EE" w:eastAsia="et-EE"/>
              </w:rPr>
              <w:t>n</w:t>
            </w:r>
          </w:p>
        </w:tc>
        <w:tc>
          <w:tcPr>
            <w:tcW w:w="9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E27D83" w:rsidRPr="007E2CCC" w:rsidRDefault="00E27D83" w:rsidP="00E27D83">
            <w:pPr>
              <w:spacing w:after="0" w:line="240" w:lineRule="auto"/>
              <w:rPr>
                <w:rFonts w:ascii="Arial" w:eastAsia="Times New Roman" w:hAnsi="Arial" w:cs="Arial"/>
                <w:b/>
                <w:sz w:val="16"/>
                <w:szCs w:val="16"/>
                <w:lang w:val="et-EE" w:eastAsia="et-EE"/>
              </w:rPr>
            </w:pPr>
            <w:r w:rsidRPr="007E2CCC">
              <w:rPr>
                <w:rFonts w:ascii="Arial" w:eastAsia="Times New Roman" w:hAnsi="Arial" w:cs="Arial"/>
                <w:b/>
                <w:sz w:val="16"/>
                <w:szCs w:val="16"/>
                <w:lang w:val="et-EE" w:eastAsia="et-EE"/>
              </w:rPr>
              <w:t>Road user groups reported</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E27D83" w:rsidRPr="007E2CCC" w:rsidRDefault="00E27D83" w:rsidP="00E27D83">
            <w:pPr>
              <w:spacing w:after="0" w:line="240" w:lineRule="auto"/>
              <w:rPr>
                <w:rFonts w:ascii="Arial" w:eastAsia="Times New Roman" w:hAnsi="Arial" w:cs="Arial"/>
                <w:b/>
                <w:sz w:val="16"/>
                <w:szCs w:val="16"/>
                <w:lang w:val="et-EE" w:eastAsia="et-EE"/>
              </w:rPr>
            </w:pPr>
            <w:r w:rsidRPr="007E2CCC">
              <w:rPr>
                <w:rFonts w:ascii="Arial" w:eastAsia="Times New Roman" w:hAnsi="Arial" w:cs="Arial"/>
                <w:b/>
                <w:sz w:val="16"/>
                <w:szCs w:val="16"/>
                <w:lang w:val="et-EE" w:eastAsia="et-EE"/>
              </w:rPr>
              <w:t>Findings</w:t>
            </w:r>
          </w:p>
        </w:tc>
      </w:tr>
      <w:tr w:rsidR="00E27D83" w:rsidRPr="007E2CCC" w:rsidTr="0077222F">
        <w:trPr>
          <w:trHeight w:val="1530"/>
        </w:trPr>
        <w:tc>
          <w:tcPr>
            <w:tcW w:w="2852"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lastRenderedPageBreak/>
              <w:t xml:space="preserve">van Hoving, D. J., Sinclair, M., Wallis, L. A. (2013). Patterns of seatbelt use in different socioeconomic communities in the Cape Town Metropole, South Africa. </w:t>
            </w:r>
            <w:r w:rsidRPr="007E2CCC">
              <w:rPr>
                <w:rFonts w:ascii="Arial" w:eastAsia="Times New Roman" w:hAnsi="Arial" w:cs="Arial"/>
                <w:i/>
                <w:iCs/>
                <w:sz w:val="16"/>
                <w:szCs w:val="16"/>
                <w:lang w:val="et-EE" w:eastAsia="et-EE"/>
              </w:rPr>
              <w:t>African Medical Journal 103</w:t>
            </w:r>
            <w:r w:rsidRPr="007E2CCC">
              <w:rPr>
                <w:rFonts w:ascii="Arial" w:eastAsia="Times New Roman" w:hAnsi="Arial" w:cs="Arial"/>
                <w:sz w:val="16"/>
                <w:szCs w:val="16"/>
                <w:lang w:val="et-EE" w:eastAsia="et-EE"/>
              </w:rPr>
              <w:t xml:space="preserve">(9). </w:t>
            </w:r>
          </w:p>
        </w:tc>
        <w:tc>
          <w:tcPr>
            <w:tcW w:w="851"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South Africa</w:t>
            </w:r>
          </w:p>
        </w:tc>
        <w:tc>
          <w:tcPr>
            <w:tcW w:w="1134"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Cape Town Metropole</w:t>
            </w:r>
          </w:p>
        </w:tc>
        <w:tc>
          <w:tcPr>
            <w:tcW w:w="1134"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surveillance data</w:t>
            </w:r>
          </w:p>
        </w:tc>
        <w:tc>
          <w:tcPr>
            <w:tcW w:w="709" w:type="dxa"/>
            <w:shd w:val="clear" w:color="auto" w:fill="auto"/>
            <w:vAlign w:val="center"/>
            <w:hideMark/>
          </w:tcPr>
          <w:p w:rsidR="00E27D83" w:rsidRPr="007E2CCC" w:rsidRDefault="00E27D83" w:rsidP="00E27D83">
            <w:pPr>
              <w:spacing w:after="0" w:line="240" w:lineRule="auto"/>
              <w:jc w:val="right"/>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2010</w:t>
            </w:r>
          </w:p>
        </w:tc>
        <w:tc>
          <w:tcPr>
            <w:tcW w:w="992"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4 651 vehicles with 6 848 occupants were surveyed</w:t>
            </w:r>
          </w:p>
        </w:tc>
        <w:tc>
          <w:tcPr>
            <w:tcW w:w="992"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vehicle occupants</w:t>
            </w:r>
          </w:p>
        </w:tc>
        <w:tc>
          <w:tcPr>
            <w:tcW w:w="1701"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vehicle occupants, 45.1% wearing a seatbelt</w:t>
            </w:r>
          </w:p>
        </w:tc>
      </w:tr>
    </w:tbl>
    <w:p w:rsidR="00E27D83" w:rsidRPr="007E2CCC" w:rsidRDefault="00E27D83" w:rsidP="00E27D83">
      <w:pPr>
        <w:spacing w:after="120" w:line="240" w:lineRule="auto"/>
        <w:rPr>
          <w:lang w:val="et-EE"/>
        </w:rPr>
      </w:pPr>
    </w:p>
    <w:p w:rsidR="00E27D83" w:rsidRPr="007E2CCC" w:rsidRDefault="00E27D83" w:rsidP="009B6778">
      <w:pPr>
        <w:pStyle w:val="Heading3"/>
        <w:rPr>
          <w:color w:val="auto"/>
          <w:lang w:bidi="en-US"/>
        </w:rPr>
      </w:pPr>
      <w:bookmarkStart w:id="16" w:name="_Toc404917313"/>
      <w:r w:rsidRPr="007E2CCC">
        <w:rPr>
          <w:color w:val="auto"/>
          <w:lang w:bidi="en-US"/>
        </w:rPr>
        <w:t xml:space="preserve">3.2 Seat belts, </w:t>
      </w:r>
      <w:bookmarkEnd w:id="16"/>
      <w:r w:rsidR="0077222F" w:rsidRPr="007E2CCC">
        <w:rPr>
          <w:color w:val="auto"/>
          <w:lang w:bidi="en-US"/>
        </w:rPr>
        <w:t>South-East Asia</w:t>
      </w:r>
    </w:p>
    <w:p w:rsidR="00E27D83" w:rsidRPr="007E2CCC" w:rsidRDefault="00E27D83" w:rsidP="00E27D83">
      <w:pPr>
        <w:spacing w:after="120" w:line="240" w:lineRule="auto"/>
        <w:rPr>
          <w:lang w:val="et-EE"/>
        </w:rPr>
      </w:pPr>
      <w:r w:rsidRPr="007E2CCC">
        <w:rPr>
          <w:lang w:val="et-EE"/>
        </w:rPr>
        <w:t xml:space="preserve">WHO factsheets on South-East Asia Region provide numbers for seat belt use in India &amp; Sri Lanka, also two studies for India report some estimates for seat belt use among car occupants (Table 9). The estimates differ, although the study reporting the highest percentages of seat belt use (Mohan, 2009) is the only one that describes the methods how the estimates were calculated. </w:t>
      </w:r>
    </w:p>
    <w:p w:rsidR="00E27D83" w:rsidRPr="007E2CCC" w:rsidRDefault="00E27D83" w:rsidP="00E27D83">
      <w:pPr>
        <w:spacing w:after="120" w:line="240" w:lineRule="auto"/>
        <w:rPr>
          <w:lang w:val="et-EE"/>
        </w:rPr>
      </w:pPr>
      <w:r w:rsidRPr="007E2CCC">
        <w:rPr>
          <w:b/>
          <w:lang w:val="et-EE"/>
        </w:rPr>
        <w:t>Table 9.</w:t>
      </w:r>
      <w:r w:rsidRPr="007E2CCC">
        <w:rPr>
          <w:lang w:val="et-EE"/>
        </w:rPr>
        <w:t xml:space="preserve"> Data on seat belt use in </w:t>
      </w:r>
      <w:r w:rsidR="0077222F" w:rsidRPr="007E2CCC">
        <w:rPr>
          <w:lang w:val="et-EE"/>
        </w:rPr>
        <w:t>South-East Asia</w:t>
      </w:r>
    </w:p>
    <w:tbl>
      <w:tblPr>
        <w:tblW w:w="10365" w:type="dxa"/>
        <w:tblInd w:w="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
      <w:tblGrid>
        <w:gridCol w:w="2852"/>
        <w:gridCol w:w="851"/>
        <w:gridCol w:w="1134"/>
        <w:gridCol w:w="1133"/>
        <w:gridCol w:w="851"/>
        <w:gridCol w:w="992"/>
        <w:gridCol w:w="851"/>
        <w:gridCol w:w="1701"/>
      </w:tblGrid>
      <w:tr w:rsidR="007E2CCC" w:rsidRPr="007E2CCC" w:rsidTr="0077222F">
        <w:trPr>
          <w:trHeight w:val="855"/>
        </w:trPr>
        <w:tc>
          <w:tcPr>
            <w:tcW w:w="2852" w:type="dxa"/>
            <w:shd w:val="clear" w:color="000000" w:fill="D8D8D8"/>
            <w:vAlign w:val="center"/>
            <w:hideMark/>
          </w:tcPr>
          <w:p w:rsidR="00E27D83" w:rsidRPr="007E2CCC" w:rsidRDefault="00E27D83" w:rsidP="00E27D83">
            <w:pPr>
              <w:spacing w:after="0" w:line="240" w:lineRule="auto"/>
              <w:rPr>
                <w:rFonts w:ascii="Arial" w:eastAsia="Times New Roman" w:hAnsi="Arial" w:cs="Arial"/>
                <w:b/>
                <w:bCs/>
                <w:sz w:val="16"/>
                <w:szCs w:val="16"/>
                <w:lang w:val="et-EE" w:eastAsia="et-EE"/>
              </w:rPr>
            </w:pPr>
            <w:r w:rsidRPr="007E2CCC">
              <w:rPr>
                <w:rFonts w:ascii="Arial" w:eastAsia="Times New Roman" w:hAnsi="Arial" w:cs="Arial"/>
                <w:b/>
                <w:bCs/>
                <w:sz w:val="16"/>
                <w:szCs w:val="16"/>
                <w:lang w:val="et-EE" w:eastAsia="et-EE"/>
              </w:rPr>
              <w:t>Reference</w:t>
            </w:r>
          </w:p>
        </w:tc>
        <w:tc>
          <w:tcPr>
            <w:tcW w:w="851" w:type="dxa"/>
            <w:shd w:val="clear" w:color="000000" w:fill="D8D8D8"/>
            <w:vAlign w:val="center"/>
            <w:hideMark/>
          </w:tcPr>
          <w:p w:rsidR="00E27D83" w:rsidRPr="007E2CCC" w:rsidRDefault="00E27D83" w:rsidP="00E27D83">
            <w:pPr>
              <w:spacing w:after="0" w:line="240" w:lineRule="auto"/>
              <w:rPr>
                <w:rFonts w:ascii="Arial" w:eastAsia="Times New Roman" w:hAnsi="Arial" w:cs="Arial"/>
                <w:b/>
                <w:bCs/>
                <w:sz w:val="16"/>
                <w:szCs w:val="16"/>
                <w:lang w:val="et-EE" w:eastAsia="et-EE"/>
              </w:rPr>
            </w:pPr>
            <w:r w:rsidRPr="007E2CCC">
              <w:rPr>
                <w:rFonts w:ascii="Arial" w:eastAsia="Times New Roman" w:hAnsi="Arial" w:cs="Arial"/>
                <w:b/>
                <w:bCs/>
                <w:sz w:val="16"/>
                <w:szCs w:val="16"/>
                <w:lang w:val="et-EE" w:eastAsia="et-EE"/>
              </w:rPr>
              <w:t>Country</w:t>
            </w:r>
          </w:p>
        </w:tc>
        <w:tc>
          <w:tcPr>
            <w:tcW w:w="1134" w:type="dxa"/>
            <w:shd w:val="clear" w:color="000000" w:fill="D8D8D8"/>
            <w:vAlign w:val="center"/>
            <w:hideMark/>
          </w:tcPr>
          <w:p w:rsidR="00E27D83" w:rsidRPr="007E2CCC" w:rsidRDefault="00E27D83" w:rsidP="00E27D83">
            <w:pPr>
              <w:spacing w:after="0" w:line="240" w:lineRule="auto"/>
              <w:rPr>
                <w:rFonts w:ascii="Arial" w:eastAsia="Times New Roman" w:hAnsi="Arial" w:cs="Arial"/>
                <w:b/>
                <w:bCs/>
                <w:sz w:val="16"/>
                <w:szCs w:val="16"/>
                <w:lang w:val="et-EE" w:eastAsia="et-EE"/>
              </w:rPr>
            </w:pPr>
            <w:r w:rsidRPr="007E2CCC">
              <w:rPr>
                <w:rFonts w:ascii="Arial" w:eastAsia="Times New Roman" w:hAnsi="Arial" w:cs="Arial"/>
                <w:b/>
                <w:bCs/>
                <w:sz w:val="16"/>
                <w:szCs w:val="16"/>
                <w:lang w:val="et-EE" w:eastAsia="et-EE"/>
              </w:rPr>
              <w:t>Region</w:t>
            </w:r>
          </w:p>
        </w:tc>
        <w:tc>
          <w:tcPr>
            <w:tcW w:w="1133" w:type="dxa"/>
            <w:shd w:val="clear" w:color="000000" w:fill="D8D8D8"/>
            <w:vAlign w:val="center"/>
            <w:hideMark/>
          </w:tcPr>
          <w:p w:rsidR="00E27D83" w:rsidRPr="007E2CCC" w:rsidRDefault="00E27D83" w:rsidP="00E27D83">
            <w:pPr>
              <w:spacing w:after="0" w:line="240" w:lineRule="auto"/>
              <w:rPr>
                <w:rFonts w:ascii="Arial" w:eastAsia="Times New Roman" w:hAnsi="Arial" w:cs="Arial"/>
                <w:b/>
                <w:bCs/>
                <w:sz w:val="16"/>
                <w:szCs w:val="16"/>
                <w:lang w:val="et-EE" w:eastAsia="et-EE"/>
              </w:rPr>
            </w:pPr>
            <w:r w:rsidRPr="007E2CCC">
              <w:rPr>
                <w:rFonts w:ascii="Arial" w:eastAsia="Times New Roman" w:hAnsi="Arial" w:cs="Arial"/>
                <w:b/>
                <w:bCs/>
                <w:sz w:val="16"/>
                <w:szCs w:val="16"/>
                <w:lang w:val="et-EE" w:eastAsia="et-EE"/>
              </w:rPr>
              <w:t>Type of data</w:t>
            </w:r>
          </w:p>
        </w:tc>
        <w:tc>
          <w:tcPr>
            <w:tcW w:w="851" w:type="dxa"/>
            <w:shd w:val="clear" w:color="000000" w:fill="D8D8D8"/>
            <w:vAlign w:val="center"/>
            <w:hideMark/>
          </w:tcPr>
          <w:p w:rsidR="00E27D83" w:rsidRPr="007E2CCC" w:rsidRDefault="00E27D83" w:rsidP="00E27D83">
            <w:pPr>
              <w:spacing w:after="0" w:line="240" w:lineRule="auto"/>
              <w:rPr>
                <w:rFonts w:ascii="Arial" w:eastAsia="Times New Roman" w:hAnsi="Arial" w:cs="Arial"/>
                <w:b/>
                <w:bCs/>
                <w:sz w:val="16"/>
                <w:szCs w:val="16"/>
                <w:lang w:val="et-EE" w:eastAsia="et-EE"/>
              </w:rPr>
            </w:pPr>
            <w:r w:rsidRPr="007E2CCC">
              <w:rPr>
                <w:rFonts w:ascii="Arial" w:eastAsia="Times New Roman" w:hAnsi="Arial" w:cs="Arial"/>
                <w:b/>
                <w:bCs/>
                <w:sz w:val="16"/>
                <w:szCs w:val="16"/>
                <w:lang w:val="et-EE" w:eastAsia="et-EE"/>
              </w:rPr>
              <w:t>Data period</w:t>
            </w:r>
          </w:p>
        </w:tc>
        <w:tc>
          <w:tcPr>
            <w:tcW w:w="992" w:type="dxa"/>
            <w:shd w:val="clear" w:color="000000" w:fill="D8D8D8"/>
            <w:vAlign w:val="center"/>
            <w:hideMark/>
          </w:tcPr>
          <w:p w:rsidR="00E27D83" w:rsidRPr="007E2CCC" w:rsidRDefault="00E27D83" w:rsidP="00E27D83">
            <w:pPr>
              <w:spacing w:after="0" w:line="240" w:lineRule="auto"/>
              <w:rPr>
                <w:rFonts w:ascii="Arial" w:eastAsia="Times New Roman" w:hAnsi="Arial" w:cs="Arial"/>
                <w:b/>
                <w:bCs/>
                <w:sz w:val="16"/>
                <w:szCs w:val="16"/>
                <w:lang w:val="et-EE" w:eastAsia="et-EE"/>
              </w:rPr>
            </w:pPr>
            <w:r w:rsidRPr="007E2CCC">
              <w:rPr>
                <w:rFonts w:ascii="Arial" w:eastAsia="Times New Roman" w:hAnsi="Arial" w:cs="Arial"/>
                <w:b/>
                <w:bCs/>
                <w:sz w:val="16"/>
                <w:szCs w:val="16"/>
                <w:lang w:val="et-EE" w:eastAsia="et-EE"/>
              </w:rPr>
              <w:t>n</w:t>
            </w:r>
          </w:p>
        </w:tc>
        <w:tc>
          <w:tcPr>
            <w:tcW w:w="851" w:type="dxa"/>
            <w:shd w:val="clear" w:color="000000" w:fill="D8D8D8"/>
            <w:vAlign w:val="center"/>
            <w:hideMark/>
          </w:tcPr>
          <w:p w:rsidR="00E27D83" w:rsidRPr="007E2CCC" w:rsidRDefault="00E27D83" w:rsidP="00E27D83">
            <w:pPr>
              <w:spacing w:after="0" w:line="240" w:lineRule="auto"/>
              <w:rPr>
                <w:rFonts w:ascii="Arial" w:eastAsia="Times New Roman" w:hAnsi="Arial" w:cs="Arial"/>
                <w:b/>
                <w:bCs/>
                <w:sz w:val="16"/>
                <w:szCs w:val="16"/>
                <w:lang w:val="et-EE" w:eastAsia="et-EE"/>
              </w:rPr>
            </w:pPr>
            <w:r w:rsidRPr="007E2CCC">
              <w:rPr>
                <w:rFonts w:ascii="Arial" w:eastAsia="Times New Roman" w:hAnsi="Arial" w:cs="Arial"/>
                <w:b/>
                <w:bCs/>
                <w:sz w:val="16"/>
                <w:szCs w:val="16"/>
                <w:lang w:val="et-EE" w:eastAsia="et-EE"/>
              </w:rPr>
              <w:t>Road user groups reported</w:t>
            </w:r>
          </w:p>
        </w:tc>
        <w:tc>
          <w:tcPr>
            <w:tcW w:w="1701" w:type="dxa"/>
            <w:shd w:val="clear" w:color="000000" w:fill="D8D8D8"/>
            <w:vAlign w:val="center"/>
            <w:hideMark/>
          </w:tcPr>
          <w:p w:rsidR="00E27D83" w:rsidRPr="007E2CCC" w:rsidRDefault="00E27D83" w:rsidP="00E27D83">
            <w:pPr>
              <w:spacing w:after="0" w:line="240" w:lineRule="auto"/>
              <w:rPr>
                <w:rFonts w:ascii="Arial" w:eastAsia="Times New Roman" w:hAnsi="Arial" w:cs="Arial"/>
                <w:b/>
                <w:bCs/>
                <w:sz w:val="16"/>
                <w:szCs w:val="16"/>
                <w:lang w:val="et-EE" w:eastAsia="et-EE"/>
              </w:rPr>
            </w:pPr>
            <w:r w:rsidRPr="007E2CCC">
              <w:rPr>
                <w:rFonts w:ascii="Arial" w:eastAsia="Times New Roman" w:hAnsi="Arial" w:cs="Arial"/>
                <w:b/>
                <w:bCs/>
                <w:sz w:val="16"/>
                <w:szCs w:val="16"/>
                <w:lang w:val="et-EE" w:eastAsia="et-EE"/>
              </w:rPr>
              <w:t>Findings</w:t>
            </w:r>
          </w:p>
        </w:tc>
      </w:tr>
      <w:tr w:rsidR="007E2CCC" w:rsidRPr="007E2CCC" w:rsidTr="0077222F">
        <w:trPr>
          <w:trHeight w:val="510"/>
        </w:trPr>
        <w:tc>
          <w:tcPr>
            <w:tcW w:w="2852"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Road safety status in the WHO South-East Asia Region, 2013 (WHO factsheet)</w:t>
            </w:r>
          </w:p>
        </w:tc>
        <w:tc>
          <w:tcPr>
            <w:tcW w:w="851"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India, Sri Lanka</w:t>
            </w:r>
          </w:p>
        </w:tc>
        <w:tc>
          <w:tcPr>
            <w:tcW w:w="1134"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p>
        </w:tc>
        <w:tc>
          <w:tcPr>
            <w:tcW w:w="1133"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unknown</w:t>
            </w:r>
          </w:p>
        </w:tc>
        <w:tc>
          <w:tcPr>
            <w:tcW w:w="851"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n/a</w:t>
            </w:r>
          </w:p>
        </w:tc>
        <w:tc>
          <w:tcPr>
            <w:tcW w:w="992"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n/a</w:t>
            </w:r>
          </w:p>
        </w:tc>
        <w:tc>
          <w:tcPr>
            <w:tcW w:w="851"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p>
        </w:tc>
        <w:tc>
          <w:tcPr>
            <w:tcW w:w="1701"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seat belt use: 27% in India; 79% in Sri Lanka</w:t>
            </w:r>
          </w:p>
        </w:tc>
      </w:tr>
      <w:tr w:rsidR="007E2CCC" w:rsidRPr="007E2CCC" w:rsidTr="0077222F">
        <w:trPr>
          <w:trHeight w:val="510"/>
        </w:trPr>
        <w:tc>
          <w:tcPr>
            <w:tcW w:w="2852"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Mohan, D. (2009). Seat Belt Law and Road Traffic Injuries in Delhi, India. Proceedings of the Eastern Asia Society for Transportation Studies 7.</w:t>
            </w:r>
          </w:p>
        </w:tc>
        <w:tc>
          <w:tcPr>
            <w:tcW w:w="851"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India</w:t>
            </w:r>
          </w:p>
        </w:tc>
        <w:tc>
          <w:tcPr>
            <w:tcW w:w="1134"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urban</w:t>
            </w:r>
          </w:p>
        </w:tc>
        <w:tc>
          <w:tcPr>
            <w:tcW w:w="1133"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surveillance data</w:t>
            </w:r>
          </w:p>
        </w:tc>
        <w:tc>
          <w:tcPr>
            <w:tcW w:w="851"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2002-2005</w:t>
            </w:r>
          </w:p>
        </w:tc>
        <w:tc>
          <w:tcPr>
            <w:tcW w:w="992"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5,315 cars, average of 2.2 persons</w:t>
            </w:r>
            <w:r w:rsidRPr="007E2CCC">
              <w:rPr>
                <w:rFonts w:ascii="Arial" w:eastAsia="Times New Roman" w:hAnsi="Arial" w:cs="Arial"/>
                <w:sz w:val="16"/>
                <w:szCs w:val="16"/>
                <w:lang w:val="et-EE" w:eastAsia="et-EE"/>
              </w:rPr>
              <w:br/>
              <w:t>per car</w:t>
            </w:r>
          </w:p>
        </w:tc>
        <w:tc>
          <w:tcPr>
            <w:tcW w:w="851"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vehicle occupants</w:t>
            </w:r>
          </w:p>
        </w:tc>
        <w:tc>
          <w:tcPr>
            <w:tcW w:w="1701"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Front seat passengers: male drivers – 82%; female drivers – 80%; male passengers – 58%; female passengers – 61%</w:t>
            </w:r>
          </w:p>
        </w:tc>
      </w:tr>
      <w:tr w:rsidR="00E27D83" w:rsidRPr="007E2CCC" w:rsidTr="0077222F">
        <w:trPr>
          <w:trHeight w:val="510"/>
        </w:trPr>
        <w:tc>
          <w:tcPr>
            <w:tcW w:w="2852"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Gururaj G. (2011). Road safety in India: a framework for action. National Institute of Mental Health and Neuro Sciences, Publication no 83, 1–40.</w:t>
            </w:r>
          </w:p>
        </w:tc>
        <w:tc>
          <w:tcPr>
            <w:tcW w:w="851"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India</w:t>
            </w:r>
          </w:p>
        </w:tc>
        <w:tc>
          <w:tcPr>
            <w:tcW w:w="1134"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Banga</w:t>
            </w:r>
            <w:r w:rsidRPr="007E2CCC">
              <w:rPr>
                <w:rFonts w:ascii="Arial" w:eastAsia="Times New Roman" w:hAnsi="Arial" w:cs="Arial"/>
                <w:sz w:val="16"/>
                <w:szCs w:val="16"/>
                <w:lang w:val="et-EE" w:eastAsia="et-EE"/>
              </w:rPr>
              <w:softHyphen/>
              <w:t>lore city, urban</w:t>
            </w:r>
          </w:p>
        </w:tc>
        <w:tc>
          <w:tcPr>
            <w:tcW w:w="1133"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official statistics?</w:t>
            </w:r>
          </w:p>
        </w:tc>
        <w:tc>
          <w:tcPr>
            <w:tcW w:w="851"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n/a</w:t>
            </w:r>
          </w:p>
        </w:tc>
        <w:tc>
          <w:tcPr>
            <w:tcW w:w="992"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n/a</w:t>
            </w:r>
          </w:p>
        </w:tc>
        <w:tc>
          <w:tcPr>
            <w:tcW w:w="851"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car drivers</w:t>
            </w:r>
          </w:p>
        </w:tc>
        <w:tc>
          <w:tcPr>
            <w:tcW w:w="1701"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only 27% of car drivers wear seat belts</w:t>
            </w:r>
          </w:p>
        </w:tc>
      </w:tr>
    </w:tbl>
    <w:p w:rsidR="00E27D83" w:rsidRPr="007E2CCC" w:rsidRDefault="00E27D83" w:rsidP="00E27D83">
      <w:pPr>
        <w:spacing w:after="120" w:line="240" w:lineRule="auto"/>
        <w:rPr>
          <w:lang w:val="et-EE"/>
        </w:rPr>
      </w:pPr>
    </w:p>
    <w:p w:rsidR="00E27D83" w:rsidRPr="007E2CCC" w:rsidRDefault="00E27D83" w:rsidP="009B6778">
      <w:pPr>
        <w:pStyle w:val="Heading3"/>
        <w:rPr>
          <w:color w:val="auto"/>
          <w:lang w:bidi="en-US"/>
        </w:rPr>
      </w:pPr>
      <w:bookmarkStart w:id="17" w:name="_Toc404917314"/>
      <w:r w:rsidRPr="007E2CCC">
        <w:rPr>
          <w:color w:val="auto"/>
          <w:lang w:bidi="en-US"/>
        </w:rPr>
        <w:t xml:space="preserve">3.3. Motorcycle helmet use, </w:t>
      </w:r>
      <w:bookmarkEnd w:id="17"/>
      <w:r w:rsidR="0077222F" w:rsidRPr="007E2CCC">
        <w:rPr>
          <w:color w:val="auto"/>
          <w:lang w:bidi="en-US"/>
        </w:rPr>
        <w:t>Sub-Saharan Africa</w:t>
      </w:r>
    </w:p>
    <w:p w:rsidR="00E27D83" w:rsidRPr="007E2CCC" w:rsidRDefault="00E27D83" w:rsidP="00E27D83">
      <w:pPr>
        <w:spacing w:after="120" w:line="240" w:lineRule="auto"/>
        <w:rPr>
          <w:lang w:val="et-EE"/>
        </w:rPr>
      </w:pPr>
      <w:r w:rsidRPr="007E2CCC">
        <w:rPr>
          <w:lang w:val="et-EE"/>
        </w:rPr>
        <w:t xml:space="preserve">WHO factsheet on African Region provides numbers for motorcycle helmet wearing rates for Congo, South Africa, Seychelles, Botswana. Data from other sources: some motorcycle helmet use statistics were available for Kenya (Table 10). </w:t>
      </w:r>
    </w:p>
    <w:p w:rsidR="00E27D83" w:rsidRPr="007E2CCC" w:rsidRDefault="00E27D83" w:rsidP="00E27D83">
      <w:pPr>
        <w:spacing w:after="120" w:line="240" w:lineRule="auto"/>
        <w:rPr>
          <w:lang w:val="et-EE"/>
        </w:rPr>
      </w:pPr>
    </w:p>
    <w:p w:rsidR="00E27D83" w:rsidRPr="007E2CCC" w:rsidRDefault="00E27D83" w:rsidP="00E27D83">
      <w:pPr>
        <w:spacing w:after="120" w:line="240" w:lineRule="auto"/>
        <w:rPr>
          <w:lang w:val="et-EE"/>
        </w:rPr>
      </w:pPr>
      <w:r w:rsidRPr="007E2CCC">
        <w:rPr>
          <w:b/>
          <w:lang w:val="et-EE"/>
        </w:rPr>
        <w:t>Table 10.</w:t>
      </w:r>
      <w:r w:rsidRPr="007E2CCC">
        <w:rPr>
          <w:lang w:val="et-EE"/>
        </w:rPr>
        <w:t xml:space="preserve"> Data on motorcycle helmet use in </w:t>
      </w:r>
      <w:r w:rsidR="0077222F" w:rsidRPr="007E2CCC">
        <w:rPr>
          <w:lang w:val="et-EE"/>
        </w:rPr>
        <w:t>Sub-Saharan Africa</w:t>
      </w:r>
    </w:p>
    <w:tbl>
      <w:tblPr>
        <w:tblW w:w="10365" w:type="dxa"/>
        <w:tblInd w:w="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
      <w:tblGrid>
        <w:gridCol w:w="2852"/>
        <w:gridCol w:w="851"/>
        <w:gridCol w:w="1134"/>
        <w:gridCol w:w="1134"/>
        <w:gridCol w:w="850"/>
        <w:gridCol w:w="993"/>
        <w:gridCol w:w="850"/>
        <w:gridCol w:w="1701"/>
      </w:tblGrid>
      <w:tr w:rsidR="007E2CCC" w:rsidRPr="007E2CCC" w:rsidTr="0077222F">
        <w:trPr>
          <w:trHeight w:val="855"/>
        </w:trPr>
        <w:tc>
          <w:tcPr>
            <w:tcW w:w="2852" w:type="dxa"/>
            <w:shd w:val="clear" w:color="000000" w:fill="D8D8D8"/>
            <w:vAlign w:val="center"/>
            <w:hideMark/>
          </w:tcPr>
          <w:p w:rsidR="00E27D83" w:rsidRPr="007E2CCC" w:rsidRDefault="00E27D83" w:rsidP="00E27D83">
            <w:pPr>
              <w:spacing w:after="0" w:line="240" w:lineRule="auto"/>
              <w:rPr>
                <w:rFonts w:ascii="Arial" w:eastAsia="Times New Roman" w:hAnsi="Arial" w:cs="Arial"/>
                <w:b/>
                <w:bCs/>
                <w:sz w:val="16"/>
                <w:szCs w:val="16"/>
                <w:lang w:val="et-EE" w:eastAsia="et-EE"/>
              </w:rPr>
            </w:pPr>
            <w:r w:rsidRPr="007E2CCC">
              <w:rPr>
                <w:rFonts w:ascii="Arial" w:eastAsia="Times New Roman" w:hAnsi="Arial" w:cs="Arial"/>
                <w:b/>
                <w:bCs/>
                <w:sz w:val="16"/>
                <w:szCs w:val="16"/>
                <w:lang w:val="et-EE" w:eastAsia="et-EE"/>
              </w:rPr>
              <w:t>Reference</w:t>
            </w:r>
          </w:p>
        </w:tc>
        <w:tc>
          <w:tcPr>
            <w:tcW w:w="851" w:type="dxa"/>
            <w:shd w:val="clear" w:color="000000" w:fill="D8D8D8"/>
            <w:vAlign w:val="center"/>
            <w:hideMark/>
          </w:tcPr>
          <w:p w:rsidR="00E27D83" w:rsidRPr="007E2CCC" w:rsidRDefault="00E27D83" w:rsidP="00E27D83">
            <w:pPr>
              <w:spacing w:after="0" w:line="240" w:lineRule="auto"/>
              <w:rPr>
                <w:rFonts w:ascii="Arial" w:eastAsia="Times New Roman" w:hAnsi="Arial" w:cs="Arial"/>
                <w:b/>
                <w:bCs/>
                <w:sz w:val="16"/>
                <w:szCs w:val="16"/>
                <w:lang w:val="et-EE" w:eastAsia="et-EE"/>
              </w:rPr>
            </w:pPr>
            <w:r w:rsidRPr="007E2CCC">
              <w:rPr>
                <w:rFonts w:ascii="Arial" w:eastAsia="Times New Roman" w:hAnsi="Arial" w:cs="Arial"/>
                <w:b/>
                <w:bCs/>
                <w:sz w:val="16"/>
                <w:szCs w:val="16"/>
                <w:lang w:val="et-EE" w:eastAsia="et-EE"/>
              </w:rPr>
              <w:t>Country</w:t>
            </w:r>
          </w:p>
        </w:tc>
        <w:tc>
          <w:tcPr>
            <w:tcW w:w="1134" w:type="dxa"/>
            <w:shd w:val="clear" w:color="000000" w:fill="D8D8D8"/>
            <w:vAlign w:val="center"/>
            <w:hideMark/>
          </w:tcPr>
          <w:p w:rsidR="00E27D83" w:rsidRPr="007E2CCC" w:rsidRDefault="00E27D83" w:rsidP="00E27D83">
            <w:pPr>
              <w:spacing w:after="0" w:line="240" w:lineRule="auto"/>
              <w:rPr>
                <w:rFonts w:ascii="Arial" w:eastAsia="Times New Roman" w:hAnsi="Arial" w:cs="Arial"/>
                <w:b/>
                <w:bCs/>
                <w:sz w:val="16"/>
                <w:szCs w:val="16"/>
                <w:lang w:val="et-EE" w:eastAsia="et-EE"/>
              </w:rPr>
            </w:pPr>
            <w:r w:rsidRPr="007E2CCC">
              <w:rPr>
                <w:rFonts w:ascii="Arial" w:eastAsia="Times New Roman" w:hAnsi="Arial" w:cs="Arial"/>
                <w:b/>
                <w:bCs/>
                <w:sz w:val="16"/>
                <w:szCs w:val="16"/>
                <w:lang w:val="et-EE" w:eastAsia="et-EE"/>
              </w:rPr>
              <w:t>Region</w:t>
            </w:r>
          </w:p>
        </w:tc>
        <w:tc>
          <w:tcPr>
            <w:tcW w:w="1134" w:type="dxa"/>
            <w:shd w:val="clear" w:color="000000" w:fill="D8D8D8"/>
            <w:vAlign w:val="center"/>
            <w:hideMark/>
          </w:tcPr>
          <w:p w:rsidR="00E27D83" w:rsidRPr="007E2CCC" w:rsidRDefault="00E27D83" w:rsidP="00E27D83">
            <w:pPr>
              <w:spacing w:after="0" w:line="240" w:lineRule="auto"/>
              <w:rPr>
                <w:rFonts w:ascii="Arial" w:eastAsia="Times New Roman" w:hAnsi="Arial" w:cs="Arial"/>
                <w:b/>
                <w:bCs/>
                <w:sz w:val="16"/>
                <w:szCs w:val="16"/>
                <w:lang w:val="et-EE" w:eastAsia="et-EE"/>
              </w:rPr>
            </w:pPr>
            <w:r w:rsidRPr="007E2CCC">
              <w:rPr>
                <w:rFonts w:ascii="Arial" w:eastAsia="Times New Roman" w:hAnsi="Arial" w:cs="Arial"/>
                <w:b/>
                <w:bCs/>
                <w:sz w:val="16"/>
                <w:szCs w:val="16"/>
                <w:lang w:val="et-EE" w:eastAsia="et-EE"/>
              </w:rPr>
              <w:t>Type of data</w:t>
            </w:r>
          </w:p>
        </w:tc>
        <w:tc>
          <w:tcPr>
            <w:tcW w:w="850" w:type="dxa"/>
            <w:shd w:val="clear" w:color="000000" w:fill="D8D8D8"/>
            <w:vAlign w:val="center"/>
            <w:hideMark/>
          </w:tcPr>
          <w:p w:rsidR="00E27D83" w:rsidRPr="007E2CCC" w:rsidRDefault="00E27D83" w:rsidP="00E27D83">
            <w:pPr>
              <w:spacing w:after="0" w:line="240" w:lineRule="auto"/>
              <w:rPr>
                <w:rFonts w:ascii="Arial" w:eastAsia="Times New Roman" w:hAnsi="Arial" w:cs="Arial"/>
                <w:b/>
                <w:bCs/>
                <w:sz w:val="16"/>
                <w:szCs w:val="16"/>
                <w:lang w:val="et-EE" w:eastAsia="et-EE"/>
              </w:rPr>
            </w:pPr>
            <w:r w:rsidRPr="007E2CCC">
              <w:rPr>
                <w:rFonts w:ascii="Arial" w:eastAsia="Times New Roman" w:hAnsi="Arial" w:cs="Arial"/>
                <w:b/>
                <w:bCs/>
                <w:sz w:val="16"/>
                <w:szCs w:val="16"/>
                <w:lang w:val="et-EE" w:eastAsia="et-EE"/>
              </w:rPr>
              <w:t>Data period</w:t>
            </w:r>
          </w:p>
        </w:tc>
        <w:tc>
          <w:tcPr>
            <w:tcW w:w="993" w:type="dxa"/>
            <w:shd w:val="clear" w:color="000000" w:fill="D8D8D8"/>
            <w:vAlign w:val="center"/>
            <w:hideMark/>
          </w:tcPr>
          <w:p w:rsidR="00E27D83" w:rsidRPr="007E2CCC" w:rsidRDefault="00E27D83" w:rsidP="00E27D83">
            <w:pPr>
              <w:spacing w:after="0" w:line="240" w:lineRule="auto"/>
              <w:rPr>
                <w:rFonts w:ascii="Arial" w:eastAsia="Times New Roman" w:hAnsi="Arial" w:cs="Arial"/>
                <w:b/>
                <w:bCs/>
                <w:sz w:val="16"/>
                <w:szCs w:val="16"/>
                <w:lang w:val="et-EE" w:eastAsia="et-EE"/>
              </w:rPr>
            </w:pPr>
            <w:r w:rsidRPr="007E2CCC">
              <w:rPr>
                <w:rFonts w:ascii="Arial" w:eastAsia="Times New Roman" w:hAnsi="Arial" w:cs="Arial"/>
                <w:b/>
                <w:bCs/>
                <w:sz w:val="16"/>
                <w:szCs w:val="16"/>
                <w:lang w:val="et-EE" w:eastAsia="et-EE"/>
              </w:rPr>
              <w:t>n</w:t>
            </w:r>
          </w:p>
        </w:tc>
        <w:tc>
          <w:tcPr>
            <w:tcW w:w="850" w:type="dxa"/>
            <w:shd w:val="clear" w:color="000000" w:fill="D8D8D8"/>
            <w:vAlign w:val="center"/>
            <w:hideMark/>
          </w:tcPr>
          <w:p w:rsidR="00E27D83" w:rsidRPr="007E2CCC" w:rsidRDefault="00E27D83" w:rsidP="00E27D83">
            <w:pPr>
              <w:spacing w:after="0" w:line="240" w:lineRule="auto"/>
              <w:rPr>
                <w:rFonts w:ascii="Arial" w:eastAsia="Times New Roman" w:hAnsi="Arial" w:cs="Arial"/>
                <w:b/>
                <w:bCs/>
                <w:sz w:val="16"/>
                <w:szCs w:val="16"/>
                <w:lang w:val="et-EE" w:eastAsia="et-EE"/>
              </w:rPr>
            </w:pPr>
            <w:r w:rsidRPr="007E2CCC">
              <w:rPr>
                <w:rFonts w:ascii="Arial" w:eastAsia="Times New Roman" w:hAnsi="Arial" w:cs="Arial"/>
                <w:b/>
                <w:bCs/>
                <w:sz w:val="16"/>
                <w:szCs w:val="16"/>
                <w:lang w:val="et-EE" w:eastAsia="et-EE"/>
              </w:rPr>
              <w:t>Road user groups reported</w:t>
            </w:r>
          </w:p>
        </w:tc>
        <w:tc>
          <w:tcPr>
            <w:tcW w:w="1701" w:type="dxa"/>
            <w:shd w:val="clear" w:color="000000" w:fill="D8D8D8"/>
            <w:vAlign w:val="center"/>
            <w:hideMark/>
          </w:tcPr>
          <w:p w:rsidR="00E27D83" w:rsidRPr="007E2CCC" w:rsidRDefault="00E27D83" w:rsidP="00E27D83">
            <w:pPr>
              <w:spacing w:after="0" w:line="240" w:lineRule="auto"/>
              <w:rPr>
                <w:rFonts w:ascii="Arial" w:eastAsia="Times New Roman" w:hAnsi="Arial" w:cs="Arial"/>
                <w:b/>
                <w:bCs/>
                <w:sz w:val="16"/>
                <w:szCs w:val="16"/>
                <w:lang w:val="et-EE" w:eastAsia="et-EE"/>
              </w:rPr>
            </w:pPr>
            <w:r w:rsidRPr="007E2CCC">
              <w:rPr>
                <w:rFonts w:ascii="Arial" w:eastAsia="Times New Roman" w:hAnsi="Arial" w:cs="Arial"/>
                <w:b/>
                <w:bCs/>
                <w:sz w:val="16"/>
                <w:szCs w:val="16"/>
                <w:lang w:val="et-EE" w:eastAsia="et-EE"/>
              </w:rPr>
              <w:t>Findings</w:t>
            </w:r>
          </w:p>
        </w:tc>
      </w:tr>
      <w:tr w:rsidR="007E2CCC" w:rsidRPr="007E2CCC" w:rsidTr="0077222F">
        <w:trPr>
          <w:trHeight w:val="765"/>
        </w:trPr>
        <w:tc>
          <w:tcPr>
            <w:tcW w:w="2852"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ROAD SAFETY IN THE WHO AFRICAN REGION. THE FACTS 2013 (WHO factsheet)</w:t>
            </w:r>
          </w:p>
        </w:tc>
        <w:tc>
          <w:tcPr>
            <w:tcW w:w="851"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w:t>
            </w:r>
          </w:p>
        </w:tc>
        <w:tc>
          <w:tcPr>
            <w:tcW w:w="1134"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w:t>
            </w:r>
          </w:p>
        </w:tc>
        <w:tc>
          <w:tcPr>
            <w:tcW w:w="1134"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official statistics</w:t>
            </w:r>
          </w:p>
        </w:tc>
        <w:tc>
          <w:tcPr>
            <w:tcW w:w="850"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2013?</w:t>
            </w:r>
          </w:p>
        </w:tc>
        <w:tc>
          <w:tcPr>
            <w:tcW w:w="993"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n/a</w:t>
            </w:r>
          </w:p>
        </w:tc>
        <w:tc>
          <w:tcPr>
            <w:tcW w:w="850"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motorcyclists</w:t>
            </w:r>
          </w:p>
        </w:tc>
        <w:tc>
          <w:tcPr>
            <w:tcW w:w="1701"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motorcycle helmet wearing rates for: 3% in Congo to 95% in both South Africa and Seychelles, and 100% in Botswana.</w:t>
            </w:r>
          </w:p>
        </w:tc>
      </w:tr>
      <w:tr w:rsidR="00E27D83" w:rsidRPr="007E2CCC" w:rsidTr="0077222F">
        <w:trPr>
          <w:trHeight w:val="1260"/>
        </w:trPr>
        <w:tc>
          <w:tcPr>
            <w:tcW w:w="2852"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 xml:space="preserve">Bachani, A. M., Koradia, P., Herbert, H. K., Mogere, S., Akungah, D., Nyamari, J., Osoro, E., Maina, W., &amp; Stevens, K. A. (2012) Road Traffic Injuries in Kenya: The Health Burden and Risk Factors in Two Districts, </w:t>
            </w:r>
            <w:r w:rsidRPr="007E2CCC">
              <w:rPr>
                <w:rFonts w:ascii="Arial" w:eastAsia="Times New Roman" w:hAnsi="Arial" w:cs="Arial"/>
                <w:i/>
                <w:iCs/>
                <w:sz w:val="16"/>
                <w:szCs w:val="16"/>
                <w:lang w:val="et-EE" w:eastAsia="et-EE"/>
              </w:rPr>
              <w:t>Traffic Injury Prevention, 13</w:t>
            </w:r>
            <w:r w:rsidRPr="007E2CCC">
              <w:rPr>
                <w:rFonts w:ascii="Arial" w:eastAsia="Times New Roman" w:hAnsi="Arial" w:cs="Arial"/>
                <w:sz w:val="16"/>
                <w:szCs w:val="16"/>
                <w:lang w:val="et-EE" w:eastAsia="et-EE"/>
              </w:rPr>
              <w:t>(sup1), 24-30.</w:t>
            </w:r>
          </w:p>
        </w:tc>
        <w:tc>
          <w:tcPr>
            <w:tcW w:w="851"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Kenya</w:t>
            </w:r>
          </w:p>
        </w:tc>
        <w:tc>
          <w:tcPr>
            <w:tcW w:w="1134"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Thika, Naivasha</w:t>
            </w:r>
          </w:p>
        </w:tc>
        <w:tc>
          <w:tcPr>
            <w:tcW w:w="1134"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surveillance data</w:t>
            </w:r>
          </w:p>
        </w:tc>
        <w:tc>
          <w:tcPr>
            <w:tcW w:w="850" w:type="dxa"/>
            <w:shd w:val="clear" w:color="auto" w:fill="auto"/>
            <w:vAlign w:val="center"/>
            <w:hideMark/>
          </w:tcPr>
          <w:p w:rsidR="00E27D83" w:rsidRPr="007E2CCC" w:rsidRDefault="00E27D83" w:rsidP="00E27D83">
            <w:pPr>
              <w:spacing w:after="0" w:line="240" w:lineRule="auto"/>
              <w:jc w:val="right"/>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2010</w:t>
            </w:r>
          </w:p>
        </w:tc>
        <w:tc>
          <w:tcPr>
            <w:tcW w:w="993"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3075 (Thika), 3143 (Naivasha)</w:t>
            </w:r>
          </w:p>
        </w:tc>
        <w:tc>
          <w:tcPr>
            <w:tcW w:w="850"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motorcyclists</w:t>
            </w:r>
          </w:p>
        </w:tc>
        <w:tc>
          <w:tcPr>
            <w:tcW w:w="1701"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 xml:space="preserve">Thika: 30,37% of drivers, 4,06% of passengers / Naivasha 21,29% of drivers, 2,61% of passengers </w:t>
            </w:r>
          </w:p>
        </w:tc>
      </w:tr>
    </w:tbl>
    <w:p w:rsidR="00E27D83" w:rsidRPr="007E2CCC" w:rsidRDefault="00E27D83" w:rsidP="00E27D83">
      <w:pPr>
        <w:spacing w:after="120" w:line="240" w:lineRule="auto"/>
        <w:rPr>
          <w:lang w:val="et-EE"/>
        </w:rPr>
      </w:pPr>
    </w:p>
    <w:p w:rsidR="00E27D83" w:rsidRPr="007E2CCC" w:rsidRDefault="00E27D83" w:rsidP="009B6778">
      <w:pPr>
        <w:pStyle w:val="Heading3"/>
        <w:rPr>
          <w:color w:val="auto"/>
          <w:lang w:bidi="en-US"/>
        </w:rPr>
      </w:pPr>
      <w:bookmarkStart w:id="18" w:name="_Toc404917315"/>
      <w:r w:rsidRPr="007E2CCC">
        <w:rPr>
          <w:color w:val="auto"/>
          <w:lang w:bidi="en-US"/>
        </w:rPr>
        <w:lastRenderedPageBreak/>
        <w:t xml:space="preserve">3.4. Motorcycle helmet use, </w:t>
      </w:r>
      <w:bookmarkEnd w:id="18"/>
      <w:r w:rsidR="0077222F" w:rsidRPr="007E2CCC">
        <w:rPr>
          <w:color w:val="auto"/>
          <w:lang w:bidi="en-US"/>
        </w:rPr>
        <w:t>South-East Asia</w:t>
      </w:r>
    </w:p>
    <w:p w:rsidR="00E27D83" w:rsidRPr="007E2CCC" w:rsidRDefault="00E27D83" w:rsidP="00E27D83">
      <w:pPr>
        <w:spacing w:after="120" w:line="240" w:lineRule="auto"/>
        <w:rPr>
          <w:lang w:val="et-EE"/>
        </w:rPr>
      </w:pPr>
      <w:r w:rsidRPr="007E2CCC">
        <w:rPr>
          <w:lang w:val="et-EE"/>
        </w:rPr>
        <w:t xml:space="preserve">Motorcycle helmet use in </w:t>
      </w:r>
      <w:r w:rsidR="0077222F" w:rsidRPr="007E2CCC">
        <w:rPr>
          <w:lang w:val="et-EE"/>
        </w:rPr>
        <w:t xml:space="preserve">South-East Asia </w:t>
      </w:r>
      <w:r w:rsidRPr="007E2CCC">
        <w:rPr>
          <w:lang w:val="et-EE"/>
        </w:rPr>
        <w:t xml:space="preserve">is better documented in Vietnam, where after compulsory helmet use legislation and enforcement in 2007 helmet wearing rates increased from 27% to 99% in drivers; and 21% to 99% in passengers. For India we have two self-reported estimates from surveys, the more clear one marks motorcycle helmet use at 64% in India (Table 11). </w:t>
      </w:r>
    </w:p>
    <w:p w:rsidR="00E27D83" w:rsidRPr="007E2CCC" w:rsidRDefault="00E27D83" w:rsidP="00E27D83">
      <w:pPr>
        <w:spacing w:after="120" w:line="240" w:lineRule="auto"/>
        <w:rPr>
          <w:lang w:val="et-EE"/>
        </w:rPr>
      </w:pPr>
    </w:p>
    <w:p w:rsidR="00E27D83" w:rsidRPr="007E2CCC" w:rsidRDefault="00E27D83" w:rsidP="00E27D83">
      <w:pPr>
        <w:spacing w:after="120" w:line="240" w:lineRule="auto"/>
        <w:rPr>
          <w:lang w:val="et-EE"/>
        </w:rPr>
      </w:pPr>
      <w:r w:rsidRPr="007E2CCC">
        <w:rPr>
          <w:b/>
          <w:lang w:val="et-EE"/>
        </w:rPr>
        <w:t>Table 11.</w:t>
      </w:r>
      <w:r w:rsidRPr="007E2CCC">
        <w:rPr>
          <w:lang w:val="et-EE"/>
        </w:rPr>
        <w:t xml:space="preserve"> Data on motorcycle helmet use in </w:t>
      </w:r>
      <w:r w:rsidR="0077222F" w:rsidRPr="007E2CCC">
        <w:rPr>
          <w:lang w:val="et-EE"/>
        </w:rPr>
        <w:t>South-East Asia</w:t>
      </w:r>
    </w:p>
    <w:tbl>
      <w:tblPr>
        <w:tblW w:w="10365" w:type="dxa"/>
        <w:tblInd w:w="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000000" w:fill="auto"/>
        <w:tblLayout w:type="fixed"/>
        <w:tblCellMar>
          <w:left w:w="70" w:type="dxa"/>
          <w:right w:w="70" w:type="dxa"/>
        </w:tblCellMar>
        <w:tblLook w:val="04A0"/>
      </w:tblPr>
      <w:tblGrid>
        <w:gridCol w:w="2852"/>
        <w:gridCol w:w="851"/>
        <w:gridCol w:w="1134"/>
        <w:gridCol w:w="1134"/>
        <w:gridCol w:w="850"/>
        <w:gridCol w:w="851"/>
        <w:gridCol w:w="992"/>
        <w:gridCol w:w="1701"/>
      </w:tblGrid>
      <w:tr w:rsidR="007E2CCC" w:rsidRPr="007E2CCC" w:rsidTr="0077222F">
        <w:trPr>
          <w:trHeight w:val="855"/>
        </w:trPr>
        <w:tc>
          <w:tcPr>
            <w:tcW w:w="2852" w:type="dxa"/>
            <w:shd w:val="clear" w:color="000000" w:fill="D9D9D9" w:themeFill="background1" w:themeFillShade="D9"/>
            <w:vAlign w:val="center"/>
            <w:hideMark/>
          </w:tcPr>
          <w:p w:rsidR="00E27D83" w:rsidRPr="007E2CCC" w:rsidRDefault="00E27D83" w:rsidP="00E27D83">
            <w:pPr>
              <w:spacing w:after="0" w:line="240" w:lineRule="auto"/>
              <w:rPr>
                <w:rFonts w:ascii="Arial" w:eastAsia="Times New Roman" w:hAnsi="Arial" w:cs="Arial"/>
                <w:b/>
                <w:bCs/>
                <w:sz w:val="16"/>
                <w:szCs w:val="16"/>
                <w:lang w:val="et-EE" w:eastAsia="et-EE"/>
              </w:rPr>
            </w:pPr>
            <w:r w:rsidRPr="007E2CCC">
              <w:rPr>
                <w:rFonts w:ascii="Arial" w:eastAsia="Times New Roman" w:hAnsi="Arial" w:cs="Arial"/>
                <w:b/>
                <w:bCs/>
                <w:sz w:val="16"/>
                <w:szCs w:val="16"/>
                <w:lang w:val="et-EE" w:eastAsia="et-EE"/>
              </w:rPr>
              <w:t>Reference</w:t>
            </w:r>
          </w:p>
        </w:tc>
        <w:tc>
          <w:tcPr>
            <w:tcW w:w="851" w:type="dxa"/>
            <w:shd w:val="clear" w:color="000000" w:fill="D9D9D9" w:themeFill="background1" w:themeFillShade="D9"/>
            <w:vAlign w:val="center"/>
            <w:hideMark/>
          </w:tcPr>
          <w:p w:rsidR="00E27D83" w:rsidRPr="007E2CCC" w:rsidRDefault="00E27D83" w:rsidP="00E27D83">
            <w:pPr>
              <w:spacing w:after="0" w:line="240" w:lineRule="auto"/>
              <w:rPr>
                <w:rFonts w:ascii="Arial" w:eastAsia="Times New Roman" w:hAnsi="Arial" w:cs="Arial"/>
                <w:b/>
                <w:bCs/>
                <w:sz w:val="16"/>
                <w:szCs w:val="16"/>
                <w:lang w:val="et-EE" w:eastAsia="et-EE"/>
              </w:rPr>
            </w:pPr>
            <w:r w:rsidRPr="007E2CCC">
              <w:rPr>
                <w:rFonts w:ascii="Arial" w:eastAsia="Times New Roman" w:hAnsi="Arial" w:cs="Arial"/>
                <w:b/>
                <w:bCs/>
                <w:sz w:val="16"/>
                <w:szCs w:val="16"/>
                <w:lang w:val="et-EE" w:eastAsia="et-EE"/>
              </w:rPr>
              <w:t>Country</w:t>
            </w:r>
          </w:p>
        </w:tc>
        <w:tc>
          <w:tcPr>
            <w:tcW w:w="1134" w:type="dxa"/>
            <w:shd w:val="clear" w:color="000000" w:fill="D9D9D9" w:themeFill="background1" w:themeFillShade="D9"/>
            <w:vAlign w:val="center"/>
            <w:hideMark/>
          </w:tcPr>
          <w:p w:rsidR="00E27D83" w:rsidRPr="007E2CCC" w:rsidRDefault="00E27D83" w:rsidP="00E27D83">
            <w:pPr>
              <w:spacing w:after="0" w:line="240" w:lineRule="auto"/>
              <w:rPr>
                <w:rFonts w:ascii="Arial" w:eastAsia="Times New Roman" w:hAnsi="Arial" w:cs="Arial"/>
                <w:b/>
                <w:bCs/>
                <w:sz w:val="16"/>
                <w:szCs w:val="16"/>
                <w:lang w:val="et-EE" w:eastAsia="et-EE"/>
              </w:rPr>
            </w:pPr>
            <w:r w:rsidRPr="007E2CCC">
              <w:rPr>
                <w:rFonts w:ascii="Arial" w:eastAsia="Times New Roman" w:hAnsi="Arial" w:cs="Arial"/>
                <w:b/>
                <w:bCs/>
                <w:sz w:val="16"/>
                <w:szCs w:val="16"/>
                <w:lang w:val="et-EE" w:eastAsia="et-EE"/>
              </w:rPr>
              <w:t>Region</w:t>
            </w:r>
          </w:p>
        </w:tc>
        <w:tc>
          <w:tcPr>
            <w:tcW w:w="1134" w:type="dxa"/>
            <w:shd w:val="clear" w:color="000000" w:fill="D9D9D9" w:themeFill="background1" w:themeFillShade="D9"/>
            <w:vAlign w:val="center"/>
            <w:hideMark/>
          </w:tcPr>
          <w:p w:rsidR="00E27D83" w:rsidRPr="007E2CCC" w:rsidRDefault="00E27D83" w:rsidP="00E27D83">
            <w:pPr>
              <w:spacing w:after="0" w:line="240" w:lineRule="auto"/>
              <w:rPr>
                <w:rFonts w:ascii="Arial" w:eastAsia="Times New Roman" w:hAnsi="Arial" w:cs="Arial"/>
                <w:b/>
                <w:bCs/>
                <w:sz w:val="16"/>
                <w:szCs w:val="16"/>
                <w:lang w:val="et-EE" w:eastAsia="et-EE"/>
              </w:rPr>
            </w:pPr>
            <w:r w:rsidRPr="007E2CCC">
              <w:rPr>
                <w:rFonts w:ascii="Arial" w:eastAsia="Times New Roman" w:hAnsi="Arial" w:cs="Arial"/>
                <w:b/>
                <w:bCs/>
                <w:sz w:val="16"/>
                <w:szCs w:val="16"/>
                <w:lang w:val="et-EE" w:eastAsia="et-EE"/>
              </w:rPr>
              <w:t>Type of data</w:t>
            </w:r>
          </w:p>
        </w:tc>
        <w:tc>
          <w:tcPr>
            <w:tcW w:w="850" w:type="dxa"/>
            <w:shd w:val="clear" w:color="000000" w:fill="D9D9D9" w:themeFill="background1" w:themeFillShade="D9"/>
            <w:vAlign w:val="center"/>
            <w:hideMark/>
          </w:tcPr>
          <w:p w:rsidR="00E27D83" w:rsidRPr="007E2CCC" w:rsidRDefault="00E27D83" w:rsidP="00E27D83">
            <w:pPr>
              <w:spacing w:after="0" w:line="240" w:lineRule="auto"/>
              <w:rPr>
                <w:rFonts w:ascii="Arial" w:eastAsia="Times New Roman" w:hAnsi="Arial" w:cs="Arial"/>
                <w:b/>
                <w:bCs/>
                <w:sz w:val="16"/>
                <w:szCs w:val="16"/>
                <w:lang w:val="et-EE" w:eastAsia="et-EE"/>
              </w:rPr>
            </w:pPr>
            <w:r w:rsidRPr="007E2CCC">
              <w:rPr>
                <w:rFonts w:ascii="Arial" w:eastAsia="Times New Roman" w:hAnsi="Arial" w:cs="Arial"/>
                <w:b/>
                <w:bCs/>
                <w:sz w:val="16"/>
                <w:szCs w:val="16"/>
                <w:lang w:val="et-EE" w:eastAsia="et-EE"/>
              </w:rPr>
              <w:t>Data period</w:t>
            </w:r>
          </w:p>
        </w:tc>
        <w:tc>
          <w:tcPr>
            <w:tcW w:w="851" w:type="dxa"/>
            <w:shd w:val="clear" w:color="000000" w:fill="D9D9D9" w:themeFill="background1" w:themeFillShade="D9"/>
            <w:vAlign w:val="center"/>
            <w:hideMark/>
          </w:tcPr>
          <w:p w:rsidR="00E27D83" w:rsidRPr="007E2CCC" w:rsidRDefault="00E27D83" w:rsidP="00E27D83">
            <w:pPr>
              <w:spacing w:after="0" w:line="240" w:lineRule="auto"/>
              <w:rPr>
                <w:rFonts w:ascii="Arial" w:eastAsia="Times New Roman" w:hAnsi="Arial" w:cs="Arial"/>
                <w:b/>
                <w:bCs/>
                <w:sz w:val="16"/>
                <w:szCs w:val="16"/>
                <w:lang w:val="et-EE" w:eastAsia="et-EE"/>
              </w:rPr>
            </w:pPr>
            <w:r w:rsidRPr="007E2CCC">
              <w:rPr>
                <w:rFonts w:ascii="Arial" w:eastAsia="Times New Roman" w:hAnsi="Arial" w:cs="Arial"/>
                <w:b/>
                <w:bCs/>
                <w:sz w:val="16"/>
                <w:szCs w:val="16"/>
                <w:lang w:val="et-EE" w:eastAsia="et-EE"/>
              </w:rPr>
              <w:t>n</w:t>
            </w:r>
          </w:p>
        </w:tc>
        <w:tc>
          <w:tcPr>
            <w:tcW w:w="992" w:type="dxa"/>
            <w:shd w:val="clear" w:color="000000" w:fill="D9D9D9" w:themeFill="background1" w:themeFillShade="D9"/>
            <w:vAlign w:val="center"/>
            <w:hideMark/>
          </w:tcPr>
          <w:p w:rsidR="00E27D83" w:rsidRPr="007E2CCC" w:rsidRDefault="00E27D83" w:rsidP="00E27D83">
            <w:pPr>
              <w:spacing w:after="0" w:line="240" w:lineRule="auto"/>
              <w:rPr>
                <w:rFonts w:ascii="Arial" w:eastAsia="Times New Roman" w:hAnsi="Arial" w:cs="Arial"/>
                <w:b/>
                <w:bCs/>
                <w:sz w:val="16"/>
                <w:szCs w:val="16"/>
                <w:lang w:val="et-EE" w:eastAsia="et-EE"/>
              </w:rPr>
            </w:pPr>
            <w:r w:rsidRPr="007E2CCC">
              <w:rPr>
                <w:rFonts w:ascii="Arial" w:eastAsia="Times New Roman" w:hAnsi="Arial" w:cs="Arial"/>
                <w:b/>
                <w:bCs/>
                <w:sz w:val="16"/>
                <w:szCs w:val="16"/>
                <w:lang w:val="et-EE" w:eastAsia="et-EE"/>
              </w:rPr>
              <w:t>Road user groups reported</w:t>
            </w:r>
          </w:p>
        </w:tc>
        <w:tc>
          <w:tcPr>
            <w:tcW w:w="1701" w:type="dxa"/>
            <w:shd w:val="clear" w:color="000000" w:fill="D9D9D9" w:themeFill="background1" w:themeFillShade="D9"/>
            <w:vAlign w:val="center"/>
            <w:hideMark/>
          </w:tcPr>
          <w:p w:rsidR="00E27D83" w:rsidRPr="007E2CCC" w:rsidRDefault="00E27D83" w:rsidP="00E27D83">
            <w:pPr>
              <w:spacing w:after="0" w:line="240" w:lineRule="auto"/>
              <w:rPr>
                <w:rFonts w:ascii="Arial" w:eastAsia="Times New Roman" w:hAnsi="Arial" w:cs="Arial"/>
                <w:b/>
                <w:bCs/>
                <w:sz w:val="16"/>
                <w:szCs w:val="16"/>
                <w:lang w:val="et-EE" w:eastAsia="et-EE"/>
              </w:rPr>
            </w:pPr>
            <w:r w:rsidRPr="007E2CCC">
              <w:rPr>
                <w:rFonts w:ascii="Arial" w:eastAsia="Times New Roman" w:hAnsi="Arial" w:cs="Arial"/>
                <w:b/>
                <w:bCs/>
                <w:sz w:val="16"/>
                <w:szCs w:val="16"/>
                <w:lang w:val="et-EE" w:eastAsia="et-EE"/>
              </w:rPr>
              <w:t>Findings</w:t>
            </w:r>
          </w:p>
        </w:tc>
      </w:tr>
      <w:tr w:rsidR="007E2CCC" w:rsidRPr="007E2CCC" w:rsidTr="0077222F">
        <w:trPr>
          <w:trHeight w:val="855"/>
        </w:trPr>
        <w:tc>
          <w:tcPr>
            <w:tcW w:w="2852" w:type="dxa"/>
            <w:shd w:val="clear" w:color="000000" w:fill="auto"/>
            <w:vAlign w:val="center"/>
            <w:hideMark/>
          </w:tcPr>
          <w:p w:rsidR="00E27D83" w:rsidRPr="007E2CCC" w:rsidRDefault="00E27D83" w:rsidP="00E27D83">
            <w:pPr>
              <w:spacing w:after="0" w:line="240" w:lineRule="auto"/>
              <w:rPr>
                <w:rFonts w:ascii="Arial" w:eastAsia="Times New Roman" w:hAnsi="Arial" w:cs="Arial"/>
                <w:bCs/>
                <w:sz w:val="16"/>
                <w:szCs w:val="16"/>
                <w:lang w:val="et-EE" w:eastAsia="et-EE"/>
              </w:rPr>
            </w:pPr>
            <w:r w:rsidRPr="007E2CCC">
              <w:rPr>
                <w:rFonts w:ascii="Arial" w:eastAsia="Times New Roman" w:hAnsi="Arial" w:cs="Arial"/>
                <w:bCs/>
                <w:sz w:val="16"/>
                <w:szCs w:val="16"/>
                <w:lang w:val="et-EE" w:eastAsia="et-EE"/>
              </w:rPr>
              <w:t>Mirkazemi, R., Kar, A. (2009). Injury-related unsafe behavior among households from different socioeconomic strata in Pune city. Indian Journal of Community Medicine 34(4), 301-305.</w:t>
            </w:r>
          </w:p>
        </w:tc>
        <w:tc>
          <w:tcPr>
            <w:tcW w:w="851" w:type="dxa"/>
            <w:shd w:val="clear" w:color="000000" w:fill="auto"/>
            <w:vAlign w:val="center"/>
            <w:hideMark/>
          </w:tcPr>
          <w:p w:rsidR="00E27D83" w:rsidRPr="007E2CCC" w:rsidRDefault="00E27D83" w:rsidP="00E27D83">
            <w:pPr>
              <w:spacing w:after="0" w:line="240" w:lineRule="auto"/>
              <w:rPr>
                <w:rFonts w:ascii="Arial" w:eastAsia="Times New Roman" w:hAnsi="Arial" w:cs="Arial"/>
                <w:bCs/>
                <w:sz w:val="16"/>
                <w:szCs w:val="16"/>
                <w:lang w:val="et-EE" w:eastAsia="et-EE"/>
              </w:rPr>
            </w:pPr>
            <w:r w:rsidRPr="007E2CCC">
              <w:rPr>
                <w:rFonts w:ascii="Arial" w:eastAsia="Times New Roman" w:hAnsi="Arial" w:cs="Arial"/>
                <w:bCs/>
                <w:sz w:val="16"/>
                <w:szCs w:val="16"/>
                <w:lang w:val="et-EE" w:eastAsia="et-EE"/>
              </w:rPr>
              <w:t>India</w:t>
            </w:r>
          </w:p>
        </w:tc>
        <w:tc>
          <w:tcPr>
            <w:tcW w:w="1134" w:type="dxa"/>
            <w:shd w:val="clear" w:color="000000" w:fill="auto"/>
            <w:vAlign w:val="center"/>
            <w:hideMark/>
          </w:tcPr>
          <w:p w:rsidR="00E27D83" w:rsidRPr="007E2CCC" w:rsidRDefault="00E27D83" w:rsidP="00E27D83">
            <w:pPr>
              <w:spacing w:after="0" w:line="240" w:lineRule="auto"/>
              <w:rPr>
                <w:rFonts w:ascii="Arial" w:eastAsia="Times New Roman" w:hAnsi="Arial" w:cs="Arial"/>
                <w:bCs/>
                <w:sz w:val="16"/>
                <w:szCs w:val="16"/>
                <w:lang w:val="et-EE" w:eastAsia="et-EE"/>
              </w:rPr>
            </w:pPr>
            <w:r w:rsidRPr="007E2CCC">
              <w:rPr>
                <w:rFonts w:ascii="Arial" w:eastAsia="Times New Roman" w:hAnsi="Arial" w:cs="Arial"/>
                <w:bCs/>
                <w:sz w:val="16"/>
                <w:szCs w:val="16"/>
                <w:lang w:val="et-EE" w:eastAsia="et-EE"/>
              </w:rPr>
              <w:t>Pune city</w:t>
            </w:r>
          </w:p>
        </w:tc>
        <w:tc>
          <w:tcPr>
            <w:tcW w:w="1134" w:type="dxa"/>
            <w:shd w:val="clear" w:color="000000" w:fill="auto"/>
            <w:vAlign w:val="center"/>
            <w:hideMark/>
          </w:tcPr>
          <w:p w:rsidR="00E27D83" w:rsidRPr="007E2CCC" w:rsidRDefault="00E27D83" w:rsidP="00E27D83">
            <w:pPr>
              <w:spacing w:after="0" w:line="240" w:lineRule="auto"/>
              <w:rPr>
                <w:rFonts w:ascii="Arial" w:eastAsia="Times New Roman" w:hAnsi="Arial" w:cs="Arial"/>
                <w:bCs/>
                <w:sz w:val="16"/>
                <w:szCs w:val="16"/>
                <w:lang w:val="et-EE" w:eastAsia="et-EE"/>
              </w:rPr>
            </w:pPr>
            <w:r w:rsidRPr="007E2CCC">
              <w:rPr>
                <w:rFonts w:ascii="Arial" w:eastAsia="Times New Roman" w:hAnsi="Arial" w:cs="Arial"/>
                <w:bCs/>
                <w:sz w:val="16"/>
                <w:szCs w:val="16"/>
                <w:lang w:val="et-EE" w:eastAsia="et-EE"/>
              </w:rPr>
              <w:t>survey data</w:t>
            </w:r>
          </w:p>
        </w:tc>
        <w:tc>
          <w:tcPr>
            <w:tcW w:w="850" w:type="dxa"/>
            <w:shd w:val="clear" w:color="000000" w:fill="auto"/>
            <w:vAlign w:val="center"/>
            <w:hideMark/>
          </w:tcPr>
          <w:p w:rsidR="00E27D83" w:rsidRPr="007E2CCC" w:rsidRDefault="00E27D83" w:rsidP="00E27D83">
            <w:pPr>
              <w:spacing w:after="0" w:line="240" w:lineRule="auto"/>
              <w:rPr>
                <w:rFonts w:ascii="Arial" w:eastAsia="Times New Roman" w:hAnsi="Arial" w:cs="Arial"/>
                <w:bCs/>
                <w:sz w:val="16"/>
                <w:szCs w:val="16"/>
                <w:lang w:val="et-EE" w:eastAsia="et-EE"/>
              </w:rPr>
            </w:pPr>
            <w:r w:rsidRPr="007E2CCC">
              <w:rPr>
                <w:rFonts w:ascii="Arial" w:eastAsia="Times New Roman" w:hAnsi="Arial" w:cs="Arial"/>
                <w:bCs/>
                <w:sz w:val="16"/>
                <w:szCs w:val="16"/>
                <w:lang w:val="et-EE" w:eastAsia="et-EE"/>
              </w:rPr>
              <w:t>2007-2008</w:t>
            </w:r>
          </w:p>
        </w:tc>
        <w:tc>
          <w:tcPr>
            <w:tcW w:w="851" w:type="dxa"/>
            <w:shd w:val="clear" w:color="000000" w:fill="auto"/>
            <w:vAlign w:val="center"/>
            <w:hideMark/>
          </w:tcPr>
          <w:p w:rsidR="00E27D83" w:rsidRPr="007E2CCC" w:rsidRDefault="00E27D83" w:rsidP="00E27D83">
            <w:pPr>
              <w:spacing w:after="0" w:line="240" w:lineRule="auto"/>
              <w:rPr>
                <w:rFonts w:ascii="Arial" w:eastAsia="Times New Roman" w:hAnsi="Arial" w:cs="Arial"/>
                <w:bCs/>
                <w:sz w:val="16"/>
                <w:szCs w:val="16"/>
                <w:lang w:val="et-EE" w:eastAsia="et-EE"/>
              </w:rPr>
            </w:pPr>
            <w:r w:rsidRPr="007E2CCC">
              <w:rPr>
                <w:rFonts w:ascii="Arial" w:eastAsia="Times New Roman" w:hAnsi="Arial" w:cs="Arial"/>
                <w:bCs/>
                <w:sz w:val="16"/>
                <w:szCs w:val="16"/>
                <w:lang w:val="et-EE" w:eastAsia="et-EE"/>
              </w:rPr>
              <w:t>200 house</w:t>
            </w:r>
            <w:r w:rsidRPr="007E2CCC">
              <w:rPr>
                <w:rFonts w:ascii="Arial" w:eastAsia="Times New Roman" w:hAnsi="Arial" w:cs="Arial"/>
                <w:bCs/>
                <w:sz w:val="16"/>
                <w:szCs w:val="16"/>
                <w:lang w:val="et-EE" w:eastAsia="et-EE"/>
              </w:rPr>
              <w:softHyphen/>
              <w:t>holds</w:t>
            </w:r>
          </w:p>
        </w:tc>
        <w:tc>
          <w:tcPr>
            <w:tcW w:w="992" w:type="dxa"/>
            <w:shd w:val="clear" w:color="000000" w:fill="auto"/>
            <w:vAlign w:val="center"/>
            <w:hideMark/>
          </w:tcPr>
          <w:p w:rsidR="00E27D83" w:rsidRPr="007E2CCC" w:rsidRDefault="00E27D83" w:rsidP="00E27D83">
            <w:pPr>
              <w:spacing w:after="0" w:line="240" w:lineRule="auto"/>
              <w:rPr>
                <w:rFonts w:ascii="Arial" w:eastAsia="Times New Roman" w:hAnsi="Arial" w:cs="Arial"/>
                <w:bCs/>
                <w:sz w:val="16"/>
                <w:szCs w:val="16"/>
                <w:lang w:val="et-EE" w:eastAsia="et-EE"/>
              </w:rPr>
            </w:pPr>
            <w:r w:rsidRPr="007E2CCC">
              <w:rPr>
                <w:rFonts w:ascii="Arial" w:eastAsia="Times New Roman" w:hAnsi="Arial" w:cs="Arial"/>
                <w:bCs/>
                <w:sz w:val="16"/>
                <w:szCs w:val="16"/>
                <w:lang w:val="et-EE" w:eastAsia="et-EE"/>
              </w:rPr>
              <w:t>two-wheeled vehicle riders</w:t>
            </w:r>
          </w:p>
        </w:tc>
        <w:tc>
          <w:tcPr>
            <w:tcW w:w="1701" w:type="dxa"/>
            <w:shd w:val="clear" w:color="000000" w:fill="auto"/>
            <w:vAlign w:val="center"/>
            <w:hideMark/>
          </w:tcPr>
          <w:p w:rsidR="00E27D83" w:rsidRPr="007E2CCC" w:rsidRDefault="00E27D83" w:rsidP="00E27D83">
            <w:pPr>
              <w:spacing w:after="0" w:line="240" w:lineRule="auto"/>
              <w:rPr>
                <w:rFonts w:ascii="Arial" w:eastAsia="Times New Roman" w:hAnsi="Arial" w:cs="Arial"/>
                <w:bCs/>
                <w:sz w:val="16"/>
                <w:szCs w:val="16"/>
                <w:lang w:val="et-EE" w:eastAsia="et-EE"/>
              </w:rPr>
            </w:pPr>
            <w:r w:rsidRPr="007E2CCC">
              <w:rPr>
                <w:rFonts w:ascii="Arial" w:eastAsia="Times New Roman" w:hAnsi="Arial" w:cs="Arial"/>
                <w:bCs/>
                <w:sz w:val="16"/>
                <w:szCs w:val="16"/>
                <w:lang w:val="et-EE" w:eastAsia="et-EE"/>
              </w:rPr>
              <w:t>Two-wheeled vehicle riders: 35,6% did not have a helmet and 57,7% of those who had one, did not use it regularly</w:t>
            </w:r>
          </w:p>
        </w:tc>
      </w:tr>
      <w:tr w:rsidR="007E2CCC" w:rsidRPr="007E2CCC" w:rsidTr="0077222F">
        <w:trPr>
          <w:trHeight w:val="855"/>
        </w:trPr>
        <w:tc>
          <w:tcPr>
            <w:tcW w:w="2852" w:type="dxa"/>
            <w:shd w:val="clear" w:color="000000" w:fill="auto"/>
            <w:vAlign w:val="center"/>
            <w:hideMark/>
          </w:tcPr>
          <w:p w:rsidR="00E27D83" w:rsidRPr="007E2CCC" w:rsidRDefault="00E27D83" w:rsidP="00E27D83">
            <w:pPr>
              <w:spacing w:after="0" w:line="240" w:lineRule="auto"/>
              <w:rPr>
                <w:rFonts w:ascii="Arial" w:eastAsia="Times New Roman" w:hAnsi="Arial" w:cs="Arial"/>
                <w:bCs/>
                <w:sz w:val="16"/>
                <w:szCs w:val="16"/>
                <w:lang w:val="et-EE" w:eastAsia="et-EE"/>
              </w:rPr>
            </w:pPr>
            <w:r w:rsidRPr="007E2CCC">
              <w:rPr>
                <w:rFonts w:ascii="Arial" w:eastAsia="Times New Roman" w:hAnsi="Arial" w:cs="Arial"/>
                <w:bCs/>
                <w:sz w:val="16"/>
                <w:szCs w:val="16"/>
                <w:lang w:val="et-EE" w:eastAsia="et-EE"/>
              </w:rPr>
              <w:t>Gururaj G. (2011). Bangalore road safety and injury prevention program - results and learning 2007-2010. National Institute of Mental Health and Neuro Sciences. Publication No 81</w:t>
            </w:r>
          </w:p>
        </w:tc>
        <w:tc>
          <w:tcPr>
            <w:tcW w:w="851" w:type="dxa"/>
            <w:shd w:val="clear" w:color="000000" w:fill="auto"/>
            <w:vAlign w:val="center"/>
            <w:hideMark/>
          </w:tcPr>
          <w:p w:rsidR="00E27D83" w:rsidRPr="007E2CCC" w:rsidRDefault="00E27D83" w:rsidP="00E27D83">
            <w:pPr>
              <w:spacing w:after="0" w:line="240" w:lineRule="auto"/>
              <w:rPr>
                <w:rFonts w:ascii="Arial" w:eastAsia="Times New Roman" w:hAnsi="Arial" w:cs="Arial"/>
                <w:bCs/>
                <w:sz w:val="16"/>
                <w:szCs w:val="16"/>
                <w:lang w:val="et-EE" w:eastAsia="et-EE"/>
              </w:rPr>
            </w:pPr>
            <w:r w:rsidRPr="007E2CCC">
              <w:rPr>
                <w:rFonts w:ascii="Arial" w:eastAsia="Times New Roman" w:hAnsi="Arial" w:cs="Arial"/>
                <w:bCs/>
                <w:sz w:val="16"/>
                <w:szCs w:val="16"/>
                <w:lang w:val="et-EE" w:eastAsia="et-EE"/>
              </w:rPr>
              <w:t>India</w:t>
            </w:r>
          </w:p>
        </w:tc>
        <w:tc>
          <w:tcPr>
            <w:tcW w:w="1134" w:type="dxa"/>
            <w:shd w:val="clear" w:color="000000" w:fill="auto"/>
            <w:vAlign w:val="center"/>
            <w:hideMark/>
          </w:tcPr>
          <w:p w:rsidR="00E27D83" w:rsidRPr="007E2CCC" w:rsidRDefault="00E27D83" w:rsidP="00E27D83">
            <w:pPr>
              <w:spacing w:after="0" w:line="240" w:lineRule="auto"/>
              <w:rPr>
                <w:rFonts w:ascii="Arial" w:eastAsia="Times New Roman" w:hAnsi="Arial" w:cs="Arial"/>
                <w:bCs/>
                <w:sz w:val="16"/>
                <w:szCs w:val="16"/>
                <w:lang w:val="et-EE" w:eastAsia="et-EE"/>
              </w:rPr>
            </w:pPr>
            <w:r w:rsidRPr="007E2CCC">
              <w:rPr>
                <w:rFonts w:ascii="Arial" w:eastAsia="Times New Roman" w:hAnsi="Arial" w:cs="Arial"/>
                <w:bCs/>
                <w:sz w:val="16"/>
                <w:szCs w:val="16"/>
                <w:lang w:val="et-EE" w:eastAsia="et-EE"/>
              </w:rPr>
              <w:t>Bangalore</w:t>
            </w:r>
          </w:p>
        </w:tc>
        <w:tc>
          <w:tcPr>
            <w:tcW w:w="1134" w:type="dxa"/>
            <w:shd w:val="clear" w:color="000000" w:fill="auto"/>
            <w:vAlign w:val="center"/>
            <w:hideMark/>
          </w:tcPr>
          <w:p w:rsidR="00E27D83" w:rsidRPr="007E2CCC" w:rsidRDefault="00E27D83" w:rsidP="00E27D83">
            <w:pPr>
              <w:spacing w:after="0" w:line="240" w:lineRule="auto"/>
              <w:rPr>
                <w:rFonts w:ascii="Arial" w:eastAsia="Times New Roman" w:hAnsi="Arial" w:cs="Arial"/>
                <w:bCs/>
                <w:sz w:val="16"/>
                <w:szCs w:val="16"/>
                <w:lang w:val="et-EE" w:eastAsia="et-EE"/>
              </w:rPr>
            </w:pPr>
            <w:r w:rsidRPr="007E2CCC">
              <w:rPr>
                <w:rFonts w:ascii="Arial" w:eastAsia="Times New Roman" w:hAnsi="Arial" w:cs="Arial"/>
                <w:bCs/>
                <w:sz w:val="16"/>
                <w:szCs w:val="16"/>
                <w:lang w:val="et-EE" w:eastAsia="et-EE"/>
              </w:rPr>
              <w:t>survey data</w:t>
            </w:r>
          </w:p>
        </w:tc>
        <w:tc>
          <w:tcPr>
            <w:tcW w:w="850" w:type="dxa"/>
            <w:shd w:val="clear" w:color="000000" w:fill="auto"/>
            <w:vAlign w:val="center"/>
            <w:hideMark/>
          </w:tcPr>
          <w:p w:rsidR="00E27D83" w:rsidRPr="007E2CCC" w:rsidRDefault="00E27D83" w:rsidP="00E27D83">
            <w:pPr>
              <w:spacing w:after="0" w:line="240" w:lineRule="auto"/>
              <w:rPr>
                <w:rFonts w:ascii="Arial" w:eastAsia="Times New Roman" w:hAnsi="Arial" w:cs="Arial"/>
                <w:bCs/>
                <w:sz w:val="16"/>
                <w:szCs w:val="16"/>
                <w:lang w:val="et-EE" w:eastAsia="et-EE"/>
              </w:rPr>
            </w:pPr>
            <w:r w:rsidRPr="007E2CCC">
              <w:rPr>
                <w:rFonts w:ascii="Arial" w:eastAsia="Times New Roman" w:hAnsi="Arial" w:cs="Arial"/>
                <w:bCs/>
                <w:sz w:val="16"/>
                <w:szCs w:val="16"/>
                <w:lang w:val="et-EE" w:eastAsia="et-EE"/>
              </w:rPr>
              <w:t>2011</w:t>
            </w:r>
          </w:p>
        </w:tc>
        <w:tc>
          <w:tcPr>
            <w:tcW w:w="851" w:type="dxa"/>
            <w:shd w:val="clear" w:color="000000" w:fill="auto"/>
            <w:vAlign w:val="center"/>
            <w:hideMark/>
          </w:tcPr>
          <w:p w:rsidR="00E27D83" w:rsidRPr="007E2CCC" w:rsidRDefault="00E27D83" w:rsidP="00E27D83">
            <w:pPr>
              <w:spacing w:after="0" w:line="240" w:lineRule="auto"/>
              <w:rPr>
                <w:rFonts w:ascii="Arial" w:eastAsia="Times New Roman" w:hAnsi="Arial" w:cs="Arial"/>
                <w:bCs/>
                <w:sz w:val="16"/>
                <w:szCs w:val="16"/>
                <w:lang w:val="et-EE" w:eastAsia="et-EE"/>
              </w:rPr>
            </w:pPr>
            <w:r w:rsidRPr="007E2CCC">
              <w:rPr>
                <w:rFonts w:ascii="Arial" w:eastAsia="Times New Roman" w:hAnsi="Arial" w:cs="Arial"/>
                <w:bCs/>
                <w:sz w:val="16"/>
                <w:szCs w:val="16"/>
                <w:lang w:val="et-EE" w:eastAsia="et-EE"/>
              </w:rPr>
              <w:t>145789 two wheeler riders</w:t>
            </w:r>
          </w:p>
        </w:tc>
        <w:tc>
          <w:tcPr>
            <w:tcW w:w="992" w:type="dxa"/>
            <w:shd w:val="clear" w:color="000000" w:fill="auto"/>
            <w:vAlign w:val="center"/>
            <w:hideMark/>
          </w:tcPr>
          <w:p w:rsidR="00E27D83" w:rsidRPr="007E2CCC" w:rsidRDefault="00E27D83" w:rsidP="00E27D83">
            <w:pPr>
              <w:spacing w:after="0" w:line="240" w:lineRule="auto"/>
              <w:rPr>
                <w:rFonts w:ascii="Arial" w:eastAsia="Times New Roman" w:hAnsi="Arial" w:cs="Arial"/>
                <w:bCs/>
                <w:sz w:val="16"/>
                <w:szCs w:val="16"/>
                <w:lang w:val="et-EE" w:eastAsia="et-EE"/>
              </w:rPr>
            </w:pPr>
            <w:r w:rsidRPr="007E2CCC">
              <w:rPr>
                <w:rFonts w:ascii="Arial" w:eastAsia="Times New Roman" w:hAnsi="Arial" w:cs="Arial"/>
                <w:bCs/>
                <w:sz w:val="16"/>
                <w:szCs w:val="16"/>
                <w:lang w:val="et-EE" w:eastAsia="et-EE"/>
              </w:rPr>
              <w:t>motorcyclists</w:t>
            </w:r>
          </w:p>
        </w:tc>
        <w:tc>
          <w:tcPr>
            <w:tcW w:w="1701" w:type="dxa"/>
            <w:shd w:val="clear" w:color="000000" w:fill="auto"/>
            <w:vAlign w:val="center"/>
            <w:hideMark/>
          </w:tcPr>
          <w:p w:rsidR="00E27D83" w:rsidRPr="007E2CCC" w:rsidRDefault="00E27D83" w:rsidP="00E27D83">
            <w:pPr>
              <w:spacing w:after="0" w:line="240" w:lineRule="auto"/>
              <w:rPr>
                <w:rFonts w:ascii="Arial" w:eastAsia="Times New Roman" w:hAnsi="Arial" w:cs="Arial"/>
                <w:bCs/>
                <w:sz w:val="16"/>
                <w:szCs w:val="16"/>
                <w:lang w:val="et-EE" w:eastAsia="et-EE"/>
              </w:rPr>
            </w:pPr>
            <w:r w:rsidRPr="007E2CCC">
              <w:rPr>
                <w:rFonts w:ascii="Arial" w:eastAsia="Times New Roman" w:hAnsi="Arial" w:cs="Arial"/>
                <w:bCs/>
                <w:sz w:val="16"/>
                <w:szCs w:val="16"/>
                <w:lang w:val="et-EE" w:eastAsia="et-EE"/>
              </w:rPr>
              <w:t xml:space="preserve">The use of helmets was only 64%. 49% of urban and 80% of rural injured motorcyclists had not worn helmets at the time of crash. </w:t>
            </w:r>
          </w:p>
        </w:tc>
      </w:tr>
      <w:tr w:rsidR="007E2CCC" w:rsidRPr="007E2CCC" w:rsidTr="0077222F">
        <w:trPr>
          <w:trHeight w:val="855"/>
        </w:trPr>
        <w:tc>
          <w:tcPr>
            <w:tcW w:w="2852" w:type="dxa"/>
            <w:shd w:val="clear" w:color="000000" w:fill="auto"/>
            <w:vAlign w:val="center"/>
            <w:hideMark/>
          </w:tcPr>
          <w:p w:rsidR="00E27D83" w:rsidRPr="007E2CCC" w:rsidRDefault="00E27D83" w:rsidP="00E27D83">
            <w:pPr>
              <w:spacing w:after="0" w:line="240" w:lineRule="auto"/>
              <w:rPr>
                <w:rFonts w:ascii="Arial" w:eastAsia="Times New Roman" w:hAnsi="Arial" w:cs="Arial"/>
                <w:bCs/>
                <w:sz w:val="16"/>
                <w:szCs w:val="16"/>
                <w:lang w:val="et-EE" w:eastAsia="et-EE"/>
              </w:rPr>
            </w:pPr>
            <w:r w:rsidRPr="007E2CCC">
              <w:rPr>
                <w:rFonts w:ascii="Arial" w:eastAsia="Times New Roman" w:hAnsi="Arial" w:cs="Arial"/>
                <w:bCs/>
                <w:sz w:val="16"/>
                <w:szCs w:val="16"/>
                <w:lang w:val="et-EE" w:eastAsia="et-EE"/>
              </w:rPr>
              <w:t>Passmore, J. W., Nguyen, L. H., Nguyen, N. P., &amp; Olivé, J-M. (2010). The formulation and implementation of a national helmet law: a case study from Viet Nam. Bulletin of the World Health Organization 88(10), 783-787.</w:t>
            </w:r>
          </w:p>
        </w:tc>
        <w:tc>
          <w:tcPr>
            <w:tcW w:w="851" w:type="dxa"/>
            <w:shd w:val="clear" w:color="000000" w:fill="auto"/>
            <w:vAlign w:val="center"/>
            <w:hideMark/>
          </w:tcPr>
          <w:p w:rsidR="00E27D83" w:rsidRPr="007E2CCC" w:rsidRDefault="00E27D83" w:rsidP="00E27D83">
            <w:pPr>
              <w:spacing w:after="0" w:line="240" w:lineRule="auto"/>
              <w:rPr>
                <w:rFonts w:ascii="Arial" w:eastAsia="Times New Roman" w:hAnsi="Arial" w:cs="Arial"/>
                <w:bCs/>
                <w:sz w:val="16"/>
                <w:szCs w:val="16"/>
                <w:lang w:val="et-EE" w:eastAsia="et-EE"/>
              </w:rPr>
            </w:pPr>
            <w:r w:rsidRPr="007E2CCC">
              <w:rPr>
                <w:rFonts w:ascii="Arial" w:eastAsia="Times New Roman" w:hAnsi="Arial" w:cs="Arial"/>
                <w:bCs/>
                <w:sz w:val="16"/>
                <w:szCs w:val="16"/>
                <w:lang w:val="et-EE" w:eastAsia="et-EE"/>
              </w:rPr>
              <w:t>Vietnam</w:t>
            </w:r>
          </w:p>
        </w:tc>
        <w:tc>
          <w:tcPr>
            <w:tcW w:w="1134" w:type="dxa"/>
            <w:shd w:val="clear" w:color="000000" w:fill="auto"/>
            <w:vAlign w:val="center"/>
            <w:hideMark/>
          </w:tcPr>
          <w:p w:rsidR="00E27D83" w:rsidRPr="007E2CCC" w:rsidRDefault="00E27D83" w:rsidP="00E27D83">
            <w:pPr>
              <w:spacing w:after="0" w:line="240" w:lineRule="auto"/>
              <w:rPr>
                <w:rFonts w:ascii="Arial" w:eastAsia="Times New Roman" w:hAnsi="Arial" w:cs="Arial"/>
                <w:bCs/>
                <w:sz w:val="16"/>
                <w:szCs w:val="16"/>
                <w:lang w:val="et-EE" w:eastAsia="et-EE"/>
              </w:rPr>
            </w:pPr>
          </w:p>
        </w:tc>
        <w:tc>
          <w:tcPr>
            <w:tcW w:w="1134" w:type="dxa"/>
            <w:shd w:val="clear" w:color="000000" w:fill="auto"/>
            <w:vAlign w:val="center"/>
            <w:hideMark/>
          </w:tcPr>
          <w:p w:rsidR="00E27D83" w:rsidRPr="007E2CCC" w:rsidRDefault="00E27D83" w:rsidP="00E27D83">
            <w:pPr>
              <w:spacing w:after="0" w:line="240" w:lineRule="auto"/>
              <w:rPr>
                <w:rFonts w:ascii="Arial" w:eastAsia="Times New Roman" w:hAnsi="Arial" w:cs="Arial"/>
                <w:bCs/>
                <w:sz w:val="16"/>
                <w:szCs w:val="16"/>
                <w:lang w:val="et-EE" w:eastAsia="et-EE"/>
              </w:rPr>
            </w:pPr>
            <w:r w:rsidRPr="007E2CCC">
              <w:rPr>
                <w:rFonts w:ascii="Arial" w:eastAsia="Times New Roman" w:hAnsi="Arial" w:cs="Arial"/>
                <w:bCs/>
                <w:sz w:val="16"/>
                <w:szCs w:val="16"/>
                <w:lang w:val="et-EE" w:eastAsia="et-EE"/>
              </w:rPr>
              <w:t>surveillance data</w:t>
            </w:r>
          </w:p>
        </w:tc>
        <w:tc>
          <w:tcPr>
            <w:tcW w:w="850" w:type="dxa"/>
            <w:shd w:val="clear" w:color="000000" w:fill="auto"/>
            <w:vAlign w:val="center"/>
            <w:hideMark/>
          </w:tcPr>
          <w:p w:rsidR="00E27D83" w:rsidRPr="007E2CCC" w:rsidRDefault="00E27D83" w:rsidP="00E27D83">
            <w:pPr>
              <w:spacing w:after="0" w:line="240" w:lineRule="auto"/>
              <w:rPr>
                <w:rFonts w:ascii="Arial" w:eastAsia="Times New Roman" w:hAnsi="Arial" w:cs="Arial"/>
                <w:bCs/>
                <w:sz w:val="16"/>
                <w:szCs w:val="16"/>
                <w:lang w:val="et-EE" w:eastAsia="et-EE"/>
              </w:rPr>
            </w:pPr>
            <w:r w:rsidRPr="007E2CCC">
              <w:rPr>
                <w:rFonts w:ascii="Arial" w:eastAsia="Times New Roman" w:hAnsi="Arial" w:cs="Arial"/>
                <w:bCs/>
                <w:sz w:val="16"/>
                <w:szCs w:val="16"/>
                <w:lang w:val="et-EE" w:eastAsia="et-EE"/>
              </w:rPr>
              <w:t>2007-2008</w:t>
            </w:r>
          </w:p>
        </w:tc>
        <w:tc>
          <w:tcPr>
            <w:tcW w:w="851" w:type="dxa"/>
            <w:shd w:val="clear" w:color="000000" w:fill="auto"/>
            <w:vAlign w:val="center"/>
            <w:hideMark/>
          </w:tcPr>
          <w:p w:rsidR="00E27D83" w:rsidRPr="007E2CCC" w:rsidRDefault="00E27D83" w:rsidP="00E27D83">
            <w:pPr>
              <w:spacing w:after="0" w:line="240" w:lineRule="auto"/>
              <w:rPr>
                <w:rFonts w:ascii="Arial" w:eastAsia="Times New Roman" w:hAnsi="Arial" w:cs="Arial"/>
                <w:bCs/>
                <w:sz w:val="16"/>
                <w:szCs w:val="16"/>
                <w:lang w:val="et-EE" w:eastAsia="et-EE"/>
              </w:rPr>
            </w:pPr>
            <w:r w:rsidRPr="007E2CCC">
              <w:rPr>
                <w:rFonts w:ascii="Arial" w:eastAsia="Times New Roman" w:hAnsi="Arial" w:cs="Arial"/>
                <w:bCs/>
                <w:sz w:val="16"/>
                <w:szCs w:val="16"/>
                <w:lang w:val="et-EE" w:eastAsia="et-EE"/>
              </w:rPr>
              <w:t>n/a</w:t>
            </w:r>
          </w:p>
        </w:tc>
        <w:tc>
          <w:tcPr>
            <w:tcW w:w="992" w:type="dxa"/>
            <w:shd w:val="clear" w:color="000000" w:fill="auto"/>
            <w:vAlign w:val="center"/>
            <w:hideMark/>
          </w:tcPr>
          <w:p w:rsidR="00E27D83" w:rsidRPr="007E2CCC" w:rsidRDefault="00E27D83" w:rsidP="00E27D83">
            <w:pPr>
              <w:spacing w:after="0" w:line="240" w:lineRule="auto"/>
              <w:rPr>
                <w:rFonts w:ascii="Arial" w:eastAsia="Times New Roman" w:hAnsi="Arial" w:cs="Arial"/>
                <w:bCs/>
                <w:sz w:val="16"/>
                <w:szCs w:val="16"/>
                <w:lang w:val="et-EE" w:eastAsia="et-EE"/>
              </w:rPr>
            </w:pPr>
            <w:r w:rsidRPr="007E2CCC">
              <w:rPr>
                <w:rFonts w:ascii="Arial" w:eastAsia="Times New Roman" w:hAnsi="Arial" w:cs="Arial"/>
                <w:bCs/>
                <w:sz w:val="16"/>
                <w:szCs w:val="16"/>
                <w:lang w:val="et-EE" w:eastAsia="et-EE"/>
              </w:rPr>
              <w:t>motorcyclists</w:t>
            </w:r>
          </w:p>
        </w:tc>
        <w:tc>
          <w:tcPr>
            <w:tcW w:w="1701" w:type="dxa"/>
            <w:shd w:val="clear" w:color="000000" w:fill="auto"/>
            <w:vAlign w:val="center"/>
            <w:hideMark/>
          </w:tcPr>
          <w:p w:rsidR="00E27D83" w:rsidRPr="007E2CCC" w:rsidRDefault="00E27D83" w:rsidP="00E27D83">
            <w:pPr>
              <w:spacing w:after="0" w:line="240" w:lineRule="auto"/>
              <w:rPr>
                <w:rFonts w:ascii="Arial" w:eastAsia="Times New Roman" w:hAnsi="Arial" w:cs="Arial"/>
                <w:bCs/>
                <w:sz w:val="16"/>
                <w:szCs w:val="16"/>
                <w:lang w:val="et-EE" w:eastAsia="et-EE"/>
              </w:rPr>
            </w:pPr>
            <w:r w:rsidRPr="007E2CCC">
              <w:rPr>
                <w:rFonts w:ascii="Arial" w:eastAsia="Times New Roman" w:hAnsi="Arial" w:cs="Arial"/>
                <w:bCs/>
                <w:sz w:val="16"/>
                <w:szCs w:val="16"/>
                <w:lang w:val="et-EE" w:eastAsia="et-EE"/>
              </w:rPr>
              <w:t>approximate % of motorcycle riders wearing a helmet before and after legislation on compulsory helmet use. In Da Nang, helmet wearing increased from 27% to 99% in drivers; and 21% to 99% in passengers</w:t>
            </w:r>
          </w:p>
        </w:tc>
      </w:tr>
    </w:tbl>
    <w:p w:rsidR="00E27D83" w:rsidRPr="007E2CCC" w:rsidRDefault="00E27D83" w:rsidP="00E27D83">
      <w:pPr>
        <w:spacing w:after="120" w:line="240" w:lineRule="auto"/>
        <w:rPr>
          <w:lang w:val="et-EE"/>
        </w:rPr>
      </w:pPr>
    </w:p>
    <w:p w:rsidR="00E27D83" w:rsidRPr="007E2CCC" w:rsidRDefault="00E27D83" w:rsidP="009B6778">
      <w:pPr>
        <w:pStyle w:val="Heading3"/>
        <w:rPr>
          <w:color w:val="auto"/>
          <w:lang w:bidi="en-US"/>
        </w:rPr>
      </w:pPr>
      <w:bookmarkStart w:id="19" w:name="_Toc404917316"/>
      <w:r w:rsidRPr="007E2CCC">
        <w:rPr>
          <w:color w:val="auto"/>
          <w:lang w:bidi="en-US"/>
        </w:rPr>
        <w:t xml:space="preserve">3.5. Bicycle helmet use, </w:t>
      </w:r>
      <w:bookmarkEnd w:id="19"/>
      <w:r w:rsidR="0077222F" w:rsidRPr="007E2CCC">
        <w:rPr>
          <w:color w:val="auto"/>
          <w:lang w:bidi="en-US"/>
        </w:rPr>
        <w:t>South-East Asia</w:t>
      </w:r>
    </w:p>
    <w:p w:rsidR="00E27D83" w:rsidRPr="007E2CCC" w:rsidRDefault="00E27D83" w:rsidP="00E27D83">
      <w:pPr>
        <w:spacing w:after="120" w:line="240" w:lineRule="auto"/>
        <w:rPr>
          <w:lang w:val="et-EE"/>
        </w:rPr>
      </w:pPr>
      <w:r w:rsidRPr="007E2CCC">
        <w:rPr>
          <w:lang w:val="et-EE"/>
        </w:rPr>
        <w:t xml:space="preserve">Bicycle helmet use was documented in one study from Singapore, and this study only evaluated the helmet use of bicycle-related trauma patients, and placed the estimate at 10,6% (Table 12). </w:t>
      </w:r>
    </w:p>
    <w:p w:rsidR="00E27D83" w:rsidRPr="007E2CCC" w:rsidRDefault="00E27D83" w:rsidP="00E27D83">
      <w:pPr>
        <w:spacing w:after="120" w:line="240" w:lineRule="auto"/>
        <w:rPr>
          <w:lang w:val="et-EE"/>
        </w:rPr>
      </w:pPr>
      <w:r w:rsidRPr="007E2CCC">
        <w:rPr>
          <w:b/>
          <w:lang w:val="et-EE"/>
        </w:rPr>
        <w:t>Table 12.</w:t>
      </w:r>
      <w:r w:rsidRPr="007E2CCC">
        <w:rPr>
          <w:lang w:val="et-EE"/>
        </w:rPr>
        <w:t xml:space="preserve"> Data on bicycle helmet use, </w:t>
      </w:r>
      <w:r w:rsidR="0077222F" w:rsidRPr="007E2CCC">
        <w:rPr>
          <w:lang w:val="et-EE"/>
        </w:rPr>
        <w:t>South-East Asia</w:t>
      </w:r>
    </w:p>
    <w:tbl>
      <w:tblPr>
        <w:tblW w:w="10365" w:type="dxa"/>
        <w:tblInd w:w="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2852"/>
        <w:gridCol w:w="993"/>
        <w:gridCol w:w="992"/>
        <w:gridCol w:w="1134"/>
        <w:gridCol w:w="850"/>
        <w:gridCol w:w="860"/>
        <w:gridCol w:w="983"/>
        <w:gridCol w:w="1701"/>
      </w:tblGrid>
      <w:tr w:rsidR="007E2CCC" w:rsidRPr="007E2CCC" w:rsidTr="0077222F">
        <w:trPr>
          <w:trHeight w:val="855"/>
        </w:trPr>
        <w:tc>
          <w:tcPr>
            <w:tcW w:w="2852" w:type="dxa"/>
            <w:shd w:val="clear" w:color="000000" w:fill="D8D8D8"/>
            <w:vAlign w:val="center"/>
            <w:hideMark/>
          </w:tcPr>
          <w:p w:rsidR="00E27D83" w:rsidRPr="007E2CCC" w:rsidRDefault="00E27D83" w:rsidP="00E27D83">
            <w:pPr>
              <w:spacing w:after="0" w:line="240" w:lineRule="auto"/>
              <w:rPr>
                <w:rFonts w:ascii="Arial" w:eastAsia="Times New Roman" w:hAnsi="Arial" w:cs="Arial"/>
                <w:b/>
                <w:bCs/>
                <w:sz w:val="16"/>
                <w:szCs w:val="16"/>
                <w:lang w:val="et-EE" w:eastAsia="et-EE"/>
              </w:rPr>
            </w:pPr>
            <w:r w:rsidRPr="007E2CCC">
              <w:rPr>
                <w:rFonts w:ascii="Arial" w:eastAsia="Times New Roman" w:hAnsi="Arial" w:cs="Arial"/>
                <w:b/>
                <w:bCs/>
                <w:sz w:val="16"/>
                <w:szCs w:val="16"/>
                <w:lang w:val="et-EE" w:eastAsia="et-EE"/>
              </w:rPr>
              <w:t>Reference</w:t>
            </w:r>
          </w:p>
        </w:tc>
        <w:tc>
          <w:tcPr>
            <w:tcW w:w="993" w:type="dxa"/>
            <w:shd w:val="clear" w:color="000000" w:fill="D8D8D8"/>
            <w:vAlign w:val="center"/>
            <w:hideMark/>
          </w:tcPr>
          <w:p w:rsidR="00E27D83" w:rsidRPr="007E2CCC" w:rsidRDefault="00E27D83" w:rsidP="00E27D83">
            <w:pPr>
              <w:spacing w:after="0" w:line="240" w:lineRule="auto"/>
              <w:rPr>
                <w:rFonts w:ascii="Arial" w:eastAsia="Times New Roman" w:hAnsi="Arial" w:cs="Arial"/>
                <w:b/>
                <w:bCs/>
                <w:sz w:val="16"/>
                <w:szCs w:val="16"/>
                <w:lang w:val="et-EE" w:eastAsia="et-EE"/>
              </w:rPr>
            </w:pPr>
            <w:r w:rsidRPr="007E2CCC">
              <w:rPr>
                <w:rFonts w:ascii="Arial" w:eastAsia="Times New Roman" w:hAnsi="Arial" w:cs="Arial"/>
                <w:b/>
                <w:bCs/>
                <w:sz w:val="16"/>
                <w:szCs w:val="16"/>
                <w:lang w:val="et-EE" w:eastAsia="et-EE"/>
              </w:rPr>
              <w:t>Country</w:t>
            </w:r>
          </w:p>
        </w:tc>
        <w:tc>
          <w:tcPr>
            <w:tcW w:w="992" w:type="dxa"/>
            <w:shd w:val="clear" w:color="000000" w:fill="D8D8D8"/>
            <w:vAlign w:val="center"/>
            <w:hideMark/>
          </w:tcPr>
          <w:p w:rsidR="00E27D83" w:rsidRPr="007E2CCC" w:rsidRDefault="00E27D83" w:rsidP="00E27D83">
            <w:pPr>
              <w:spacing w:after="0" w:line="240" w:lineRule="auto"/>
              <w:rPr>
                <w:rFonts w:ascii="Arial" w:eastAsia="Times New Roman" w:hAnsi="Arial" w:cs="Arial"/>
                <w:b/>
                <w:bCs/>
                <w:sz w:val="16"/>
                <w:szCs w:val="16"/>
                <w:lang w:val="et-EE" w:eastAsia="et-EE"/>
              </w:rPr>
            </w:pPr>
            <w:r w:rsidRPr="007E2CCC">
              <w:rPr>
                <w:rFonts w:ascii="Arial" w:eastAsia="Times New Roman" w:hAnsi="Arial" w:cs="Arial"/>
                <w:b/>
                <w:bCs/>
                <w:sz w:val="16"/>
                <w:szCs w:val="16"/>
                <w:lang w:val="et-EE" w:eastAsia="et-EE"/>
              </w:rPr>
              <w:t>Region</w:t>
            </w:r>
          </w:p>
        </w:tc>
        <w:tc>
          <w:tcPr>
            <w:tcW w:w="1134" w:type="dxa"/>
            <w:shd w:val="clear" w:color="000000" w:fill="D8D8D8"/>
            <w:vAlign w:val="center"/>
            <w:hideMark/>
          </w:tcPr>
          <w:p w:rsidR="00E27D83" w:rsidRPr="007E2CCC" w:rsidRDefault="00E27D83" w:rsidP="00E27D83">
            <w:pPr>
              <w:spacing w:after="0" w:line="240" w:lineRule="auto"/>
              <w:rPr>
                <w:rFonts w:ascii="Arial" w:eastAsia="Times New Roman" w:hAnsi="Arial" w:cs="Arial"/>
                <w:b/>
                <w:bCs/>
                <w:sz w:val="16"/>
                <w:szCs w:val="16"/>
                <w:lang w:val="et-EE" w:eastAsia="et-EE"/>
              </w:rPr>
            </w:pPr>
            <w:r w:rsidRPr="007E2CCC">
              <w:rPr>
                <w:rFonts w:ascii="Arial" w:eastAsia="Times New Roman" w:hAnsi="Arial" w:cs="Arial"/>
                <w:b/>
                <w:bCs/>
                <w:sz w:val="16"/>
                <w:szCs w:val="16"/>
                <w:lang w:val="et-EE" w:eastAsia="et-EE"/>
              </w:rPr>
              <w:t>Type of data</w:t>
            </w:r>
          </w:p>
        </w:tc>
        <w:tc>
          <w:tcPr>
            <w:tcW w:w="850" w:type="dxa"/>
            <w:shd w:val="clear" w:color="000000" w:fill="D8D8D8"/>
            <w:vAlign w:val="center"/>
            <w:hideMark/>
          </w:tcPr>
          <w:p w:rsidR="00E27D83" w:rsidRPr="007E2CCC" w:rsidRDefault="00E27D83" w:rsidP="00E27D83">
            <w:pPr>
              <w:spacing w:after="0" w:line="240" w:lineRule="auto"/>
              <w:rPr>
                <w:rFonts w:ascii="Arial" w:eastAsia="Times New Roman" w:hAnsi="Arial" w:cs="Arial"/>
                <w:b/>
                <w:bCs/>
                <w:sz w:val="16"/>
                <w:szCs w:val="16"/>
                <w:lang w:val="et-EE" w:eastAsia="et-EE"/>
              </w:rPr>
            </w:pPr>
            <w:r w:rsidRPr="007E2CCC">
              <w:rPr>
                <w:rFonts w:ascii="Arial" w:eastAsia="Times New Roman" w:hAnsi="Arial" w:cs="Arial"/>
                <w:b/>
                <w:bCs/>
                <w:sz w:val="16"/>
                <w:szCs w:val="16"/>
                <w:lang w:val="et-EE" w:eastAsia="et-EE"/>
              </w:rPr>
              <w:t>Data period</w:t>
            </w:r>
          </w:p>
        </w:tc>
        <w:tc>
          <w:tcPr>
            <w:tcW w:w="860" w:type="dxa"/>
            <w:shd w:val="clear" w:color="000000" w:fill="D8D8D8"/>
            <w:vAlign w:val="center"/>
            <w:hideMark/>
          </w:tcPr>
          <w:p w:rsidR="00E27D83" w:rsidRPr="007E2CCC" w:rsidRDefault="00E27D83" w:rsidP="00E27D83">
            <w:pPr>
              <w:spacing w:after="0" w:line="240" w:lineRule="auto"/>
              <w:rPr>
                <w:rFonts w:ascii="Arial" w:eastAsia="Times New Roman" w:hAnsi="Arial" w:cs="Arial"/>
                <w:b/>
                <w:bCs/>
                <w:sz w:val="16"/>
                <w:szCs w:val="16"/>
                <w:lang w:val="et-EE" w:eastAsia="et-EE"/>
              </w:rPr>
            </w:pPr>
            <w:r w:rsidRPr="007E2CCC">
              <w:rPr>
                <w:rFonts w:ascii="Arial" w:eastAsia="Times New Roman" w:hAnsi="Arial" w:cs="Arial"/>
                <w:b/>
                <w:bCs/>
                <w:sz w:val="16"/>
                <w:szCs w:val="16"/>
                <w:lang w:val="et-EE" w:eastAsia="et-EE"/>
              </w:rPr>
              <w:t>n</w:t>
            </w:r>
          </w:p>
        </w:tc>
        <w:tc>
          <w:tcPr>
            <w:tcW w:w="983" w:type="dxa"/>
            <w:shd w:val="clear" w:color="000000" w:fill="D8D8D8"/>
            <w:vAlign w:val="center"/>
            <w:hideMark/>
          </w:tcPr>
          <w:p w:rsidR="00E27D83" w:rsidRPr="007E2CCC" w:rsidRDefault="00E27D83" w:rsidP="00E27D83">
            <w:pPr>
              <w:spacing w:after="0" w:line="240" w:lineRule="auto"/>
              <w:rPr>
                <w:rFonts w:ascii="Arial" w:eastAsia="Times New Roman" w:hAnsi="Arial" w:cs="Arial"/>
                <w:b/>
                <w:bCs/>
                <w:sz w:val="16"/>
                <w:szCs w:val="16"/>
                <w:lang w:val="et-EE" w:eastAsia="et-EE"/>
              </w:rPr>
            </w:pPr>
            <w:r w:rsidRPr="007E2CCC">
              <w:rPr>
                <w:rFonts w:ascii="Arial" w:eastAsia="Times New Roman" w:hAnsi="Arial" w:cs="Arial"/>
                <w:b/>
                <w:bCs/>
                <w:sz w:val="16"/>
                <w:szCs w:val="16"/>
                <w:lang w:val="et-EE" w:eastAsia="et-EE"/>
              </w:rPr>
              <w:t>Road user groups reported</w:t>
            </w:r>
          </w:p>
        </w:tc>
        <w:tc>
          <w:tcPr>
            <w:tcW w:w="1701" w:type="dxa"/>
            <w:shd w:val="clear" w:color="000000" w:fill="D8D8D8"/>
            <w:vAlign w:val="center"/>
            <w:hideMark/>
          </w:tcPr>
          <w:p w:rsidR="00E27D83" w:rsidRPr="007E2CCC" w:rsidRDefault="00E27D83" w:rsidP="00E27D83">
            <w:pPr>
              <w:spacing w:after="0" w:line="240" w:lineRule="auto"/>
              <w:rPr>
                <w:rFonts w:ascii="Arial" w:eastAsia="Times New Roman" w:hAnsi="Arial" w:cs="Arial"/>
                <w:b/>
                <w:bCs/>
                <w:sz w:val="16"/>
                <w:szCs w:val="16"/>
                <w:lang w:val="et-EE" w:eastAsia="et-EE"/>
              </w:rPr>
            </w:pPr>
            <w:r w:rsidRPr="007E2CCC">
              <w:rPr>
                <w:rFonts w:ascii="Arial" w:eastAsia="Times New Roman" w:hAnsi="Arial" w:cs="Arial"/>
                <w:b/>
                <w:bCs/>
                <w:sz w:val="16"/>
                <w:szCs w:val="16"/>
                <w:lang w:val="et-EE" w:eastAsia="et-EE"/>
              </w:rPr>
              <w:t>Findings</w:t>
            </w:r>
          </w:p>
        </w:tc>
      </w:tr>
      <w:tr w:rsidR="00E27D83" w:rsidRPr="007E2CCC" w:rsidTr="0077222F">
        <w:trPr>
          <w:trHeight w:val="960"/>
        </w:trPr>
        <w:tc>
          <w:tcPr>
            <w:tcW w:w="2852"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 xml:space="preserve">Heng, K. W., Lee, A. H., Zhu, S., Tham, K. Y., &amp; Seow, E. (2006). Helmet use and bicycle-related trauma in patients presenting to an acute hospital in Singapore. </w:t>
            </w:r>
            <w:r w:rsidRPr="007E2CCC">
              <w:rPr>
                <w:rFonts w:ascii="Arial" w:eastAsia="Times New Roman" w:hAnsi="Arial" w:cs="Arial"/>
                <w:i/>
                <w:iCs/>
                <w:sz w:val="16"/>
                <w:szCs w:val="16"/>
                <w:lang w:val="et-EE" w:eastAsia="et-EE"/>
              </w:rPr>
              <w:t>Singapore Medical Journal 47</w:t>
            </w:r>
            <w:r w:rsidRPr="007E2CCC">
              <w:rPr>
                <w:rFonts w:ascii="Arial" w:eastAsia="Times New Roman" w:hAnsi="Arial" w:cs="Arial"/>
                <w:sz w:val="16"/>
                <w:szCs w:val="16"/>
                <w:lang w:val="et-EE" w:eastAsia="et-EE"/>
              </w:rPr>
              <w:t>(5), 367-372.</w:t>
            </w:r>
          </w:p>
        </w:tc>
        <w:tc>
          <w:tcPr>
            <w:tcW w:w="993"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Singapore</w:t>
            </w:r>
          </w:p>
        </w:tc>
        <w:tc>
          <w:tcPr>
            <w:tcW w:w="992"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w:t>
            </w:r>
          </w:p>
        </w:tc>
        <w:tc>
          <w:tcPr>
            <w:tcW w:w="1134"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survey data</w:t>
            </w:r>
          </w:p>
        </w:tc>
        <w:tc>
          <w:tcPr>
            <w:tcW w:w="850"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2004-2005</w:t>
            </w:r>
          </w:p>
        </w:tc>
        <w:tc>
          <w:tcPr>
            <w:tcW w:w="860"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160 bicyclists</w:t>
            </w:r>
          </w:p>
        </w:tc>
        <w:tc>
          <w:tcPr>
            <w:tcW w:w="983"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bicyclists, trauma patients</w:t>
            </w:r>
          </w:p>
        </w:tc>
        <w:tc>
          <w:tcPr>
            <w:tcW w:w="1701"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 of bicycle-related trauma patients wearing a helmet: helmets were worn by 10.6 percent of the patients</w:t>
            </w:r>
          </w:p>
        </w:tc>
      </w:tr>
    </w:tbl>
    <w:p w:rsidR="00E27D83" w:rsidRPr="007E2CCC" w:rsidRDefault="00E27D83" w:rsidP="00E27D83">
      <w:pPr>
        <w:spacing w:after="120" w:line="240" w:lineRule="auto"/>
        <w:rPr>
          <w:lang w:val="et-EE"/>
        </w:rPr>
      </w:pPr>
    </w:p>
    <w:p w:rsidR="00E27D83" w:rsidRPr="007E2CCC" w:rsidRDefault="00E27D83" w:rsidP="009B6778">
      <w:pPr>
        <w:pStyle w:val="Heading2"/>
        <w:rPr>
          <w:color w:val="auto"/>
          <w:lang w:bidi="en-US"/>
        </w:rPr>
      </w:pPr>
      <w:bookmarkStart w:id="20" w:name="_Toc404917317"/>
      <w:r w:rsidRPr="007E2CCC">
        <w:rPr>
          <w:color w:val="auto"/>
          <w:lang w:bidi="en-US"/>
        </w:rPr>
        <w:t>4. Sequelae of road traffic accidents</w:t>
      </w:r>
      <w:bookmarkEnd w:id="20"/>
    </w:p>
    <w:p w:rsidR="00E27D83" w:rsidRPr="007E2CCC" w:rsidRDefault="00E27D83" w:rsidP="00E27D83">
      <w:pPr>
        <w:spacing w:after="120" w:line="240" w:lineRule="auto"/>
        <w:rPr>
          <w:lang w:val="et-EE"/>
        </w:rPr>
      </w:pPr>
      <w:r w:rsidRPr="007E2CCC">
        <w:rPr>
          <w:lang w:val="et-EE"/>
        </w:rPr>
        <w:t xml:space="preserve">A standardized online keyword search was carried out to obtain country specific risk factor information, using online search engines such as Google, Google Scholar, and EBSCO. We tried to find information on sequelae by injury categories used in the previous report: fractured skull, intracranial injuries, fractured femur, injured spinal chord, injury to eyes. Keywords used were country </w:t>
      </w:r>
      <w:r w:rsidRPr="007E2CCC">
        <w:rPr>
          <w:lang w:val="et-EE"/>
        </w:rPr>
        <w:lastRenderedPageBreak/>
        <w:t>name+road traffic+skull fracture, country name+road traffic+intracranial injuries, country name+road traffic+femur fracture, country name+road traffic+spine injury, country name+road traffic+eye injury</w:t>
      </w:r>
    </w:p>
    <w:p w:rsidR="00E27D83" w:rsidRPr="007E2CCC" w:rsidRDefault="00E27D83" w:rsidP="00E27D83">
      <w:pPr>
        <w:spacing w:after="120" w:line="240" w:lineRule="auto"/>
        <w:rPr>
          <w:lang w:val="et-EE"/>
        </w:rPr>
      </w:pPr>
      <w:r w:rsidRPr="007E2CCC">
        <w:rPr>
          <w:lang w:val="et-EE"/>
        </w:rPr>
        <w:t xml:space="preserve">No studies provided the exact distribution of sequelae used in the previous report (fractured skull, intracranial injuries, fractured femur, injured spinal cord and injury to eyes). Some studies differentiated between soft-tissue injuries and fractures, some divided injuries into categories by body part injured. If the study distinguished between fatal &amp; non-fatal injuries, the distinction between long-term and acute injuries was impossible to make. </w:t>
      </w:r>
    </w:p>
    <w:p w:rsidR="00E27D83" w:rsidRPr="007E2CCC" w:rsidRDefault="00E27D83" w:rsidP="00E27D83">
      <w:pPr>
        <w:spacing w:after="120" w:line="240" w:lineRule="auto"/>
        <w:rPr>
          <w:lang w:val="et-EE"/>
        </w:rPr>
      </w:pPr>
    </w:p>
    <w:p w:rsidR="00E27D83" w:rsidRPr="007E2CCC" w:rsidRDefault="00E27D83" w:rsidP="009B6778">
      <w:pPr>
        <w:pStyle w:val="Heading3"/>
        <w:rPr>
          <w:color w:val="auto"/>
          <w:lang w:bidi="en-US"/>
        </w:rPr>
      </w:pPr>
      <w:bookmarkStart w:id="21" w:name="_Toc404917318"/>
      <w:r w:rsidRPr="007E2CCC">
        <w:rPr>
          <w:color w:val="auto"/>
          <w:lang w:bidi="en-US"/>
        </w:rPr>
        <w:t xml:space="preserve">4.1 Sequelae of road traffic accidents, </w:t>
      </w:r>
      <w:bookmarkEnd w:id="21"/>
      <w:r w:rsidR="0077222F" w:rsidRPr="007E2CCC">
        <w:rPr>
          <w:color w:val="auto"/>
          <w:lang w:bidi="en-US"/>
        </w:rPr>
        <w:t>Sub-Saharan Africa</w:t>
      </w:r>
    </w:p>
    <w:p w:rsidR="00E27D83" w:rsidRPr="007E2CCC" w:rsidRDefault="00E27D83" w:rsidP="00E27D83">
      <w:pPr>
        <w:spacing w:after="120" w:line="240" w:lineRule="auto"/>
        <w:rPr>
          <w:lang w:val="et-EE"/>
        </w:rPr>
      </w:pPr>
      <w:r w:rsidRPr="007E2CCC">
        <w:rPr>
          <w:lang w:val="et-EE"/>
        </w:rPr>
        <w:t xml:space="preserve">Some hospital-based and survey data for Tanzania and Kenya were found. There was a lot of variation in estimates for fractured skull as a percentage from all road traffic injuries. Some studies did not differentiate between different head injuries. The results of the studies seem to indicate that head injury is present in at least 10% of fatal and non-fatal RTIs, but more likely is the rate of 25% and higher (Table 13). </w:t>
      </w:r>
    </w:p>
    <w:p w:rsidR="00E27D83" w:rsidRPr="007E2CCC" w:rsidRDefault="00E27D83" w:rsidP="00E27D83">
      <w:pPr>
        <w:spacing w:after="120" w:line="240" w:lineRule="auto"/>
        <w:rPr>
          <w:lang w:val="et-EE"/>
        </w:rPr>
      </w:pPr>
    </w:p>
    <w:p w:rsidR="00E27D83" w:rsidRPr="007E2CCC" w:rsidRDefault="00E27D83" w:rsidP="00E27D83">
      <w:pPr>
        <w:spacing w:after="120" w:line="240" w:lineRule="auto"/>
        <w:rPr>
          <w:lang w:val="et-EE"/>
        </w:rPr>
      </w:pPr>
      <w:r w:rsidRPr="007E2CCC">
        <w:rPr>
          <w:b/>
          <w:lang w:val="et-EE"/>
        </w:rPr>
        <w:t>Table 13.</w:t>
      </w:r>
      <w:r w:rsidRPr="007E2CCC">
        <w:rPr>
          <w:lang w:val="et-EE"/>
        </w:rPr>
        <w:t xml:space="preserve"> Data on sequelae of road traffic accidents, </w:t>
      </w:r>
      <w:r w:rsidR="0077222F" w:rsidRPr="007E2CCC">
        <w:rPr>
          <w:lang w:val="et-EE"/>
        </w:rPr>
        <w:t>Sub-Saharan Africa</w:t>
      </w:r>
    </w:p>
    <w:tbl>
      <w:tblPr>
        <w:tblW w:w="10365" w:type="dxa"/>
        <w:tblInd w:w="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
      <w:tblGrid>
        <w:gridCol w:w="2852"/>
        <w:gridCol w:w="993"/>
        <w:gridCol w:w="992"/>
        <w:gridCol w:w="1134"/>
        <w:gridCol w:w="850"/>
        <w:gridCol w:w="851"/>
        <w:gridCol w:w="992"/>
        <w:gridCol w:w="1701"/>
      </w:tblGrid>
      <w:tr w:rsidR="007E2CCC" w:rsidRPr="007E2CCC" w:rsidTr="0077222F">
        <w:trPr>
          <w:trHeight w:val="855"/>
        </w:trPr>
        <w:tc>
          <w:tcPr>
            <w:tcW w:w="2852" w:type="dxa"/>
            <w:shd w:val="clear" w:color="000000" w:fill="D8D8D8"/>
            <w:vAlign w:val="center"/>
            <w:hideMark/>
          </w:tcPr>
          <w:p w:rsidR="00E27D83" w:rsidRPr="007E2CCC" w:rsidRDefault="00E27D83" w:rsidP="00E27D83">
            <w:pPr>
              <w:spacing w:after="0" w:line="240" w:lineRule="auto"/>
              <w:rPr>
                <w:rFonts w:ascii="Arial" w:eastAsia="Times New Roman" w:hAnsi="Arial" w:cs="Arial"/>
                <w:b/>
                <w:bCs/>
                <w:sz w:val="16"/>
                <w:szCs w:val="16"/>
                <w:lang w:val="et-EE" w:eastAsia="et-EE"/>
              </w:rPr>
            </w:pPr>
            <w:r w:rsidRPr="007E2CCC">
              <w:rPr>
                <w:rFonts w:ascii="Arial" w:eastAsia="Times New Roman" w:hAnsi="Arial" w:cs="Arial"/>
                <w:b/>
                <w:bCs/>
                <w:sz w:val="16"/>
                <w:szCs w:val="16"/>
                <w:lang w:val="et-EE" w:eastAsia="et-EE"/>
              </w:rPr>
              <w:t>Reference</w:t>
            </w:r>
          </w:p>
        </w:tc>
        <w:tc>
          <w:tcPr>
            <w:tcW w:w="993" w:type="dxa"/>
            <w:shd w:val="clear" w:color="000000" w:fill="D8D8D8"/>
            <w:vAlign w:val="center"/>
            <w:hideMark/>
          </w:tcPr>
          <w:p w:rsidR="00E27D83" w:rsidRPr="007E2CCC" w:rsidRDefault="00E27D83" w:rsidP="00E27D83">
            <w:pPr>
              <w:spacing w:after="0" w:line="240" w:lineRule="auto"/>
              <w:rPr>
                <w:rFonts w:ascii="Arial" w:eastAsia="Times New Roman" w:hAnsi="Arial" w:cs="Arial"/>
                <w:b/>
                <w:bCs/>
                <w:sz w:val="16"/>
                <w:szCs w:val="16"/>
                <w:lang w:val="et-EE" w:eastAsia="et-EE"/>
              </w:rPr>
            </w:pPr>
            <w:r w:rsidRPr="007E2CCC">
              <w:rPr>
                <w:rFonts w:ascii="Arial" w:eastAsia="Times New Roman" w:hAnsi="Arial" w:cs="Arial"/>
                <w:b/>
                <w:bCs/>
                <w:sz w:val="16"/>
                <w:szCs w:val="16"/>
                <w:lang w:val="et-EE" w:eastAsia="et-EE"/>
              </w:rPr>
              <w:t>Country</w:t>
            </w:r>
          </w:p>
        </w:tc>
        <w:tc>
          <w:tcPr>
            <w:tcW w:w="992" w:type="dxa"/>
            <w:shd w:val="clear" w:color="000000" w:fill="D8D8D8"/>
            <w:vAlign w:val="center"/>
            <w:hideMark/>
          </w:tcPr>
          <w:p w:rsidR="00E27D83" w:rsidRPr="007E2CCC" w:rsidRDefault="00E27D83" w:rsidP="00E27D83">
            <w:pPr>
              <w:spacing w:after="0" w:line="240" w:lineRule="auto"/>
              <w:rPr>
                <w:rFonts w:ascii="Arial" w:eastAsia="Times New Roman" w:hAnsi="Arial" w:cs="Arial"/>
                <w:b/>
                <w:bCs/>
                <w:sz w:val="16"/>
                <w:szCs w:val="16"/>
                <w:lang w:val="et-EE" w:eastAsia="et-EE"/>
              </w:rPr>
            </w:pPr>
            <w:r w:rsidRPr="007E2CCC">
              <w:rPr>
                <w:rFonts w:ascii="Arial" w:eastAsia="Times New Roman" w:hAnsi="Arial" w:cs="Arial"/>
                <w:b/>
                <w:bCs/>
                <w:sz w:val="16"/>
                <w:szCs w:val="16"/>
                <w:lang w:val="et-EE" w:eastAsia="et-EE"/>
              </w:rPr>
              <w:t>Region</w:t>
            </w:r>
          </w:p>
        </w:tc>
        <w:tc>
          <w:tcPr>
            <w:tcW w:w="1134" w:type="dxa"/>
            <w:shd w:val="clear" w:color="000000" w:fill="D8D8D8"/>
            <w:vAlign w:val="center"/>
            <w:hideMark/>
          </w:tcPr>
          <w:p w:rsidR="00E27D83" w:rsidRPr="007E2CCC" w:rsidRDefault="00E27D83" w:rsidP="00E27D83">
            <w:pPr>
              <w:spacing w:after="0" w:line="240" w:lineRule="auto"/>
              <w:rPr>
                <w:rFonts w:ascii="Arial" w:eastAsia="Times New Roman" w:hAnsi="Arial" w:cs="Arial"/>
                <w:b/>
                <w:bCs/>
                <w:sz w:val="16"/>
                <w:szCs w:val="16"/>
                <w:lang w:val="et-EE" w:eastAsia="et-EE"/>
              </w:rPr>
            </w:pPr>
            <w:r w:rsidRPr="007E2CCC">
              <w:rPr>
                <w:rFonts w:ascii="Arial" w:eastAsia="Times New Roman" w:hAnsi="Arial" w:cs="Arial"/>
                <w:b/>
                <w:bCs/>
                <w:sz w:val="16"/>
                <w:szCs w:val="16"/>
                <w:lang w:val="et-EE" w:eastAsia="et-EE"/>
              </w:rPr>
              <w:t>Type of data</w:t>
            </w:r>
          </w:p>
        </w:tc>
        <w:tc>
          <w:tcPr>
            <w:tcW w:w="850" w:type="dxa"/>
            <w:shd w:val="clear" w:color="000000" w:fill="D8D8D8"/>
            <w:vAlign w:val="center"/>
            <w:hideMark/>
          </w:tcPr>
          <w:p w:rsidR="00E27D83" w:rsidRPr="007E2CCC" w:rsidRDefault="00E27D83" w:rsidP="00E27D83">
            <w:pPr>
              <w:spacing w:after="0" w:line="240" w:lineRule="auto"/>
              <w:rPr>
                <w:rFonts w:ascii="Arial" w:eastAsia="Times New Roman" w:hAnsi="Arial" w:cs="Arial"/>
                <w:b/>
                <w:bCs/>
                <w:sz w:val="16"/>
                <w:szCs w:val="16"/>
                <w:lang w:val="et-EE" w:eastAsia="et-EE"/>
              </w:rPr>
            </w:pPr>
            <w:r w:rsidRPr="007E2CCC">
              <w:rPr>
                <w:rFonts w:ascii="Arial" w:eastAsia="Times New Roman" w:hAnsi="Arial" w:cs="Arial"/>
                <w:b/>
                <w:bCs/>
                <w:sz w:val="16"/>
                <w:szCs w:val="16"/>
                <w:lang w:val="et-EE" w:eastAsia="et-EE"/>
              </w:rPr>
              <w:t>Data period</w:t>
            </w:r>
          </w:p>
        </w:tc>
        <w:tc>
          <w:tcPr>
            <w:tcW w:w="851" w:type="dxa"/>
            <w:shd w:val="clear" w:color="000000" w:fill="D8D8D8"/>
            <w:vAlign w:val="center"/>
            <w:hideMark/>
          </w:tcPr>
          <w:p w:rsidR="00E27D83" w:rsidRPr="007E2CCC" w:rsidRDefault="00E27D83" w:rsidP="00E27D83">
            <w:pPr>
              <w:spacing w:after="0" w:line="240" w:lineRule="auto"/>
              <w:rPr>
                <w:rFonts w:ascii="Arial" w:eastAsia="Times New Roman" w:hAnsi="Arial" w:cs="Arial"/>
                <w:b/>
                <w:bCs/>
                <w:sz w:val="16"/>
                <w:szCs w:val="16"/>
                <w:lang w:val="et-EE" w:eastAsia="et-EE"/>
              </w:rPr>
            </w:pPr>
            <w:r w:rsidRPr="007E2CCC">
              <w:rPr>
                <w:rFonts w:ascii="Arial" w:eastAsia="Times New Roman" w:hAnsi="Arial" w:cs="Arial"/>
                <w:b/>
                <w:bCs/>
                <w:sz w:val="16"/>
                <w:szCs w:val="16"/>
                <w:lang w:val="et-EE" w:eastAsia="et-EE"/>
              </w:rPr>
              <w:t>n</w:t>
            </w:r>
          </w:p>
        </w:tc>
        <w:tc>
          <w:tcPr>
            <w:tcW w:w="992" w:type="dxa"/>
            <w:shd w:val="clear" w:color="000000" w:fill="D8D8D8"/>
            <w:vAlign w:val="center"/>
            <w:hideMark/>
          </w:tcPr>
          <w:p w:rsidR="00E27D83" w:rsidRPr="007E2CCC" w:rsidRDefault="00E27D83" w:rsidP="00E27D83">
            <w:pPr>
              <w:spacing w:after="0" w:line="240" w:lineRule="auto"/>
              <w:rPr>
                <w:rFonts w:ascii="Arial" w:eastAsia="Times New Roman" w:hAnsi="Arial" w:cs="Arial"/>
                <w:b/>
                <w:bCs/>
                <w:sz w:val="16"/>
                <w:szCs w:val="16"/>
                <w:lang w:val="et-EE" w:eastAsia="et-EE"/>
              </w:rPr>
            </w:pPr>
            <w:r w:rsidRPr="007E2CCC">
              <w:rPr>
                <w:rFonts w:ascii="Arial" w:eastAsia="Times New Roman" w:hAnsi="Arial" w:cs="Arial"/>
                <w:b/>
                <w:bCs/>
                <w:sz w:val="16"/>
                <w:szCs w:val="16"/>
                <w:lang w:val="et-EE" w:eastAsia="et-EE"/>
              </w:rPr>
              <w:t>Road user groups reported</w:t>
            </w:r>
          </w:p>
        </w:tc>
        <w:tc>
          <w:tcPr>
            <w:tcW w:w="1701" w:type="dxa"/>
            <w:shd w:val="clear" w:color="000000" w:fill="D8D8D8"/>
            <w:vAlign w:val="center"/>
            <w:hideMark/>
          </w:tcPr>
          <w:p w:rsidR="00E27D83" w:rsidRPr="007E2CCC" w:rsidRDefault="00E27D83" w:rsidP="00E27D83">
            <w:pPr>
              <w:spacing w:after="0" w:line="240" w:lineRule="auto"/>
              <w:rPr>
                <w:rFonts w:ascii="Arial" w:eastAsia="Times New Roman" w:hAnsi="Arial" w:cs="Arial"/>
                <w:b/>
                <w:bCs/>
                <w:sz w:val="16"/>
                <w:szCs w:val="16"/>
                <w:lang w:val="et-EE" w:eastAsia="et-EE"/>
              </w:rPr>
            </w:pPr>
            <w:r w:rsidRPr="007E2CCC">
              <w:rPr>
                <w:rFonts w:ascii="Arial" w:eastAsia="Times New Roman" w:hAnsi="Arial" w:cs="Arial"/>
                <w:b/>
                <w:bCs/>
                <w:sz w:val="16"/>
                <w:szCs w:val="16"/>
                <w:lang w:val="et-EE" w:eastAsia="et-EE"/>
              </w:rPr>
              <w:t>Findings</w:t>
            </w:r>
          </w:p>
        </w:tc>
      </w:tr>
      <w:tr w:rsidR="007E2CCC" w:rsidRPr="007E2CCC" w:rsidTr="0077222F">
        <w:trPr>
          <w:trHeight w:val="1005"/>
        </w:trPr>
        <w:tc>
          <w:tcPr>
            <w:tcW w:w="2852"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 xml:space="preserve">Akama, M. K., Chindia, M. L., Macigo, F. G., &amp; Guthua, S. W. (2007). Pattern of maxillofacial and associated injuries in road traffic accidents. </w:t>
            </w:r>
            <w:r w:rsidRPr="007E2CCC">
              <w:rPr>
                <w:rFonts w:ascii="Arial" w:eastAsia="Times New Roman" w:hAnsi="Arial" w:cs="Arial"/>
                <w:i/>
                <w:iCs/>
                <w:sz w:val="16"/>
                <w:szCs w:val="16"/>
                <w:lang w:val="et-EE" w:eastAsia="et-EE"/>
              </w:rPr>
              <w:t>East African Medical Journal 84</w:t>
            </w:r>
            <w:r w:rsidRPr="007E2CCC">
              <w:rPr>
                <w:rFonts w:ascii="Arial" w:eastAsia="Times New Roman" w:hAnsi="Arial" w:cs="Arial"/>
                <w:sz w:val="16"/>
                <w:szCs w:val="16"/>
                <w:lang w:val="et-EE" w:eastAsia="et-EE"/>
              </w:rPr>
              <w:t>(6, 287-95.</w:t>
            </w:r>
          </w:p>
        </w:tc>
        <w:tc>
          <w:tcPr>
            <w:tcW w:w="993"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Kenya</w:t>
            </w:r>
          </w:p>
        </w:tc>
        <w:tc>
          <w:tcPr>
            <w:tcW w:w="992"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Nairobi</w:t>
            </w:r>
          </w:p>
        </w:tc>
        <w:tc>
          <w:tcPr>
            <w:tcW w:w="1134"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hospital-based study</w:t>
            </w:r>
          </w:p>
        </w:tc>
        <w:tc>
          <w:tcPr>
            <w:tcW w:w="850"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n/a</w:t>
            </w:r>
          </w:p>
        </w:tc>
        <w:tc>
          <w:tcPr>
            <w:tcW w:w="851" w:type="dxa"/>
            <w:shd w:val="clear" w:color="auto" w:fill="auto"/>
            <w:vAlign w:val="center"/>
            <w:hideMark/>
          </w:tcPr>
          <w:p w:rsidR="00E27D83" w:rsidRPr="007E2CCC" w:rsidRDefault="00E27D83" w:rsidP="00E27D83">
            <w:pPr>
              <w:spacing w:after="0" w:line="240" w:lineRule="auto"/>
              <w:jc w:val="right"/>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482</w:t>
            </w:r>
          </w:p>
        </w:tc>
        <w:tc>
          <w:tcPr>
            <w:tcW w:w="992"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all road users</w:t>
            </w:r>
          </w:p>
        </w:tc>
        <w:tc>
          <w:tcPr>
            <w:tcW w:w="1701"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skull fractures, % of all fatal &amp; non-fatal injuries / head injury 37,7%, ~5% skull fractures</w:t>
            </w:r>
          </w:p>
        </w:tc>
      </w:tr>
      <w:tr w:rsidR="007E2CCC" w:rsidRPr="007E2CCC" w:rsidTr="0077222F">
        <w:trPr>
          <w:trHeight w:val="1020"/>
        </w:trPr>
        <w:tc>
          <w:tcPr>
            <w:tcW w:w="2852"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 xml:space="preserve">Gichuhi , K. (2007). Injury Pattern Among Non-fatal Road Traffic Crash Victims. </w:t>
            </w:r>
            <w:r w:rsidRPr="007E2CCC">
              <w:rPr>
                <w:rFonts w:ascii="Arial" w:eastAsia="Times New Roman" w:hAnsi="Arial" w:cs="Arial"/>
                <w:i/>
                <w:iCs/>
                <w:sz w:val="16"/>
                <w:szCs w:val="16"/>
                <w:lang w:val="et-EE" w:eastAsia="et-EE"/>
              </w:rPr>
              <w:t>East African Orthopaedic Journal 1</w:t>
            </w:r>
            <w:r w:rsidRPr="007E2CCC">
              <w:rPr>
                <w:rFonts w:ascii="Arial" w:eastAsia="Times New Roman" w:hAnsi="Arial" w:cs="Arial"/>
                <w:sz w:val="16"/>
                <w:szCs w:val="16"/>
                <w:lang w:val="et-EE" w:eastAsia="et-EE"/>
              </w:rPr>
              <w:t>. 23-25.</w:t>
            </w:r>
          </w:p>
        </w:tc>
        <w:tc>
          <w:tcPr>
            <w:tcW w:w="993"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Kenya</w:t>
            </w:r>
          </w:p>
        </w:tc>
        <w:tc>
          <w:tcPr>
            <w:tcW w:w="992"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Nairobi</w:t>
            </w:r>
          </w:p>
        </w:tc>
        <w:tc>
          <w:tcPr>
            <w:tcW w:w="1134"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hospital-based study</w:t>
            </w:r>
          </w:p>
        </w:tc>
        <w:tc>
          <w:tcPr>
            <w:tcW w:w="850" w:type="dxa"/>
            <w:shd w:val="clear" w:color="auto" w:fill="auto"/>
            <w:vAlign w:val="center"/>
            <w:hideMark/>
          </w:tcPr>
          <w:p w:rsidR="00E27D83" w:rsidRPr="007E2CCC" w:rsidRDefault="00E27D83" w:rsidP="00E27D83">
            <w:pPr>
              <w:spacing w:after="0" w:line="240" w:lineRule="auto"/>
              <w:jc w:val="right"/>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2004</w:t>
            </w:r>
          </w:p>
        </w:tc>
        <w:tc>
          <w:tcPr>
            <w:tcW w:w="851"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1424 victims of road traffic crashes</w:t>
            </w:r>
          </w:p>
        </w:tc>
        <w:tc>
          <w:tcPr>
            <w:tcW w:w="992"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all road users</w:t>
            </w:r>
          </w:p>
        </w:tc>
        <w:tc>
          <w:tcPr>
            <w:tcW w:w="1701"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head injury 25,6%, femoral fracture 12,4%, spine injury 1,1%, ruptured eye 0,2%, % of all fatal &amp; non-fatal injuries</w:t>
            </w:r>
          </w:p>
        </w:tc>
      </w:tr>
      <w:tr w:rsidR="007E2CCC" w:rsidRPr="007E2CCC" w:rsidTr="0077222F">
        <w:trPr>
          <w:trHeight w:val="1785"/>
        </w:trPr>
        <w:tc>
          <w:tcPr>
            <w:tcW w:w="2852"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Masaoe, E. N. (2007). Study on Road Accidents in Mainland Tanzania. Final Report submitted to Surface and Marine Transport Regulatory Authority (SUMATRA). http://www.sumatra.or.tz/index.php/component/docman/doc_view/49-study-on-road-accidents-in-mainland-tanzania?Itemid=317 (Accessed on 24.07.2014)</w:t>
            </w:r>
          </w:p>
        </w:tc>
        <w:tc>
          <w:tcPr>
            <w:tcW w:w="993"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Tanzania</w:t>
            </w:r>
          </w:p>
        </w:tc>
        <w:tc>
          <w:tcPr>
            <w:tcW w:w="992"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p>
        </w:tc>
        <w:tc>
          <w:tcPr>
            <w:tcW w:w="1134"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survey of RTI survivors &amp; relatives</w:t>
            </w:r>
          </w:p>
        </w:tc>
        <w:tc>
          <w:tcPr>
            <w:tcW w:w="850"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1994-2007</w:t>
            </w:r>
          </w:p>
        </w:tc>
        <w:tc>
          <w:tcPr>
            <w:tcW w:w="851"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102 RTI victims/relatives</w:t>
            </w:r>
          </w:p>
        </w:tc>
        <w:tc>
          <w:tcPr>
            <w:tcW w:w="992"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all road users</w:t>
            </w:r>
          </w:p>
        </w:tc>
        <w:tc>
          <w:tcPr>
            <w:tcW w:w="1701"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Head injuries 11%, back injuries 10%, sight problems 2% of all fatal &amp; non-fatal injuries</w:t>
            </w:r>
          </w:p>
        </w:tc>
      </w:tr>
      <w:tr w:rsidR="00E27D83" w:rsidRPr="007E2CCC" w:rsidTr="0077222F">
        <w:trPr>
          <w:trHeight w:val="1515"/>
        </w:trPr>
        <w:tc>
          <w:tcPr>
            <w:tcW w:w="2852"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 xml:space="preserve">Chalya, P. L., Mabula, J. B., Dass, R. M., Mbelenge, N., Ngayomela, I. H., Chandika, A. B., &amp; Gilyoma, J. M. (2012). Injury characteristics and outcome of road traffic crash victims at Bugando Medical Centre in Northwestern Tanzania. </w:t>
            </w:r>
            <w:r w:rsidRPr="007E2CCC">
              <w:rPr>
                <w:rFonts w:ascii="Arial" w:eastAsia="Times New Roman" w:hAnsi="Arial" w:cs="Arial"/>
                <w:i/>
                <w:iCs/>
                <w:sz w:val="16"/>
                <w:szCs w:val="16"/>
                <w:lang w:val="et-EE" w:eastAsia="et-EE"/>
              </w:rPr>
              <w:t>Journal of Trauma Management &amp; Outcomes 6</w:t>
            </w:r>
            <w:r w:rsidRPr="007E2CCC">
              <w:rPr>
                <w:rFonts w:ascii="Arial" w:eastAsia="Times New Roman" w:hAnsi="Arial" w:cs="Arial"/>
                <w:sz w:val="16"/>
                <w:szCs w:val="16"/>
                <w:lang w:val="et-EE" w:eastAsia="et-EE"/>
              </w:rPr>
              <w:t>(1).</w:t>
            </w:r>
          </w:p>
        </w:tc>
        <w:tc>
          <w:tcPr>
            <w:tcW w:w="993"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Tanzania</w:t>
            </w:r>
          </w:p>
        </w:tc>
        <w:tc>
          <w:tcPr>
            <w:tcW w:w="992"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Northwestern Tanzania</w:t>
            </w:r>
          </w:p>
        </w:tc>
        <w:tc>
          <w:tcPr>
            <w:tcW w:w="1134"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hospital-based survey</w:t>
            </w:r>
          </w:p>
        </w:tc>
        <w:tc>
          <w:tcPr>
            <w:tcW w:w="850"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2010-2011</w:t>
            </w:r>
          </w:p>
        </w:tc>
        <w:tc>
          <w:tcPr>
            <w:tcW w:w="851"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1678 road traffic crash victims</w:t>
            </w:r>
          </w:p>
        </w:tc>
        <w:tc>
          <w:tcPr>
            <w:tcW w:w="992"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all road users</w:t>
            </w:r>
          </w:p>
        </w:tc>
        <w:tc>
          <w:tcPr>
            <w:tcW w:w="1701"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all head injuries 52.1%, spinal fractures 1,4%, skull/maxillofacial fractures 19,7%, pelvic fractures 3,6%,  % of all fatal &amp; non-fatal injuries</w:t>
            </w:r>
          </w:p>
        </w:tc>
      </w:tr>
    </w:tbl>
    <w:p w:rsidR="00E27D83" w:rsidRPr="007E2CCC" w:rsidRDefault="00E27D83" w:rsidP="00E27D83">
      <w:pPr>
        <w:spacing w:after="120" w:line="240" w:lineRule="auto"/>
        <w:rPr>
          <w:lang w:val="et-EE"/>
        </w:rPr>
      </w:pPr>
    </w:p>
    <w:p w:rsidR="00E27D83" w:rsidRPr="007E2CCC" w:rsidRDefault="00E27D83" w:rsidP="009B6778">
      <w:pPr>
        <w:pStyle w:val="Heading3"/>
        <w:rPr>
          <w:color w:val="auto"/>
          <w:lang w:bidi="en-US"/>
        </w:rPr>
      </w:pPr>
      <w:bookmarkStart w:id="22" w:name="_Toc404917319"/>
      <w:r w:rsidRPr="007E2CCC">
        <w:rPr>
          <w:color w:val="auto"/>
          <w:lang w:bidi="en-US"/>
        </w:rPr>
        <w:t xml:space="preserve">4.2 Sequelae of road traffic accidents, </w:t>
      </w:r>
      <w:bookmarkEnd w:id="22"/>
      <w:r w:rsidR="0077222F" w:rsidRPr="007E2CCC">
        <w:rPr>
          <w:color w:val="auto"/>
          <w:lang w:bidi="en-US"/>
        </w:rPr>
        <w:t>South-East Asia</w:t>
      </w:r>
    </w:p>
    <w:p w:rsidR="00E27D83" w:rsidRPr="007E2CCC" w:rsidRDefault="00E27D83" w:rsidP="00E27D83">
      <w:pPr>
        <w:spacing w:after="120" w:line="240" w:lineRule="auto"/>
        <w:rPr>
          <w:lang w:val="et-EE"/>
        </w:rPr>
      </w:pPr>
      <w:r w:rsidRPr="007E2CCC">
        <w:rPr>
          <w:lang w:val="et-EE"/>
        </w:rPr>
        <w:t xml:space="preserve">As for </w:t>
      </w:r>
      <w:r w:rsidR="0077222F" w:rsidRPr="007E2CCC">
        <w:rPr>
          <w:lang w:val="et-EE"/>
        </w:rPr>
        <w:t xml:space="preserve">South-East Asia </w:t>
      </w:r>
      <w:r w:rsidRPr="007E2CCC">
        <w:rPr>
          <w:lang w:val="et-EE"/>
        </w:rPr>
        <w:t>region, only available data on sequelae of RTAs originated from India (8 studies, 5 of them autopsy studies, the rest hospital-based or surveillance data, see Table 14). The data seem to indicate that head injuries, including skull fracture, are present at up to 70% of fatal RTIs; the prevalence of the rest of the sequelae vary depending on the road user status of accident victims and other circumstances of the injury.</w:t>
      </w:r>
    </w:p>
    <w:p w:rsidR="00E27D83" w:rsidRPr="007E2CCC" w:rsidRDefault="00E27D83" w:rsidP="00E27D83">
      <w:pPr>
        <w:spacing w:after="120" w:line="240" w:lineRule="auto"/>
        <w:rPr>
          <w:lang w:val="et-EE"/>
        </w:rPr>
      </w:pPr>
    </w:p>
    <w:p w:rsidR="00E27D83" w:rsidRPr="007E2CCC" w:rsidRDefault="00E27D83" w:rsidP="00E27D83">
      <w:pPr>
        <w:spacing w:after="120" w:line="240" w:lineRule="auto"/>
        <w:rPr>
          <w:lang w:val="et-EE"/>
        </w:rPr>
      </w:pPr>
      <w:r w:rsidRPr="007E2CCC">
        <w:rPr>
          <w:b/>
          <w:lang w:val="et-EE"/>
        </w:rPr>
        <w:t>Table 14.</w:t>
      </w:r>
      <w:r w:rsidRPr="007E2CCC">
        <w:rPr>
          <w:lang w:val="et-EE"/>
        </w:rPr>
        <w:t xml:space="preserve"> Data on sequelae of road traffic accidents, </w:t>
      </w:r>
      <w:r w:rsidR="0077222F" w:rsidRPr="007E2CCC">
        <w:rPr>
          <w:lang w:val="et-EE"/>
        </w:rPr>
        <w:t>South-East Asia</w:t>
      </w:r>
    </w:p>
    <w:tbl>
      <w:tblPr>
        <w:tblW w:w="10365" w:type="dxa"/>
        <w:tblInd w:w="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
      <w:tblGrid>
        <w:gridCol w:w="2852"/>
        <w:gridCol w:w="993"/>
        <w:gridCol w:w="992"/>
        <w:gridCol w:w="1134"/>
        <w:gridCol w:w="850"/>
        <w:gridCol w:w="851"/>
        <w:gridCol w:w="992"/>
        <w:gridCol w:w="1701"/>
      </w:tblGrid>
      <w:tr w:rsidR="007E2CCC" w:rsidRPr="007E2CCC" w:rsidTr="0077222F">
        <w:trPr>
          <w:trHeight w:val="1020"/>
        </w:trPr>
        <w:tc>
          <w:tcPr>
            <w:tcW w:w="2852" w:type="dxa"/>
            <w:shd w:val="clear" w:color="auto" w:fill="D9D9D9" w:themeFill="background1" w:themeFillShade="D9"/>
            <w:vAlign w:val="center"/>
            <w:hideMark/>
          </w:tcPr>
          <w:p w:rsidR="00E27D83" w:rsidRPr="007E2CCC" w:rsidRDefault="00E27D83" w:rsidP="00E27D83">
            <w:pPr>
              <w:spacing w:after="0" w:line="240" w:lineRule="auto"/>
              <w:rPr>
                <w:rFonts w:ascii="Arial" w:eastAsia="Times New Roman" w:hAnsi="Arial" w:cs="Arial"/>
                <w:b/>
                <w:bCs/>
                <w:sz w:val="16"/>
                <w:szCs w:val="16"/>
                <w:lang w:val="et-EE" w:eastAsia="et-EE"/>
              </w:rPr>
            </w:pPr>
            <w:r w:rsidRPr="007E2CCC">
              <w:rPr>
                <w:rFonts w:ascii="Arial" w:eastAsia="Times New Roman" w:hAnsi="Arial" w:cs="Arial"/>
                <w:b/>
                <w:bCs/>
                <w:sz w:val="16"/>
                <w:szCs w:val="16"/>
                <w:lang w:val="et-EE" w:eastAsia="et-EE"/>
              </w:rPr>
              <w:t>Reference</w:t>
            </w:r>
          </w:p>
        </w:tc>
        <w:tc>
          <w:tcPr>
            <w:tcW w:w="993" w:type="dxa"/>
            <w:shd w:val="clear" w:color="auto" w:fill="D9D9D9" w:themeFill="background1" w:themeFillShade="D9"/>
            <w:vAlign w:val="center"/>
            <w:hideMark/>
          </w:tcPr>
          <w:p w:rsidR="00E27D83" w:rsidRPr="007E2CCC" w:rsidRDefault="00E27D83" w:rsidP="00E27D83">
            <w:pPr>
              <w:spacing w:after="0" w:line="240" w:lineRule="auto"/>
              <w:rPr>
                <w:rFonts w:ascii="Arial" w:eastAsia="Times New Roman" w:hAnsi="Arial" w:cs="Arial"/>
                <w:b/>
                <w:bCs/>
                <w:sz w:val="16"/>
                <w:szCs w:val="16"/>
                <w:lang w:val="et-EE" w:eastAsia="et-EE"/>
              </w:rPr>
            </w:pPr>
            <w:r w:rsidRPr="007E2CCC">
              <w:rPr>
                <w:rFonts w:ascii="Arial" w:eastAsia="Times New Roman" w:hAnsi="Arial" w:cs="Arial"/>
                <w:b/>
                <w:bCs/>
                <w:sz w:val="16"/>
                <w:szCs w:val="16"/>
                <w:lang w:val="et-EE" w:eastAsia="et-EE"/>
              </w:rPr>
              <w:t>Country</w:t>
            </w:r>
          </w:p>
        </w:tc>
        <w:tc>
          <w:tcPr>
            <w:tcW w:w="992" w:type="dxa"/>
            <w:shd w:val="clear" w:color="auto" w:fill="D9D9D9" w:themeFill="background1" w:themeFillShade="D9"/>
            <w:vAlign w:val="center"/>
            <w:hideMark/>
          </w:tcPr>
          <w:p w:rsidR="00E27D83" w:rsidRPr="007E2CCC" w:rsidRDefault="00E27D83" w:rsidP="00E27D83">
            <w:pPr>
              <w:spacing w:after="0" w:line="240" w:lineRule="auto"/>
              <w:rPr>
                <w:rFonts w:ascii="Arial" w:eastAsia="Times New Roman" w:hAnsi="Arial" w:cs="Arial"/>
                <w:b/>
                <w:bCs/>
                <w:sz w:val="16"/>
                <w:szCs w:val="16"/>
                <w:lang w:val="et-EE" w:eastAsia="et-EE"/>
              </w:rPr>
            </w:pPr>
            <w:r w:rsidRPr="007E2CCC">
              <w:rPr>
                <w:rFonts w:ascii="Arial" w:eastAsia="Times New Roman" w:hAnsi="Arial" w:cs="Arial"/>
                <w:b/>
                <w:bCs/>
                <w:sz w:val="16"/>
                <w:szCs w:val="16"/>
                <w:lang w:val="et-EE" w:eastAsia="et-EE"/>
              </w:rPr>
              <w:t>Region</w:t>
            </w:r>
          </w:p>
        </w:tc>
        <w:tc>
          <w:tcPr>
            <w:tcW w:w="1134" w:type="dxa"/>
            <w:shd w:val="clear" w:color="auto" w:fill="D9D9D9" w:themeFill="background1" w:themeFillShade="D9"/>
            <w:vAlign w:val="center"/>
            <w:hideMark/>
          </w:tcPr>
          <w:p w:rsidR="00E27D83" w:rsidRPr="007E2CCC" w:rsidRDefault="00E27D83" w:rsidP="00E27D83">
            <w:pPr>
              <w:spacing w:after="0" w:line="240" w:lineRule="auto"/>
              <w:rPr>
                <w:rFonts w:ascii="Arial" w:eastAsia="Times New Roman" w:hAnsi="Arial" w:cs="Arial"/>
                <w:b/>
                <w:bCs/>
                <w:sz w:val="16"/>
                <w:szCs w:val="16"/>
                <w:lang w:val="et-EE" w:eastAsia="et-EE"/>
              </w:rPr>
            </w:pPr>
            <w:r w:rsidRPr="007E2CCC">
              <w:rPr>
                <w:rFonts w:ascii="Arial" w:eastAsia="Times New Roman" w:hAnsi="Arial" w:cs="Arial"/>
                <w:b/>
                <w:bCs/>
                <w:sz w:val="16"/>
                <w:szCs w:val="16"/>
                <w:lang w:val="et-EE" w:eastAsia="et-EE"/>
              </w:rPr>
              <w:t>Type of data</w:t>
            </w:r>
          </w:p>
        </w:tc>
        <w:tc>
          <w:tcPr>
            <w:tcW w:w="850" w:type="dxa"/>
            <w:shd w:val="clear" w:color="auto" w:fill="D9D9D9" w:themeFill="background1" w:themeFillShade="D9"/>
            <w:vAlign w:val="center"/>
            <w:hideMark/>
          </w:tcPr>
          <w:p w:rsidR="00E27D83" w:rsidRPr="007E2CCC" w:rsidRDefault="00E27D83" w:rsidP="00E27D83">
            <w:pPr>
              <w:spacing w:after="0" w:line="240" w:lineRule="auto"/>
              <w:rPr>
                <w:rFonts w:ascii="Arial" w:eastAsia="Times New Roman" w:hAnsi="Arial" w:cs="Arial"/>
                <w:b/>
                <w:bCs/>
                <w:sz w:val="16"/>
                <w:szCs w:val="16"/>
                <w:lang w:val="et-EE" w:eastAsia="et-EE"/>
              </w:rPr>
            </w:pPr>
            <w:r w:rsidRPr="007E2CCC">
              <w:rPr>
                <w:rFonts w:ascii="Arial" w:eastAsia="Times New Roman" w:hAnsi="Arial" w:cs="Arial"/>
                <w:b/>
                <w:bCs/>
                <w:sz w:val="16"/>
                <w:szCs w:val="16"/>
                <w:lang w:val="et-EE" w:eastAsia="et-EE"/>
              </w:rPr>
              <w:t>Data period</w:t>
            </w:r>
          </w:p>
        </w:tc>
        <w:tc>
          <w:tcPr>
            <w:tcW w:w="851" w:type="dxa"/>
            <w:shd w:val="clear" w:color="auto" w:fill="D9D9D9" w:themeFill="background1" w:themeFillShade="D9"/>
            <w:vAlign w:val="center"/>
            <w:hideMark/>
          </w:tcPr>
          <w:p w:rsidR="00E27D83" w:rsidRPr="007E2CCC" w:rsidRDefault="00E27D83" w:rsidP="00E27D83">
            <w:pPr>
              <w:spacing w:after="0" w:line="240" w:lineRule="auto"/>
              <w:rPr>
                <w:rFonts w:ascii="Arial" w:eastAsia="Times New Roman" w:hAnsi="Arial" w:cs="Arial"/>
                <w:b/>
                <w:bCs/>
                <w:sz w:val="16"/>
                <w:szCs w:val="16"/>
                <w:lang w:val="et-EE" w:eastAsia="et-EE"/>
              </w:rPr>
            </w:pPr>
            <w:r w:rsidRPr="007E2CCC">
              <w:rPr>
                <w:rFonts w:ascii="Arial" w:eastAsia="Times New Roman" w:hAnsi="Arial" w:cs="Arial"/>
                <w:b/>
                <w:bCs/>
                <w:sz w:val="16"/>
                <w:szCs w:val="16"/>
                <w:lang w:val="et-EE" w:eastAsia="et-EE"/>
              </w:rPr>
              <w:t>n</w:t>
            </w:r>
          </w:p>
        </w:tc>
        <w:tc>
          <w:tcPr>
            <w:tcW w:w="992" w:type="dxa"/>
            <w:shd w:val="clear" w:color="auto" w:fill="D9D9D9" w:themeFill="background1" w:themeFillShade="D9"/>
            <w:vAlign w:val="center"/>
            <w:hideMark/>
          </w:tcPr>
          <w:p w:rsidR="00E27D83" w:rsidRPr="007E2CCC" w:rsidRDefault="00E27D83" w:rsidP="00E27D83">
            <w:pPr>
              <w:spacing w:after="0" w:line="240" w:lineRule="auto"/>
              <w:rPr>
                <w:rFonts w:ascii="Arial" w:eastAsia="Times New Roman" w:hAnsi="Arial" w:cs="Arial"/>
                <w:b/>
                <w:bCs/>
                <w:sz w:val="16"/>
                <w:szCs w:val="16"/>
                <w:lang w:val="et-EE" w:eastAsia="et-EE"/>
              </w:rPr>
            </w:pPr>
            <w:r w:rsidRPr="007E2CCC">
              <w:rPr>
                <w:rFonts w:ascii="Arial" w:eastAsia="Times New Roman" w:hAnsi="Arial" w:cs="Arial"/>
                <w:b/>
                <w:bCs/>
                <w:sz w:val="16"/>
                <w:szCs w:val="16"/>
                <w:lang w:val="et-EE" w:eastAsia="et-EE"/>
              </w:rPr>
              <w:t>Road user groups reported</w:t>
            </w:r>
          </w:p>
        </w:tc>
        <w:tc>
          <w:tcPr>
            <w:tcW w:w="1701" w:type="dxa"/>
            <w:shd w:val="clear" w:color="auto" w:fill="D9D9D9" w:themeFill="background1" w:themeFillShade="D9"/>
            <w:vAlign w:val="center"/>
            <w:hideMark/>
          </w:tcPr>
          <w:p w:rsidR="00E27D83" w:rsidRPr="007E2CCC" w:rsidRDefault="00E27D83" w:rsidP="00E27D83">
            <w:pPr>
              <w:spacing w:after="0" w:line="240" w:lineRule="auto"/>
              <w:rPr>
                <w:rFonts w:ascii="Arial" w:eastAsia="Times New Roman" w:hAnsi="Arial" w:cs="Arial"/>
                <w:b/>
                <w:bCs/>
                <w:sz w:val="16"/>
                <w:szCs w:val="16"/>
                <w:lang w:val="et-EE" w:eastAsia="et-EE"/>
              </w:rPr>
            </w:pPr>
            <w:r w:rsidRPr="007E2CCC">
              <w:rPr>
                <w:rFonts w:ascii="Arial" w:eastAsia="Times New Roman" w:hAnsi="Arial" w:cs="Arial"/>
                <w:b/>
                <w:bCs/>
                <w:sz w:val="16"/>
                <w:szCs w:val="16"/>
                <w:lang w:val="et-EE" w:eastAsia="et-EE"/>
              </w:rPr>
              <w:t>Findings</w:t>
            </w:r>
          </w:p>
        </w:tc>
      </w:tr>
      <w:tr w:rsidR="007E2CCC" w:rsidRPr="007E2CCC" w:rsidTr="0077222F">
        <w:trPr>
          <w:trHeight w:val="1020"/>
        </w:trPr>
        <w:tc>
          <w:tcPr>
            <w:tcW w:w="2852"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Manish, K, Jyothi, N. S, Pawar, G. S., Jatti, V. B. (2012). Fatal Head Injuries in Road Traffic Accidents in and around Davangere: A Prospective Study. Indian Journal of Forensic Medicine and Pathology 5(2).</w:t>
            </w:r>
          </w:p>
        </w:tc>
        <w:tc>
          <w:tcPr>
            <w:tcW w:w="993"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India</w:t>
            </w:r>
          </w:p>
        </w:tc>
        <w:tc>
          <w:tcPr>
            <w:tcW w:w="992"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Davangere</w:t>
            </w:r>
          </w:p>
        </w:tc>
        <w:tc>
          <w:tcPr>
            <w:tcW w:w="1134"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autopsy study</w:t>
            </w:r>
          </w:p>
        </w:tc>
        <w:tc>
          <w:tcPr>
            <w:tcW w:w="850"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2005-2007</w:t>
            </w:r>
          </w:p>
        </w:tc>
        <w:tc>
          <w:tcPr>
            <w:tcW w:w="851"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408 RTI deaths</w:t>
            </w:r>
          </w:p>
        </w:tc>
        <w:tc>
          <w:tcPr>
            <w:tcW w:w="992"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all road users</w:t>
            </w:r>
          </w:p>
        </w:tc>
        <w:tc>
          <w:tcPr>
            <w:tcW w:w="1701"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fractured skull, 40,1% of all fatal injuries</w:t>
            </w:r>
          </w:p>
        </w:tc>
      </w:tr>
      <w:tr w:rsidR="007E2CCC" w:rsidRPr="007E2CCC" w:rsidTr="0077222F">
        <w:trPr>
          <w:trHeight w:val="1020"/>
        </w:trPr>
        <w:tc>
          <w:tcPr>
            <w:tcW w:w="2852"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 xml:space="preserve">Sharma, B.R., Sharma, A.K., Sharma, S. &amp; Singh, H. (2007). Fatal Road Traffic Injuries in Northern India: Can They Be Prevented? </w:t>
            </w:r>
            <w:r w:rsidRPr="007E2CCC">
              <w:rPr>
                <w:rFonts w:ascii="Arial" w:eastAsia="Times New Roman" w:hAnsi="Arial" w:cs="Arial"/>
                <w:i/>
                <w:iCs/>
                <w:sz w:val="16"/>
                <w:szCs w:val="16"/>
                <w:lang w:val="et-EE" w:eastAsia="et-EE"/>
              </w:rPr>
              <w:t>Trends in Medical Research 2</w:t>
            </w:r>
            <w:r w:rsidRPr="007E2CCC">
              <w:rPr>
                <w:rFonts w:ascii="Arial" w:eastAsia="Times New Roman" w:hAnsi="Arial" w:cs="Arial"/>
                <w:sz w:val="16"/>
                <w:szCs w:val="16"/>
                <w:lang w:val="et-EE" w:eastAsia="et-EE"/>
              </w:rPr>
              <w:t>(3), 142-148.</w:t>
            </w:r>
          </w:p>
        </w:tc>
        <w:tc>
          <w:tcPr>
            <w:tcW w:w="993"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India</w:t>
            </w:r>
          </w:p>
        </w:tc>
        <w:tc>
          <w:tcPr>
            <w:tcW w:w="992"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Northern India</w:t>
            </w:r>
          </w:p>
        </w:tc>
        <w:tc>
          <w:tcPr>
            <w:tcW w:w="1134"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autopsy study</w:t>
            </w:r>
          </w:p>
        </w:tc>
        <w:tc>
          <w:tcPr>
            <w:tcW w:w="850"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1996-2005</w:t>
            </w:r>
          </w:p>
        </w:tc>
        <w:tc>
          <w:tcPr>
            <w:tcW w:w="851"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1109 autopsies</w:t>
            </w:r>
          </w:p>
        </w:tc>
        <w:tc>
          <w:tcPr>
            <w:tcW w:w="992"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all road users</w:t>
            </w:r>
          </w:p>
        </w:tc>
        <w:tc>
          <w:tcPr>
            <w:tcW w:w="1701"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br/>
              <w:t>head injury w/ skull fracture 52,4%, head injury w/o skull fracture 8,6%, % of all fatal injuries</w:t>
            </w:r>
          </w:p>
        </w:tc>
      </w:tr>
      <w:tr w:rsidR="007E2CCC" w:rsidRPr="007E2CCC" w:rsidTr="0077222F">
        <w:trPr>
          <w:trHeight w:val="1020"/>
        </w:trPr>
        <w:tc>
          <w:tcPr>
            <w:tcW w:w="2852"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Patil, S. S., Kakade, R. V., Durgawale, P. M., &amp; Kakade, S. V. (2008). Pattern of Road Traffic Injuries: A Study from Western Maharashtra. Indian Journal of Community Medicine 33(1), 56-57.</w:t>
            </w:r>
          </w:p>
        </w:tc>
        <w:tc>
          <w:tcPr>
            <w:tcW w:w="993"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India</w:t>
            </w:r>
          </w:p>
        </w:tc>
        <w:tc>
          <w:tcPr>
            <w:tcW w:w="992"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Western Maharashtra</w:t>
            </w:r>
          </w:p>
        </w:tc>
        <w:tc>
          <w:tcPr>
            <w:tcW w:w="1134"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hospital-based study</w:t>
            </w:r>
          </w:p>
        </w:tc>
        <w:tc>
          <w:tcPr>
            <w:tcW w:w="850"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2003-2004</w:t>
            </w:r>
          </w:p>
        </w:tc>
        <w:tc>
          <w:tcPr>
            <w:tcW w:w="851"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350 RTIs</w:t>
            </w:r>
          </w:p>
        </w:tc>
        <w:tc>
          <w:tcPr>
            <w:tcW w:w="992"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all road users</w:t>
            </w:r>
          </w:p>
        </w:tc>
        <w:tc>
          <w:tcPr>
            <w:tcW w:w="1701"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13,2% skull fracture</w:t>
            </w:r>
          </w:p>
        </w:tc>
      </w:tr>
      <w:tr w:rsidR="007E2CCC" w:rsidRPr="007E2CCC" w:rsidTr="0077222F">
        <w:trPr>
          <w:trHeight w:val="1260"/>
        </w:trPr>
        <w:tc>
          <w:tcPr>
            <w:tcW w:w="2852"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 xml:space="preserve">Kumar, A., Lalwani, S., Deepak, A., Rautji. R., &amp; Dogra, T. D. (2008). Fatal road traffic accidents and their relationship with head injuries: An epidemiological survey of five years. </w:t>
            </w:r>
            <w:r w:rsidRPr="007E2CCC">
              <w:rPr>
                <w:rFonts w:ascii="Arial" w:eastAsia="Times New Roman" w:hAnsi="Arial" w:cs="Arial"/>
                <w:i/>
                <w:iCs/>
                <w:sz w:val="16"/>
                <w:szCs w:val="16"/>
                <w:lang w:val="et-EE" w:eastAsia="et-EE"/>
              </w:rPr>
              <w:t>Indian Journal of Neurotrauma  5</w:t>
            </w:r>
            <w:r w:rsidRPr="007E2CCC">
              <w:rPr>
                <w:rFonts w:ascii="Arial" w:eastAsia="Times New Roman" w:hAnsi="Arial" w:cs="Arial"/>
                <w:sz w:val="16"/>
                <w:szCs w:val="16"/>
                <w:lang w:val="et-EE" w:eastAsia="et-EE"/>
              </w:rPr>
              <w:t>(2), 63-67.</w:t>
            </w:r>
          </w:p>
        </w:tc>
        <w:tc>
          <w:tcPr>
            <w:tcW w:w="993"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India</w:t>
            </w:r>
          </w:p>
        </w:tc>
        <w:tc>
          <w:tcPr>
            <w:tcW w:w="992"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p>
        </w:tc>
        <w:tc>
          <w:tcPr>
            <w:tcW w:w="1134"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autopsy study</w:t>
            </w:r>
          </w:p>
        </w:tc>
        <w:tc>
          <w:tcPr>
            <w:tcW w:w="850"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2001-2005</w:t>
            </w:r>
          </w:p>
        </w:tc>
        <w:tc>
          <w:tcPr>
            <w:tcW w:w="851"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2472 autopsies of vehicular accidents</w:t>
            </w:r>
          </w:p>
        </w:tc>
        <w:tc>
          <w:tcPr>
            <w:tcW w:w="992"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all road users</w:t>
            </w:r>
          </w:p>
        </w:tc>
        <w:tc>
          <w:tcPr>
            <w:tcW w:w="1701"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68,7 head injury, 69,6% skull fracture, intracranial hemorrhage ~89%, spine fracture 6,4%; % of all fatal injuries</w:t>
            </w:r>
          </w:p>
        </w:tc>
      </w:tr>
      <w:tr w:rsidR="007E2CCC" w:rsidRPr="007E2CCC" w:rsidTr="0077222F">
        <w:trPr>
          <w:trHeight w:val="1005"/>
        </w:trPr>
        <w:tc>
          <w:tcPr>
            <w:tcW w:w="2852"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 xml:space="preserve">Khajuria, B., Sharma, R., &amp; Verma, A. (2008). A profile of the autopsies of road traffic accident victims in Jammu. </w:t>
            </w:r>
            <w:r w:rsidRPr="007E2CCC">
              <w:rPr>
                <w:rFonts w:ascii="Arial" w:eastAsia="Times New Roman" w:hAnsi="Arial" w:cs="Arial"/>
                <w:i/>
                <w:iCs/>
                <w:sz w:val="16"/>
                <w:szCs w:val="16"/>
                <w:lang w:val="et-EE" w:eastAsia="et-EE"/>
              </w:rPr>
              <w:t>Journal of Clinical and Diagnostic Research 2</w:t>
            </w:r>
            <w:r w:rsidRPr="007E2CCC">
              <w:rPr>
                <w:rFonts w:ascii="Arial" w:eastAsia="Times New Roman" w:hAnsi="Arial" w:cs="Arial"/>
                <w:sz w:val="16"/>
                <w:szCs w:val="16"/>
                <w:lang w:val="et-EE" w:eastAsia="et-EE"/>
              </w:rPr>
              <w:t>, 639-642</w:t>
            </w:r>
          </w:p>
        </w:tc>
        <w:tc>
          <w:tcPr>
            <w:tcW w:w="993"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India</w:t>
            </w:r>
          </w:p>
        </w:tc>
        <w:tc>
          <w:tcPr>
            <w:tcW w:w="992"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p>
        </w:tc>
        <w:tc>
          <w:tcPr>
            <w:tcW w:w="1134"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autopsy study</w:t>
            </w:r>
          </w:p>
        </w:tc>
        <w:tc>
          <w:tcPr>
            <w:tcW w:w="850"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2000-2005</w:t>
            </w:r>
          </w:p>
        </w:tc>
        <w:tc>
          <w:tcPr>
            <w:tcW w:w="851"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249 RTA victims</w:t>
            </w:r>
          </w:p>
        </w:tc>
        <w:tc>
          <w:tcPr>
            <w:tcW w:w="992"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all road users</w:t>
            </w:r>
          </w:p>
        </w:tc>
        <w:tc>
          <w:tcPr>
            <w:tcW w:w="1701"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of deaths: head injury 69,48%; spine injury 0,8% / of injuries: head injury 28,62%; spine injury 0,82%</w:t>
            </w:r>
          </w:p>
        </w:tc>
      </w:tr>
      <w:tr w:rsidR="007E2CCC" w:rsidRPr="007E2CCC" w:rsidTr="0077222F">
        <w:trPr>
          <w:trHeight w:val="1500"/>
        </w:trPr>
        <w:tc>
          <w:tcPr>
            <w:tcW w:w="2852"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 xml:space="preserve">Honnungar, R. S., Aramani, S. C., Vijay Kumar, A. G., Ajay Kumar, T. S, Jirli, P. S. (2011). An Epidemiological Survey of Fatal Road Traffic Accidents and their Relationship with Head Injuries. </w:t>
            </w:r>
            <w:r w:rsidRPr="007E2CCC">
              <w:rPr>
                <w:rFonts w:ascii="Arial" w:eastAsia="Times New Roman" w:hAnsi="Arial" w:cs="Arial"/>
                <w:i/>
                <w:iCs/>
                <w:sz w:val="16"/>
                <w:szCs w:val="16"/>
                <w:lang w:val="et-EE" w:eastAsia="et-EE"/>
              </w:rPr>
              <w:t>Journal of Indian Academic Forensic Medicine 33</w:t>
            </w:r>
            <w:r w:rsidRPr="007E2CCC">
              <w:rPr>
                <w:rFonts w:ascii="Arial" w:eastAsia="Times New Roman" w:hAnsi="Arial" w:cs="Arial"/>
                <w:sz w:val="16"/>
                <w:szCs w:val="16"/>
                <w:lang w:val="et-EE" w:eastAsia="et-EE"/>
              </w:rPr>
              <w:t>(2), 135-137.</w:t>
            </w:r>
          </w:p>
        </w:tc>
        <w:tc>
          <w:tcPr>
            <w:tcW w:w="993"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India</w:t>
            </w:r>
          </w:p>
        </w:tc>
        <w:tc>
          <w:tcPr>
            <w:tcW w:w="992"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Karnataka</w:t>
            </w:r>
          </w:p>
        </w:tc>
        <w:tc>
          <w:tcPr>
            <w:tcW w:w="1134"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autopsy study</w:t>
            </w:r>
          </w:p>
        </w:tc>
        <w:tc>
          <w:tcPr>
            <w:tcW w:w="850"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2005-2009</w:t>
            </w:r>
          </w:p>
        </w:tc>
        <w:tc>
          <w:tcPr>
            <w:tcW w:w="851"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506 vehicle accident fatalities</w:t>
            </w:r>
          </w:p>
        </w:tc>
        <w:tc>
          <w:tcPr>
            <w:tcW w:w="992"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all road users, medico legal cases autopsied</w:t>
            </w:r>
          </w:p>
        </w:tc>
        <w:tc>
          <w:tcPr>
            <w:tcW w:w="1701"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br/>
              <w:t>skull fracture 77,7%; subdural hemorrhage 73,9%; % of all fatal injuries</w:t>
            </w:r>
          </w:p>
        </w:tc>
      </w:tr>
      <w:tr w:rsidR="007E2CCC" w:rsidRPr="007E2CCC" w:rsidTr="0077222F">
        <w:trPr>
          <w:trHeight w:val="1020"/>
        </w:trPr>
        <w:tc>
          <w:tcPr>
            <w:tcW w:w="2852"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 xml:space="preserve">Fitzharris, M., Dandona, R., Kumar, R., &amp; Dandona, L. (2009). Crash characteristics and patterns of injury among hospitalized motorised two-wheeled vehicle users in urban India. </w:t>
            </w:r>
            <w:r w:rsidRPr="007E2CCC">
              <w:rPr>
                <w:rFonts w:ascii="Arial" w:eastAsia="Times New Roman" w:hAnsi="Arial" w:cs="Arial"/>
                <w:i/>
                <w:iCs/>
                <w:sz w:val="16"/>
                <w:szCs w:val="16"/>
                <w:lang w:val="et-EE" w:eastAsia="et-EE"/>
              </w:rPr>
              <w:t>BMC Public Health 9</w:t>
            </w:r>
            <w:r w:rsidRPr="007E2CCC">
              <w:rPr>
                <w:rFonts w:ascii="Arial" w:eastAsia="Times New Roman" w:hAnsi="Arial" w:cs="Arial"/>
                <w:sz w:val="16"/>
                <w:szCs w:val="16"/>
                <w:lang w:val="et-EE" w:eastAsia="et-EE"/>
              </w:rPr>
              <w:t xml:space="preserve">(11). </w:t>
            </w:r>
          </w:p>
        </w:tc>
        <w:tc>
          <w:tcPr>
            <w:tcW w:w="993"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India</w:t>
            </w:r>
          </w:p>
        </w:tc>
        <w:tc>
          <w:tcPr>
            <w:tcW w:w="992"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Hyderabad, Urban</w:t>
            </w:r>
          </w:p>
        </w:tc>
        <w:tc>
          <w:tcPr>
            <w:tcW w:w="1134"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hospital-based study</w:t>
            </w:r>
          </w:p>
        </w:tc>
        <w:tc>
          <w:tcPr>
            <w:tcW w:w="850"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2005-2006</w:t>
            </w:r>
          </w:p>
        </w:tc>
        <w:tc>
          <w:tcPr>
            <w:tcW w:w="851" w:type="dxa"/>
            <w:shd w:val="clear" w:color="auto" w:fill="auto"/>
            <w:vAlign w:val="center"/>
            <w:hideMark/>
          </w:tcPr>
          <w:p w:rsidR="00E27D83" w:rsidRPr="007E2CCC" w:rsidRDefault="00E27D83" w:rsidP="00E27D83">
            <w:pPr>
              <w:spacing w:after="0" w:line="240" w:lineRule="auto"/>
              <w:jc w:val="right"/>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378</w:t>
            </w:r>
          </w:p>
        </w:tc>
        <w:tc>
          <w:tcPr>
            <w:tcW w:w="992"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motorized two-wheelers only</w:t>
            </w:r>
          </w:p>
        </w:tc>
        <w:tc>
          <w:tcPr>
            <w:tcW w:w="1701"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head fracture 10,3%; intracranial injuries 11,1-11,5%; % of all non-fatal &amp; fatal injuries in two-wheeler riders &amp; pillions</w:t>
            </w:r>
          </w:p>
        </w:tc>
      </w:tr>
      <w:tr w:rsidR="00E27D83" w:rsidRPr="007E2CCC" w:rsidTr="0077222F">
        <w:trPr>
          <w:trHeight w:val="1140"/>
        </w:trPr>
        <w:tc>
          <w:tcPr>
            <w:tcW w:w="2852"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i/>
                <w:iCs/>
                <w:sz w:val="16"/>
                <w:szCs w:val="16"/>
                <w:lang w:val="et-EE" w:eastAsia="et-EE"/>
              </w:rPr>
              <w:t xml:space="preserve">Bengaluru Injury / Road Traffic Injury Surveillance Programme: A feasibility study. </w:t>
            </w:r>
            <w:r w:rsidRPr="007E2CCC">
              <w:rPr>
                <w:rFonts w:ascii="Arial" w:eastAsia="Times New Roman" w:hAnsi="Arial" w:cs="Arial"/>
                <w:sz w:val="16"/>
                <w:szCs w:val="16"/>
                <w:lang w:val="et-EE" w:eastAsia="et-EE"/>
              </w:rPr>
              <w:t>(2008). National Institute of Mental Health &amp; Neuro Sciences</w:t>
            </w:r>
          </w:p>
        </w:tc>
        <w:tc>
          <w:tcPr>
            <w:tcW w:w="993"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India</w:t>
            </w:r>
          </w:p>
        </w:tc>
        <w:tc>
          <w:tcPr>
            <w:tcW w:w="992"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Bengaluru</w:t>
            </w:r>
          </w:p>
        </w:tc>
        <w:tc>
          <w:tcPr>
            <w:tcW w:w="1134"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surveillance data / official statistics</w:t>
            </w:r>
          </w:p>
        </w:tc>
        <w:tc>
          <w:tcPr>
            <w:tcW w:w="850" w:type="dxa"/>
            <w:shd w:val="clear" w:color="auto" w:fill="auto"/>
            <w:vAlign w:val="center"/>
            <w:hideMark/>
          </w:tcPr>
          <w:p w:rsidR="00E27D83" w:rsidRPr="007E2CCC" w:rsidRDefault="00E27D83" w:rsidP="00E27D83">
            <w:pPr>
              <w:spacing w:after="0" w:line="240" w:lineRule="auto"/>
              <w:jc w:val="right"/>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2001</w:t>
            </w:r>
          </w:p>
        </w:tc>
        <w:tc>
          <w:tcPr>
            <w:tcW w:w="851"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2542 fatal and 48775 non-fatal injuries</w:t>
            </w:r>
          </w:p>
        </w:tc>
        <w:tc>
          <w:tcPr>
            <w:tcW w:w="992"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car occupants only</w:t>
            </w:r>
          </w:p>
        </w:tc>
        <w:tc>
          <w:tcPr>
            <w:tcW w:w="1701" w:type="dxa"/>
            <w:shd w:val="clear" w:color="auto" w:fill="auto"/>
            <w:vAlign w:val="center"/>
            <w:hideMark/>
          </w:tcPr>
          <w:p w:rsidR="00E27D83" w:rsidRPr="007E2CCC" w:rsidRDefault="00E27D83" w:rsidP="00E27D83">
            <w:pPr>
              <w:spacing w:after="0" w:line="240" w:lineRule="auto"/>
              <w:rPr>
                <w:rFonts w:ascii="Arial" w:eastAsia="Times New Roman" w:hAnsi="Arial" w:cs="Arial"/>
                <w:sz w:val="16"/>
                <w:szCs w:val="16"/>
                <w:lang w:val="et-EE" w:eastAsia="et-EE"/>
              </w:rPr>
            </w:pPr>
            <w:r w:rsidRPr="007E2CCC">
              <w:rPr>
                <w:rFonts w:ascii="Arial" w:eastAsia="Times New Roman" w:hAnsi="Arial" w:cs="Arial"/>
                <w:sz w:val="16"/>
                <w:szCs w:val="16"/>
                <w:lang w:val="et-EE" w:eastAsia="et-EE"/>
              </w:rPr>
              <w:t>fatal: head 77%, spine 5% / non-fatal: head 43%, spine 2%</w:t>
            </w:r>
          </w:p>
        </w:tc>
      </w:tr>
    </w:tbl>
    <w:p w:rsidR="0077222F" w:rsidRPr="007E2CCC" w:rsidRDefault="0077222F" w:rsidP="00857A8A">
      <w:pPr>
        <w:spacing w:after="120" w:line="240" w:lineRule="auto"/>
      </w:pPr>
    </w:p>
    <w:sectPr w:rsidR="0077222F" w:rsidRPr="007E2CCC" w:rsidSect="003D420F">
      <w:footerReference w:type="default" r:id="rId8"/>
      <w:footerReference w:type="first" r:id="rId9"/>
      <w:pgSz w:w="11906" w:h="16838"/>
      <w:pgMar w:top="1417" w:right="1417" w:bottom="1417" w:left="1417" w:header="708" w:footer="708" w:gutter="0"/>
      <w:pgNumType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A7495" w:rsidRDefault="004A7495">
      <w:pPr>
        <w:spacing w:after="0" w:line="240" w:lineRule="auto"/>
      </w:pPr>
      <w:r>
        <w:separator/>
      </w:r>
    </w:p>
  </w:endnote>
  <w:endnote w:type="continuationSeparator" w:id="0">
    <w:p w:rsidR="004A7495" w:rsidRDefault="004A749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83" w:usb1="10000000" w:usb2="00000000" w:usb3="00000000" w:csb0="80000009"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onstantia">
    <w:panose1 w:val="02030602050306030303"/>
    <w:charset w:val="00"/>
    <w:family w:val="roman"/>
    <w:pitch w:val="variable"/>
    <w:sig w:usb0="A00002EF" w:usb1="40002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92181472"/>
      <w:docPartObj>
        <w:docPartGallery w:val="Page Numbers (Bottom of Page)"/>
        <w:docPartUnique/>
      </w:docPartObj>
    </w:sdtPr>
    <w:sdtContent>
      <w:sdt>
        <w:sdtPr>
          <w:id w:val="860082579"/>
          <w:docPartObj>
            <w:docPartGallery w:val="Page Numbers (Top of Page)"/>
            <w:docPartUnique/>
          </w:docPartObj>
        </w:sdtPr>
        <w:sdtContent>
          <w:p w:rsidR="0077222F" w:rsidRDefault="0077222F">
            <w:pPr>
              <w:pStyle w:val="Footer"/>
              <w:jc w:val="right"/>
            </w:pPr>
            <w:r>
              <w:t xml:space="preserve">Page </w:t>
            </w:r>
            <w:r w:rsidR="009E4D72">
              <w:rPr>
                <w:b/>
                <w:bCs/>
                <w:sz w:val="24"/>
                <w:szCs w:val="24"/>
              </w:rPr>
              <w:fldChar w:fldCharType="begin"/>
            </w:r>
            <w:r>
              <w:rPr>
                <w:b/>
                <w:bCs/>
              </w:rPr>
              <w:instrText xml:space="preserve"> PAGE </w:instrText>
            </w:r>
            <w:r w:rsidR="009E4D72">
              <w:rPr>
                <w:b/>
                <w:bCs/>
                <w:sz w:val="24"/>
                <w:szCs w:val="24"/>
              </w:rPr>
              <w:fldChar w:fldCharType="separate"/>
            </w:r>
            <w:r w:rsidR="0001404A">
              <w:rPr>
                <w:b/>
                <w:bCs/>
                <w:noProof/>
              </w:rPr>
              <w:t>17</w:t>
            </w:r>
            <w:r w:rsidR="009E4D72">
              <w:rPr>
                <w:b/>
                <w:bCs/>
                <w:sz w:val="24"/>
                <w:szCs w:val="24"/>
              </w:rPr>
              <w:fldChar w:fldCharType="end"/>
            </w:r>
            <w:r>
              <w:t xml:space="preserve"> of </w:t>
            </w:r>
            <w:r w:rsidR="009E4D72">
              <w:rPr>
                <w:b/>
                <w:bCs/>
                <w:sz w:val="24"/>
                <w:szCs w:val="24"/>
              </w:rPr>
              <w:fldChar w:fldCharType="begin"/>
            </w:r>
            <w:r>
              <w:rPr>
                <w:b/>
                <w:bCs/>
              </w:rPr>
              <w:instrText xml:space="preserve"> NUMPAGES  </w:instrText>
            </w:r>
            <w:r w:rsidR="009E4D72">
              <w:rPr>
                <w:b/>
                <w:bCs/>
                <w:sz w:val="24"/>
                <w:szCs w:val="24"/>
              </w:rPr>
              <w:fldChar w:fldCharType="separate"/>
            </w:r>
            <w:r w:rsidR="0001404A">
              <w:rPr>
                <w:b/>
                <w:bCs/>
                <w:noProof/>
              </w:rPr>
              <w:t>17</w:t>
            </w:r>
            <w:r w:rsidR="009E4D72">
              <w:rPr>
                <w:b/>
                <w:bCs/>
                <w:sz w:val="24"/>
                <w:szCs w:val="24"/>
              </w:rPr>
              <w:fldChar w:fldCharType="end"/>
            </w:r>
          </w:p>
        </w:sdtContent>
      </w:sdt>
    </w:sdtContent>
  </w:sdt>
  <w:p w:rsidR="0077222F" w:rsidRDefault="0077222F">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22F" w:rsidRDefault="0077222F" w:rsidP="003D420F">
    <w:pPr>
      <w:pStyle w:val="Footer"/>
      <w:jc w:val="righ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A7495" w:rsidRDefault="004A7495">
      <w:pPr>
        <w:spacing w:after="0" w:line="240" w:lineRule="auto"/>
      </w:pPr>
      <w:r>
        <w:separator/>
      </w:r>
    </w:p>
  </w:footnote>
  <w:footnote w:type="continuationSeparator" w:id="0">
    <w:p w:rsidR="004A7495" w:rsidRDefault="004A749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5D23E9"/>
    <w:multiLevelType w:val="hybridMultilevel"/>
    <w:tmpl w:val="D2FC846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
    <w:nsid w:val="06830454"/>
    <w:multiLevelType w:val="hybridMultilevel"/>
    <w:tmpl w:val="8A1CEE1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
    <w:nsid w:val="091A5935"/>
    <w:multiLevelType w:val="hybridMultilevel"/>
    <w:tmpl w:val="25E41F3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
    <w:nsid w:val="092D43A7"/>
    <w:multiLevelType w:val="multilevel"/>
    <w:tmpl w:val="40429EE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FA30E6E"/>
    <w:multiLevelType w:val="hybridMultilevel"/>
    <w:tmpl w:val="8F72AC1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5">
    <w:nsid w:val="0FFF678B"/>
    <w:multiLevelType w:val="multilevel"/>
    <w:tmpl w:val="0462650E"/>
    <w:lvl w:ilvl="0">
      <w:start w:val="1"/>
      <w:numFmt w:val="decimal"/>
      <w:lvlText w:val="3.%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B9F515F"/>
    <w:multiLevelType w:val="hybridMultilevel"/>
    <w:tmpl w:val="BFB4E512"/>
    <w:lvl w:ilvl="0" w:tplc="04250001">
      <w:start w:val="1"/>
      <w:numFmt w:val="bullet"/>
      <w:lvlText w:val=""/>
      <w:lvlJc w:val="left"/>
      <w:pPr>
        <w:ind w:left="1068" w:hanging="360"/>
      </w:pPr>
      <w:rPr>
        <w:rFonts w:ascii="Symbol" w:hAnsi="Symbol" w:hint="default"/>
      </w:rPr>
    </w:lvl>
    <w:lvl w:ilvl="1" w:tplc="04250003" w:tentative="1">
      <w:start w:val="1"/>
      <w:numFmt w:val="bullet"/>
      <w:lvlText w:val="o"/>
      <w:lvlJc w:val="left"/>
      <w:pPr>
        <w:ind w:left="1788" w:hanging="360"/>
      </w:pPr>
      <w:rPr>
        <w:rFonts w:ascii="Courier New" w:hAnsi="Courier New" w:cs="Courier New" w:hint="default"/>
      </w:rPr>
    </w:lvl>
    <w:lvl w:ilvl="2" w:tplc="04250005" w:tentative="1">
      <w:start w:val="1"/>
      <w:numFmt w:val="bullet"/>
      <w:lvlText w:val=""/>
      <w:lvlJc w:val="left"/>
      <w:pPr>
        <w:ind w:left="2508" w:hanging="360"/>
      </w:pPr>
      <w:rPr>
        <w:rFonts w:ascii="Wingdings" w:hAnsi="Wingdings" w:hint="default"/>
      </w:rPr>
    </w:lvl>
    <w:lvl w:ilvl="3" w:tplc="04250001" w:tentative="1">
      <w:start w:val="1"/>
      <w:numFmt w:val="bullet"/>
      <w:lvlText w:val=""/>
      <w:lvlJc w:val="left"/>
      <w:pPr>
        <w:ind w:left="3228" w:hanging="360"/>
      </w:pPr>
      <w:rPr>
        <w:rFonts w:ascii="Symbol" w:hAnsi="Symbol" w:hint="default"/>
      </w:rPr>
    </w:lvl>
    <w:lvl w:ilvl="4" w:tplc="04250003" w:tentative="1">
      <w:start w:val="1"/>
      <w:numFmt w:val="bullet"/>
      <w:lvlText w:val="o"/>
      <w:lvlJc w:val="left"/>
      <w:pPr>
        <w:ind w:left="3948" w:hanging="360"/>
      </w:pPr>
      <w:rPr>
        <w:rFonts w:ascii="Courier New" w:hAnsi="Courier New" w:cs="Courier New" w:hint="default"/>
      </w:rPr>
    </w:lvl>
    <w:lvl w:ilvl="5" w:tplc="04250005" w:tentative="1">
      <w:start w:val="1"/>
      <w:numFmt w:val="bullet"/>
      <w:lvlText w:val=""/>
      <w:lvlJc w:val="left"/>
      <w:pPr>
        <w:ind w:left="4668" w:hanging="360"/>
      </w:pPr>
      <w:rPr>
        <w:rFonts w:ascii="Wingdings" w:hAnsi="Wingdings" w:hint="default"/>
      </w:rPr>
    </w:lvl>
    <w:lvl w:ilvl="6" w:tplc="04250001" w:tentative="1">
      <w:start w:val="1"/>
      <w:numFmt w:val="bullet"/>
      <w:lvlText w:val=""/>
      <w:lvlJc w:val="left"/>
      <w:pPr>
        <w:ind w:left="5388" w:hanging="360"/>
      </w:pPr>
      <w:rPr>
        <w:rFonts w:ascii="Symbol" w:hAnsi="Symbol" w:hint="default"/>
      </w:rPr>
    </w:lvl>
    <w:lvl w:ilvl="7" w:tplc="04250003" w:tentative="1">
      <w:start w:val="1"/>
      <w:numFmt w:val="bullet"/>
      <w:lvlText w:val="o"/>
      <w:lvlJc w:val="left"/>
      <w:pPr>
        <w:ind w:left="6108" w:hanging="360"/>
      </w:pPr>
      <w:rPr>
        <w:rFonts w:ascii="Courier New" w:hAnsi="Courier New" w:cs="Courier New" w:hint="default"/>
      </w:rPr>
    </w:lvl>
    <w:lvl w:ilvl="8" w:tplc="04250005" w:tentative="1">
      <w:start w:val="1"/>
      <w:numFmt w:val="bullet"/>
      <w:lvlText w:val=""/>
      <w:lvlJc w:val="left"/>
      <w:pPr>
        <w:ind w:left="6828" w:hanging="360"/>
      </w:pPr>
      <w:rPr>
        <w:rFonts w:ascii="Wingdings" w:hAnsi="Wingdings" w:hint="default"/>
      </w:rPr>
    </w:lvl>
  </w:abstractNum>
  <w:abstractNum w:abstractNumId="7">
    <w:nsid w:val="384206FC"/>
    <w:multiLevelType w:val="hybridMultilevel"/>
    <w:tmpl w:val="DFD44B2A"/>
    <w:lvl w:ilvl="0" w:tplc="E4CCF4A4">
      <w:numFmt w:val="bullet"/>
      <w:lvlText w:val=""/>
      <w:lvlJc w:val="left"/>
      <w:pPr>
        <w:ind w:left="720" w:hanging="360"/>
      </w:pPr>
      <w:rPr>
        <w:rFonts w:ascii="Symbol" w:eastAsiaTheme="minorHAnsi" w:hAnsi="Symbol" w:cs="Aria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8">
    <w:nsid w:val="52E25C2E"/>
    <w:multiLevelType w:val="hybridMultilevel"/>
    <w:tmpl w:val="482046B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9">
    <w:nsid w:val="59172032"/>
    <w:multiLevelType w:val="hybridMultilevel"/>
    <w:tmpl w:val="AA9819E2"/>
    <w:lvl w:ilvl="0" w:tplc="04250001">
      <w:start w:val="1"/>
      <w:numFmt w:val="bullet"/>
      <w:lvlText w:val=""/>
      <w:lvlJc w:val="left"/>
      <w:pPr>
        <w:ind w:left="720" w:hanging="360"/>
      </w:pPr>
      <w:rPr>
        <w:rFonts w:ascii="Symbol" w:hAnsi="Symbol" w:hint="default"/>
      </w:rPr>
    </w:lvl>
    <w:lvl w:ilvl="1" w:tplc="04250003">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0">
    <w:nsid w:val="66F80FDF"/>
    <w:multiLevelType w:val="hybridMultilevel"/>
    <w:tmpl w:val="86E2EB8C"/>
    <w:lvl w:ilvl="0" w:tplc="04250001">
      <w:start w:val="1"/>
      <w:numFmt w:val="bullet"/>
      <w:lvlText w:val=""/>
      <w:lvlJc w:val="left"/>
      <w:pPr>
        <w:ind w:left="720" w:hanging="360"/>
      </w:pPr>
      <w:rPr>
        <w:rFonts w:ascii="Symbol" w:hAnsi="Symbol" w:hint="default"/>
      </w:rPr>
    </w:lvl>
    <w:lvl w:ilvl="1" w:tplc="2328FBB0">
      <w:numFmt w:val="bullet"/>
      <w:lvlText w:val="•"/>
      <w:lvlJc w:val="left"/>
      <w:pPr>
        <w:ind w:left="1440" w:hanging="360"/>
      </w:pPr>
      <w:rPr>
        <w:rFonts w:ascii="Calibri" w:eastAsiaTheme="minorHAnsi" w:hAnsi="Calibri" w:cstheme="minorBidi"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1">
    <w:nsid w:val="67840462"/>
    <w:multiLevelType w:val="hybridMultilevel"/>
    <w:tmpl w:val="55785C8E"/>
    <w:lvl w:ilvl="0" w:tplc="D894523C">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10"/>
  </w:num>
  <w:num w:numId="3">
    <w:abstractNumId w:val="4"/>
  </w:num>
  <w:num w:numId="4">
    <w:abstractNumId w:val="0"/>
  </w:num>
  <w:num w:numId="5">
    <w:abstractNumId w:val="5"/>
  </w:num>
  <w:num w:numId="6">
    <w:abstractNumId w:val="8"/>
  </w:num>
  <w:num w:numId="7">
    <w:abstractNumId w:val="9"/>
  </w:num>
  <w:num w:numId="8">
    <w:abstractNumId w:val="6"/>
  </w:num>
  <w:num w:numId="9">
    <w:abstractNumId w:val="2"/>
  </w:num>
  <w:num w:numId="10">
    <w:abstractNumId w:val="11"/>
  </w:num>
  <w:num w:numId="11">
    <w:abstractNumId w:val="7"/>
  </w:num>
  <w:num w:numId="1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51"/>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rsids>
    <w:rsidRoot w:val="00E27D83"/>
    <w:rsid w:val="0001404A"/>
    <w:rsid w:val="00075779"/>
    <w:rsid w:val="00236C6D"/>
    <w:rsid w:val="003D420F"/>
    <w:rsid w:val="004A7495"/>
    <w:rsid w:val="004F50E0"/>
    <w:rsid w:val="00557931"/>
    <w:rsid w:val="0077222F"/>
    <w:rsid w:val="007E2CCC"/>
    <w:rsid w:val="00857A8A"/>
    <w:rsid w:val="008E0F91"/>
    <w:rsid w:val="009B6778"/>
    <w:rsid w:val="009E4D72"/>
    <w:rsid w:val="00E27D83"/>
    <w:rsid w:val="00EF36CD"/>
    <w:rsid w:val="00F43026"/>
    <w:rsid w:val="00F53B3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4D72"/>
  </w:style>
  <w:style w:type="paragraph" w:styleId="Heading1">
    <w:name w:val="heading 1"/>
    <w:basedOn w:val="Normal"/>
    <w:next w:val="Normal"/>
    <w:link w:val="Heading1Char"/>
    <w:uiPriority w:val="9"/>
    <w:qFormat/>
    <w:rsid w:val="00E27D83"/>
    <w:pPr>
      <w:keepNext/>
      <w:keepLines/>
      <w:spacing w:before="480" w:after="0"/>
      <w:outlineLvl w:val="0"/>
    </w:pPr>
    <w:rPr>
      <w:rFonts w:asciiTheme="majorHAnsi" w:eastAsiaTheme="majorEastAsia" w:hAnsiTheme="majorHAnsi" w:cstheme="majorBidi"/>
      <w:b/>
      <w:bCs/>
      <w:color w:val="365F91" w:themeColor="accent1" w:themeShade="BF"/>
      <w:sz w:val="28"/>
      <w:szCs w:val="28"/>
      <w:lang w:val="et-EE"/>
    </w:rPr>
  </w:style>
  <w:style w:type="paragraph" w:styleId="Heading2">
    <w:name w:val="heading 2"/>
    <w:basedOn w:val="Normal"/>
    <w:next w:val="Normal"/>
    <w:link w:val="Heading2Char"/>
    <w:uiPriority w:val="9"/>
    <w:unhideWhenUsed/>
    <w:qFormat/>
    <w:rsid w:val="00E27D83"/>
    <w:pPr>
      <w:keepNext/>
      <w:keepLines/>
      <w:spacing w:before="200" w:after="0"/>
      <w:outlineLvl w:val="1"/>
    </w:pPr>
    <w:rPr>
      <w:rFonts w:asciiTheme="majorHAnsi" w:eastAsiaTheme="majorEastAsia" w:hAnsiTheme="majorHAnsi" w:cstheme="majorBidi"/>
      <w:b/>
      <w:bCs/>
      <w:color w:val="4F81BD" w:themeColor="accent1"/>
      <w:sz w:val="26"/>
      <w:szCs w:val="26"/>
      <w:lang w:val="et-EE"/>
    </w:rPr>
  </w:style>
  <w:style w:type="paragraph" w:styleId="Heading3">
    <w:name w:val="heading 3"/>
    <w:basedOn w:val="Normal"/>
    <w:next w:val="Normal"/>
    <w:link w:val="Heading3Char"/>
    <w:uiPriority w:val="9"/>
    <w:unhideWhenUsed/>
    <w:qFormat/>
    <w:rsid w:val="00E27D83"/>
    <w:pPr>
      <w:keepNext/>
      <w:keepLines/>
      <w:spacing w:before="200" w:after="0"/>
      <w:outlineLvl w:val="2"/>
    </w:pPr>
    <w:rPr>
      <w:rFonts w:asciiTheme="majorHAnsi" w:eastAsiaTheme="majorEastAsia" w:hAnsiTheme="majorHAnsi" w:cstheme="majorBidi"/>
      <w:b/>
      <w:bCs/>
      <w:color w:val="4F81BD" w:themeColor="accent1"/>
      <w:lang w:val="et-EE"/>
    </w:rPr>
  </w:style>
  <w:style w:type="paragraph" w:styleId="Heading4">
    <w:name w:val="heading 4"/>
    <w:basedOn w:val="Normal"/>
    <w:next w:val="Normal"/>
    <w:link w:val="Heading4Char"/>
    <w:uiPriority w:val="9"/>
    <w:unhideWhenUsed/>
    <w:qFormat/>
    <w:rsid w:val="00E27D83"/>
    <w:pPr>
      <w:keepNext/>
      <w:keepLines/>
      <w:spacing w:before="200" w:after="0"/>
      <w:outlineLvl w:val="3"/>
    </w:pPr>
    <w:rPr>
      <w:rFonts w:asciiTheme="majorHAnsi" w:eastAsiaTheme="majorEastAsia" w:hAnsiTheme="majorHAnsi" w:cstheme="majorBidi"/>
      <w:b/>
      <w:bCs/>
      <w:i/>
      <w:iCs/>
      <w:color w:val="4F81BD" w:themeColor="accent1"/>
      <w:lang w:val="et-EE"/>
    </w:rPr>
  </w:style>
  <w:style w:type="paragraph" w:styleId="Heading5">
    <w:name w:val="heading 5"/>
    <w:basedOn w:val="Normal"/>
    <w:next w:val="Normal"/>
    <w:link w:val="Heading5Char"/>
    <w:uiPriority w:val="9"/>
    <w:semiHidden/>
    <w:unhideWhenUsed/>
    <w:qFormat/>
    <w:rsid w:val="00E27D83"/>
    <w:pPr>
      <w:spacing w:before="280" w:after="0" w:line="360" w:lineRule="auto"/>
      <w:outlineLvl w:val="4"/>
    </w:pPr>
    <w:rPr>
      <w:rFonts w:asciiTheme="majorHAnsi" w:eastAsiaTheme="majorEastAsia" w:hAnsiTheme="majorHAnsi" w:cstheme="majorBidi"/>
      <w:b/>
      <w:bCs/>
      <w:i/>
      <w:iCs/>
      <w:lang w:bidi="en-US"/>
    </w:rPr>
  </w:style>
  <w:style w:type="paragraph" w:styleId="Heading6">
    <w:name w:val="heading 6"/>
    <w:basedOn w:val="Normal"/>
    <w:next w:val="Normal"/>
    <w:link w:val="Heading6Char"/>
    <w:uiPriority w:val="9"/>
    <w:semiHidden/>
    <w:unhideWhenUsed/>
    <w:qFormat/>
    <w:rsid w:val="00E27D83"/>
    <w:pPr>
      <w:spacing w:before="280" w:after="80" w:line="360" w:lineRule="auto"/>
      <w:outlineLvl w:val="5"/>
    </w:pPr>
    <w:rPr>
      <w:rFonts w:asciiTheme="majorHAnsi" w:eastAsiaTheme="majorEastAsia" w:hAnsiTheme="majorHAnsi" w:cstheme="majorBidi"/>
      <w:b/>
      <w:bCs/>
      <w:i/>
      <w:iCs/>
      <w:lang w:bidi="en-US"/>
    </w:rPr>
  </w:style>
  <w:style w:type="paragraph" w:styleId="Heading7">
    <w:name w:val="heading 7"/>
    <w:basedOn w:val="Normal"/>
    <w:next w:val="Normal"/>
    <w:link w:val="Heading7Char"/>
    <w:uiPriority w:val="9"/>
    <w:semiHidden/>
    <w:unhideWhenUsed/>
    <w:qFormat/>
    <w:rsid w:val="00E27D83"/>
    <w:pPr>
      <w:spacing w:before="280" w:after="0" w:line="360" w:lineRule="auto"/>
      <w:outlineLvl w:val="6"/>
    </w:pPr>
    <w:rPr>
      <w:rFonts w:asciiTheme="majorHAnsi" w:eastAsiaTheme="majorEastAsia" w:hAnsiTheme="majorHAnsi" w:cstheme="majorBidi"/>
      <w:b/>
      <w:bCs/>
      <w:i/>
      <w:iCs/>
      <w:sz w:val="20"/>
      <w:szCs w:val="20"/>
      <w:lang w:bidi="en-US"/>
    </w:rPr>
  </w:style>
  <w:style w:type="paragraph" w:styleId="Heading8">
    <w:name w:val="heading 8"/>
    <w:basedOn w:val="Normal"/>
    <w:next w:val="Normal"/>
    <w:link w:val="Heading8Char"/>
    <w:uiPriority w:val="9"/>
    <w:semiHidden/>
    <w:unhideWhenUsed/>
    <w:qFormat/>
    <w:rsid w:val="00E27D83"/>
    <w:pPr>
      <w:spacing w:before="280" w:after="0" w:line="360" w:lineRule="auto"/>
      <w:outlineLvl w:val="7"/>
    </w:pPr>
    <w:rPr>
      <w:rFonts w:asciiTheme="majorHAnsi" w:eastAsiaTheme="majorEastAsia" w:hAnsiTheme="majorHAnsi" w:cstheme="majorBidi"/>
      <w:b/>
      <w:bCs/>
      <w:i/>
      <w:iCs/>
      <w:sz w:val="18"/>
      <w:szCs w:val="18"/>
      <w:lang w:bidi="en-US"/>
    </w:rPr>
  </w:style>
  <w:style w:type="paragraph" w:styleId="Heading9">
    <w:name w:val="heading 9"/>
    <w:basedOn w:val="Normal"/>
    <w:next w:val="Normal"/>
    <w:link w:val="Heading9Char"/>
    <w:uiPriority w:val="9"/>
    <w:semiHidden/>
    <w:unhideWhenUsed/>
    <w:qFormat/>
    <w:rsid w:val="00E27D83"/>
    <w:pPr>
      <w:spacing w:before="280" w:after="0" w:line="360" w:lineRule="auto"/>
      <w:outlineLvl w:val="8"/>
    </w:pPr>
    <w:rPr>
      <w:rFonts w:asciiTheme="majorHAnsi" w:eastAsiaTheme="majorEastAsia" w:hAnsiTheme="majorHAnsi" w:cstheme="majorBidi"/>
      <w:i/>
      <w:iCs/>
      <w:sz w:val="18"/>
      <w:szCs w:val="1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7D83"/>
    <w:rPr>
      <w:rFonts w:asciiTheme="majorHAnsi" w:eastAsiaTheme="majorEastAsia" w:hAnsiTheme="majorHAnsi" w:cstheme="majorBidi"/>
      <w:b/>
      <w:bCs/>
      <w:color w:val="365F91" w:themeColor="accent1" w:themeShade="BF"/>
      <w:sz w:val="28"/>
      <w:szCs w:val="28"/>
      <w:lang w:val="et-EE"/>
    </w:rPr>
  </w:style>
  <w:style w:type="character" w:customStyle="1" w:styleId="Heading2Char">
    <w:name w:val="Heading 2 Char"/>
    <w:basedOn w:val="DefaultParagraphFont"/>
    <w:link w:val="Heading2"/>
    <w:uiPriority w:val="9"/>
    <w:rsid w:val="00E27D83"/>
    <w:rPr>
      <w:rFonts w:asciiTheme="majorHAnsi" w:eastAsiaTheme="majorEastAsia" w:hAnsiTheme="majorHAnsi" w:cstheme="majorBidi"/>
      <w:b/>
      <w:bCs/>
      <w:color w:val="4F81BD" w:themeColor="accent1"/>
      <w:sz w:val="26"/>
      <w:szCs w:val="26"/>
      <w:lang w:val="et-EE"/>
    </w:rPr>
  </w:style>
  <w:style w:type="character" w:customStyle="1" w:styleId="Heading3Char">
    <w:name w:val="Heading 3 Char"/>
    <w:basedOn w:val="DefaultParagraphFont"/>
    <w:link w:val="Heading3"/>
    <w:uiPriority w:val="9"/>
    <w:rsid w:val="00E27D83"/>
    <w:rPr>
      <w:rFonts w:asciiTheme="majorHAnsi" w:eastAsiaTheme="majorEastAsia" w:hAnsiTheme="majorHAnsi" w:cstheme="majorBidi"/>
      <w:b/>
      <w:bCs/>
      <w:color w:val="4F81BD" w:themeColor="accent1"/>
      <w:lang w:val="et-EE"/>
    </w:rPr>
  </w:style>
  <w:style w:type="character" w:customStyle="1" w:styleId="Heading4Char">
    <w:name w:val="Heading 4 Char"/>
    <w:basedOn w:val="DefaultParagraphFont"/>
    <w:link w:val="Heading4"/>
    <w:uiPriority w:val="9"/>
    <w:rsid w:val="00E27D83"/>
    <w:rPr>
      <w:rFonts w:asciiTheme="majorHAnsi" w:eastAsiaTheme="majorEastAsia" w:hAnsiTheme="majorHAnsi" w:cstheme="majorBidi"/>
      <w:b/>
      <w:bCs/>
      <w:i/>
      <w:iCs/>
      <w:color w:val="4F81BD" w:themeColor="accent1"/>
      <w:lang w:val="et-EE"/>
    </w:rPr>
  </w:style>
  <w:style w:type="character" w:customStyle="1" w:styleId="Heading5Char">
    <w:name w:val="Heading 5 Char"/>
    <w:basedOn w:val="DefaultParagraphFont"/>
    <w:link w:val="Heading5"/>
    <w:uiPriority w:val="9"/>
    <w:semiHidden/>
    <w:rsid w:val="00E27D83"/>
    <w:rPr>
      <w:rFonts w:asciiTheme="majorHAnsi" w:eastAsiaTheme="majorEastAsia" w:hAnsiTheme="majorHAnsi" w:cstheme="majorBidi"/>
      <w:b/>
      <w:bCs/>
      <w:i/>
      <w:iCs/>
      <w:lang w:bidi="en-US"/>
    </w:rPr>
  </w:style>
  <w:style w:type="character" w:customStyle="1" w:styleId="Heading6Char">
    <w:name w:val="Heading 6 Char"/>
    <w:basedOn w:val="DefaultParagraphFont"/>
    <w:link w:val="Heading6"/>
    <w:uiPriority w:val="9"/>
    <w:semiHidden/>
    <w:rsid w:val="00E27D83"/>
    <w:rPr>
      <w:rFonts w:asciiTheme="majorHAnsi" w:eastAsiaTheme="majorEastAsia" w:hAnsiTheme="majorHAnsi" w:cstheme="majorBidi"/>
      <w:b/>
      <w:bCs/>
      <w:i/>
      <w:iCs/>
      <w:lang w:bidi="en-US"/>
    </w:rPr>
  </w:style>
  <w:style w:type="character" w:customStyle="1" w:styleId="Heading7Char">
    <w:name w:val="Heading 7 Char"/>
    <w:basedOn w:val="DefaultParagraphFont"/>
    <w:link w:val="Heading7"/>
    <w:uiPriority w:val="9"/>
    <w:semiHidden/>
    <w:rsid w:val="00E27D83"/>
    <w:rPr>
      <w:rFonts w:asciiTheme="majorHAnsi" w:eastAsiaTheme="majorEastAsia" w:hAnsiTheme="majorHAnsi" w:cstheme="majorBidi"/>
      <w:b/>
      <w:bCs/>
      <w:i/>
      <w:iCs/>
      <w:sz w:val="20"/>
      <w:szCs w:val="20"/>
      <w:lang w:bidi="en-US"/>
    </w:rPr>
  </w:style>
  <w:style w:type="character" w:customStyle="1" w:styleId="Heading8Char">
    <w:name w:val="Heading 8 Char"/>
    <w:basedOn w:val="DefaultParagraphFont"/>
    <w:link w:val="Heading8"/>
    <w:uiPriority w:val="9"/>
    <w:semiHidden/>
    <w:rsid w:val="00E27D83"/>
    <w:rPr>
      <w:rFonts w:asciiTheme="majorHAnsi" w:eastAsiaTheme="majorEastAsia" w:hAnsiTheme="majorHAnsi" w:cstheme="majorBidi"/>
      <w:b/>
      <w:bCs/>
      <w:i/>
      <w:iCs/>
      <w:sz w:val="18"/>
      <w:szCs w:val="18"/>
      <w:lang w:bidi="en-US"/>
    </w:rPr>
  </w:style>
  <w:style w:type="character" w:customStyle="1" w:styleId="Heading9Char">
    <w:name w:val="Heading 9 Char"/>
    <w:basedOn w:val="DefaultParagraphFont"/>
    <w:link w:val="Heading9"/>
    <w:uiPriority w:val="9"/>
    <w:semiHidden/>
    <w:rsid w:val="00E27D83"/>
    <w:rPr>
      <w:rFonts w:asciiTheme="majorHAnsi" w:eastAsiaTheme="majorEastAsia" w:hAnsiTheme="majorHAnsi" w:cstheme="majorBidi"/>
      <w:i/>
      <w:iCs/>
      <w:sz w:val="18"/>
      <w:szCs w:val="18"/>
      <w:lang w:bidi="en-US"/>
    </w:rPr>
  </w:style>
  <w:style w:type="character" w:customStyle="1" w:styleId="Pealkiri1">
    <w:name w:val="Pealkiri #1_"/>
    <w:basedOn w:val="DefaultParagraphFont"/>
    <w:link w:val="Pealkiri10"/>
    <w:rsid w:val="00E27D83"/>
    <w:rPr>
      <w:rFonts w:ascii="Times New Roman" w:eastAsia="Times New Roman" w:hAnsi="Times New Roman" w:cs="Times New Roman"/>
      <w:b/>
      <w:bCs/>
      <w:spacing w:val="-10"/>
      <w:sz w:val="52"/>
      <w:szCs w:val="52"/>
      <w:shd w:val="clear" w:color="auto" w:fill="FFFFFF"/>
    </w:rPr>
  </w:style>
  <w:style w:type="paragraph" w:customStyle="1" w:styleId="Pealkiri10">
    <w:name w:val="Pealkiri #1"/>
    <w:basedOn w:val="Normal"/>
    <w:link w:val="Pealkiri1"/>
    <w:rsid w:val="00E27D83"/>
    <w:pPr>
      <w:widowControl w:val="0"/>
      <w:shd w:val="clear" w:color="auto" w:fill="FFFFFF"/>
      <w:spacing w:before="1860" w:after="1380" w:line="0" w:lineRule="atLeast"/>
      <w:jc w:val="center"/>
      <w:outlineLvl w:val="0"/>
    </w:pPr>
    <w:rPr>
      <w:rFonts w:ascii="Times New Roman" w:eastAsia="Times New Roman" w:hAnsi="Times New Roman" w:cs="Times New Roman"/>
      <w:b/>
      <w:bCs/>
      <w:spacing w:val="-10"/>
      <w:sz w:val="52"/>
      <w:szCs w:val="52"/>
    </w:rPr>
  </w:style>
  <w:style w:type="paragraph" w:styleId="BalloonText">
    <w:name w:val="Balloon Text"/>
    <w:basedOn w:val="Normal"/>
    <w:link w:val="BalloonTextChar"/>
    <w:uiPriority w:val="99"/>
    <w:semiHidden/>
    <w:unhideWhenUsed/>
    <w:rsid w:val="00E27D83"/>
    <w:pPr>
      <w:spacing w:after="0" w:line="240" w:lineRule="auto"/>
    </w:pPr>
    <w:rPr>
      <w:rFonts w:ascii="Tahoma" w:hAnsi="Tahoma" w:cs="Tahoma"/>
      <w:sz w:val="16"/>
      <w:szCs w:val="16"/>
      <w:lang w:val="et-EE"/>
    </w:rPr>
  </w:style>
  <w:style w:type="character" w:customStyle="1" w:styleId="BalloonTextChar">
    <w:name w:val="Balloon Text Char"/>
    <w:basedOn w:val="DefaultParagraphFont"/>
    <w:link w:val="BalloonText"/>
    <w:uiPriority w:val="99"/>
    <w:semiHidden/>
    <w:rsid w:val="00E27D83"/>
    <w:rPr>
      <w:rFonts w:ascii="Tahoma" w:hAnsi="Tahoma" w:cs="Tahoma"/>
      <w:sz w:val="16"/>
      <w:szCs w:val="16"/>
      <w:lang w:val="et-EE"/>
    </w:rPr>
  </w:style>
  <w:style w:type="paragraph" w:styleId="Header">
    <w:name w:val="header"/>
    <w:basedOn w:val="Normal"/>
    <w:link w:val="HeaderChar"/>
    <w:uiPriority w:val="99"/>
    <w:unhideWhenUsed/>
    <w:rsid w:val="00E27D83"/>
    <w:pPr>
      <w:tabs>
        <w:tab w:val="center" w:pos="4536"/>
        <w:tab w:val="right" w:pos="9072"/>
      </w:tabs>
      <w:spacing w:after="0" w:line="240" w:lineRule="auto"/>
    </w:pPr>
    <w:rPr>
      <w:lang w:val="et-EE"/>
    </w:rPr>
  </w:style>
  <w:style w:type="character" w:customStyle="1" w:styleId="HeaderChar">
    <w:name w:val="Header Char"/>
    <w:basedOn w:val="DefaultParagraphFont"/>
    <w:link w:val="Header"/>
    <w:uiPriority w:val="99"/>
    <w:rsid w:val="00E27D83"/>
    <w:rPr>
      <w:lang w:val="et-EE"/>
    </w:rPr>
  </w:style>
  <w:style w:type="paragraph" w:styleId="Footer">
    <w:name w:val="footer"/>
    <w:basedOn w:val="Normal"/>
    <w:link w:val="FooterChar"/>
    <w:uiPriority w:val="99"/>
    <w:unhideWhenUsed/>
    <w:rsid w:val="00E27D83"/>
    <w:pPr>
      <w:tabs>
        <w:tab w:val="center" w:pos="4536"/>
        <w:tab w:val="right" w:pos="9072"/>
      </w:tabs>
      <w:spacing w:after="0" w:line="240" w:lineRule="auto"/>
    </w:pPr>
    <w:rPr>
      <w:lang w:val="et-EE"/>
    </w:rPr>
  </w:style>
  <w:style w:type="character" w:customStyle="1" w:styleId="FooterChar">
    <w:name w:val="Footer Char"/>
    <w:basedOn w:val="DefaultParagraphFont"/>
    <w:link w:val="Footer"/>
    <w:uiPriority w:val="99"/>
    <w:rsid w:val="00E27D83"/>
    <w:rPr>
      <w:lang w:val="et-EE"/>
    </w:rPr>
  </w:style>
  <w:style w:type="paragraph" w:styleId="ListParagraph">
    <w:name w:val="List Paragraph"/>
    <w:basedOn w:val="Normal"/>
    <w:uiPriority w:val="34"/>
    <w:qFormat/>
    <w:rsid w:val="00E27D83"/>
    <w:pPr>
      <w:ind w:left="720"/>
      <w:contextualSpacing/>
    </w:pPr>
    <w:rPr>
      <w:lang w:val="et-EE"/>
    </w:rPr>
  </w:style>
  <w:style w:type="character" w:customStyle="1" w:styleId="Sisutekst2">
    <w:name w:val="Sisutekst (2)_"/>
    <w:basedOn w:val="DefaultParagraphFont"/>
    <w:rsid w:val="00E27D83"/>
    <w:rPr>
      <w:rFonts w:ascii="Times New Roman" w:eastAsia="Times New Roman" w:hAnsi="Times New Roman" w:cs="Times New Roman"/>
      <w:b w:val="0"/>
      <w:bCs w:val="0"/>
      <w:i w:val="0"/>
      <w:iCs w:val="0"/>
      <w:smallCaps w:val="0"/>
      <w:strike w:val="0"/>
      <w:sz w:val="22"/>
      <w:szCs w:val="22"/>
      <w:u w:val="none"/>
    </w:rPr>
  </w:style>
  <w:style w:type="character" w:customStyle="1" w:styleId="Sisutekst10Exact">
    <w:name w:val="Sisutekst (10) Exact"/>
    <w:basedOn w:val="DefaultParagraphFont"/>
    <w:rsid w:val="00E27D83"/>
    <w:rPr>
      <w:rFonts w:ascii="Times New Roman" w:eastAsia="Times New Roman" w:hAnsi="Times New Roman" w:cs="Times New Roman"/>
      <w:b/>
      <w:bCs/>
      <w:i w:val="0"/>
      <w:iCs w:val="0"/>
      <w:smallCaps w:val="0"/>
      <w:strike w:val="0"/>
      <w:sz w:val="22"/>
      <w:szCs w:val="22"/>
      <w:u w:val="none"/>
    </w:rPr>
  </w:style>
  <w:style w:type="character" w:customStyle="1" w:styleId="Sisutekst20">
    <w:name w:val="Sisutekst (2)"/>
    <w:basedOn w:val="Sisutekst2"/>
    <w:rsid w:val="00E27D83"/>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en-US" w:eastAsia="en-US" w:bidi="en-US"/>
    </w:rPr>
  </w:style>
  <w:style w:type="character" w:customStyle="1" w:styleId="Sisutekst10">
    <w:name w:val="Sisutekst (10)_"/>
    <w:basedOn w:val="DefaultParagraphFont"/>
    <w:link w:val="Sisutekst100"/>
    <w:rsid w:val="00E27D83"/>
    <w:rPr>
      <w:rFonts w:ascii="Times New Roman" w:eastAsia="Times New Roman" w:hAnsi="Times New Roman" w:cs="Times New Roman"/>
      <w:b/>
      <w:bCs/>
      <w:shd w:val="clear" w:color="auto" w:fill="FFFFFF"/>
    </w:rPr>
  </w:style>
  <w:style w:type="paragraph" w:customStyle="1" w:styleId="Sisutekst100">
    <w:name w:val="Sisutekst (10)"/>
    <w:basedOn w:val="Normal"/>
    <w:link w:val="Sisutekst10"/>
    <w:rsid w:val="00E27D83"/>
    <w:pPr>
      <w:widowControl w:val="0"/>
      <w:shd w:val="clear" w:color="auto" w:fill="FFFFFF"/>
      <w:spacing w:after="0" w:line="0" w:lineRule="atLeast"/>
    </w:pPr>
    <w:rPr>
      <w:rFonts w:ascii="Times New Roman" w:eastAsia="Times New Roman" w:hAnsi="Times New Roman" w:cs="Times New Roman"/>
      <w:b/>
      <w:bCs/>
    </w:rPr>
  </w:style>
  <w:style w:type="character" w:customStyle="1" w:styleId="Sisutekst10Mitterasvane">
    <w:name w:val="Sisutekst (10) + Mitte rasvane"/>
    <w:basedOn w:val="Sisutekst10"/>
    <w:rsid w:val="00E27D83"/>
    <w:rPr>
      <w:rFonts w:ascii="Times New Roman" w:eastAsia="Times New Roman" w:hAnsi="Times New Roman" w:cs="Times New Roman"/>
      <w:b/>
      <w:bCs/>
      <w:color w:val="000000"/>
      <w:spacing w:val="0"/>
      <w:w w:val="100"/>
      <w:position w:val="0"/>
      <w:shd w:val="clear" w:color="auto" w:fill="FFFFFF"/>
      <w:lang w:val="en-US" w:eastAsia="en-US" w:bidi="en-US"/>
    </w:rPr>
  </w:style>
  <w:style w:type="character" w:customStyle="1" w:styleId="Sisutekst2Rasvane">
    <w:name w:val="Sisutekst (2) + Rasvane"/>
    <w:aliases w:val="Kursiiv"/>
    <w:basedOn w:val="Sisutekst2"/>
    <w:rsid w:val="00E27D83"/>
    <w:rPr>
      <w:rFonts w:ascii="Times New Roman" w:eastAsia="Times New Roman" w:hAnsi="Times New Roman" w:cs="Times New Roman"/>
      <w:b/>
      <w:bCs/>
      <w:i w:val="0"/>
      <w:iCs w:val="0"/>
      <w:smallCaps w:val="0"/>
      <w:strike w:val="0"/>
      <w:color w:val="000000"/>
      <w:spacing w:val="0"/>
      <w:w w:val="100"/>
      <w:position w:val="0"/>
      <w:sz w:val="22"/>
      <w:szCs w:val="22"/>
      <w:u w:val="none"/>
      <w:lang w:val="en-US" w:eastAsia="en-US" w:bidi="en-US"/>
    </w:rPr>
  </w:style>
  <w:style w:type="character" w:styleId="Hyperlink">
    <w:name w:val="Hyperlink"/>
    <w:basedOn w:val="DefaultParagraphFont"/>
    <w:uiPriority w:val="99"/>
    <w:rsid w:val="00E27D83"/>
    <w:rPr>
      <w:color w:val="0066CC"/>
      <w:u w:val="single"/>
    </w:rPr>
  </w:style>
  <w:style w:type="character" w:customStyle="1" w:styleId="Sisutekst2Arial65pRasvane">
    <w:name w:val="Sisutekst (2) + Arial;6;5 p;Rasvane"/>
    <w:basedOn w:val="Sisutekst2"/>
    <w:rsid w:val="00E27D83"/>
    <w:rPr>
      <w:rFonts w:ascii="Arial" w:eastAsia="Arial" w:hAnsi="Arial" w:cs="Arial"/>
      <w:b/>
      <w:bCs/>
      <w:i w:val="0"/>
      <w:iCs w:val="0"/>
      <w:smallCaps w:val="0"/>
      <w:strike w:val="0"/>
      <w:color w:val="000000"/>
      <w:spacing w:val="0"/>
      <w:w w:val="100"/>
      <w:position w:val="0"/>
      <w:sz w:val="13"/>
      <w:szCs w:val="13"/>
      <w:u w:val="none"/>
      <w:lang w:val="en-US" w:eastAsia="en-US" w:bidi="en-US"/>
    </w:rPr>
  </w:style>
  <w:style w:type="character" w:customStyle="1" w:styleId="Sisutekst2Arial65p">
    <w:name w:val="Sisutekst (2) + Arial;6;5 p"/>
    <w:basedOn w:val="Sisutekst2"/>
    <w:rsid w:val="00E27D83"/>
    <w:rPr>
      <w:rFonts w:ascii="Arial" w:eastAsia="Arial" w:hAnsi="Arial" w:cs="Arial"/>
      <w:b w:val="0"/>
      <w:bCs w:val="0"/>
      <w:i w:val="0"/>
      <w:iCs w:val="0"/>
      <w:smallCaps w:val="0"/>
      <w:strike w:val="0"/>
      <w:color w:val="000000"/>
      <w:spacing w:val="0"/>
      <w:w w:val="100"/>
      <w:position w:val="0"/>
      <w:sz w:val="13"/>
      <w:szCs w:val="13"/>
      <w:u w:val="none"/>
      <w:lang w:val="en-US" w:eastAsia="en-US" w:bidi="en-US"/>
    </w:rPr>
  </w:style>
  <w:style w:type="paragraph" w:styleId="TOCHeading">
    <w:name w:val="TOC Heading"/>
    <w:basedOn w:val="Heading1"/>
    <w:next w:val="Normal"/>
    <w:uiPriority w:val="39"/>
    <w:unhideWhenUsed/>
    <w:qFormat/>
    <w:rsid w:val="00E27D83"/>
    <w:pPr>
      <w:outlineLvl w:val="9"/>
    </w:pPr>
    <w:rPr>
      <w:lang w:val="en-US" w:eastAsia="ja-JP"/>
    </w:rPr>
  </w:style>
  <w:style w:type="paragraph" w:styleId="TOC1">
    <w:name w:val="toc 1"/>
    <w:basedOn w:val="Normal"/>
    <w:next w:val="Normal"/>
    <w:autoRedefine/>
    <w:uiPriority w:val="39"/>
    <w:unhideWhenUsed/>
    <w:rsid w:val="00E27D83"/>
    <w:pPr>
      <w:spacing w:after="100"/>
    </w:pPr>
    <w:rPr>
      <w:lang w:val="et-EE"/>
    </w:rPr>
  </w:style>
  <w:style w:type="character" w:customStyle="1" w:styleId="Tabeliallkiri2">
    <w:name w:val="Tabeli allkiri (2)_"/>
    <w:basedOn w:val="DefaultParagraphFont"/>
    <w:link w:val="Tabeliallkiri20"/>
    <w:rsid w:val="00E27D83"/>
    <w:rPr>
      <w:rFonts w:ascii="Times New Roman" w:eastAsia="Times New Roman" w:hAnsi="Times New Roman" w:cs="Times New Roman"/>
      <w:b/>
      <w:bCs/>
      <w:shd w:val="clear" w:color="auto" w:fill="FFFFFF"/>
    </w:rPr>
  </w:style>
  <w:style w:type="paragraph" w:customStyle="1" w:styleId="Tabeliallkiri20">
    <w:name w:val="Tabeli allkiri (2)"/>
    <w:basedOn w:val="Normal"/>
    <w:link w:val="Tabeliallkiri2"/>
    <w:rsid w:val="00E27D83"/>
    <w:pPr>
      <w:widowControl w:val="0"/>
      <w:shd w:val="clear" w:color="auto" w:fill="FFFFFF"/>
      <w:spacing w:after="0" w:line="0" w:lineRule="atLeast"/>
    </w:pPr>
    <w:rPr>
      <w:rFonts w:ascii="Times New Roman" w:eastAsia="Times New Roman" w:hAnsi="Times New Roman" w:cs="Times New Roman"/>
      <w:b/>
      <w:bCs/>
    </w:rPr>
  </w:style>
  <w:style w:type="character" w:customStyle="1" w:styleId="Tabeliallkiri">
    <w:name w:val="Tabeli allkiri_"/>
    <w:basedOn w:val="DefaultParagraphFont"/>
    <w:rsid w:val="00E27D83"/>
    <w:rPr>
      <w:rFonts w:ascii="Times New Roman" w:eastAsia="Times New Roman" w:hAnsi="Times New Roman" w:cs="Times New Roman"/>
      <w:b w:val="0"/>
      <w:bCs w:val="0"/>
      <w:i w:val="0"/>
      <w:iCs w:val="0"/>
      <w:smallCaps w:val="0"/>
      <w:strike w:val="0"/>
      <w:sz w:val="18"/>
      <w:szCs w:val="18"/>
      <w:u w:val="none"/>
    </w:rPr>
  </w:style>
  <w:style w:type="character" w:customStyle="1" w:styleId="Tabeliallkiri0">
    <w:name w:val="Tabeli allkiri"/>
    <w:basedOn w:val="Tabeliallkiri"/>
    <w:rsid w:val="00E27D83"/>
    <w:rPr>
      <w:rFonts w:ascii="Times New Roman" w:eastAsia="Times New Roman" w:hAnsi="Times New Roman" w:cs="Times New Roman"/>
      <w:b w:val="0"/>
      <w:bCs w:val="0"/>
      <w:i w:val="0"/>
      <w:iCs w:val="0"/>
      <w:smallCaps w:val="0"/>
      <w:strike w:val="0"/>
      <w:color w:val="000000"/>
      <w:spacing w:val="0"/>
      <w:w w:val="100"/>
      <w:position w:val="0"/>
      <w:sz w:val="18"/>
      <w:szCs w:val="18"/>
      <w:u w:val="single"/>
      <w:lang w:val="en-US" w:eastAsia="en-US" w:bidi="en-US"/>
    </w:rPr>
  </w:style>
  <w:style w:type="character" w:customStyle="1" w:styleId="TabeliallkiriKursiiv">
    <w:name w:val="Tabeli allkiri + Kursiiv"/>
    <w:basedOn w:val="Tabeliallkiri"/>
    <w:rsid w:val="00E27D83"/>
    <w:rPr>
      <w:rFonts w:ascii="Times New Roman" w:eastAsia="Times New Roman" w:hAnsi="Times New Roman" w:cs="Times New Roman"/>
      <w:b w:val="0"/>
      <w:bCs w:val="0"/>
      <w:i/>
      <w:iCs/>
      <w:smallCaps w:val="0"/>
      <w:strike w:val="0"/>
      <w:color w:val="000000"/>
      <w:spacing w:val="0"/>
      <w:w w:val="100"/>
      <w:position w:val="0"/>
      <w:sz w:val="18"/>
      <w:szCs w:val="18"/>
      <w:u w:val="none"/>
      <w:lang w:val="en-US" w:eastAsia="en-US" w:bidi="en-US"/>
    </w:rPr>
  </w:style>
  <w:style w:type="character" w:customStyle="1" w:styleId="TabeliallkiriRasvane">
    <w:name w:val="Tabeli allkiri + Rasvane"/>
    <w:basedOn w:val="Tabeliallkiri"/>
    <w:rsid w:val="00E27D83"/>
    <w:rPr>
      <w:rFonts w:ascii="Times New Roman" w:eastAsia="Times New Roman" w:hAnsi="Times New Roman" w:cs="Times New Roman"/>
      <w:b/>
      <w:bCs/>
      <w:i w:val="0"/>
      <w:iCs w:val="0"/>
      <w:smallCaps w:val="0"/>
      <w:strike w:val="0"/>
      <w:color w:val="000000"/>
      <w:spacing w:val="0"/>
      <w:w w:val="100"/>
      <w:position w:val="0"/>
      <w:sz w:val="18"/>
      <w:szCs w:val="18"/>
      <w:u w:val="none"/>
      <w:lang w:val="en-US" w:eastAsia="en-US" w:bidi="en-US"/>
    </w:rPr>
  </w:style>
  <w:style w:type="character" w:customStyle="1" w:styleId="Sisutekst29pRasvane">
    <w:name w:val="Sisutekst (2) + 9 p;Rasvane"/>
    <w:basedOn w:val="Sisutekst2"/>
    <w:rsid w:val="00E27D83"/>
    <w:rPr>
      <w:rFonts w:ascii="Times New Roman" w:eastAsia="Times New Roman" w:hAnsi="Times New Roman" w:cs="Times New Roman"/>
      <w:b/>
      <w:bCs/>
      <w:i w:val="0"/>
      <w:iCs w:val="0"/>
      <w:smallCaps w:val="0"/>
      <w:strike w:val="0"/>
      <w:color w:val="000000"/>
      <w:spacing w:val="0"/>
      <w:w w:val="100"/>
      <w:position w:val="0"/>
      <w:sz w:val="18"/>
      <w:szCs w:val="18"/>
      <w:u w:val="none"/>
      <w:lang w:val="en-US" w:eastAsia="en-US" w:bidi="en-US"/>
    </w:rPr>
  </w:style>
  <w:style w:type="character" w:customStyle="1" w:styleId="Sisutekst29pKursiiv">
    <w:name w:val="Sisutekst (2) + 9 p;Kursiiv"/>
    <w:basedOn w:val="Sisutekst2"/>
    <w:rsid w:val="00E27D83"/>
    <w:rPr>
      <w:rFonts w:ascii="Times New Roman" w:eastAsia="Times New Roman" w:hAnsi="Times New Roman" w:cs="Times New Roman"/>
      <w:b w:val="0"/>
      <w:bCs w:val="0"/>
      <w:i/>
      <w:iCs/>
      <w:smallCaps w:val="0"/>
      <w:strike w:val="0"/>
      <w:color w:val="000000"/>
      <w:spacing w:val="0"/>
      <w:w w:val="100"/>
      <w:position w:val="0"/>
      <w:sz w:val="18"/>
      <w:szCs w:val="18"/>
      <w:u w:val="none"/>
      <w:lang w:val="en-US" w:eastAsia="en-US" w:bidi="en-US"/>
    </w:rPr>
  </w:style>
  <w:style w:type="character" w:customStyle="1" w:styleId="Sisutekst29p">
    <w:name w:val="Sisutekst (2) + 9 p"/>
    <w:basedOn w:val="Sisutekst2"/>
    <w:rsid w:val="00E27D83"/>
    <w:rPr>
      <w:rFonts w:ascii="Times New Roman" w:eastAsia="Times New Roman" w:hAnsi="Times New Roman" w:cs="Times New Roman"/>
      <w:b w:val="0"/>
      <w:bCs w:val="0"/>
      <w:i w:val="0"/>
      <w:iCs w:val="0"/>
      <w:smallCaps w:val="0"/>
      <w:strike w:val="0"/>
      <w:color w:val="000000"/>
      <w:spacing w:val="0"/>
      <w:w w:val="100"/>
      <w:position w:val="0"/>
      <w:sz w:val="18"/>
      <w:szCs w:val="18"/>
      <w:u w:val="none"/>
      <w:lang w:val="en-US" w:eastAsia="en-US" w:bidi="en-US"/>
    </w:rPr>
  </w:style>
  <w:style w:type="character" w:customStyle="1" w:styleId="Sisutekst2RasvaneKursiiv">
    <w:name w:val="Sisutekst (2) + Rasvane;Kursiiv"/>
    <w:basedOn w:val="Sisutekst2"/>
    <w:rsid w:val="00E27D83"/>
    <w:rPr>
      <w:rFonts w:ascii="Times New Roman" w:eastAsia="Times New Roman" w:hAnsi="Times New Roman" w:cs="Times New Roman"/>
      <w:b/>
      <w:bCs/>
      <w:i/>
      <w:iCs/>
      <w:smallCaps w:val="0"/>
      <w:strike w:val="0"/>
      <w:color w:val="000000"/>
      <w:spacing w:val="0"/>
      <w:w w:val="100"/>
      <w:position w:val="0"/>
      <w:sz w:val="22"/>
      <w:szCs w:val="22"/>
      <w:u w:val="none"/>
      <w:lang w:val="en-US" w:eastAsia="en-US" w:bidi="en-US"/>
    </w:rPr>
  </w:style>
  <w:style w:type="character" w:customStyle="1" w:styleId="Pisvijalus13pMittekursiiv">
    <w:name w:val="Päis või jalus + 13 p;Mitte kursiiv"/>
    <w:basedOn w:val="DefaultParagraphFont"/>
    <w:rsid w:val="00E27D83"/>
    <w:rPr>
      <w:rFonts w:ascii="Times New Roman" w:eastAsia="Times New Roman" w:hAnsi="Times New Roman" w:cs="Times New Roman"/>
      <w:b/>
      <w:bCs/>
      <w:i/>
      <w:iCs/>
      <w:smallCaps w:val="0"/>
      <w:strike w:val="0"/>
      <w:color w:val="000000"/>
      <w:spacing w:val="0"/>
      <w:w w:val="100"/>
      <w:position w:val="0"/>
      <w:sz w:val="26"/>
      <w:szCs w:val="26"/>
      <w:u w:val="none"/>
      <w:lang w:val="en-US" w:eastAsia="en-US" w:bidi="en-US"/>
    </w:rPr>
  </w:style>
  <w:style w:type="character" w:customStyle="1" w:styleId="Pealkiri3">
    <w:name w:val="Pealkiri #3_"/>
    <w:basedOn w:val="DefaultParagraphFont"/>
    <w:link w:val="Pealkiri30"/>
    <w:rsid w:val="00E27D83"/>
    <w:rPr>
      <w:rFonts w:ascii="Times New Roman" w:eastAsia="Times New Roman" w:hAnsi="Times New Roman" w:cs="Times New Roman"/>
      <w:b/>
      <w:bCs/>
      <w:shd w:val="clear" w:color="auto" w:fill="FFFFFF"/>
    </w:rPr>
  </w:style>
  <w:style w:type="paragraph" w:customStyle="1" w:styleId="Pealkiri30">
    <w:name w:val="Pealkiri #3"/>
    <w:basedOn w:val="Normal"/>
    <w:link w:val="Pealkiri3"/>
    <w:rsid w:val="00E27D83"/>
    <w:pPr>
      <w:widowControl w:val="0"/>
      <w:shd w:val="clear" w:color="auto" w:fill="FFFFFF"/>
      <w:spacing w:before="240" w:after="540" w:line="0" w:lineRule="atLeast"/>
      <w:jc w:val="both"/>
      <w:outlineLvl w:val="2"/>
    </w:pPr>
    <w:rPr>
      <w:rFonts w:ascii="Times New Roman" w:eastAsia="Times New Roman" w:hAnsi="Times New Roman" w:cs="Times New Roman"/>
      <w:b/>
      <w:bCs/>
    </w:rPr>
  </w:style>
  <w:style w:type="paragraph" w:styleId="HTMLPreformatted">
    <w:name w:val="HTML Preformatted"/>
    <w:basedOn w:val="Normal"/>
    <w:link w:val="HTMLPreformattedChar"/>
    <w:uiPriority w:val="99"/>
    <w:semiHidden/>
    <w:unhideWhenUsed/>
    <w:rsid w:val="00E27D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t-EE" w:eastAsia="et-EE"/>
    </w:rPr>
  </w:style>
  <w:style w:type="character" w:customStyle="1" w:styleId="HTMLPreformattedChar">
    <w:name w:val="HTML Preformatted Char"/>
    <w:basedOn w:val="DefaultParagraphFont"/>
    <w:link w:val="HTMLPreformatted"/>
    <w:uiPriority w:val="99"/>
    <w:semiHidden/>
    <w:rsid w:val="00E27D83"/>
    <w:rPr>
      <w:rFonts w:ascii="Courier New" w:eastAsia="Times New Roman" w:hAnsi="Courier New" w:cs="Courier New"/>
      <w:sz w:val="20"/>
      <w:szCs w:val="20"/>
      <w:lang w:val="et-EE" w:eastAsia="et-EE"/>
    </w:rPr>
  </w:style>
  <w:style w:type="character" w:customStyle="1" w:styleId="Sisutekst13">
    <w:name w:val="Sisutekst (13)_"/>
    <w:basedOn w:val="DefaultParagraphFont"/>
    <w:rsid w:val="00E27D83"/>
    <w:rPr>
      <w:rFonts w:ascii="Times New Roman" w:eastAsia="Times New Roman" w:hAnsi="Times New Roman" w:cs="Times New Roman"/>
      <w:b w:val="0"/>
      <w:bCs w:val="0"/>
      <w:i/>
      <w:iCs/>
      <w:smallCaps w:val="0"/>
      <w:strike w:val="0"/>
      <w:sz w:val="20"/>
      <w:szCs w:val="20"/>
      <w:u w:val="none"/>
    </w:rPr>
  </w:style>
  <w:style w:type="character" w:customStyle="1" w:styleId="Sisutekst130">
    <w:name w:val="Sisutekst (13)"/>
    <w:basedOn w:val="Sisutekst13"/>
    <w:rsid w:val="00E27D83"/>
    <w:rPr>
      <w:rFonts w:ascii="Times New Roman" w:eastAsia="Times New Roman" w:hAnsi="Times New Roman" w:cs="Times New Roman"/>
      <w:b w:val="0"/>
      <w:bCs w:val="0"/>
      <w:i/>
      <w:iCs/>
      <w:smallCaps w:val="0"/>
      <w:strike w:val="0"/>
      <w:color w:val="000000"/>
      <w:spacing w:val="0"/>
      <w:w w:val="100"/>
      <w:position w:val="0"/>
      <w:sz w:val="20"/>
      <w:szCs w:val="20"/>
      <w:u w:val="single"/>
      <w:lang w:val="en-US" w:eastAsia="en-US" w:bidi="en-US"/>
    </w:rPr>
  </w:style>
  <w:style w:type="character" w:customStyle="1" w:styleId="Sisutekst210pKursiiv">
    <w:name w:val="Sisutekst (2) + 10 p;Kursiiv"/>
    <w:basedOn w:val="Sisutekst2"/>
    <w:rsid w:val="00E27D83"/>
    <w:rPr>
      <w:rFonts w:ascii="Times New Roman" w:eastAsia="Times New Roman" w:hAnsi="Times New Roman" w:cs="Times New Roman"/>
      <w:b w:val="0"/>
      <w:bCs w:val="0"/>
      <w:i/>
      <w:iCs/>
      <w:smallCaps w:val="0"/>
      <w:strike w:val="0"/>
      <w:color w:val="000000"/>
      <w:spacing w:val="0"/>
      <w:w w:val="100"/>
      <w:position w:val="0"/>
      <w:sz w:val="20"/>
      <w:szCs w:val="20"/>
      <w:u w:val="none"/>
      <w:lang w:val="en-US" w:eastAsia="en-US" w:bidi="en-US"/>
    </w:rPr>
  </w:style>
  <w:style w:type="character" w:customStyle="1" w:styleId="Pildiallkiri">
    <w:name w:val="Pildiallkiri_"/>
    <w:basedOn w:val="DefaultParagraphFont"/>
    <w:link w:val="Pildiallkiri0"/>
    <w:rsid w:val="00E27D83"/>
    <w:rPr>
      <w:rFonts w:ascii="Times New Roman" w:eastAsia="Times New Roman" w:hAnsi="Times New Roman" w:cs="Times New Roman"/>
      <w:b/>
      <w:bCs/>
      <w:shd w:val="clear" w:color="auto" w:fill="FFFFFF"/>
    </w:rPr>
  </w:style>
  <w:style w:type="paragraph" w:customStyle="1" w:styleId="Pildiallkiri0">
    <w:name w:val="Pildiallkiri"/>
    <w:basedOn w:val="Normal"/>
    <w:link w:val="Pildiallkiri"/>
    <w:rsid w:val="00E27D83"/>
    <w:pPr>
      <w:widowControl w:val="0"/>
      <w:shd w:val="clear" w:color="auto" w:fill="FFFFFF"/>
      <w:spacing w:after="0" w:line="0" w:lineRule="atLeast"/>
      <w:ind w:hanging="1380"/>
    </w:pPr>
    <w:rPr>
      <w:rFonts w:ascii="Times New Roman" w:eastAsia="Times New Roman" w:hAnsi="Times New Roman" w:cs="Times New Roman"/>
      <w:b/>
      <w:bCs/>
    </w:rPr>
  </w:style>
  <w:style w:type="character" w:customStyle="1" w:styleId="Sisutekst4">
    <w:name w:val="Sisutekst (4)_"/>
    <w:basedOn w:val="DefaultParagraphFont"/>
    <w:link w:val="Sisutekst40"/>
    <w:rsid w:val="00E27D83"/>
    <w:rPr>
      <w:rFonts w:ascii="Times New Roman" w:eastAsia="Times New Roman" w:hAnsi="Times New Roman" w:cs="Times New Roman"/>
      <w:sz w:val="18"/>
      <w:szCs w:val="18"/>
      <w:shd w:val="clear" w:color="auto" w:fill="FFFFFF"/>
    </w:rPr>
  </w:style>
  <w:style w:type="paragraph" w:customStyle="1" w:styleId="Sisutekst40">
    <w:name w:val="Sisutekst (4)"/>
    <w:basedOn w:val="Normal"/>
    <w:link w:val="Sisutekst4"/>
    <w:rsid w:val="00E27D83"/>
    <w:pPr>
      <w:widowControl w:val="0"/>
      <w:shd w:val="clear" w:color="auto" w:fill="FFFFFF"/>
      <w:spacing w:before="1380" w:after="0" w:line="141" w:lineRule="exact"/>
    </w:pPr>
    <w:rPr>
      <w:rFonts w:ascii="Times New Roman" w:eastAsia="Times New Roman" w:hAnsi="Times New Roman" w:cs="Times New Roman"/>
      <w:sz w:val="18"/>
      <w:szCs w:val="18"/>
    </w:rPr>
  </w:style>
  <w:style w:type="character" w:customStyle="1" w:styleId="Sisutekst2Exact">
    <w:name w:val="Sisutekst (2) Exact"/>
    <w:basedOn w:val="DefaultParagraphFont"/>
    <w:rsid w:val="00E27D83"/>
    <w:rPr>
      <w:rFonts w:ascii="Times New Roman" w:eastAsia="Times New Roman" w:hAnsi="Times New Roman" w:cs="Times New Roman"/>
      <w:b w:val="0"/>
      <w:bCs w:val="0"/>
      <w:i w:val="0"/>
      <w:iCs w:val="0"/>
      <w:smallCaps w:val="0"/>
      <w:strike w:val="0"/>
      <w:sz w:val="22"/>
      <w:szCs w:val="22"/>
      <w:u w:val="none"/>
    </w:rPr>
  </w:style>
  <w:style w:type="character" w:customStyle="1" w:styleId="PildiallkiriExact">
    <w:name w:val="Pildiallkiri Exact"/>
    <w:basedOn w:val="DefaultParagraphFont"/>
    <w:rsid w:val="00E27D83"/>
    <w:rPr>
      <w:rFonts w:ascii="Times New Roman" w:eastAsia="Times New Roman" w:hAnsi="Times New Roman" w:cs="Times New Roman"/>
      <w:b/>
      <w:bCs/>
      <w:i w:val="0"/>
      <w:iCs w:val="0"/>
      <w:smallCaps w:val="0"/>
      <w:strike w:val="0"/>
      <w:sz w:val="22"/>
      <w:szCs w:val="22"/>
      <w:u w:val="none"/>
    </w:rPr>
  </w:style>
  <w:style w:type="character" w:customStyle="1" w:styleId="Sisutekst18Exact">
    <w:name w:val="Sisutekst (18) Exact"/>
    <w:basedOn w:val="DefaultParagraphFont"/>
    <w:link w:val="Sisutekst18"/>
    <w:rsid w:val="00E27D83"/>
    <w:rPr>
      <w:rFonts w:ascii="Arial" w:eastAsia="Arial" w:hAnsi="Arial" w:cs="Arial"/>
      <w:sz w:val="13"/>
      <w:szCs w:val="13"/>
      <w:shd w:val="clear" w:color="auto" w:fill="FFFFFF"/>
    </w:rPr>
  </w:style>
  <w:style w:type="paragraph" w:customStyle="1" w:styleId="Sisutekst18">
    <w:name w:val="Sisutekst (18)"/>
    <w:basedOn w:val="Normal"/>
    <w:link w:val="Sisutekst18Exact"/>
    <w:rsid w:val="00E27D83"/>
    <w:pPr>
      <w:widowControl w:val="0"/>
      <w:shd w:val="clear" w:color="auto" w:fill="FFFFFF"/>
      <w:spacing w:after="0" w:line="0" w:lineRule="atLeast"/>
    </w:pPr>
    <w:rPr>
      <w:rFonts w:ascii="Arial" w:eastAsia="Arial" w:hAnsi="Arial" w:cs="Arial"/>
      <w:sz w:val="13"/>
      <w:szCs w:val="13"/>
    </w:rPr>
  </w:style>
  <w:style w:type="character" w:customStyle="1" w:styleId="Sisutekst19Exact">
    <w:name w:val="Sisutekst (19) Exact"/>
    <w:basedOn w:val="DefaultParagraphFont"/>
    <w:link w:val="Sisutekst19"/>
    <w:rsid w:val="00E27D83"/>
    <w:rPr>
      <w:rFonts w:ascii="Arial" w:eastAsia="Arial" w:hAnsi="Arial" w:cs="Arial"/>
      <w:sz w:val="10"/>
      <w:szCs w:val="10"/>
      <w:shd w:val="clear" w:color="auto" w:fill="FFFFFF"/>
    </w:rPr>
  </w:style>
  <w:style w:type="paragraph" w:customStyle="1" w:styleId="Sisutekst19">
    <w:name w:val="Sisutekst (19)"/>
    <w:basedOn w:val="Normal"/>
    <w:link w:val="Sisutekst19Exact"/>
    <w:rsid w:val="00E27D83"/>
    <w:pPr>
      <w:widowControl w:val="0"/>
      <w:shd w:val="clear" w:color="auto" w:fill="FFFFFF"/>
      <w:spacing w:after="0" w:line="82" w:lineRule="exact"/>
    </w:pPr>
    <w:rPr>
      <w:rFonts w:ascii="Arial" w:eastAsia="Arial" w:hAnsi="Arial" w:cs="Arial"/>
      <w:sz w:val="10"/>
      <w:szCs w:val="10"/>
    </w:rPr>
  </w:style>
  <w:style w:type="character" w:customStyle="1" w:styleId="Sisutekst20Exact">
    <w:name w:val="Sisutekst (20) Exact"/>
    <w:basedOn w:val="DefaultParagraphFont"/>
    <w:link w:val="Sisutekst200"/>
    <w:rsid w:val="00E27D83"/>
    <w:rPr>
      <w:rFonts w:ascii="Arial" w:eastAsia="Arial" w:hAnsi="Arial" w:cs="Arial"/>
      <w:sz w:val="12"/>
      <w:szCs w:val="12"/>
      <w:shd w:val="clear" w:color="auto" w:fill="FFFFFF"/>
    </w:rPr>
  </w:style>
  <w:style w:type="paragraph" w:customStyle="1" w:styleId="Sisutekst200">
    <w:name w:val="Sisutekst (20)"/>
    <w:basedOn w:val="Normal"/>
    <w:link w:val="Sisutekst20Exact"/>
    <w:rsid w:val="00E27D83"/>
    <w:pPr>
      <w:widowControl w:val="0"/>
      <w:shd w:val="clear" w:color="auto" w:fill="FFFFFF"/>
      <w:spacing w:after="0" w:line="82" w:lineRule="exact"/>
    </w:pPr>
    <w:rPr>
      <w:rFonts w:ascii="Arial" w:eastAsia="Arial" w:hAnsi="Arial" w:cs="Arial"/>
      <w:sz w:val="12"/>
      <w:szCs w:val="12"/>
    </w:rPr>
  </w:style>
  <w:style w:type="character" w:customStyle="1" w:styleId="Sisutekst21Exact">
    <w:name w:val="Sisutekst (21) Exact"/>
    <w:basedOn w:val="DefaultParagraphFont"/>
    <w:link w:val="Sisutekst21"/>
    <w:rsid w:val="00E27D83"/>
    <w:rPr>
      <w:rFonts w:ascii="Bookman Old Style" w:eastAsia="Bookman Old Style" w:hAnsi="Bookman Old Style" w:cs="Bookman Old Style"/>
      <w:b/>
      <w:bCs/>
      <w:sz w:val="14"/>
      <w:szCs w:val="14"/>
      <w:shd w:val="clear" w:color="auto" w:fill="FFFFFF"/>
    </w:rPr>
  </w:style>
  <w:style w:type="paragraph" w:customStyle="1" w:styleId="Sisutekst21">
    <w:name w:val="Sisutekst (21)"/>
    <w:basedOn w:val="Normal"/>
    <w:link w:val="Sisutekst21Exact"/>
    <w:rsid w:val="00E27D83"/>
    <w:pPr>
      <w:widowControl w:val="0"/>
      <w:shd w:val="clear" w:color="auto" w:fill="FFFFFF"/>
      <w:spacing w:after="0" w:line="82" w:lineRule="exact"/>
    </w:pPr>
    <w:rPr>
      <w:rFonts w:ascii="Bookman Old Style" w:eastAsia="Bookman Old Style" w:hAnsi="Bookman Old Style" w:cs="Bookman Old Style"/>
      <w:b/>
      <w:bCs/>
      <w:sz w:val="14"/>
      <w:szCs w:val="14"/>
    </w:rPr>
  </w:style>
  <w:style w:type="character" w:customStyle="1" w:styleId="Sisutekst22Exact">
    <w:name w:val="Sisutekst (22) Exact"/>
    <w:basedOn w:val="DefaultParagraphFont"/>
    <w:link w:val="Sisutekst22"/>
    <w:rsid w:val="00E27D83"/>
    <w:rPr>
      <w:rFonts w:ascii="Constantia" w:eastAsia="Constantia" w:hAnsi="Constantia" w:cs="Constantia"/>
      <w:b/>
      <w:bCs/>
      <w:i/>
      <w:iCs/>
      <w:sz w:val="15"/>
      <w:szCs w:val="15"/>
      <w:shd w:val="clear" w:color="auto" w:fill="FFFFFF"/>
    </w:rPr>
  </w:style>
  <w:style w:type="paragraph" w:customStyle="1" w:styleId="Sisutekst22">
    <w:name w:val="Sisutekst (22)"/>
    <w:basedOn w:val="Normal"/>
    <w:link w:val="Sisutekst22Exact"/>
    <w:rsid w:val="00E27D83"/>
    <w:pPr>
      <w:widowControl w:val="0"/>
      <w:shd w:val="clear" w:color="auto" w:fill="FFFFFF"/>
      <w:spacing w:after="0" w:line="82" w:lineRule="exact"/>
    </w:pPr>
    <w:rPr>
      <w:rFonts w:ascii="Constantia" w:eastAsia="Constantia" w:hAnsi="Constantia" w:cs="Constantia"/>
      <w:b/>
      <w:bCs/>
      <w:i/>
      <w:iCs/>
      <w:sz w:val="15"/>
      <w:szCs w:val="15"/>
    </w:rPr>
  </w:style>
  <w:style w:type="character" w:customStyle="1" w:styleId="Sisutekst4Exact">
    <w:name w:val="Sisutekst (4) Exact"/>
    <w:basedOn w:val="DefaultParagraphFont"/>
    <w:rsid w:val="00E27D83"/>
    <w:rPr>
      <w:rFonts w:ascii="Times New Roman" w:eastAsia="Times New Roman" w:hAnsi="Times New Roman" w:cs="Times New Roman"/>
      <w:b w:val="0"/>
      <w:bCs w:val="0"/>
      <w:i w:val="0"/>
      <w:iCs w:val="0"/>
      <w:smallCaps w:val="0"/>
      <w:strike w:val="0"/>
      <w:sz w:val="18"/>
      <w:szCs w:val="18"/>
      <w:u w:val="none"/>
    </w:rPr>
  </w:style>
  <w:style w:type="character" w:customStyle="1" w:styleId="Sisutekst23Exact">
    <w:name w:val="Sisutekst (23) Exact"/>
    <w:basedOn w:val="DefaultParagraphFont"/>
    <w:link w:val="Sisutekst23"/>
    <w:rsid w:val="00E27D83"/>
    <w:rPr>
      <w:rFonts w:ascii="Times New Roman" w:eastAsia="Times New Roman" w:hAnsi="Times New Roman" w:cs="Times New Roman"/>
      <w:spacing w:val="-10"/>
      <w:sz w:val="9"/>
      <w:szCs w:val="9"/>
      <w:shd w:val="clear" w:color="auto" w:fill="FFFFFF"/>
    </w:rPr>
  </w:style>
  <w:style w:type="paragraph" w:customStyle="1" w:styleId="Sisutekst23">
    <w:name w:val="Sisutekst (23)"/>
    <w:basedOn w:val="Normal"/>
    <w:link w:val="Sisutekst23Exact"/>
    <w:rsid w:val="00E27D83"/>
    <w:pPr>
      <w:widowControl w:val="0"/>
      <w:shd w:val="clear" w:color="auto" w:fill="FFFFFF"/>
      <w:spacing w:after="0" w:line="0" w:lineRule="atLeast"/>
    </w:pPr>
    <w:rPr>
      <w:rFonts w:ascii="Times New Roman" w:eastAsia="Times New Roman" w:hAnsi="Times New Roman" w:cs="Times New Roman"/>
      <w:spacing w:val="-10"/>
      <w:sz w:val="9"/>
      <w:szCs w:val="9"/>
    </w:rPr>
  </w:style>
  <w:style w:type="character" w:customStyle="1" w:styleId="PildiallkiriMitterasvaneExact">
    <w:name w:val="Pildiallkiri + Mitte rasvane Exact"/>
    <w:basedOn w:val="Pildiallkiri"/>
    <w:rsid w:val="00E27D83"/>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en-US" w:eastAsia="en-US" w:bidi="en-US"/>
    </w:rPr>
  </w:style>
  <w:style w:type="character" w:customStyle="1" w:styleId="Pildiallkiri13Exact">
    <w:name w:val="Pildiallkiri (13) Exact"/>
    <w:basedOn w:val="DefaultParagraphFont"/>
    <w:link w:val="Pildiallkiri13"/>
    <w:rsid w:val="00E27D83"/>
    <w:rPr>
      <w:rFonts w:ascii="Arial" w:eastAsia="Arial" w:hAnsi="Arial" w:cs="Arial"/>
      <w:sz w:val="13"/>
      <w:szCs w:val="13"/>
      <w:shd w:val="clear" w:color="auto" w:fill="FFFFFF"/>
    </w:rPr>
  </w:style>
  <w:style w:type="paragraph" w:customStyle="1" w:styleId="Pildiallkiri13">
    <w:name w:val="Pildiallkiri (13)"/>
    <w:basedOn w:val="Normal"/>
    <w:link w:val="Pildiallkiri13Exact"/>
    <w:rsid w:val="00E27D83"/>
    <w:pPr>
      <w:widowControl w:val="0"/>
      <w:shd w:val="clear" w:color="auto" w:fill="FFFFFF"/>
      <w:spacing w:after="0" w:line="394" w:lineRule="exact"/>
    </w:pPr>
    <w:rPr>
      <w:rFonts w:ascii="Arial" w:eastAsia="Arial" w:hAnsi="Arial" w:cs="Arial"/>
      <w:sz w:val="13"/>
      <w:szCs w:val="13"/>
    </w:rPr>
  </w:style>
  <w:style w:type="character" w:customStyle="1" w:styleId="Tabeliallkiri6Exact">
    <w:name w:val="Tabeli allkiri (6) Exact"/>
    <w:basedOn w:val="DefaultParagraphFont"/>
    <w:link w:val="Tabeliallkiri6"/>
    <w:rsid w:val="00E27D83"/>
    <w:rPr>
      <w:rFonts w:ascii="Times New Roman" w:eastAsia="Times New Roman" w:hAnsi="Times New Roman" w:cs="Times New Roman"/>
      <w:b/>
      <w:bCs/>
      <w:i/>
      <w:iCs/>
      <w:sz w:val="12"/>
      <w:szCs w:val="12"/>
      <w:shd w:val="clear" w:color="auto" w:fill="FFFFFF"/>
    </w:rPr>
  </w:style>
  <w:style w:type="paragraph" w:customStyle="1" w:styleId="Tabeliallkiri6">
    <w:name w:val="Tabeli allkiri (6)"/>
    <w:basedOn w:val="Normal"/>
    <w:link w:val="Tabeliallkiri6Exact"/>
    <w:rsid w:val="00E27D83"/>
    <w:pPr>
      <w:widowControl w:val="0"/>
      <w:shd w:val="clear" w:color="auto" w:fill="FFFFFF"/>
      <w:spacing w:after="0" w:line="158" w:lineRule="exact"/>
      <w:jc w:val="both"/>
    </w:pPr>
    <w:rPr>
      <w:rFonts w:ascii="Times New Roman" w:eastAsia="Times New Roman" w:hAnsi="Times New Roman" w:cs="Times New Roman"/>
      <w:b/>
      <w:bCs/>
      <w:i/>
      <w:iCs/>
      <w:sz w:val="12"/>
      <w:szCs w:val="12"/>
    </w:rPr>
  </w:style>
  <w:style w:type="character" w:customStyle="1" w:styleId="Sisutekst26pRasvaneKursiiv">
    <w:name w:val="Sisutekst (2) + 6 p;Rasvane;Kursiiv"/>
    <w:basedOn w:val="Sisutekst2"/>
    <w:rsid w:val="00E27D83"/>
    <w:rPr>
      <w:rFonts w:ascii="Times New Roman" w:eastAsia="Times New Roman" w:hAnsi="Times New Roman" w:cs="Times New Roman"/>
      <w:b/>
      <w:bCs/>
      <w:i/>
      <w:iCs/>
      <w:smallCaps w:val="0"/>
      <w:strike w:val="0"/>
      <w:color w:val="000000"/>
      <w:spacing w:val="0"/>
      <w:w w:val="100"/>
      <w:position w:val="0"/>
      <w:sz w:val="12"/>
      <w:szCs w:val="12"/>
      <w:u w:val="none"/>
      <w:lang w:val="en-US" w:eastAsia="en-US" w:bidi="en-US"/>
    </w:rPr>
  </w:style>
  <w:style w:type="character" w:customStyle="1" w:styleId="Sisutekst26p">
    <w:name w:val="Sisutekst (2) + 6 p"/>
    <w:basedOn w:val="Sisutekst2"/>
    <w:rsid w:val="00E27D83"/>
    <w:rPr>
      <w:rFonts w:ascii="Times New Roman" w:eastAsia="Times New Roman" w:hAnsi="Times New Roman" w:cs="Times New Roman"/>
      <w:b w:val="0"/>
      <w:bCs w:val="0"/>
      <w:i w:val="0"/>
      <w:iCs w:val="0"/>
      <w:smallCaps w:val="0"/>
      <w:strike w:val="0"/>
      <w:color w:val="000000"/>
      <w:spacing w:val="0"/>
      <w:w w:val="100"/>
      <w:position w:val="0"/>
      <w:sz w:val="12"/>
      <w:szCs w:val="12"/>
      <w:u w:val="none"/>
      <w:lang w:val="en-US" w:eastAsia="en-US" w:bidi="en-US"/>
    </w:rPr>
  </w:style>
  <w:style w:type="paragraph" w:styleId="TOC2">
    <w:name w:val="toc 2"/>
    <w:basedOn w:val="Normal"/>
    <w:next w:val="Normal"/>
    <w:autoRedefine/>
    <w:uiPriority w:val="39"/>
    <w:unhideWhenUsed/>
    <w:rsid w:val="00E27D83"/>
    <w:pPr>
      <w:spacing w:after="100"/>
      <w:ind w:left="220"/>
    </w:pPr>
    <w:rPr>
      <w:lang w:val="et-EE"/>
    </w:rPr>
  </w:style>
  <w:style w:type="character" w:customStyle="1" w:styleId="Sisutekst9">
    <w:name w:val="Sisutekst (9)_"/>
    <w:basedOn w:val="DefaultParagraphFont"/>
    <w:link w:val="Sisutekst90"/>
    <w:rsid w:val="00E27D83"/>
    <w:rPr>
      <w:rFonts w:ascii="Times New Roman" w:eastAsia="Times New Roman" w:hAnsi="Times New Roman" w:cs="Times New Roman"/>
      <w:sz w:val="20"/>
      <w:szCs w:val="20"/>
      <w:shd w:val="clear" w:color="auto" w:fill="FFFFFF"/>
    </w:rPr>
  </w:style>
  <w:style w:type="paragraph" w:customStyle="1" w:styleId="Sisutekst90">
    <w:name w:val="Sisutekst (9)"/>
    <w:basedOn w:val="Normal"/>
    <w:link w:val="Sisutekst9"/>
    <w:rsid w:val="00E27D83"/>
    <w:pPr>
      <w:widowControl w:val="0"/>
      <w:shd w:val="clear" w:color="auto" w:fill="FFFFFF"/>
      <w:spacing w:before="300" w:after="300" w:line="0" w:lineRule="atLeast"/>
      <w:ind w:hanging="720"/>
    </w:pPr>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rsid w:val="00E27D83"/>
    <w:rPr>
      <w:sz w:val="16"/>
      <w:szCs w:val="16"/>
    </w:rPr>
  </w:style>
  <w:style w:type="paragraph" w:styleId="CommentText">
    <w:name w:val="annotation text"/>
    <w:basedOn w:val="Normal"/>
    <w:link w:val="CommentTextChar"/>
    <w:uiPriority w:val="99"/>
    <w:semiHidden/>
    <w:unhideWhenUsed/>
    <w:rsid w:val="00E27D83"/>
    <w:pPr>
      <w:spacing w:line="240" w:lineRule="auto"/>
    </w:pPr>
    <w:rPr>
      <w:sz w:val="20"/>
      <w:szCs w:val="20"/>
      <w:lang w:val="et-EE"/>
    </w:rPr>
  </w:style>
  <w:style w:type="character" w:customStyle="1" w:styleId="CommentTextChar">
    <w:name w:val="Comment Text Char"/>
    <w:basedOn w:val="DefaultParagraphFont"/>
    <w:link w:val="CommentText"/>
    <w:uiPriority w:val="99"/>
    <w:semiHidden/>
    <w:rsid w:val="00E27D83"/>
    <w:rPr>
      <w:sz w:val="20"/>
      <w:szCs w:val="20"/>
      <w:lang w:val="et-EE"/>
    </w:rPr>
  </w:style>
  <w:style w:type="paragraph" w:styleId="CommentSubject">
    <w:name w:val="annotation subject"/>
    <w:basedOn w:val="CommentText"/>
    <w:next w:val="CommentText"/>
    <w:link w:val="CommentSubjectChar"/>
    <w:uiPriority w:val="99"/>
    <w:semiHidden/>
    <w:unhideWhenUsed/>
    <w:rsid w:val="00E27D83"/>
    <w:rPr>
      <w:b/>
      <w:bCs/>
    </w:rPr>
  </w:style>
  <w:style w:type="character" w:customStyle="1" w:styleId="CommentSubjectChar">
    <w:name w:val="Comment Subject Char"/>
    <w:basedOn w:val="CommentTextChar"/>
    <w:link w:val="CommentSubject"/>
    <w:uiPriority w:val="99"/>
    <w:semiHidden/>
    <w:rsid w:val="00E27D83"/>
    <w:rPr>
      <w:b/>
      <w:bCs/>
      <w:sz w:val="20"/>
      <w:szCs w:val="20"/>
      <w:lang w:val="et-EE"/>
    </w:rPr>
  </w:style>
  <w:style w:type="character" w:customStyle="1" w:styleId="label">
    <w:name w:val="label"/>
    <w:basedOn w:val="DefaultParagraphFont"/>
    <w:rsid w:val="00E27D83"/>
  </w:style>
  <w:style w:type="character" w:styleId="Emphasis">
    <w:name w:val="Emphasis"/>
    <w:uiPriority w:val="20"/>
    <w:qFormat/>
    <w:rsid w:val="00E27D83"/>
    <w:rPr>
      <w:b/>
      <w:bCs/>
      <w:i/>
      <w:iCs/>
      <w:color w:val="auto"/>
    </w:rPr>
  </w:style>
  <w:style w:type="character" w:customStyle="1" w:styleId="apple-converted-space">
    <w:name w:val="apple-converted-space"/>
    <w:basedOn w:val="DefaultParagraphFont"/>
    <w:rsid w:val="00E27D83"/>
  </w:style>
  <w:style w:type="paragraph" w:styleId="NoSpacing">
    <w:name w:val="No Spacing"/>
    <w:basedOn w:val="Normal"/>
    <w:link w:val="NoSpacingChar"/>
    <w:uiPriority w:val="1"/>
    <w:qFormat/>
    <w:rsid w:val="00E27D83"/>
    <w:pPr>
      <w:spacing w:after="0" w:line="240" w:lineRule="auto"/>
    </w:pPr>
    <w:rPr>
      <w:rFonts w:eastAsiaTheme="minorEastAsia"/>
      <w:lang w:bidi="en-US"/>
    </w:rPr>
  </w:style>
  <w:style w:type="character" w:customStyle="1" w:styleId="NoSpacingChar">
    <w:name w:val="No Spacing Char"/>
    <w:basedOn w:val="DefaultParagraphFont"/>
    <w:link w:val="NoSpacing"/>
    <w:uiPriority w:val="1"/>
    <w:rsid w:val="00E27D83"/>
    <w:rPr>
      <w:rFonts w:eastAsiaTheme="minorEastAsia"/>
      <w:lang w:bidi="en-US"/>
    </w:rPr>
  </w:style>
  <w:style w:type="paragraph" w:customStyle="1" w:styleId="Default">
    <w:name w:val="Default"/>
    <w:rsid w:val="00E27D83"/>
    <w:pPr>
      <w:autoSpaceDE w:val="0"/>
      <w:autoSpaceDN w:val="0"/>
      <w:adjustRightInd w:val="0"/>
      <w:spacing w:after="0" w:line="240" w:lineRule="auto"/>
      <w:ind w:firstLine="360"/>
    </w:pPr>
    <w:rPr>
      <w:rFonts w:ascii="Times New Roman" w:eastAsiaTheme="minorEastAsia" w:hAnsi="Times New Roman" w:cs="Times New Roman"/>
      <w:color w:val="000000"/>
      <w:sz w:val="24"/>
      <w:szCs w:val="24"/>
      <w:lang w:bidi="en-US"/>
    </w:rPr>
  </w:style>
  <w:style w:type="paragraph" w:styleId="Title">
    <w:name w:val="Title"/>
    <w:basedOn w:val="Normal"/>
    <w:next w:val="Normal"/>
    <w:link w:val="TitleChar"/>
    <w:uiPriority w:val="10"/>
    <w:qFormat/>
    <w:rsid w:val="00E27D83"/>
    <w:pPr>
      <w:spacing w:after="240" w:line="240" w:lineRule="auto"/>
    </w:pPr>
    <w:rPr>
      <w:rFonts w:asciiTheme="majorHAnsi" w:eastAsiaTheme="majorEastAsia" w:hAnsiTheme="majorHAnsi" w:cstheme="majorBidi"/>
      <w:b/>
      <w:bCs/>
      <w:i/>
      <w:iCs/>
      <w:spacing w:val="10"/>
      <w:sz w:val="60"/>
      <w:szCs w:val="60"/>
      <w:lang w:bidi="en-US"/>
    </w:rPr>
  </w:style>
  <w:style w:type="character" w:customStyle="1" w:styleId="TitleChar">
    <w:name w:val="Title Char"/>
    <w:basedOn w:val="DefaultParagraphFont"/>
    <w:link w:val="Title"/>
    <w:uiPriority w:val="10"/>
    <w:rsid w:val="00E27D83"/>
    <w:rPr>
      <w:rFonts w:asciiTheme="majorHAnsi" w:eastAsiaTheme="majorEastAsia" w:hAnsiTheme="majorHAnsi" w:cstheme="majorBidi"/>
      <w:b/>
      <w:bCs/>
      <w:i/>
      <w:iCs/>
      <w:spacing w:val="10"/>
      <w:sz w:val="60"/>
      <w:szCs w:val="60"/>
      <w:lang w:bidi="en-US"/>
    </w:rPr>
  </w:style>
  <w:style w:type="paragraph" w:styleId="Subtitle">
    <w:name w:val="Subtitle"/>
    <w:basedOn w:val="Normal"/>
    <w:next w:val="Normal"/>
    <w:link w:val="SubtitleChar"/>
    <w:uiPriority w:val="11"/>
    <w:qFormat/>
    <w:rsid w:val="00E27D83"/>
    <w:pPr>
      <w:spacing w:after="320" w:line="480" w:lineRule="auto"/>
      <w:ind w:firstLine="360"/>
      <w:jc w:val="right"/>
    </w:pPr>
    <w:rPr>
      <w:rFonts w:eastAsiaTheme="minorEastAsia"/>
      <w:i/>
      <w:iCs/>
      <w:color w:val="808080" w:themeColor="text1" w:themeTint="7F"/>
      <w:spacing w:val="10"/>
      <w:sz w:val="24"/>
      <w:szCs w:val="24"/>
      <w:lang w:bidi="en-US"/>
    </w:rPr>
  </w:style>
  <w:style w:type="character" w:customStyle="1" w:styleId="SubtitleChar">
    <w:name w:val="Subtitle Char"/>
    <w:basedOn w:val="DefaultParagraphFont"/>
    <w:link w:val="Subtitle"/>
    <w:uiPriority w:val="11"/>
    <w:rsid w:val="00E27D83"/>
    <w:rPr>
      <w:rFonts w:eastAsiaTheme="minorEastAsia"/>
      <w:i/>
      <w:iCs/>
      <w:color w:val="808080" w:themeColor="text1" w:themeTint="7F"/>
      <w:spacing w:val="10"/>
      <w:sz w:val="24"/>
      <w:szCs w:val="24"/>
      <w:lang w:bidi="en-US"/>
    </w:rPr>
  </w:style>
  <w:style w:type="character" w:styleId="Strong">
    <w:name w:val="Strong"/>
    <w:basedOn w:val="DefaultParagraphFont"/>
    <w:uiPriority w:val="22"/>
    <w:qFormat/>
    <w:rsid w:val="00E27D83"/>
    <w:rPr>
      <w:b/>
      <w:bCs/>
      <w:spacing w:val="0"/>
    </w:rPr>
  </w:style>
  <w:style w:type="paragraph" w:styleId="Quote">
    <w:name w:val="Quote"/>
    <w:basedOn w:val="Normal"/>
    <w:next w:val="Normal"/>
    <w:link w:val="QuoteChar"/>
    <w:uiPriority w:val="29"/>
    <w:qFormat/>
    <w:rsid w:val="00E27D83"/>
    <w:pPr>
      <w:spacing w:after="240" w:line="480" w:lineRule="auto"/>
      <w:ind w:firstLine="360"/>
    </w:pPr>
    <w:rPr>
      <w:rFonts w:eastAsiaTheme="minorEastAsia"/>
      <w:color w:val="5A5A5A" w:themeColor="text1" w:themeTint="A5"/>
      <w:lang w:bidi="en-US"/>
    </w:rPr>
  </w:style>
  <w:style w:type="character" w:customStyle="1" w:styleId="QuoteChar">
    <w:name w:val="Quote Char"/>
    <w:basedOn w:val="DefaultParagraphFont"/>
    <w:link w:val="Quote"/>
    <w:uiPriority w:val="29"/>
    <w:rsid w:val="00E27D83"/>
    <w:rPr>
      <w:rFonts w:eastAsiaTheme="minorEastAsia"/>
      <w:color w:val="5A5A5A" w:themeColor="text1" w:themeTint="A5"/>
      <w:lang w:bidi="en-US"/>
    </w:rPr>
  </w:style>
  <w:style w:type="paragraph" w:styleId="IntenseQuote">
    <w:name w:val="Intense Quote"/>
    <w:basedOn w:val="Normal"/>
    <w:next w:val="Normal"/>
    <w:link w:val="IntenseQuoteChar"/>
    <w:uiPriority w:val="30"/>
    <w:qFormat/>
    <w:rsid w:val="00E27D83"/>
    <w:pPr>
      <w:spacing w:before="320" w:after="480" w:line="240" w:lineRule="auto"/>
      <w:ind w:left="720" w:right="720"/>
      <w:jc w:val="center"/>
    </w:pPr>
    <w:rPr>
      <w:rFonts w:asciiTheme="majorHAnsi" w:eastAsiaTheme="majorEastAsia" w:hAnsiTheme="majorHAnsi" w:cstheme="majorBidi"/>
      <w:i/>
      <w:iCs/>
      <w:sz w:val="20"/>
      <w:szCs w:val="20"/>
      <w:lang w:bidi="en-US"/>
    </w:rPr>
  </w:style>
  <w:style w:type="character" w:customStyle="1" w:styleId="IntenseQuoteChar">
    <w:name w:val="Intense Quote Char"/>
    <w:basedOn w:val="DefaultParagraphFont"/>
    <w:link w:val="IntenseQuote"/>
    <w:uiPriority w:val="30"/>
    <w:rsid w:val="00E27D83"/>
    <w:rPr>
      <w:rFonts w:asciiTheme="majorHAnsi" w:eastAsiaTheme="majorEastAsia" w:hAnsiTheme="majorHAnsi" w:cstheme="majorBidi"/>
      <w:i/>
      <w:iCs/>
      <w:sz w:val="20"/>
      <w:szCs w:val="20"/>
      <w:lang w:bidi="en-US"/>
    </w:rPr>
  </w:style>
  <w:style w:type="character" w:styleId="SubtleEmphasis">
    <w:name w:val="Subtle Emphasis"/>
    <w:uiPriority w:val="19"/>
    <w:qFormat/>
    <w:rsid w:val="00E27D83"/>
    <w:rPr>
      <w:i/>
      <w:iCs/>
      <w:color w:val="5A5A5A" w:themeColor="text1" w:themeTint="A5"/>
    </w:rPr>
  </w:style>
  <w:style w:type="character" w:styleId="IntenseEmphasis">
    <w:name w:val="Intense Emphasis"/>
    <w:uiPriority w:val="21"/>
    <w:qFormat/>
    <w:rsid w:val="00E27D83"/>
    <w:rPr>
      <w:b/>
      <w:bCs/>
      <w:i/>
      <w:iCs/>
      <w:color w:val="auto"/>
      <w:u w:val="single"/>
    </w:rPr>
  </w:style>
  <w:style w:type="character" w:styleId="SubtleReference">
    <w:name w:val="Subtle Reference"/>
    <w:uiPriority w:val="31"/>
    <w:qFormat/>
    <w:rsid w:val="00E27D83"/>
    <w:rPr>
      <w:smallCaps/>
    </w:rPr>
  </w:style>
  <w:style w:type="character" w:styleId="IntenseReference">
    <w:name w:val="Intense Reference"/>
    <w:uiPriority w:val="32"/>
    <w:qFormat/>
    <w:rsid w:val="00E27D83"/>
    <w:rPr>
      <w:b/>
      <w:bCs/>
      <w:smallCaps/>
      <w:color w:val="auto"/>
    </w:rPr>
  </w:style>
  <w:style w:type="character" w:styleId="BookTitle">
    <w:name w:val="Book Title"/>
    <w:uiPriority w:val="33"/>
    <w:qFormat/>
    <w:rsid w:val="00E27D83"/>
    <w:rPr>
      <w:rFonts w:asciiTheme="majorHAnsi" w:eastAsiaTheme="majorEastAsia" w:hAnsiTheme="majorHAnsi" w:cstheme="majorBidi"/>
      <w:b/>
      <w:bCs/>
      <w:smallCaps/>
      <w:color w:val="auto"/>
      <w:u w:val="single"/>
    </w:rPr>
  </w:style>
  <w:style w:type="paragraph" w:styleId="TOC3">
    <w:name w:val="toc 3"/>
    <w:basedOn w:val="Normal"/>
    <w:next w:val="Normal"/>
    <w:autoRedefine/>
    <w:uiPriority w:val="39"/>
    <w:unhideWhenUsed/>
    <w:rsid w:val="00E27D83"/>
    <w:pPr>
      <w:spacing w:after="100" w:line="480" w:lineRule="auto"/>
      <w:ind w:left="440" w:firstLine="360"/>
    </w:pPr>
    <w:rPr>
      <w:rFonts w:eastAsiaTheme="minorEastAsia"/>
      <w:lang w:bidi="en-US"/>
    </w:rPr>
  </w:style>
  <w:style w:type="character" w:customStyle="1" w:styleId="Sisutekst26MitterasvaneMittekursiiv">
    <w:name w:val="Sisutekst (26) + Mitte rasvane;Mitte kursiiv"/>
    <w:basedOn w:val="DefaultParagraphFont"/>
    <w:rsid w:val="00E27D83"/>
    <w:rPr>
      <w:rFonts w:ascii="Times New Roman" w:eastAsia="Times New Roman" w:hAnsi="Times New Roman" w:cs="Times New Roman"/>
      <w:b/>
      <w:bCs/>
      <w:i/>
      <w:iCs/>
      <w:smallCaps w:val="0"/>
      <w:strike w:val="0"/>
      <w:color w:val="000000"/>
      <w:spacing w:val="0"/>
      <w:w w:val="100"/>
      <w:position w:val="0"/>
      <w:sz w:val="22"/>
      <w:szCs w:val="22"/>
      <w:u w:val="none"/>
      <w:lang w:val="en-US" w:eastAsia="en-US" w:bidi="en-US"/>
    </w:rPr>
  </w:style>
  <w:style w:type="character" w:customStyle="1" w:styleId="journaltitlesp">
    <w:name w:val="journaltitlesp"/>
    <w:basedOn w:val="DefaultParagraphFont"/>
    <w:rsid w:val="00E27D83"/>
  </w:style>
  <w:style w:type="character" w:customStyle="1" w:styleId="issuevolsp">
    <w:name w:val="issuevolsp"/>
    <w:basedOn w:val="DefaultParagraphFont"/>
    <w:rsid w:val="00E27D83"/>
  </w:style>
  <w:style w:type="character" w:customStyle="1" w:styleId="issuenumsp">
    <w:name w:val="issuenumsp"/>
    <w:basedOn w:val="DefaultParagraphFont"/>
    <w:rsid w:val="00E27D83"/>
  </w:style>
  <w:style w:type="character" w:customStyle="1" w:styleId="pagerange">
    <w:name w:val="pagerange"/>
    <w:basedOn w:val="DefaultParagraphFont"/>
    <w:rsid w:val="00E27D8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E27D83"/>
    <w:pPr>
      <w:keepNext/>
      <w:keepLines/>
      <w:spacing w:before="480" w:after="0"/>
      <w:outlineLvl w:val="0"/>
    </w:pPr>
    <w:rPr>
      <w:rFonts w:asciiTheme="majorHAnsi" w:eastAsiaTheme="majorEastAsia" w:hAnsiTheme="majorHAnsi" w:cstheme="majorBidi"/>
      <w:b/>
      <w:bCs/>
      <w:color w:val="365F91" w:themeColor="accent1" w:themeShade="BF"/>
      <w:sz w:val="28"/>
      <w:szCs w:val="28"/>
      <w:lang w:val="et-EE"/>
    </w:rPr>
  </w:style>
  <w:style w:type="paragraph" w:styleId="Heading2">
    <w:name w:val="heading 2"/>
    <w:basedOn w:val="Normal"/>
    <w:next w:val="Normal"/>
    <w:link w:val="Heading2Char"/>
    <w:uiPriority w:val="9"/>
    <w:unhideWhenUsed/>
    <w:qFormat/>
    <w:rsid w:val="00E27D83"/>
    <w:pPr>
      <w:keepNext/>
      <w:keepLines/>
      <w:spacing w:before="200" w:after="0"/>
      <w:outlineLvl w:val="1"/>
    </w:pPr>
    <w:rPr>
      <w:rFonts w:asciiTheme="majorHAnsi" w:eastAsiaTheme="majorEastAsia" w:hAnsiTheme="majorHAnsi" w:cstheme="majorBidi"/>
      <w:b/>
      <w:bCs/>
      <w:color w:val="4F81BD" w:themeColor="accent1"/>
      <w:sz w:val="26"/>
      <w:szCs w:val="26"/>
      <w:lang w:val="et-EE"/>
    </w:rPr>
  </w:style>
  <w:style w:type="paragraph" w:styleId="Heading3">
    <w:name w:val="heading 3"/>
    <w:basedOn w:val="Normal"/>
    <w:next w:val="Normal"/>
    <w:link w:val="Heading3Char"/>
    <w:uiPriority w:val="9"/>
    <w:unhideWhenUsed/>
    <w:qFormat/>
    <w:rsid w:val="00E27D83"/>
    <w:pPr>
      <w:keepNext/>
      <w:keepLines/>
      <w:spacing w:before="200" w:after="0"/>
      <w:outlineLvl w:val="2"/>
    </w:pPr>
    <w:rPr>
      <w:rFonts w:asciiTheme="majorHAnsi" w:eastAsiaTheme="majorEastAsia" w:hAnsiTheme="majorHAnsi" w:cstheme="majorBidi"/>
      <w:b/>
      <w:bCs/>
      <w:color w:val="4F81BD" w:themeColor="accent1"/>
      <w:lang w:val="et-EE"/>
    </w:rPr>
  </w:style>
  <w:style w:type="paragraph" w:styleId="Heading4">
    <w:name w:val="heading 4"/>
    <w:basedOn w:val="Normal"/>
    <w:next w:val="Normal"/>
    <w:link w:val="Heading4Char"/>
    <w:uiPriority w:val="9"/>
    <w:unhideWhenUsed/>
    <w:qFormat/>
    <w:rsid w:val="00E27D83"/>
    <w:pPr>
      <w:keepNext/>
      <w:keepLines/>
      <w:spacing w:before="200" w:after="0"/>
      <w:outlineLvl w:val="3"/>
    </w:pPr>
    <w:rPr>
      <w:rFonts w:asciiTheme="majorHAnsi" w:eastAsiaTheme="majorEastAsia" w:hAnsiTheme="majorHAnsi" w:cstheme="majorBidi"/>
      <w:b/>
      <w:bCs/>
      <w:i/>
      <w:iCs/>
      <w:color w:val="4F81BD" w:themeColor="accent1"/>
      <w:lang w:val="et-EE"/>
    </w:rPr>
  </w:style>
  <w:style w:type="paragraph" w:styleId="Heading5">
    <w:name w:val="heading 5"/>
    <w:basedOn w:val="Normal"/>
    <w:next w:val="Normal"/>
    <w:link w:val="Heading5Char"/>
    <w:uiPriority w:val="9"/>
    <w:semiHidden/>
    <w:unhideWhenUsed/>
    <w:qFormat/>
    <w:rsid w:val="00E27D83"/>
    <w:pPr>
      <w:spacing w:before="280" w:after="0" w:line="360" w:lineRule="auto"/>
      <w:outlineLvl w:val="4"/>
    </w:pPr>
    <w:rPr>
      <w:rFonts w:asciiTheme="majorHAnsi" w:eastAsiaTheme="majorEastAsia" w:hAnsiTheme="majorHAnsi" w:cstheme="majorBidi"/>
      <w:b/>
      <w:bCs/>
      <w:i/>
      <w:iCs/>
      <w:lang w:bidi="en-US"/>
    </w:rPr>
  </w:style>
  <w:style w:type="paragraph" w:styleId="Heading6">
    <w:name w:val="heading 6"/>
    <w:basedOn w:val="Normal"/>
    <w:next w:val="Normal"/>
    <w:link w:val="Heading6Char"/>
    <w:uiPriority w:val="9"/>
    <w:semiHidden/>
    <w:unhideWhenUsed/>
    <w:qFormat/>
    <w:rsid w:val="00E27D83"/>
    <w:pPr>
      <w:spacing w:before="280" w:after="80" w:line="360" w:lineRule="auto"/>
      <w:outlineLvl w:val="5"/>
    </w:pPr>
    <w:rPr>
      <w:rFonts w:asciiTheme="majorHAnsi" w:eastAsiaTheme="majorEastAsia" w:hAnsiTheme="majorHAnsi" w:cstheme="majorBidi"/>
      <w:b/>
      <w:bCs/>
      <w:i/>
      <w:iCs/>
      <w:lang w:bidi="en-US"/>
    </w:rPr>
  </w:style>
  <w:style w:type="paragraph" w:styleId="Heading7">
    <w:name w:val="heading 7"/>
    <w:basedOn w:val="Normal"/>
    <w:next w:val="Normal"/>
    <w:link w:val="Heading7Char"/>
    <w:uiPriority w:val="9"/>
    <w:semiHidden/>
    <w:unhideWhenUsed/>
    <w:qFormat/>
    <w:rsid w:val="00E27D83"/>
    <w:pPr>
      <w:spacing w:before="280" w:after="0" w:line="360" w:lineRule="auto"/>
      <w:outlineLvl w:val="6"/>
    </w:pPr>
    <w:rPr>
      <w:rFonts w:asciiTheme="majorHAnsi" w:eastAsiaTheme="majorEastAsia" w:hAnsiTheme="majorHAnsi" w:cstheme="majorBidi"/>
      <w:b/>
      <w:bCs/>
      <w:i/>
      <w:iCs/>
      <w:sz w:val="20"/>
      <w:szCs w:val="20"/>
      <w:lang w:bidi="en-US"/>
    </w:rPr>
  </w:style>
  <w:style w:type="paragraph" w:styleId="Heading8">
    <w:name w:val="heading 8"/>
    <w:basedOn w:val="Normal"/>
    <w:next w:val="Normal"/>
    <w:link w:val="Heading8Char"/>
    <w:uiPriority w:val="9"/>
    <w:semiHidden/>
    <w:unhideWhenUsed/>
    <w:qFormat/>
    <w:rsid w:val="00E27D83"/>
    <w:pPr>
      <w:spacing w:before="280" w:after="0" w:line="360" w:lineRule="auto"/>
      <w:outlineLvl w:val="7"/>
    </w:pPr>
    <w:rPr>
      <w:rFonts w:asciiTheme="majorHAnsi" w:eastAsiaTheme="majorEastAsia" w:hAnsiTheme="majorHAnsi" w:cstheme="majorBidi"/>
      <w:b/>
      <w:bCs/>
      <w:i/>
      <w:iCs/>
      <w:sz w:val="18"/>
      <w:szCs w:val="18"/>
      <w:lang w:bidi="en-US"/>
    </w:rPr>
  </w:style>
  <w:style w:type="paragraph" w:styleId="Heading9">
    <w:name w:val="heading 9"/>
    <w:basedOn w:val="Normal"/>
    <w:next w:val="Normal"/>
    <w:link w:val="Heading9Char"/>
    <w:uiPriority w:val="9"/>
    <w:semiHidden/>
    <w:unhideWhenUsed/>
    <w:qFormat/>
    <w:rsid w:val="00E27D83"/>
    <w:pPr>
      <w:spacing w:before="280" w:after="0" w:line="360" w:lineRule="auto"/>
      <w:outlineLvl w:val="8"/>
    </w:pPr>
    <w:rPr>
      <w:rFonts w:asciiTheme="majorHAnsi" w:eastAsiaTheme="majorEastAsia" w:hAnsiTheme="majorHAnsi" w:cstheme="majorBidi"/>
      <w:i/>
      <w:iCs/>
      <w:sz w:val="18"/>
      <w:szCs w:val="1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7D83"/>
    <w:rPr>
      <w:rFonts w:asciiTheme="majorHAnsi" w:eastAsiaTheme="majorEastAsia" w:hAnsiTheme="majorHAnsi" w:cstheme="majorBidi"/>
      <w:b/>
      <w:bCs/>
      <w:color w:val="365F91" w:themeColor="accent1" w:themeShade="BF"/>
      <w:sz w:val="28"/>
      <w:szCs w:val="28"/>
      <w:lang w:val="et-EE"/>
    </w:rPr>
  </w:style>
  <w:style w:type="character" w:customStyle="1" w:styleId="Heading2Char">
    <w:name w:val="Heading 2 Char"/>
    <w:basedOn w:val="DefaultParagraphFont"/>
    <w:link w:val="Heading2"/>
    <w:uiPriority w:val="9"/>
    <w:rsid w:val="00E27D83"/>
    <w:rPr>
      <w:rFonts w:asciiTheme="majorHAnsi" w:eastAsiaTheme="majorEastAsia" w:hAnsiTheme="majorHAnsi" w:cstheme="majorBidi"/>
      <w:b/>
      <w:bCs/>
      <w:color w:val="4F81BD" w:themeColor="accent1"/>
      <w:sz w:val="26"/>
      <w:szCs w:val="26"/>
      <w:lang w:val="et-EE"/>
    </w:rPr>
  </w:style>
  <w:style w:type="character" w:customStyle="1" w:styleId="Heading3Char">
    <w:name w:val="Heading 3 Char"/>
    <w:basedOn w:val="DefaultParagraphFont"/>
    <w:link w:val="Heading3"/>
    <w:uiPriority w:val="9"/>
    <w:rsid w:val="00E27D83"/>
    <w:rPr>
      <w:rFonts w:asciiTheme="majorHAnsi" w:eastAsiaTheme="majorEastAsia" w:hAnsiTheme="majorHAnsi" w:cstheme="majorBidi"/>
      <w:b/>
      <w:bCs/>
      <w:color w:val="4F81BD" w:themeColor="accent1"/>
      <w:lang w:val="et-EE"/>
    </w:rPr>
  </w:style>
  <w:style w:type="character" w:customStyle="1" w:styleId="Heading4Char">
    <w:name w:val="Heading 4 Char"/>
    <w:basedOn w:val="DefaultParagraphFont"/>
    <w:link w:val="Heading4"/>
    <w:uiPriority w:val="9"/>
    <w:rsid w:val="00E27D83"/>
    <w:rPr>
      <w:rFonts w:asciiTheme="majorHAnsi" w:eastAsiaTheme="majorEastAsia" w:hAnsiTheme="majorHAnsi" w:cstheme="majorBidi"/>
      <w:b/>
      <w:bCs/>
      <w:i/>
      <w:iCs/>
      <w:color w:val="4F81BD" w:themeColor="accent1"/>
      <w:lang w:val="et-EE"/>
    </w:rPr>
  </w:style>
  <w:style w:type="character" w:customStyle="1" w:styleId="Heading5Char">
    <w:name w:val="Heading 5 Char"/>
    <w:basedOn w:val="DefaultParagraphFont"/>
    <w:link w:val="Heading5"/>
    <w:uiPriority w:val="9"/>
    <w:semiHidden/>
    <w:rsid w:val="00E27D83"/>
    <w:rPr>
      <w:rFonts w:asciiTheme="majorHAnsi" w:eastAsiaTheme="majorEastAsia" w:hAnsiTheme="majorHAnsi" w:cstheme="majorBidi"/>
      <w:b/>
      <w:bCs/>
      <w:i/>
      <w:iCs/>
      <w:lang w:bidi="en-US"/>
    </w:rPr>
  </w:style>
  <w:style w:type="character" w:customStyle="1" w:styleId="Heading6Char">
    <w:name w:val="Heading 6 Char"/>
    <w:basedOn w:val="DefaultParagraphFont"/>
    <w:link w:val="Heading6"/>
    <w:uiPriority w:val="9"/>
    <w:semiHidden/>
    <w:rsid w:val="00E27D83"/>
    <w:rPr>
      <w:rFonts w:asciiTheme="majorHAnsi" w:eastAsiaTheme="majorEastAsia" w:hAnsiTheme="majorHAnsi" w:cstheme="majorBidi"/>
      <w:b/>
      <w:bCs/>
      <w:i/>
      <w:iCs/>
      <w:lang w:bidi="en-US"/>
    </w:rPr>
  </w:style>
  <w:style w:type="character" w:customStyle="1" w:styleId="Heading7Char">
    <w:name w:val="Heading 7 Char"/>
    <w:basedOn w:val="DefaultParagraphFont"/>
    <w:link w:val="Heading7"/>
    <w:uiPriority w:val="9"/>
    <w:semiHidden/>
    <w:rsid w:val="00E27D83"/>
    <w:rPr>
      <w:rFonts w:asciiTheme="majorHAnsi" w:eastAsiaTheme="majorEastAsia" w:hAnsiTheme="majorHAnsi" w:cstheme="majorBidi"/>
      <w:b/>
      <w:bCs/>
      <w:i/>
      <w:iCs/>
      <w:sz w:val="20"/>
      <w:szCs w:val="20"/>
      <w:lang w:bidi="en-US"/>
    </w:rPr>
  </w:style>
  <w:style w:type="character" w:customStyle="1" w:styleId="Heading8Char">
    <w:name w:val="Heading 8 Char"/>
    <w:basedOn w:val="DefaultParagraphFont"/>
    <w:link w:val="Heading8"/>
    <w:uiPriority w:val="9"/>
    <w:semiHidden/>
    <w:rsid w:val="00E27D83"/>
    <w:rPr>
      <w:rFonts w:asciiTheme="majorHAnsi" w:eastAsiaTheme="majorEastAsia" w:hAnsiTheme="majorHAnsi" w:cstheme="majorBidi"/>
      <w:b/>
      <w:bCs/>
      <w:i/>
      <w:iCs/>
      <w:sz w:val="18"/>
      <w:szCs w:val="18"/>
      <w:lang w:bidi="en-US"/>
    </w:rPr>
  </w:style>
  <w:style w:type="character" w:customStyle="1" w:styleId="Heading9Char">
    <w:name w:val="Heading 9 Char"/>
    <w:basedOn w:val="DefaultParagraphFont"/>
    <w:link w:val="Heading9"/>
    <w:uiPriority w:val="9"/>
    <w:semiHidden/>
    <w:rsid w:val="00E27D83"/>
    <w:rPr>
      <w:rFonts w:asciiTheme="majorHAnsi" w:eastAsiaTheme="majorEastAsia" w:hAnsiTheme="majorHAnsi" w:cstheme="majorBidi"/>
      <w:i/>
      <w:iCs/>
      <w:sz w:val="18"/>
      <w:szCs w:val="18"/>
      <w:lang w:bidi="en-US"/>
    </w:rPr>
  </w:style>
  <w:style w:type="character" w:customStyle="1" w:styleId="Pealkiri1">
    <w:name w:val="Pealkiri #1_"/>
    <w:basedOn w:val="DefaultParagraphFont"/>
    <w:link w:val="Pealkiri10"/>
    <w:rsid w:val="00E27D83"/>
    <w:rPr>
      <w:rFonts w:ascii="Times New Roman" w:eastAsia="Times New Roman" w:hAnsi="Times New Roman" w:cs="Times New Roman"/>
      <w:b/>
      <w:bCs/>
      <w:spacing w:val="-10"/>
      <w:sz w:val="52"/>
      <w:szCs w:val="52"/>
      <w:shd w:val="clear" w:color="auto" w:fill="FFFFFF"/>
    </w:rPr>
  </w:style>
  <w:style w:type="paragraph" w:customStyle="1" w:styleId="Pealkiri10">
    <w:name w:val="Pealkiri #1"/>
    <w:basedOn w:val="Normal"/>
    <w:link w:val="Pealkiri1"/>
    <w:rsid w:val="00E27D83"/>
    <w:pPr>
      <w:widowControl w:val="0"/>
      <w:shd w:val="clear" w:color="auto" w:fill="FFFFFF"/>
      <w:spacing w:before="1860" w:after="1380" w:line="0" w:lineRule="atLeast"/>
      <w:jc w:val="center"/>
      <w:outlineLvl w:val="0"/>
    </w:pPr>
    <w:rPr>
      <w:rFonts w:ascii="Times New Roman" w:eastAsia="Times New Roman" w:hAnsi="Times New Roman" w:cs="Times New Roman"/>
      <w:b/>
      <w:bCs/>
      <w:spacing w:val="-10"/>
      <w:sz w:val="52"/>
      <w:szCs w:val="52"/>
    </w:rPr>
  </w:style>
  <w:style w:type="paragraph" w:styleId="BalloonText">
    <w:name w:val="Balloon Text"/>
    <w:basedOn w:val="Normal"/>
    <w:link w:val="BalloonTextChar"/>
    <w:uiPriority w:val="99"/>
    <w:semiHidden/>
    <w:unhideWhenUsed/>
    <w:rsid w:val="00E27D83"/>
    <w:pPr>
      <w:spacing w:after="0" w:line="240" w:lineRule="auto"/>
    </w:pPr>
    <w:rPr>
      <w:rFonts w:ascii="Tahoma" w:hAnsi="Tahoma" w:cs="Tahoma"/>
      <w:sz w:val="16"/>
      <w:szCs w:val="16"/>
      <w:lang w:val="et-EE"/>
    </w:rPr>
  </w:style>
  <w:style w:type="character" w:customStyle="1" w:styleId="BalloonTextChar">
    <w:name w:val="Balloon Text Char"/>
    <w:basedOn w:val="DefaultParagraphFont"/>
    <w:link w:val="BalloonText"/>
    <w:uiPriority w:val="99"/>
    <w:semiHidden/>
    <w:rsid w:val="00E27D83"/>
    <w:rPr>
      <w:rFonts w:ascii="Tahoma" w:hAnsi="Tahoma" w:cs="Tahoma"/>
      <w:sz w:val="16"/>
      <w:szCs w:val="16"/>
      <w:lang w:val="et-EE"/>
    </w:rPr>
  </w:style>
  <w:style w:type="paragraph" w:styleId="Header">
    <w:name w:val="header"/>
    <w:basedOn w:val="Normal"/>
    <w:link w:val="HeaderChar"/>
    <w:uiPriority w:val="99"/>
    <w:unhideWhenUsed/>
    <w:rsid w:val="00E27D83"/>
    <w:pPr>
      <w:tabs>
        <w:tab w:val="center" w:pos="4536"/>
        <w:tab w:val="right" w:pos="9072"/>
      </w:tabs>
      <w:spacing w:after="0" w:line="240" w:lineRule="auto"/>
    </w:pPr>
    <w:rPr>
      <w:lang w:val="et-EE"/>
    </w:rPr>
  </w:style>
  <w:style w:type="character" w:customStyle="1" w:styleId="HeaderChar">
    <w:name w:val="Header Char"/>
    <w:basedOn w:val="DefaultParagraphFont"/>
    <w:link w:val="Header"/>
    <w:uiPriority w:val="99"/>
    <w:rsid w:val="00E27D83"/>
    <w:rPr>
      <w:lang w:val="et-EE"/>
    </w:rPr>
  </w:style>
  <w:style w:type="paragraph" w:styleId="Footer">
    <w:name w:val="footer"/>
    <w:basedOn w:val="Normal"/>
    <w:link w:val="FooterChar"/>
    <w:uiPriority w:val="99"/>
    <w:unhideWhenUsed/>
    <w:rsid w:val="00E27D83"/>
    <w:pPr>
      <w:tabs>
        <w:tab w:val="center" w:pos="4536"/>
        <w:tab w:val="right" w:pos="9072"/>
      </w:tabs>
      <w:spacing w:after="0" w:line="240" w:lineRule="auto"/>
    </w:pPr>
    <w:rPr>
      <w:lang w:val="et-EE"/>
    </w:rPr>
  </w:style>
  <w:style w:type="character" w:customStyle="1" w:styleId="FooterChar">
    <w:name w:val="Footer Char"/>
    <w:basedOn w:val="DefaultParagraphFont"/>
    <w:link w:val="Footer"/>
    <w:uiPriority w:val="99"/>
    <w:rsid w:val="00E27D83"/>
    <w:rPr>
      <w:lang w:val="et-EE"/>
    </w:rPr>
  </w:style>
  <w:style w:type="paragraph" w:styleId="ListParagraph">
    <w:name w:val="List Paragraph"/>
    <w:basedOn w:val="Normal"/>
    <w:uiPriority w:val="34"/>
    <w:qFormat/>
    <w:rsid w:val="00E27D83"/>
    <w:pPr>
      <w:ind w:left="720"/>
      <w:contextualSpacing/>
    </w:pPr>
    <w:rPr>
      <w:lang w:val="et-EE"/>
    </w:rPr>
  </w:style>
  <w:style w:type="character" w:customStyle="1" w:styleId="Sisutekst2">
    <w:name w:val="Sisutekst (2)_"/>
    <w:basedOn w:val="DefaultParagraphFont"/>
    <w:rsid w:val="00E27D83"/>
    <w:rPr>
      <w:rFonts w:ascii="Times New Roman" w:eastAsia="Times New Roman" w:hAnsi="Times New Roman" w:cs="Times New Roman"/>
      <w:b w:val="0"/>
      <w:bCs w:val="0"/>
      <w:i w:val="0"/>
      <w:iCs w:val="0"/>
      <w:smallCaps w:val="0"/>
      <w:strike w:val="0"/>
      <w:sz w:val="22"/>
      <w:szCs w:val="22"/>
      <w:u w:val="none"/>
    </w:rPr>
  </w:style>
  <w:style w:type="character" w:customStyle="1" w:styleId="Sisutekst10Exact">
    <w:name w:val="Sisutekst (10) Exact"/>
    <w:basedOn w:val="DefaultParagraphFont"/>
    <w:rsid w:val="00E27D83"/>
    <w:rPr>
      <w:rFonts w:ascii="Times New Roman" w:eastAsia="Times New Roman" w:hAnsi="Times New Roman" w:cs="Times New Roman"/>
      <w:b/>
      <w:bCs/>
      <w:i w:val="0"/>
      <w:iCs w:val="0"/>
      <w:smallCaps w:val="0"/>
      <w:strike w:val="0"/>
      <w:sz w:val="22"/>
      <w:szCs w:val="22"/>
      <w:u w:val="none"/>
    </w:rPr>
  </w:style>
  <w:style w:type="character" w:customStyle="1" w:styleId="Sisutekst20">
    <w:name w:val="Sisutekst (2)"/>
    <w:basedOn w:val="Sisutekst2"/>
    <w:rsid w:val="00E27D83"/>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en-US" w:eastAsia="en-US" w:bidi="en-US"/>
    </w:rPr>
  </w:style>
  <w:style w:type="character" w:customStyle="1" w:styleId="Sisutekst10">
    <w:name w:val="Sisutekst (10)_"/>
    <w:basedOn w:val="DefaultParagraphFont"/>
    <w:link w:val="Sisutekst100"/>
    <w:rsid w:val="00E27D83"/>
    <w:rPr>
      <w:rFonts w:ascii="Times New Roman" w:eastAsia="Times New Roman" w:hAnsi="Times New Roman" w:cs="Times New Roman"/>
      <w:b/>
      <w:bCs/>
      <w:shd w:val="clear" w:color="auto" w:fill="FFFFFF"/>
    </w:rPr>
  </w:style>
  <w:style w:type="paragraph" w:customStyle="1" w:styleId="Sisutekst100">
    <w:name w:val="Sisutekst (10)"/>
    <w:basedOn w:val="Normal"/>
    <w:link w:val="Sisutekst10"/>
    <w:rsid w:val="00E27D83"/>
    <w:pPr>
      <w:widowControl w:val="0"/>
      <w:shd w:val="clear" w:color="auto" w:fill="FFFFFF"/>
      <w:spacing w:after="0" w:line="0" w:lineRule="atLeast"/>
    </w:pPr>
    <w:rPr>
      <w:rFonts w:ascii="Times New Roman" w:eastAsia="Times New Roman" w:hAnsi="Times New Roman" w:cs="Times New Roman"/>
      <w:b/>
      <w:bCs/>
    </w:rPr>
  </w:style>
  <w:style w:type="character" w:customStyle="1" w:styleId="Sisutekst10Mitterasvane">
    <w:name w:val="Sisutekst (10) + Mitte rasvane"/>
    <w:basedOn w:val="Sisutekst10"/>
    <w:rsid w:val="00E27D83"/>
    <w:rPr>
      <w:rFonts w:ascii="Times New Roman" w:eastAsia="Times New Roman" w:hAnsi="Times New Roman" w:cs="Times New Roman"/>
      <w:b/>
      <w:bCs/>
      <w:color w:val="000000"/>
      <w:spacing w:val="0"/>
      <w:w w:val="100"/>
      <w:position w:val="0"/>
      <w:shd w:val="clear" w:color="auto" w:fill="FFFFFF"/>
      <w:lang w:val="en-US" w:eastAsia="en-US" w:bidi="en-US"/>
    </w:rPr>
  </w:style>
  <w:style w:type="character" w:customStyle="1" w:styleId="Sisutekst2Rasvane">
    <w:name w:val="Sisutekst (2) + Rasvane"/>
    <w:aliases w:val="Kursiiv"/>
    <w:basedOn w:val="Sisutekst2"/>
    <w:rsid w:val="00E27D83"/>
    <w:rPr>
      <w:rFonts w:ascii="Times New Roman" w:eastAsia="Times New Roman" w:hAnsi="Times New Roman" w:cs="Times New Roman"/>
      <w:b/>
      <w:bCs/>
      <w:i w:val="0"/>
      <w:iCs w:val="0"/>
      <w:smallCaps w:val="0"/>
      <w:strike w:val="0"/>
      <w:color w:val="000000"/>
      <w:spacing w:val="0"/>
      <w:w w:val="100"/>
      <w:position w:val="0"/>
      <w:sz w:val="22"/>
      <w:szCs w:val="22"/>
      <w:u w:val="none"/>
      <w:lang w:val="en-US" w:eastAsia="en-US" w:bidi="en-US"/>
    </w:rPr>
  </w:style>
  <w:style w:type="character" w:styleId="Hyperlink">
    <w:name w:val="Hyperlink"/>
    <w:basedOn w:val="DefaultParagraphFont"/>
    <w:uiPriority w:val="99"/>
    <w:rsid w:val="00E27D83"/>
    <w:rPr>
      <w:color w:val="0066CC"/>
      <w:u w:val="single"/>
    </w:rPr>
  </w:style>
  <w:style w:type="character" w:customStyle="1" w:styleId="Sisutekst2Arial65pRasvane">
    <w:name w:val="Sisutekst (2) + Arial;6;5 p;Rasvane"/>
    <w:basedOn w:val="Sisutekst2"/>
    <w:rsid w:val="00E27D83"/>
    <w:rPr>
      <w:rFonts w:ascii="Arial" w:eastAsia="Arial" w:hAnsi="Arial" w:cs="Arial"/>
      <w:b/>
      <w:bCs/>
      <w:i w:val="0"/>
      <w:iCs w:val="0"/>
      <w:smallCaps w:val="0"/>
      <w:strike w:val="0"/>
      <w:color w:val="000000"/>
      <w:spacing w:val="0"/>
      <w:w w:val="100"/>
      <w:position w:val="0"/>
      <w:sz w:val="13"/>
      <w:szCs w:val="13"/>
      <w:u w:val="none"/>
      <w:lang w:val="en-US" w:eastAsia="en-US" w:bidi="en-US"/>
    </w:rPr>
  </w:style>
  <w:style w:type="character" w:customStyle="1" w:styleId="Sisutekst2Arial65p">
    <w:name w:val="Sisutekst (2) + Arial;6;5 p"/>
    <w:basedOn w:val="Sisutekst2"/>
    <w:rsid w:val="00E27D83"/>
    <w:rPr>
      <w:rFonts w:ascii="Arial" w:eastAsia="Arial" w:hAnsi="Arial" w:cs="Arial"/>
      <w:b w:val="0"/>
      <w:bCs w:val="0"/>
      <w:i w:val="0"/>
      <w:iCs w:val="0"/>
      <w:smallCaps w:val="0"/>
      <w:strike w:val="0"/>
      <w:color w:val="000000"/>
      <w:spacing w:val="0"/>
      <w:w w:val="100"/>
      <w:position w:val="0"/>
      <w:sz w:val="13"/>
      <w:szCs w:val="13"/>
      <w:u w:val="none"/>
      <w:lang w:val="en-US" w:eastAsia="en-US" w:bidi="en-US"/>
    </w:rPr>
  </w:style>
  <w:style w:type="paragraph" w:styleId="TOCHeading">
    <w:name w:val="TOC Heading"/>
    <w:basedOn w:val="Heading1"/>
    <w:next w:val="Normal"/>
    <w:uiPriority w:val="39"/>
    <w:unhideWhenUsed/>
    <w:qFormat/>
    <w:rsid w:val="00E27D83"/>
    <w:pPr>
      <w:outlineLvl w:val="9"/>
    </w:pPr>
    <w:rPr>
      <w:lang w:val="en-US" w:eastAsia="ja-JP"/>
    </w:rPr>
  </w:style>
  <w:style w:type="paragraph" w:styleId="TOC1">
    <w:name w:val="toc 1"/>
    <w:basedOn w:val="Normal"/>
    <w:next w:val="Normal"/>
    <w:autoRedefine/>
    <w:uiPriority w:val="39"/>
    <w:unhideWhenUsed/>
    <w:rsid w:val="00E27D83"/>
    <w:pPr>
      <w:spacing w:after="100"/>
    </w:pPr>
    <w:rPr>
      <w:lang w:val="et-EE"/>
    </w:rPr>
  </w:style>
  <w:style w:type="character" w:customStyle="1" w:styleId="Tabeliallkiri2">
    <w:name w:val="Tabeli allkiri (2)_"/>
    <w:basedOn w:val="DefaultParagraphFont"/>
    <w:link w:val="Tabeliallkiri20"/>
    <w:rsid w:val="00E27D83"/>
    <w:rPr>
      <w:rFonts w:ascii="Times New Roman" w:eastAsia="Times New Roman" w:hAnsi="Times New Roman" w:cs="Times New Roman"/>
      <w:b/>
      <w:bCs/>
      <w:shd w:val="clear" w:color="auto" w:fill="FFFFFF"/>
    </w:rPr>
  </w:style>
  <w:style w:type="paragraph" w:customStyle="1" w:styleId="Tabeliallkiri20">
    <w:name w:val="Tabeli allkiri (2)"/>
    <w:basedOn w:val="Normal"/>
    <w:link w:val="Tabeliallkiri2"/>
    <w:rsid w:val="00E27D83"/>
    <w:pPr>
      <w:widowControl w:val="0"/>
      <w:shd w:val="clear" w:color="auto" w:fill="FFFFFF"/>
      <w:spacing w:after="0" w:line="0" w:lineRule="atLeast"/>
    </w:pPr>
    <w:rPr>
      <w:rFonts w:ascii="Times New Roman" w:eastAsia="Times New Roman" w:hAnsi="Times New Roman" w:cs="Times New Roman"/>
      <w:b/>
      <w:bCs/>
    </w:rPr>
  </w:style>
  <w:style w:type="character" w:customStyle="1" w:styleId="Tabeliallkiri">
    <w:name w:val="Tabeli allkiri_"/>
    <w:basedOn w:val="DefaultParagraphFont"/>
    <w:rsid w:val="00E27D83"/>
    <w:rPr>
      <w:rFonts w:ascii="Times New Roman" w:eastAsia="Times New Roman" w:hAnsi="Times New Roman" w:cs="Times New Roman"/>
      <w:b w:val="0"/>
      <w:bCs w:val="0"/>
      <w:i w:val="0"/>
      <w:iCs w:val="0"/>
      <w:smallCaps w:val="0"/>
      <w:strike w:val="0"/>
      <w:sz w:val="18"/>
      <w:szCs w:val="18"/>
      <w:u w:val="none"/>
    </w:rPr>
  </w:style>
  <w:style w:type="character" w:customStyle="1" w:styleId="Tabeliallkiri0">
    <w:name w:val="Tabeli allkiri"/>
    <w:basedOn w:val="Tabeliallkiri"/>
    <w:rsid w:val="00E27D83"/>
    <w:rPr>
      <w:rFonts w:ascii="Times New Roman" w:eastAsia="Times New Roman" w:hAnsi="Times New Roman" w:cs="Times New Roman"/>
      <w:b w:val="0"/>
      <w:bCs w:val="0"/>
      <w:i w:val="0"/>
      <w:iCs w:val="0"/>
      <w:smallCaps w:val="0"/>
      <w:strike w:val="0"/>
      <w:color w:val="000000"/>
      <w:spacing w:val="0"/>
      <w:w w:val="100"/>
      <w:position w:val="0"/>
      <w:sz w:val="18"/>
      <w:szCs w:val="18"/>
      <w:u w:val="single"/>
      <w:lang w:val="en-US" w:eastAsia="en-US" w:bidi="en-US"/>
    </w:rPr>
  </w:style>
  <w:style w:type="character" w:customStyle="1" w:styleId="TabeliallkiriKursiiv">
    <w:name w:val="Tabeli allkiri + Kursiiv"/>
    <w:basedOn w:val="Tabeliallkiri"/>
    <w:rsid w:val="00E27D83"/>
    <w:rPr>
      <w:rFonts w:ascii="Times New Roman" w:eastAsia="Times New Roman" w:hAnsi="Times New Roman" w:cs="Times New Roman"/>
      <w:b w:val="0"/>
      <w:bCs w:val="0"/>
      <w:i/>
      <w:iCs/>
      <w:smallCaps w:val="0"/>
      <w:strike w:val="0"/>
      <w:color w:val="000000"/>
      <w:spacing w:val="0"/>
      <w:w w:val="100"/>
      <w:position w:val="0"/>
      <w:sz w:val="18"/>
      <w:szCs w:val="18"/>
      <w:u w:val="none"/>
      <w:lang w:val="en-US" w:eastAsia="en-US" w:bidi="en-US"/>
    </w:rPr>
  </w:style>
  <w:style w:type="character" w:customStyle="1" w:styleId="TabeliallkiriRasvane">
    <w:name w:val="Tabeli allkiri + Rasvane"/>
    <w:basedOn w:val="Tabeliallkiri"/>
    <w:rsid w:val="00E27D83"/>
    <w:rPr>
      <w:rFonts w:ascii="Times New Roman" w:eastAsia="Times New Roman" w:hAnsi="Times New Roman" w:cs="Times New Roman"/>
      <w:b/>
      <w:bCs/>
      <w:i w:val="0"/>
      <w:iCs w:val="0"/>
      <w:smallCaps w:val="0"/>
      <w:strike w:val="0"/>
      <w:color w:val="000000"/>
      <w:spacing w:val="0"/>
      <w:w w:val="100"/>
      <w:position w:val="0"/>
      <w:sz w:val="18"/>
      <w:szCs w:val="18"/>
      <w:u w:val="none"/>
      <w:lang w:val="en-US" w:eastAsia="en-US" w:bidi="en-US"/>
    </w:rPr>
  </w:style>
  <w:style w:type="character" w:customStyle="1" w:styleId="Sisutekst29pRasvane">
    <w:name w:val="Sisutekst (2) + 9 p;Rasvane"/>
    <w:basedOn w:val="Sisutekst2"/>
    <w:rsid w:val="00E27D83"/>
    <w:rPr>
      <w:rFonts w:ascii="Times New Roman" w:eastAsia="Times New Roman" w:hAnsi="Times New Roman" w:cs="Times New Roman"/>
      <w:b/>
      <w:bCs/>
      <w:i w:val="0"/>
      <w:iCs w:val="0"/>
      <w:smallCaps w:val="0"/>
      <w:strike w:val="0"/>
      <w:color w:val="000000"/>
      <w:spacing w:val="0"/>
      <w:w w:val="100"/>
      <w:position w:val="0"/>
      <w:sz w:val="18"/>
      <w:szCs w:val="18"/>
      <w:u w:val="none"/>
      <w:lang w:val="en-US" w:eastAsia="en-US" w:bidi="en-US"/>
    </w:rPr>
  </w:style>
  <w:style w:type="character" w:customStyle="1" w:styleId="Sisutekst29pKursiiv">
    <w:name w:val="Sisutekst (2) + 9 p;Kursiiv"/>
    <w:basedOn w:val="Sisutekst2"/>
    <w:rsid w:val="00E27D83"/>
    <w:rPr>
      <w:rFonts w:ascii="Times New Roman" w:eastAsia="Times New Roman" w:hAnsi="Times New Roman" w:cs="Times New Roman"/>
      <w:b w:val="0"/>
      <w:bCs w:val="0"/>
      <w:i/>
      <w:iCs/>
      <w:smallCaps w:val="0"/>
      <w:strike w:val="0"/>
      <w:color w:val="000000"/>
      <w:spacing w:val="0"/>
      <w:w w:val="100"/>
      <w:position w:val="0"/>
      <w:sz w:val="18"/>
      <w:szCs w:val="18"/>
      <w:u w:val="none"/>
      <w:lang w:val="en-US" w:eastAsia="en-US" w:bidi="en-US"/>
    </w:rPr>
  </w:style>
  <w:style w:type="character" w:customStyle="1" w:styleId="Sisutekst29p">
    <w:name w:val="Sisutekst (2) + 9 p"/>
    <w:basedOn w:val="Sisutekst2"/>
    <w:rsid w:val="00E27D83"/>
    <w:rPr>
      <w:rFonts w:ascii="Times New Roman" w:eastAsia="Times New Roman" w:hAnsi="Times New Roman" w:cs="Times New Roman"/>
      <w:b w:val="0"/>
      <w:bCs w:val="0"/>
      <w:i w:val="0"/>
      <w:iCs w:val="0"/>
      <w:smallCaps w:val="0"/>
      <w:strike w:val="0"/>
      <w:color w:val="000000"/>
      <w:spacing w:val="0"/>
      <w:w w:val="100"/>
      <w:position w:val="0"/>
      <w:sz w:val="18"/>
      <w:szCs w:val="18"/>
      <w:u w:val="none"/>
      <w:lang w:val="en-US" w:eastAsia="en-US" w:bidi="en-US"/>
    </w:rPr>
  </w:style>
  <w:style w:type="character" w:customStyle="1" w:styleId="Sisutekst2RasvaneKursiiv">
    <w:name w:val="Sisutekst (2) + Rasvane;Kursiiv"/>
    <w:basedOn w:val="Sisutekst2"/>
    <w:rsid w:val="00E27D83"/>
    <w:rPr>
      <w:rFonts w:ascii="Times New Roman" w:eastAsia="Times New Roman" w:hAnsi="Times New Roman" w:cs="Times New Roman"/>
      <w:b/>
      <w:bCs/>
      <w:i/>
      <w:iCs/>
      <w:smallCaps w:val="0"/>
      <w:strike w:val="0"/>
      <w:color w:val="000000"/>
      <w:spacing w:val="0"/>
      <w:w w:val="100"/>
      <w:position w:val="0"/>
      <w:sz w:val="22"/>
      <w:szCs w:val="22"/>
      <w:u w:val="none"/>
      <w:lang w:val="en-US" w:eastAsia="en-US" w:bidi="en-US"/>
    </w:rPr>
  </w:style>
  <w:style w:type="character" w:customStyle="1" w:styleId="Pisvijalus13pMittekursiiv">
    <w:name w:val="Päis või jalus + 13 p;Mitte kursiiv"/>
    <w:basedOn w:val="DefaultParagraphFont"/>
    <w:rsid w:val="00E27D83"/>
    <w:rPr>
      <w:rFonts w:ascii="Times New Roman" w:eastAsia="Times New Roman" w:hAnsi="Times New Roman" w:cs="Times New Roman"/>
      <w:b/>
      <w:bCs/>
      <w:i/>
      <w:iCs/>
      <w:smallCaps w:val="0"/>
      <w:strike w:val="0"/>
      <w:color w:val="000000"/>
      <w:spacing w:val="0"/>
      <w:w w:val="100"/>
      <w:position w:val="0"/>
      <w:sz w:val="26"/>
      <w:szCs w:val="26"/>
      <w:u w:val="none"/>
      <w:lang w:val="en-US" w:eastAsia="en-US" w:bidi="en-US"/>
    </w:rPr>
  </w:style>
  <w:style w:type="character" w:customStyle="1" w:styleId="Pealkiri3">
    <w:name w:val="Pealkiri #3_"/>
    <w:basedOn w:val="DefaultParagraphFont"/>
    <w:link w:val="Pealkiri30"/>
    <w:rsid w:val="00E27D83"/>
    <w:rPr>
      <w:rFonts w:ascii="Times New Roman" w:eastAsia="Times New Roman" w:hAnsi="Times New Roman" w:cs="Times New Roman"/>
      <w:b/>
      <w:bCs/>
      <w:shd w:val="clear" w:color="auto" w:fill="FFFFFF"/>
    </w:rPr>
  </w:style>
  <w:style w:type="paragraph" w:customStyle="1" w:styleId="Pealkiri30">
    <w:name w:val="Pealkiri #3"/>
    <w:basedOn w:val="Normal"/>
    <w:link w:val="Pealkiri3"/>
    <w:rsid w:val="00E27D83"/>
    <w:pPr>
      <w:widowControl w:val="0"/>
      <w:shd w:val="clear" w:color="auto" w:fill="FFFFFF"/>
      <w:spacing w:before="240" w:after="540" w:line="0" w:lineRule="atLeast"/>
      <w:jc w:val="both"/>
      <w:outlineLvl w:val="2"/>
    </w:pPr>
    <w:rPr>
      <w:rFonts w:ascii="Times New Roman" w:eastAsia="Times New Roman" w:hAnsi="Times New Roman" w:cs="Times New Roman"/>
      <w:b/>
      <w:bCs/>
    </w:rPr>
  </w:style>
  <w:style w:type="paragraph" w:styleId="HTMLPreformatted">
    <w:name w:val="HTML Preformatted"/>
    <w:basedOn w:val="Normal"/>
    <w:link w:val="HTMLPreformattedChar"/>
    <w:uiPriority w:val="99"/>
    <w:semiHidden/>
    <w:unhideWhenUsed/>
    <w:rsid w:val="00E27D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t-EE" w:eastAsia="et-EE"/>
    </w:rPr>
  </w:style>
  <w:style w:type="character" w:customStyle="1" w:styleId="HTMLPreformattedChar">
    <w:name w:val="HTML Preformatted Char"/>
    <w:basedOn w:val="DefaultParagraphFont"/>
    <w:link w:val="HTMLPreformatted"/>
    <w:uiPriority w:val="99"/>
    <w:semiHidden/>
    <w:rsid w:val="00E27D83"/>
    <w:rPr>
      <w:rFonts w:ascii="Courier New" w:eastAsia="Times New Roman" w:hAnsi="Courier New" w:cs="Courier New"/>
      <w:sz w:val="20"/>
      <w:szCs w:val="20"/>
      <w:lang w:val="et-EE" w:eastAsia="et-EE"/>
    </w:rPr>
  </w:style>
  <w:style w:type="character" w:customStyle="1" w:styleId="Sisutekst13">
    <w:name w:val="Sisutekst (13)_"/>
    <w:basedOn w:val="DefaultParagraphFont"/>
    <w:rsid w:val="00E27D83"/>
    <w:rPr>
      <w:rFonts w:ascii="Times New Roman" w:eastAsia="Times New Roman" w:hAnsi="Times New Roman" w:cs="Times New Roman"/>
      <w:b w:val="0"/>
      <w:bCs w:val="0"/>
      <w:i/>
      <w:iCs/>
      <w:smallCaps w:val="0"/>
      <w:strike w:val="0"/>
      <w:sz w:val="20"/>
      <w:szCs w:val="20"/>
      <w:u w:val="none"/>
    </w:rPr>
  </w:style>
  <w:style w:type="character" w:customStyle="1" w:styleId="Sisutekst130">
    <w:name w:val="Sisutekst (13)"/>
    <w:basedOn w:val="Sisutekst13"/>
    <w:rsid w:val="00E27D83"/>
    <w:rPr>
      <w:rFonts w:ascii="Times New Roman" w:eastAsia="Times New Roman" w:hAnsi="Times New Roman" w:cs="Times New Roman"/>
      <w:b w:val="0"/>
      <w:bCs w:val="0"/>
      <w:i/>
      <w:iCs/>
      <w:smallCaps w:val="0"/>
      <w:strike w:val="0"/>
      <w:color w:val="000000"/>
      <w:spacing w:val="0"/>
      <w:w w:val="100"/>
      <w:position w:val="0"/>
      <w:sz w:val="20"/>
      <w:szCs w:val="20"/>
      <w:u w:val="single"/>
      <w:lang w:val="en-US" w:eastAsia="en-US" w:bidi="en-US"/>
    </w:rPr>
  </w:style>
  <w:style w:type="character" w:customStyle="1" w:styleId="Sisutekst210pKursiiv">
    <w:name w:val="Sisutekst (2) + 10 p;Kursiiv"/>
    <w:basedOn w:val="Sisutekst2"/>
    <w:rsid w:val="00E27D83"/>
    <w:rPr>
      <w:rFonts w:ascii="Times New Roman" w:eastAsia="Times New Roman" w:hAnsi="Times New Roman" w:cs="Times New Roman"/>
      <w:b w:val="0"/>
      <w:bCs w:val="0"/>
      <w:i/>
      <w:iCs/>
      <w:smallCaps w:val="0"/>
      <w:strike w:val="0"/>
      <w:color w:val="000000"/>
      <w:spacing w:val="0"/>
      <w:w w:val="100"/>
      <w:position w:val="0"/>
      <w:sz w:val="20"/>
      <w:szCs w:val="20"/>
      <w:u w:val="none"/>
      <w:lang w:val="en-US" w:eastAsia="en-US" w:bidi="en-US"/>
    </w:rPr>
  </w:style>
  <w:style w:type="character" w:customStyle="1" w:styleId="Pildiallkiri">
    <w:name w:val="Pildiallkiri_"/>
    <w:basedOn w:val="DefaultParagraphFont"/>
    <w:link w:val="Pildiallkiri0"/>
    <w:rsid w:val="00E27D83"/>
    <w:rPr>
      <w:rFonts w:ascii="Times New Roman" w:eastAsia="Times New Roman" w:hAnsi="Times New Roman" w:cs="Times New Roman"/>
      <w:b/>
      <w:bCs/>
      <w:shd w:val="clear" w:color="auto" w:fill="FFFFFF"/>
    </w:rPr>
  </w:style>
  <w:style w:type="paragraph" w:customStyle="1" w:styleId="Pildiallkiri0">
    <w:name w:val="Pildiallkiri"/>
    <w:basedOn w:val="Normal"/>
    <w:link w:val="Pildiallkiri"/>
    <w:rsid w:val="00E27D83"/>
    <w:pPr>
      <w:widowControl w:val="0"/>
      <w:shd w:val="clear" w:color="auto" w:fill="FFFFFF"/>
      <w:spacing w:after="0" w:line="0" w:lineRule="atLeast"/>
      <w:ind w:hanging="1380"/>
    </w:pPr>
    <w:rPr>
      <w:rFonts w:ascii="Times New Roman" w:eastAsia="Times New Roman" w:hAnsi="Times New Roman" w:cs="Times New Roman"/>
      <w:b/>
      <w:bCs/>
    </w:rPr>
  </w:style>
  <w:style w:type="character" w:customStyle="1" w:styleId="Sisutekst4">
    <w:name w:val="Sisutekst (4)_"/>
    <w:basedOn w:val="DefaultParagraphFont"/>
    <w:link w:val="Sisutekst40"/>
    <w:rsid w:val="00E27D83"/>
    <w:rPr>
      <w:rFonts w:ascii="Times New Roman" w:eastAsia="Times New Roman" w:hAnsi="Times New Roman" w:cs="Times New Roman"/>
      <w:sz w:val="18"/>
      <w:szCs w:val="18"/>
      <w:shd w:val="clear" w:color="auto" w:fill="FFFFFF"/>
    </w:rPr>
  </w:style>
  <w:style w:type="paragraph" w:customStyle="1" w:styleId="Sisutekst40">
    <w:name w:val="Sisutekst (4)"/>
    <w:basedOn w:val="Normal"/>
    <w:link w:val="Sisutekst4"/>
    <w:rsid w:val="00E27D83"/>
    <w:pPr>
      <w:widowControl w:val="0"/>
      <w:shd w:val="clear" w:color="auto" w:fill="FFFFFF"/>
      <w:spacing w:before="1380" w:after="0" w:line="141" w:lineRule="exact"/>
    </w:pPr>
    <w:rPr>
      <w:rFonts w:ascii="Times New Roman" w:eastAsia="Times New Roman" w:hAnsi="Times New Roman" w:cs="Times New Roman"/>
      <w:sz w:val="18"/>
      <w:szCs w:val="18"/>
    </w:rPr>
  </w:style>
  <w:style w:type="character" w:customStyle="1" w:styleId="Sisutekst2Exact">
    <w:name w:val="Sisutekst (2) Exact"/>
    <w:basedOn w:val="DefaultParagraphFont"/>
    <w:rsid w:val="00E27D83"/>
    <w:rPr>
      <w:rFonts w:ascii="Times New Roman" w:eastAsia="Times New Roman" w:hAnsi="Times New Roman" w:cs="Times New Roman"/>
      <w:b w:val="0"/>
      <w:bCs w:val="0"/>
      <w:i w:val="0"/>
      <w:iCs w:val="0"/>
      <w:smallCaps w:val="0"/>
      <w:strike w:val="0"/>
      <w:sz w:val="22"/>
      <w:szCs w:val="22"/>
      <w:u w:val="none"/>
    </w:rPr>
  </w:style>
  <w:style w:type="character" w:customStyle="1" w:styleId="PildiallkiriExact">
    <w:name w:val="Pildiallkiri Exact"/>
    <w:basedOn w:val="DefaultParagraphFont"/>
    <w:rsid w:val="00E27D83"/>
    <w:rPr>
      <w:rFonts w:ascii="Times New Roman" w:eastAsia="Times New Roman" w:hAnsi="Times New Roman" w:cs="Times New Roman"/>
      <w:b/>
      <w:bCs/>
      <w:i w:val="0"/>
      <w:iCs w:val="0"/>
      <w:smallCaps w:val="0"/>
      <w:strike w:val="0"/>
      <w:sz w:val="22"/>
      <w:szCs w:val="22"/>
      <w:u w:val="none"/>
    </w:rPr>
  </w:style>
  <w:style w:type="character" w:customStyle="1" w:styleId="Sisutekst18Exact">
    <w:name w:val="Sisutekst (18) Exact"/>
    <w:basedOn w:val="DefaultParagraphFont"/>
    <w:link w:val="Sisutekst18"/>
    <w:rsid w:val="00E27D83"/>
    <w:rPr>
      <w:rFonts w:ascii="Arial" w:eastAsia="Arial" w:hAnsi="Arial" w:cs="Arial"/>
      <w:sz w:val="13"/>
      <w:szCs w:val="13"/>
      <w:shd w:val="clear" w:color="auto" w:fill="FFFFFF"/>
    </w:rPr>
  </w:style>
  <w:style w:type="paragraph" w:customStyle="1" w:styleId="Sisutekst18">
    <w:name w:val="Sisutekst (18)"/>
    <w:basedOn w:val="Normal"/>
    <w:link w:val="Sisutekst18Exact"/>
    <w:rsid w:val="00E27D83"/>
    <w:pPr>
      <w:widowControl w:val="0"/>
      <w:shd w:val="clear" w:color="auto" w:fill="FFFFFF"/>
      <w:spacing w:after="0" w:line="0" w:lineRule="atLeast"/>
    </w:pPr>
    <w:rPr>
      <w:rFonts w:ascii="Arial" w:eastAsia="Arial" w:hAnsi="Arial" w:cs="Arial"/>
      <w:sz w:val="13"/>
      <w:szCs w:val="13"/>
    </w:rPr>
  </w:style>
  <w:style w:type="character" w:customStyle="1" w:styleId="Sisutekst19Exact">
    <w:name w:val="Sisutekst (19) Exact"/>
    <w:basedOn w:val="DefaultParagraphFont"/>
    <w:link w:val="Sisutekst19"/>
    <w:rsid w:val="00E27D83"/>
    <w:rPr>
      <w:rFonts w:ascii="Arial" w:eastAsia="Arial" w:hAnsi="Arial" w:cs="Arial"/>
      <w:sz w:val="10"/>
      <w:szCs w:val="10"/>
      <w:shd w:val="clear" w:color="auto" w:fill="FFFFFF"/>
    </w:rPr>
  </w:style>
  <w:style w:type="paragraph" w:customStyle="1" w:styleId="Sisutekst19">
    <w:name w:val="Sisutekst (19)"/>
    <w:basedOn w:val="Normal"/>
    <w:link w:val="Sisutekst19Exact"/>
    <w:rsid w:val="00E27D83"/>
    <w:pPr>
      <w:widowControl w:val="0"/>
      <w:shd w:val="clear" w:color="auto" w:fill="FFFFFF"/>
      <w:spacing w:after="0" w:line="82" w:lineRule="exact"/>
    </w:pPr>
    <w:rPr>
      <w:rFonts w:ascii="Arial" w:eastAsia="Arial" w:hAnsi="Arial" w:cs="Arial"/>
      <w:sz w:val="10"/>
      <w:szCs w:val="10"/>
    </w:rPr>
  </w:style>
  <w:style w:type="character" w:customStyle="1" w:styleId="Sisutekst20Exact">
    <w:name w:val="Sisutekst (20) Exact"/>
    <w:basedOn w:val="DefaultParagraphFont"/>
    <w:link w:val="Sisutekst200"/>
    <w:rsid w:val="00E27D83"/>
    <w:rPr>
      <w:rFonts w:ascii="Arial" w:eastAsia="Arial" w:hAnsi="Arial" w:cs="Arial"/>
      <w:sz w:val="12"/>
      <w:szCs w:val="12"/>
      <w:shd w:val="clear" w:color="auto" w:fill="FFFFFF"/>
    </w:rPr>
  </w:style>
  <w:style w:type="paragraph" w:customStyle="1" w:styleId="Sisutekst200">
    <w:name w:val="Sisutekst (20)"/>
    <w:basedOn w:val="Normal"/>
    <w:link w:val="Sisutekst20Exact"/>
    <w:rsid w:val="00E27D83"/>
    <w:pPr>
      <w:widowControl w:val="0"/>
      <w:shd w:val="clear" w:color="auto" w:fill="FFFFFF"/>
      <w:spacing w:after="0" w:line="82" w:lineRule="exact"/>
    </w:pPr>
    <w:rPr>
      <w:rFonts w:ascii="Arial" w:eastAsia="Arial" w:hAnsi="Arial" w:cs="Arial"/>
      <w:sz w:val="12"/>
      <w:szCs w:val="12"/>
    </w:rPr>
  </w:style>
  <w:style w:type="character" w:customStyle="1" w:styleId="Sisutekst21Exact">
    <w:name w:val="Sisutekst (21) Exact"/>
    <w:basedOn w:val="DefaultParagraphFont"/>
    <w:link w:val="Sisutekst21"/>
    <w:rsid w:val="00E27D83"/>
    <w:rPr>
      <w:rFonts w:ascii="Bookman Old Style" w:eastAsia="Bookman Old Style" w:hAnsi="Bookman Old Style" w:cs="Bookman Old Style"/>
      <w:b/>
      <w:bCs/>
      <w:sz w:val="14"/>
      <w:szCs w:val="14"/>
      <w:shd w:val="clear" w:color="auto" w:fill="FFFFFF"/>
    </w:rPr>
  </w:style>
  <w:style w:type="paragraph" w:customStyle="1" w:styleId="Sisutekst21">
    <w:name w:val="Sisutekst (21)"/>
    <w:basedOn w:val="Normal"/>
    <w:link w:val="Sisutekst21Exact"/>
    <w:rsid w:val="00E27D83"/>
    <w:pPr>
      <w:widowControl w:val="0"/>
      <w:shd w:val="clear" w:color="auto" w:fill="FFFFFF"/>
      <w:spacing w:after="0" w:line="82" w:lineRule="exact"/>
    </w:pPr>
    <w:rPr>
      <w:rFonts w:ascii="Bookman Old Style" w:eastAsia="Bookman Old Style" w:hAnsi="Bookman Old Style" w:cs="Bookman Old Style"/>
      <w:b/>
      <w:bCs/>
      <w:sz w:val="14"/>
      <w:szCs w:val="14"/>
    </w:rPr>
  </w:style>
  <w:style w:type="character" w:customStyle="1" w:styleId="Sisutekst22Exact">
    <w:name w:val="Sisutekst (22) Exact"/>
    <w:basedOn w:val="DefaultParagraphFont"/>
    <w:link w:val="Sisutekst22"/>
    <w:rsid w:val="00E27D83"/>
    <w:rPr>
      <w:rFonts w:ascii="Constantia" w:eastAsia="Constantia" w:hAnsi="Constantia" w:cs="Constantia"/>
      <w:b/>
      <w:bCs/>
      <w:i/>
      <w:iCs/>
      <w:sz w:val="15"/>
      <w:szCs w:val="15"/>
      <w:shd w:val="clear" w:color="auto" w:fill="FFFFFF"/>
    </w:rPr>
  </w:style>
  <w:style w:type="paragraph" w:customStyle="1" w:styleId="Sisutekst22">
    <w:name w:val="Sisutekst (22)"/>
    <w:basedOn w:val="Normal"/>
    <w:link w:val="Sisutekst22Exact"/>
    <w:rsid w:val="00E27D83"/>
    <w:pPr>
      <w:widowControl w:val="0"/>
      <w:shd w:val="clear" w:color="auto" w:fill="FFFFFF"/>
      <w:spacing w:after="0" w:line="82" w:lineRule="exact"/>
    </w:pPr>
    <w:rPr>
      <w:rFonts w:ascii="Constantia" w:eastAsia="Constantia" w:hAnsi="Constantia" w:cs="Constantia"/>
      <w:b/>
      <w:bCs/>
      <w:i/>
      <w:iCs/>
      <w:sz w:val="15"/>
      <w:szCs w:val="15"/>
    </w:rPr>
  </w:style>
  <w:style w:type="character" w:customStyle="1" w:styleId="Sisutekst4Exact">
    <w:name w:val="Sisutekst (4) Exact"/>
    <w:basedOn w:val="DefaultParagraphFont"/>
    <w:rsid w:val="00E27D83"/>
    <w:rPr>
      <w:rFonts w:ascii="Times New Roman" w:eastAsia="Times New Roman" w:hAnsi="Times New Roman" w:cs="Times New Roman"/>
      <w:b w:val="0"/>
      <w:bCs w:val="0"/>
      <w:i w:val="0"/>
      <w:iCs w:val="0"/>
      <w:smallCaps w:val="0"/>
      <w:strike w:val="0"/>
      <w:sz w:val="18"/>
      <w:szCs w:val="18"/>
      <w:u w:val="none"/>
    </w:rPr>
  </w:style>
  <w:style w:type="character" w:customStyle="1" w:styleId="Sisutekst23Exact">
    <w:name w:val="Sisutekst (23) Exact"/>
    <w:basedOn w:val="DefaultParagraphFont"/>
    <w:link w:val="Sisutekst23"/>
    <w:rsid w:val="00E27D83"/>
    <w:rPr>
      <w:rFonts w:ascii="Times New Roman" w:eastAsia="Times New Roman" w:hAnsi="Times New Roman" w:cs="Times New Roman"/>
      <w:spacing w:val="-10"/>
      <w:sz w:val="9"/>
      <w:szCs w:val="9"/>
      <w:shd w:val="clear" w:color="auto" w:fill="FFFFFF"/>
    </w:rPr>
  </w:style>
  <w:style w:type="paragraph" w:customStyle="1" w:styleId="Sisutekst23">
    <w:name w:val="Sisutekst (23)"/>
    <w:basedOn w:val="Normal"/>
    <w:link w:val="Sisutekst23Exact"/>
    <w:rsid w:val="00E27D83"/>
    <w:pPr>
      <w:widowControl w:val="0"/>
      <w:shd w:val="clear" w:color="auto" w:fill="FFFFFF"/>
      <w:spacing w:after="0" w:line="0" w:lineRule="atLeast"/>
    </w:pPr>
    <w:rPr>
      <w:rFonts w:ascii="Times New Roman" w:eastAsia="Times New Roman" w:hAnsi="Times New Roman" w:cs="Times New Roman"/>
      <w:spacing w:val="-10"/>
      <w:sz w:val="9"/>
      <w:szCs w:val="9"/>
    </w:rPr>
  </w:style>
  <w:style w:type="character" w:customStyle="1" w:styleId="PildiallkiriMitterasvaneExact">
    <w:name w:val="Pildiallkiri + Mitte rasvane Exact"/>
    <w:basedOn w:val="Pildiallkiri"/>
    <w:rsid w:val="00E27D83"/>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en-US" w:eastAsia="en-US" w:bidi="en-US"/>
    </w:rPr>
  </w:style>
  <w:style w:type="character" w:customStyle="1" w:styleId="Pildiallkiri13Exact">
    <w:name w:val="Pildiallkiri (13) Exact"/>
    <w:basedOn w:val="DefaultParagraphFont"/>
    <w:link w:val="Pildiallkiri13"/>
    <w:rsid w:val="00E27D83"/>
    <w:rPr>
      <w:rFonts w:ascii="Arial" w:eastAsia="Arial" w:hAnsi="Arial" w:cs="Arial"/>
      <w:sz w:val="13"/>
      <w:szCs w:val="13"/>
      <w:shd w:val="clear" w:color="auto" w:fill="FFFFFF"/>
    </w:rPr>
  </w:style>
  <w:style w:type="paragraph" w:customStyle="1" w:styleId="Pildiallkiri13">
    <w:name w:val="Pildiallkiri (13)"/>
    <w:basedOn w:val="Normal"/>
    <w:link w:val="Pildiallkiri13Exact"/>
    <w:rsid w:val="00E27D83"/>
    <w:pPr>
      <w:widowControl w:val="0"/>
      <w:shd w:val="clear" w:color="auto" w:fill="FFFFFF"/>
      <w:spacing w:after="0" w:line="394" w:lineRule="exact"/>
    </w:pPr>
    <w:rPr>
      <w:rFonts w:ascii="Arial" w:eastAsia="Arial" w:hAnsi="Arial" w:cs="Arial"/>
      <w:sz w:val="13"/>
      <w:szCs w:val="13"/>
    </w:rPr>
  </w:style>
  <w:style w:type="character" w:customStyle="1" w:styleId="Tabeliallkiri6Exact">
    <w:name w:val="Tabeli allkiri (6) Exact"/>
    <w:basedOn w:val="DefaultParagraphFont"/>
    <w:link w:val="Tabeliallkiri6"/>
    <w:rsid w:val="00E27D83"/>
    <w:rPr>
      <w:rFonts w:ascii="Times New Roman" w:eastAsia="Times New Roman" w:hAnsi="Times New Roman" w:cs="Times New Roman"/>
      <w:b/>
      <w:bCs/>
      <w:i/>
      <w:iCs/>
      <w:sz w:val="12"/>
      <w:szCs w:val="12"/>
      <w:shd w:val="clear" w:color="auto" w:fill="FFFFFF"/>
    </w:rPr>
  </w:style>
  <w:style w:type="paragraph" w:customStyle="1" w:styleId="Tabeliallkiri6">
    <w:name w:val="Tabeli allkiri (6)"/>
    <w:basedOn w:val="Normal"/>
    <w:link w:val="Tabeliallkiri6Exact"/>
    <w:rsid w:val="00E27D83"/>
    <w:pPr>
      <w:widowControl w:val="0"/>
      <w:shd w:val="clear" w:color="auto" w:fill="FFFFFF"/>
      <w:spacing w:after="0" w:line="158" w:lineRule="exact"/>
      <w:jc w:val="both"/>
    </w:pPr>
    <w:rPr>
      <w:rFonts w:ascii="Times New Roman" w:eastAsia="Times New Roman" w:hAnsi="Times New Roman" w:cs="Times New Roman"/>
      <w:b/>
      <w:bCs/>
      <w:i/>
      <w:iCs/>
      <w:sz w:val="12"/>
      <w:szCs w:val="12"/>
    </w:rPr>
  </w:style>
  <w:style w:type="character" w:customStyle="1" w:styleId="Sisutekst26pRasvaneKursiiv">
    <w:name w:val="Sisutekst (2) + 6 p;Rasvane;Kursiiv"/>
    <w:basedOn w:val="Sisutekst2"/>
    <w:rsid w:val="00E27D83"/>
    <w:rPr>
      <w:rFonts w:ascii="Times New Roman" w:eastAsia="Times New Roman" w:hAnsi="Times New Roman" w:cs="Times New Roman"/>
      <w:b/>
      <w:bCs/>
      <w:i/>
      <w:iCs/>
      <w:smallCaps w:val="0"/>
      <w:strike w:val="0"/>
      <w:color w:val="000000"/>
      <w:spacing w:val="0"/>
      <w:w w:val="100"/>
      <w:position w:val="0"/>
      <w:sz w:val="12"/>
      <w:szCs w:val="12"/>
      <w:u w:val="none"/>
      <w:lang w:val="en-US" w:eastAsia="en-US" w:bidi="en-US"/>
    </w:rPr>
  </w:style>
  <w:style w:type="character" w:customStyle="1" w:styleId="Sisutekst26p">
    <w:name w:val="Sisutekst (2) + 6 p"/>
    <w:basedOn w:val="Sisutekst2"/>
    <w:rsid w:val="00E27D83"/>
    <w:rPr>
      <w:rFonts w:ascii="Times New Roman" w:eastAsia="Times New Roman" w:hAnsi="Times New Roman" w:cs="Times New Roman"/>
      <w:b w:val="0"/>
      <w:bCs w:val="0"/>
      <w:i w:val="0"/>
      <w:iCs w:val="0"/>
      <w:smallCaps w:val="0"/>
      <w:strike w:val="0"/>
      <w:color w:val="000000"/>
      <w:spacing w:val="0"/>
      <w:w w:val="100"/>
      <w:position w:val="0"/>
      <w:sz w:val="12"/>
      <w:szCs w:val="12"/>
      <w:u w:val="none"/>
      <w:lang w:val="en-US" w:eastAsia="en-US" w:bidi="en-US"/>
    </w:rPr>
  </w:style>
  <w:style w:type="paragraph" w:styleId="TOC2">
    <w:name w:val="toc 2"/>
    <w:basedOn w:val="Normal"/>
    <w:next w:val="Normal"/>
    <w:autoRedefine/>
    <w:uiPriority w:val="39"/>
    <w:unhideWhenUsed/>
    <w:rsid w:val="00E27D83"/>
    <w:pPr>
      <w:spacing w:after="100"/>
      <w:ind w:left="220"/>
    </w:pPr>
    <w:rPr>
      <w:lang w:val="et-EE"/>
    </w:rPr>
  </w:style>
  <w:style w:type="character" w:customStyle="1" w:styleId="Sisutekst9">
    <w:name w:val="Sisutekst (9)_"/>
    <w:basedOn w:val="DefaultParagraphFont"/>
    <w:link w:val="Sisutekst90"/>
    <w:rsid w:val="00E27D83"/>
    <w:rPr>
      <w:rFonts w:ascii="Times New Roman" w:eastAsia="Times New Roman" w:hAnsi="Times New Roman" w:cs="Times New Roman"/>
      <w:sz w:val="20"/>
      <w:szCs w:val="20"/>
      <w:shd w:val="clear" w:color="auto" w:fill="FFFFFF"/>
    </w:rPr>
  </w:style>
  <w:style w:type="paragraph" w:customStyle="1" w:styleId="Sisutekst90">
    <w:name w:val="Sisutekst (9)"/>
    <w:basedOn w:val="Normal"/>
    <w:link w:val="Sisutekst9"/>
    <w:rsid w:val="00E27D83"/>
    <w:pPr>
      <w:widowControl w:val="0"/>
      <w:shd w:val="clear" w:color="auto" w:fill="FFFFFF"/>
      <w:spacing w:before="300" w:after="300" w:line="0" w:lineRule="atLeast"/>
      <w:ind w:hanging="720"/>
    </w:pPr>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rsid w:val="00E27D83"/>
    <w:rPr>
      <w:sz w:val="16"/>
      <w:szCs w:val="16"/>
    </w:rPr>
  </w:style>
  <w:style w:type="paragraph" w:styleId="CommentText">
    <w:name w:val="annotation text"/>
    <w:basedOn w:val="Normal"/>
    <w:link w:val="CommentTextChar"/>
    <w:uiPriority w:val="99"/>
    <w:semiHidden/>
    <w:unhideWhenUsed/>
    <w:rsid w:val="00E27D83"/>
    <w:pPr>
      <w:spacing w:line="240" w:lineRule="auto"/>
    </w:pPr>
    <w:rPr>
      <w:sz w:val="20"/>
      <w:szCs w:val="20"/>
      <w:lang w:val="et-EE"/>
    </w:rPr>
  </w:style>
  <w:style w:type="character" w:customStyle="1" w:styleId="CommentTextChar">
    <w:name w:val="Comment Text Char"/>
    <w:basedOn w:val="DefaultParagraphFont"/>
    <w:link w:val="CommentText"/>
    <w:uiPriority w:val="99"/>
    <w:semiHidden/>
    <w:rsid w:val="00E27D83"/>
    <w:rPr>
      <w:sz w:val="20"/>
      <w:szCs w:val="20"/>
      <w:lang w:val="et-EE"/>
    </w:rPr>
  </w:style>
  <w:style w:type="paragraph" w:styleId="CommentSubject">
    <w:name w:val="annotation subject"/>
    <w:basedOn w:val="CommentText"/>
    <w:next w:val="CommentText"/>
    <w:link w:val="CommentSubjectChar"/>
    <w:uiPriority w:val="99"/>
    <w:semiHidden/>
    <w:unhideWhenUsed/>
    <w:rsid w:val="00E27D83"/>
    <w:rPr>
      <w:b/>
      <w:bCs/>
    </w:rPr>
  </w:style>
  <w:style w:type="character" w:customStyle="1" w:styleId="CommentSubjectChar">
    <w:name w:val="Comment Subject Char"/>
    <w:basedOn w:val="CommentTextChar"/>
    <w:link w:val="CommentSubject"/>
    <w:uiPriority w:val="99"/>
    <w:semiHidden/>
    <w:rsid w:val="00E27D83"/>
    <w:rPr>
      <w:b/>
      <w:bCs/>
      <w:sz w:val="20"/>
      <w:szCs w:val="20"/>
      <w:lang w:val="et-EE"/>
    </w:rPr>
  </w:style>
  <w:style w:type="character" w:customStyle="1" w:styleId="label">
    <w:name w:val="label"/>
    <w:basedOn w:val="DefaultParagraphFont"/>
    <w:rsid w:val="00E27D83"/>
  </w:style>
  <w:style w:type="character" w:styleId="Emphasis">
    <w:name w:val="Emphasis"/>
    <w:uiPriority w:val="20"/>
    <w:qFormat/>
    <w:rsid w:val="00E27D83"/>
    <w:rPr>
      <w:b/>
      <w:bCs/>
      <w:i/>
      <w:iCs/>
      <w:color w:val="auto"/>
    </w:rPr>
  </w:style>
  <w:style w:type="character" w:customStyle="1" w:styleId="apple-converted-space">
    <w:name w:val="apple-converted-space"/>
    <w:basedOn w:val="DefaultParagraphFont"/>
    <w:rsid w:val="00E27D83"/>
  </w:style>
  <w:style w:type="paragraph" w:styleId="NoSpacing">
    <w:name w:val="No Spacing"/>
    <w:basedOn w:val="Normal"/>
    <w:link w:val="NoSpacingChar"/>
    <w:uiPriority w:val="1"/>
    <w:qFormat/>
    <w:rsid w:val="00E27D83"/>
    <w:pPr>
      <w:spacing w:after="0" w:line="240" w:lineRule="auto"/>
    </w:pPr>
    <w:rPr>
      <w:rFonts w:eastAsiaTheme="minorEastAsia"/>
      <w:lang w:bidi="en-US"/>
    </w:rPr>
  </w:style>
  <w:style w:type="character" w:customStyle="1" w:styleId="NoSpacingChar">
    <w:name w:val="No Spacing Char"/>
    <w:basedOn w:val="DefaultParagraphFont"/>
    <w:link w:val="NoSpacing"/>
    <w:uiPriority w:val="1"/>
    <w:rsid w:val="00E27D83"/>
    <w:rPr>
      <w:rFonts w:eastAsiaTheme="minorEastAsia"/>
      <w:lang w:bidi="en-US"/>
    </w:rPr>
  </w:style>
  <w:style w:type="paragraph" w:customStyle="1" w:styleId="Default">
    <w:name w:val="Default"/>
    <w:rsid w:val="00E27D83"/>
    <w:pPr>
      <w:autoSpaceDE w:val="0"/>
      <w:autoSpaceDN w:val="0"/>
      <w:adjustRightInd w:val="0"/>
      <w:spacing w:after="0" w:line="240" w:lineRule="auto"/>
      <w:ind w:firstLine="360"/>
    </w:pPr>
    <w:rPr>
      <w:rFonts w:ascii="Times New Roman" w:eastAsiaTheme="minorEastAsia" w:hAnsi="Times New Roman" w:cs="Times New Roman"/>
      <w:color w:val="000000"/>
      <w:sz w:val="24"/>
      <w:szCs w:val="24"/>
      <w:lang w:bidi="en-US"/>
    </w:rPr>
  </w:style>
  <w:style w:type="paragraph" w:styleId="Title">
    <w:name w:val="Title"/>
    <w:basedOn w:val="Normal"/>
    <w:next w:val="Normal"/>
    <w:link w:val="TitleChar"/>
    <w:uiPriority w:val="10"/>
    <w:qFormat/>
    <w:rsid w:val="00E27D83"/>
    <w:pPr>
      <w:spacing w:after="240" w:line="240" w:lineRule="auto"/>
    </w:pPr>
    <w:rPr>
      <w:rFonts w:asciiTheme="majorHAnsi" w:eastAsiaTheme="majorEastAsia" w:hAnsiTheme="majorHAnsi" w:cstheme="majorBidi"/>
      <w:b/>
      <w:bCs/>
      <w:i/>
      <w:iCs/>
      <w:spacing w:val="10"/>
      <w:sz w:val="60"/>
      <w:szCs w:val="60"/>
      <w:lang w:bidi="en-US"/>
    </w:rPr>
  </w:style>
  <w:style w:type="character" w:customStyle="1" w:styleId="TitleChar">
    <w:name w:val="Title Char"/>
    <w:basedOn w:val="DefaultParagraphFont"/>
    <w:link w:val="Title"/>
    <w:uiPriority w:val="10"/>
    <w:rsid w:val="00E27D83"/>
    <w:rPr>
      <w:rFonts w:asciiTheme="majorHAnsi" w:eastAsiaTheme="majorEastAsia" w:hAnsiTheme="majorHAnsi" w:cstheme="majorBidi"/>
      <w:b/>
      <w:bCs/>
      <w:i/>
      <w:iCs/>
      <w:spacing w:val="10"/>
      <w:sz w:val="60"/>
      <w:szCs w:val="60"/>
      <w:lang w:bidi="en-US"/>
    </w:rPr>
  </w:style>
  <w:style w:type="paragraph" w:styleId="Subtitle">
    <w:name w:val="Subtitle"/>
    <w:basedOn w:val="Normal"/>
    <w:next w:val="Normal"/>
    <w:link w:val="SubtitleChar"/>
    <w:uiPriority w:val="11"/>
    <w:qFormat/>
    <w:rsid w:val="00E27D83"/>
    <w:pPr>
      <w:spacing w:after="320" w:line="480" w:lineRule="auto"/>
      <w:ind w:firstLine="360"/>
      <w:jc w:val="right"/>
    </w:pPr>
    <w:rPr>
      <w:rFonts w:eastAsiaTheme="minorEastAsia"/>
      <w:i/>
      <w:iCs/>
      <w:color w:val="808080" w:themeColor="text1" w:themeTint="7F"/>
      <w:spacing w:val="10"/>
      <w:sz w:val="24"/>
      <w:szCs w:val="24"/>
      <w:lang w:bidi="en-US"/>
    </w:rPr>
  </w:style>
  <w:style w:type="character" w:customStyle="1" w:styleId="SubtitleChar">
    <w:name w:val="Subtitle Char"/>
    <w:basedOn w:val="DefaultParagraphFont"/>
    <w:link w:val="Subtitle"/>
    <w:uiPriority w:val="11"/>
    <w:rsid w:val="00E27D83"/>
    <w:rPr>
      <w:rFonts w:eastAsiaTheme="minorEastAsia"/>
      <w:i/>
      <w:iCs/>
      <w:color w:val="808080" w:themeColor="text1" w:themeTint="7F"/>
      <w:spacing w:val="10"/>
      <w:sz w:val="24"/>
      <w:szCs w:val="24"/>
      <w:lang w:bidi="en-US"/>
    </w:rPr>
  </w:style>
  <w:style w:type="character" w:styleId="Strong">
    <w:name w:val="Strong"/>
    <w:basedOn w:val="DefaultParagraphFont"/>
    <w:uiPriority w:val="22"/>
    <w:qFormat/>
    <w:rsid w:val="00E27D83"/>
    <w:rPr>
      <w:b/>
      <w:bCs/>
      <w:spacing w:val="0"/>
    </w:rPr>
  </w:style>
  <w:style w:type="paragraph" w:styleId="Quote">
    <w:name w:val="Quote"/>
    <w:basedOn w:val="Normal"/>
    <w:next w:val="Normal"/>
    <w:link w:val="QuoteChar"/>
    <w:uiPriority w:val="29"/>
    <w:qFormat/>
    <w:rsid w:val="00E27D83"/>
    <w:pPr>
      <w:spacing w:after="240" w:line="480" w:lineRule="auto"/>
      <w:ind w:firstLine="360"/>
    </w:pPr>
    <w:rPr>
      <w:rFonts w:eastAsiaTheme="minorEastAsia"/>
      <w:color w:val="5A5A5A" w:themeColor="text1" w:themeTint="A5"/>
      <w:lang w:bidi="en-US"/>
    </w:rPr>
  </w:style>
  <w:style w:type="character" w:customStyle="1" w:styleId="QuoteChar">
    <w:name w:val="Quote Char"/>
    <w:basedOn w:val="DefaultParagraphFont"/>
    <w:link w:val="Quote"/>
    <w:uiPriority w:val="29"/>
    <w:rsid w:val="00E27D83"/>
    <w:rPr>
      <w:rFonts w:eastAsiaTheme="minorEastAsia"/>
      <w:color w:val="5A5A5A" w:themeColor="text1" w:themeTint="A5"/>
      <w:lang w:bidi="en-US"/>
    </w:rPr>
  </w:style>
  <w:style w:type="paragraph" w:styleId="IntenseQuote">
    <w:name w:val="Intense Quote"/>
    <w:basedOn w:val="Normal"/>
    <w:next w:val="Normal"/>
    <w:link w:val="IntenseQuoteChar"/>
    <w:uiPriority w:val="30"/>
    <w:qFormat/>
    <w:rsid w:val="00E27D83"/>
    <w:pPr>
      <w:spacing w:before="320" w:after="480" w:line="240" w:lineRule="auto"/>
      <w:ind w:left="720" w:right="720"/>
      <w:jc w:val="center"/>
    </w:pPr>
    <w:rPr>
      <w:rFonts w:asciiTheme="majorHAnsi" w:eastAsiaTheme="majorEastAsia" w:hAnsiTheme="majorHAnsi" w:cstheme="majorBidi"/>
      <w:i/>
      <w:iCs/>
      <w:sz w:val="20"/>
      <w:szCs w:val="20"/>
      <w:lang w:bidi="en-US"/>
    </w:rPr>
  </w:style>
  <w:style w:type="character" w:customStyle="1" w:styleId="IntenseQuoteChar">
    <w:name w:val="Intense Quote Char"/>
    <w:basedOn w:val="DefaultParagraphFont"/>
    <w:link w:val="IntenseQuote"/>
    <w:uiPriority w:val="30"/>
    <w:rsid w:val="00E27D83"/>
    <w:rPr>
      <w:rFonts w:asciiTheme="majorHAnsi" w:eastAsiaTheme="majorEastAsia" w:hAnsiTheme="majorHAnsi" w:cstheme="majorBidi"/>
      <w:i/>
      <w:iCs/>
      <w:sz w:val="20"/>
      <w:szCs w:val="20"/>
      <w:lang w:bidi="en-US"/>
    </w:rPr>
  </w:style>
  <w:style w:type="character" w:styleId="SubtleEmphasis">
    <w:name w:val="Subtle Emphasis"/>
    <w:uiPriority w:val="19"/>
    <w:qFormat/>
    <w:rsid w:val="00E27D83"/>
    <w:rPr>
      <w:i/>
      <w:iCs/>
      <w:color w:val="5A5A5A" w:themeColor="text1" w:themeTint="A5"/>
    </w:rPr>
  </w:style>
  <w:style w:type="character" w:styleId="IntenseEmphasis">
    <w:name w:val="Intense Emphasis"/>
    <w:uiPriority w:val="21"/>
    <w:qFormat/>
    <w:rsid w:val="00E27D83"/>
    <w:rPr>
      <w:b/>
      <w:bCs/>
      <w:i/>
      <w:iCs/>
      <w:color w:val="auto"/>
      <w:u w:val="single"/>
    </w:rPr>
  </w:style>
  <w:style w:type="character" w:styleId="SubtleReference">
    <w:name w:val="Subtle Reference"/>
    <w:uiPriority w:val="31"/>
    <w:qFormat/>
    <w:rsid w:val="00E27D83"/>
    <w:rPr>
      <w:smallCaps/>
    </w:rPr>
  </w:style>
  <w:style w:type="character" w:styleId="IntenseReference">
    <w:name w:val="Intense Reference"/>
    <w:uiPriority w:val="32"/>
    <w:qFormat/>
    <w:rsid w:val="00E27D83"/>
    <w:rPr>
      <w:b/>
      <w:bCs/>
      <w:smallCaps/>
      <w:color w:val="auto"/>
    </w:rPr>
  </w:style>
  <w:style w:type="character" w:styleId="BookTitle">
    <w:name w:val="Book Title"/>
    <w:uiPriority w:val="33"/>
    <w:qFormat/>
    <w:rsid w:val="00E27D83"/>
    <w:rPr>
      <w:rFonts w:asciiTheme="majorHAnsi" w:eastAsiaTheme="majorEastAsia" w:hAnsiTheme="majorHAnsi" w:cstheme="majorBidi"/>
      <w:b/>
      <w:bCs/>
      <w:smallCaps/>
      <w:color w:val="auto"/>
      <w:u w:val="single"/>
    </w:rPr>
  </w:style>
  <w:style w:type="paragraph" w:styleId="TOC3">
    <w:name w:val="toc 3"/>
    <w:basedOn w:val="Normal"/>
    <w:next w:val="Normal"/>
    <w:autoRedefine/>
    <w:uiPriority w:val="39"/>
    <w:unhideWhenUsed/>
    <w:rsid w:val="00E27D83"/>
    <w:pPr>
      <w:spacing w:after="100" w:line="480" w:lineRule="auto"/>
      <w:ind w:left="440" w:firstLine="360"/>
    </w:pPr>
    <w:rPr>
      <w:rFonts w:eastAsiaTheme="minorEastAsia"/>
      <w:lang w:bidi="en-US"/>
    </w:rPr>
  </w:style>
  <w:style w:type="character" w:customStyle="1" w:styleId="Sisutekst26MitterasvaneMittekursiiv">
    <w:name w:val="Sisutekst (26) + Mitte rasvane;Mitte kursiiv"/>
    <w:basedOn w:val="DefaultParagraphFont"/>
    <w:rsid w:val="00E27D83"/>
    <w:rPr>
      <w:rFonts w:ascii="Times New Roman" w:eastAsia="Times New Roman" w:hAnsi="Times New Roman" w:cs="Times New Roman"/>
      <w:b/>
      <w:bCs/>
      <w:i/>
      <w:iCs/>
      <w:smallCaps w:val="0"/>
      <w:strike w:val="0"/>
      <w:color w:val="000000"/>
      <w:spacing w:val="0"/>
      <w:w w:val="100"/>
      <w:position w:val="0"/>
      <w:sz w:val="22"/>
      <w:szCs w:val="22"/>
      <w:u w:val="none"/>
      <w:lang w:val="en-US" w:eastAsia="en-US" w:bidi="en-US"/>
    </w:rPr>
  </w:style>
  <w:style w:type="character" w:customStyle="1" w:styleId="journaltitlesp">
    <w:name w:val="journaltitlesp"/>
    <w:basedOn w:val="DefaultParagraphFont"/>
    <w:rsid w:val="00E27D83"/>
  </w:style>
  <w:style w:type="character" w:customStyle="1" w:styleId="issuevolsp">
    <w:name w:val="issuevolsp"/>
    <w:basedOn w:val="DefaultParagraphFont"/>
    <w:rsid w:val="00E27D83"/>
  </w:style>
  <w:style w:type="character" w:customStyle="1" w:styleId="issuenumsp">
    <w:name w:val="issuenumsp"/>
    <w:basedOn w:val="DefaultParagraphFont"/>
    <w:rsid w:val="00E27D83"/>
  </w:style>
  <w:style w:type="character" w:customStyle="1" w:styleId="pagerange">
    <w:name w:val="pagerange"/>
    <w:basedOn w:val="DefaultParagraphFont"/>
    <w:rsid w:val="00E27D83"/>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arrivealive.co.za/documents/FATAL%20CRASHES%20PER%20MONTH_Nov_2011-March_2012.pdf" TargetMode="Externa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17</Pages>
  <Words>7521</Words>
  <Characters>42872</Characters>
  <Application>Microsoft Office Word</Application>
  <DocSecurity>0</DocSecurity>
  <Lines>357</Lines>
  <Paragraphs>100</Paragraphs>
  <ScaleCrop>false</ScaleCrop>
  <HeadingPairs>
    <vt:vector size="2" baseType="variant">
      <vt:variant>
        <vt:lpstr>Title</vt:lpstr>
      </vt:variant>
      <vt:variant>
        <vt:i4>1</vt:i4>
      </vt:variant>
    </vt:vector>
  </HeadingPairs>
  <TitlesOfParts>
    <vt:vector size="1" baseType="lpstr">
      <vt:lpstr/>
    </vt:vector>
  </TitlesOfParts>
  <Company>WHO</Company>
  <LinksUpToDate>false</LinksUpToDate>
  <CharactersWithSpaces>50293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RALAIDOVY, Ambinintsoa</dc:creator>
  <cp:lastModifiedBy>0013434</cp:lastModifiedBy>
  <cp:revision>8</cp:revision>
  <dcterms:created xsi:type="dcterms:W3CDTF">2018-03-01T15:16:00Z</dcterms:created>
  <dcterms:modified xsi:type="dcterms:W3CDTF">2018-11-10T09:02:00Z</dcterms:modified>
</cp:coreProperties>
</file>