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FA" w:rsidRPr="00BC64F4" w:rsidRDefault="008A45FA" w:rsidP="008A45F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18"/>
          <w:szCs w:val="18"/>
          <w:rtl/>
        </w:rPr>
      </w:pPr>
    </w:p>
    <w:p w:rsidR="008A45FA" w:rsidRPr="00BC64F4" w:rsidRDefault="008A45FA" w:rsidP="008A45FA">
      <w:pPr>
        <w:pStyle w:val="Caption"/>
        <w:keepNext/>
        <w:bidi w:val="0"/>
        <w:jc w:val="center"/>
        <w:rPr>
          <w:rFonts w:ascii="Times New Roman" w:hAnsi="Times New Roman"/>
          <w:i w:val="0"/>
          <w:iCs w:val="0"/>
          <w:color w:val="auto"/>
        </w:rPr>
      </w:pPr>
      <w:bookmarkStart w:id="0" w:name="_GoBack"/>
      <w:r w:rsidRPr="00BC64F4">
        <w:rPr>
          <w:rFonts w:ascii="Times New Roman" w:hAnsi="Times New Roman"/>
          <w:i w:val="0"/>
          <w:iCs w:val="0"/>
          <w:noProof/>
          <w:color w:val="auto"/>
        </w:rPr>
        <w:t>Appendix 2: The results of technical charecteristics and ICUR of the studies</w:t>
      </w:r>
    </w:p>
    <w:tbl>
      <w:tblPr>
        <w:tblStyle w:val="TableGrid"/>
        <w:bidiVisual/>
        <w:tblW w:w="104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79"/>
        <w:gridCol w:w="802"/>
        <w:gridCol w:w="1110"/>
        <w:gridCol w:w="1110"/>
        <w:gridCol w:w="1701"/>
        <w:gridCol w:w="450"/>
        <w:gridCol w:w="425"/>
        <w:gridCol w:w="425"/>
        <w:gridCol w:w="438"/>
        <w:gridCol w:w="438"/>
        <w:gridCol w:w="502"/>
        <w:gridCol w:w="426"/>
        <w:gridCol w:w="1043"/>
      </w:tblGrid>
      <w:tr w:rsidR="008A45FA" w:rsidRPr="00BC64F4" w:rsidTr="009151B1">
        <w:trPr>
          <w:cantSplit/>
          <w:trHeight w:val="1134"/>
        </w:trPr>
        <w:tc>
          <w:tcPr>
            <w:tcW w:w="1579" w:type="dxa"/>
            <w:vMerge w:val="restart"/>
            <w:textDirection w:val="btLr"/>
            <w:vAlign w:val="center"/>
          </w:tcPr>
          <w:bookmarkEnd w:id="0"/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Recommendation</w:t>
            </w:r>
          </w:p>
        </w:tc>
        <w:tc>
          <w:tcPr>
            <w:tcW w:w="8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Sensitive results?</w:t>
            </w:r>
          </w:p>
        </w:tc>
        <w:tc>
          <w:tcPr>
            <w:tcW w:w="1110" w:type="dxa"/>
            <w:vMerge w:val="restart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ICUR (USD. 2019)</w:t>
            </w:r>
          </w:p>
        </w:tc>
        <w:tc>
          <w:tcPr>
            <w:tcW w:w="1110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ICUR (USD)</w:t>
            </w:r>
          </w:p>
        </w:tc>
        <w:tc>
          <w:tcPr>
            <w:tcW w:w="2151" w:type="dxa"/>
            <w:gridSpan w:val="2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interventions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Discount rate</w:t>
            </w:r>
          </w:p>
        </w:tc>
        <w:tc>
          <w:tcPr>
            <w:tcW w:w="438" w:type="dxa"/>
            <w:vMerge w:val="restart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Model</w:t>
            </w:r>
          </w:p>
        </w:tc>
        <w:tc>
          <w:tcPr>
            <w:tcW w:w="438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Perspective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Disease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Year</w:t>
            </w:r>
          </w:p>
        </w:tc>
        <w:tc>
          <w:tcPr>
            <w:tcW w:w="1043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Title</w:t>
            </w:r>
          </w:p>
        </w:tc>
      </w:tr>
      <w:tr w:rsidR="008A45FA" w:rsidRPr="00BC64F4" w:rsidTr="009151B1">
        <w:trPr>
          <w:cantSplit/>
          <w:trHeight w:val="1134"/>
        </w:trPr>
        <w:tc>
          <w:tcPr>
            <w:tcW w:w="1579" w:type="dxa"/>
            <w:vMerge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10" w:type="dxa"/>
            <w:vMerge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10" w:type="dxa"/>
            <w:vMerge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Merge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Outcome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Cost</w:t>
            </w:r>
          </w:p>
        </w:tc>
        <w:tc>
          <w:tcPr>
            <w:tcW w:w="438" w:type="dxa"/>
            <w:vMerge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3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cantSplit/>
          <w:trHeight w:val="3014"/>
        </w:trPr>
        <w:tc>
          <w:tcPr>
            <w:tcW w:w="1579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"Hypothyroid screening can not only be economically beneficial, but it can also maintain the IQ of the patients, prevent mental retardation and complications in growth".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24,420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13,413</w:t>
            </w:r>
          </w:p>
        </w:tc>
        <w:tc>
          <w:tcPr>
            <w:tcW w:w="2151" w:type="dxa"/>
            <w:gridSpan w:val="2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438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5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Hypothyroidism</w:t>
            </w:r>
          </w:p>
        </w:tc>
        <w:tc>
          <w:tcPr>
            <w:tcW w:w="426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043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Cost-Utility of Screening Program for Neonatal Hypothyroidism in Iran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&lt;EndNote&gt;&lt;Cite&gt;&lt;Author&gt;Hatam&lt;/Author&gt;&lt;Year&gt;2016&lt;/Year&gt;&lt;RecNum&gt;33&lt;/RecNum&gt;&lt;DisplayText&gt;(43)&lt;/DisplayText&gt;&lt;record&gt;&lt;rec-number&gt;33&lt;/rec-number&gt;&lt;foreign-keys&gt;&lt;key app="EN" db-id="wdrv2wxarxsss9et5x7xdt562tr02tr0fasx"&gt;33&lt;/key&gt;&lt;/foreign-keys&gt;&lt;ref-type name="Journal Article"&gt;17&lt;/ref-type&gt;&lt;contributors&gt;&lt;authors&gt;&lt;author&gt;Hatam, Nahid&lt;/author&gt;&lt;author&gt;Askarian, Mehrdad&lt;/author&gt;&lt;author&gt;Bastani, Peivand&lt;/author&gt;&lt;author&gt;Pourmohammadi, Kimia&lt;/author&gt;&lt;author&gt;Shirvani, Samad&lt;/author&gt;&lt;/authors&gt;&lt;/contributors&gt;&lt;titles&gt;&lt;title&gt;Cost-Utility of Screening Program for Neonatal Hypothyroidism in Iran&lt;/title&gt;&lt;secondary-title&gt;Shiraz E-Medical Journal&lt;/secondary-title&gt;&lt;/titles&gt;&lt;periodical&gt;&lt;full-title&gt;Shiraz E-Medical Journal&lt;/full-title&gt;&lt;/periodical&gt;&lt;volume&gt;17&lt;/volume&gt;&lt;number&gt;1&lt;/number&gt;&lt;dates&gt;&lt;year&gt;2016&lt;/year&gt;&lt;/dates&gt;&lt;isbn&gt;1735-1391&lt;/isbn&gt;&lt;urls&gt;&lt;/urls&gt;&lt;/record&gt;&lt;/Cite&gt;&lt;/EndNote&gt;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3" w:tooltip="Hatam, 2016 #33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43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cantSplit/>
          <w:trHeight w:val="3014"/>
        </w:trPr>
        <w:tc>
          <w:tcPr>
            <w:tcW w:w="1579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"Screening program is both socially acceptable and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br/>
              <w:t>cost-effective".</w:t>
            </w:r>
          </w:p>
        </w:tc>
        <w:tc>
          <w:tcPr>
            <w:tcW w:w="8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60,359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12,000</w:t>
            </w:r>
          </w:p>
        </w:tc>
        <w:tc>
          <w:tcPr>
            <w:tcW w:w="2151" w:type="dxa"/>
            <w:gridSpan w:val="2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438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5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Galactosemia</w:t>
            </w:r>
            <w:proofErr w:type="spellEnd"/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</w:tc>
        <w:tc>
          <w:tcPr>
            <w:tcW w:w="1043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Neonatal Screening: Cost-utility Analysis for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Galactosemia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&lt;EndNote&gt;&lt;Cite&gt;&lt;Author&gt;Hatam&lt;/Author&gt;&lt;Year&gt;2017&lt;/Year&gt;&lt;RecNum&gt;34&lt;/RecNum&gt;&lt;DisplayText&gt;(44)&lt;/DisplayText&gt;&lt;record&gt;&lt;rec-number&gt;34&lt;/rec-number&gt;&lt;foreign-keys&gt;&lt;key app="EN" db-id="wdrv2wxarxsss9et5x7xdt562tr02tr0fasx"&gt;34&lt;/key&gt;&lt;/foreign-keys&gt;&lt;ref-type name="Journal Article"&gt;17&lt;/ref-type&gt;&lt;contributors&gt;&lt;authors&gt;&lt;author&gt;Hatam, Nahid&lt;/author&gt;&lt;author&gt;Askarian, Mehrdad&lt;/author&gt;&lt;author&gt;Shirvani, Samad&lt;/author&gt;&lt;author&gt;Siavashi, Elham&lt;/author&gt;&lt;/authors&gt;&lt;/contributors&gt;&lt;titles&gt;&lt;title&gt;Neonatal Screening: Cost-utility Analysis for Galactosemia&lt;/title&gt;&lt;secondary-title&gt;Iranian journal of public health&lt;/secondary-title&gt;&lt;/titles&gt;&lt;periodical&gt;&lt;full-title&gt;Iranian journal of public health&lt;/full-title&gt;&lt;/periodical&gt;&lt;pages&gt;112&lt;/pages&gt;&lt;volume&gt;46&lt;/volume&gt;&lt;number&gt;1&lt;/number&gt;&lt;dates&gt;&lt;year&gt;2017&lt;/year&gt;&lt;/dates&gt;&lt;urls&gt;&lt;/urls&gt;&lt;/record&gt;&lt;/Cite&gt;&lt;/EndNote&gt;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4" w:tooltip="Hatam, 2017 #34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44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trHeight w:val="3528"/>
        </w:trPr>
        <w:tc>
          <w:tcPr>
            <w:tcW w:w="1579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"The Phenylketonuria screening program was beneficial for both patients and society. It increased quality of life of the patients and might have long-term financial gain for the society".</w:t>
            </w:r>
          </w:p>
        </w:tc>
        <w:tc>
          <w:tcPr>
            <w:tcW w:w="8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Discount rate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17,031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3,386</w:t>
            </w:r>
          </w:p>
        </w:tc>
        <w:tc>
          <w:tcPr>
            <w:tcW w:w="2151" w:type="dxa"/>
            <w:gridSpan w:val="2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5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Phenylketonuria</w:t>
            </w:r>
          </w:p>
        </w:tc>
        <w:tc>
          <w:tcPr>
            <w:tcW w:w="426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</w:tc>
        <w:tc>
          <w:tcPr>
            <w:tcW w:w="1043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Cost Utility of Neonatal Screening Program for Phenylketonuria in Shiraz University of Medical Sciences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&lt;EndNote&gt;&lt;Cite&gt;&lt;Author&gt;Hatam&lt;/Author&gt;&lt;Year&gt;2014&lt;/Year&gt;&lt;RecNum&gt;35&lt;/RecNum&gt;&lt;DisplayText&gt;(42)&lt;/DisplayText&gt;&lt;record&gt;&lt;rec-number&gt;35&lt;/rec-number&gt;&lt;foreign-keys&gt;&lt;key app="EN" db-id="wdrv2wxarxsss9et5x7xdt562tr02tr0fasx"&gt;35&lt;/key&gt;&lt;/foreign-keys&gt;&lt;ref-type name="Journal Article"&gt;17&lt;/ref-type&gt;&lt;contributors&gt;&lt;authors&gt;&lt;author&gt;Hatam, N&lt;/author&gt;&lt;author&gt;Askarian, M&lt;/author&gt;&lt;author&gt;Shirvani, S&lt;/author&gt;&lt;author&gt;Purmohamadi, K&lt;/author&gt;&lt;/authors&gt;&lt;/contributors&gt;&lt;titles&gt;&lt;title&gt;Cost Utility of Neonatal Screening Program for Phenylketonuria in Shiraz University of Medical Sciences&lt;/title&gt;&lt;/titles&gt;&lt;dates&gt;&lt;year&gt;2014&lt;/year&gt;&lt;/dates&gt;&lt;urls&gt;&lt;/urls&gt;&lt;/record&gt;&lt;/Cite&gt;&lt;/EndNote&gt;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2" w:tooltip="Hatam, 2014 #35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42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8A45FA" w:rsidRPr="00BC64F4" w:rsidTr="009151B1">
        <w:trPr>
          <w:trHeight w:val="7376"/>
        </w:trPr>
        <w:tc>
          <w:tcPr>
            <w:tcW w:w="1579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"The study results revealed the cost-effectiveness of execution of the neonatal screening program. The program leads to long-term beneficial outcome for the patients, financial saving for the society, and improvement of the patients’ quantity as well as quality of life".</w:t>
            </w:r>
          </w:p>
        </w:tc>
        <w:tc>
          <w:tcPr>
            <w:tcW w:w="8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17,031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65,782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98,793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5,473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3,386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13,078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19,641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1,088</w:t>
            </w:r>
          </w:p>
        </w:tc>
        <w:tc>
          <w:tcPr>
            <w:tcW w:w="2151" w:type="dxa"/>
            <w:gridSpan w:val="2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Screening versus no screening for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Phenylketonuria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Hypothyroidism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Galactosemia</w:t>
            </w:r>
            <w:proofErr w:type="spellEnd"/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Favism</w:t>
            </w:r>
            <w:proofErr w:type="spellEnd"/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5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Congenital abnormalities</w:t>
            </w:r>
          </w:p>
        </w:tc>
        <w:tc>
          <w:tcPr>
            <w:tcW w:w="426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</w:tc>
        <w:tc>
          <w:tcPr>
            <w:tcW w:w="1043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Cost-Utility Analysis of Neonatal Screening Program, Shiraz University of Medical Sciences, Shiraz, Iran, 2010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&lt;EndNote&gt;&lt;Cite&gt;&lt;Author&gt;Hatam&lt;/Author&gt;&lt;Year&gt;2013&lt;/Year&gt;&lt;RecNum&gt;36&lt;/RecNum&gt;&lt;DisplayText&gt;(45)&lt;/DisplayText&gt;&lt;record&gt;&lt;rec-number&gt;36&lt;/rec-number&gt;&lt;foreign-keys&gt;&lt;key app="EN" db-id="wdrv2wxarxsss9et5x7xdt562tr02tr0fasx"&gt;36&lt;/key&gt;&lt;/foreign-keys&gt;&lt;ref-type name="Journal Article"&gt;17&lt;/ref-type&gt;&lt;contributors&gt;&lt;authors&gt;&lt;author&gt;Hatam, Nahid&lt;/author&gt;&lt;author&gt;Shirvani, Samad&lt;/author&gt;&lt;author&gt;Javanbakht, Mehdi&lt;/author&gt;&lt;author&gt;Askarian, Mehrdad&lt;/author&gt;&lt;author&gt;Rastegar, Mohsen&lt;/author&gt;&lt;/authors&gt;&lt;/contributors&gt;&lt;titles&gt;&lt;title&gt;Cost-utility analysis of neonatal screening program, shiraz university of medical sciences, shiraz, iran, 2010&lt;/title&gt;&lt;secondary-title&gt;Iranian journal of pediatrics&lt;/secondary-title&gt;&lt;/titles&gt;&lt;periodical&gt;&lt;full-title&gt;Iranian journal of pediatrics&lt;/full-title&gt;&lt;/periodical&gt;&lt;pages&gt;493&lt;/pages&gt;&lt;volume&gt;23&lt;/volume&gt;&lt;number&gt;5&lt;/number&gt;&lt;dates&gt;&lt;year&gt;2013&lt;/year&gt;&lt;/dates&gt;&lt;urls&gt;&lt;/urls&gt;&lt;/record&gt;&lt;/Cite&gt;&lt;/EndNote&gt;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5" w:tooltip="Hatam, 2013 #36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45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8A45FA" w:rsidRPr="00BC64F4" w:rsidTr="009151B1">
        <w:trPr>
          <w:cantSplit/>
          <w:trHeight w:val="2258"/>
        </w:trPr>
        <w:tc>
          <w:tcPr>
            <w:tcW w:w="1579" w:type="dxa"/>
            <w:vMerge w:val="restart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"Rituximab for treatment of patients with refractory rheumatoid arthritis is not a cost-effective in Iran in none of the scenarios".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108,098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45,899.34</w:t>
            </w:r>
          </w:p>
        </w:tc>
        <w:tc>
          <w:tcPr>
            <w:tcW w:w="1701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Rituximab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disease-modifying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antirheumatic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drugs (DMARDs)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Base case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38" w:type="dxa"/>
            <w:vMerge w:val="restart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438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Health service governor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Refractory rheumatoid arthritis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043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Rituximab as first choice for patients with refractory rheumatoid arthritis: cost</w:t>
            </w:r>
            <w:r w:rsidRPr="00BC64F4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t>effectiveness analysis in Iran based on a systematic review and meta</w:t>
            </w:r>
            <w:r w:rsidRPr="00BC64F4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t>analysis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&lt;EndNote&gt;&lt;Cite&gt;&lt;Author&gt;Ahmadiani&lt;/Author&gt;&lt;Year&gt;2016&lt;/Year&gt;&lt;RecNum&gt;37&lt;/RecNum&gt;&lt;DisplayText&gt;(38)&lt;/DisplayText&gt;&lt;record&gt;&lt;rec-number&gt;37&lt;/rec-number&gt;&lt;foreign-keys&gt;&lt;key app="EN" db-id="wdrv2wxarxsss9et5x7xdt562tr02tr0fasx"&gt;37&lt;/key&gt;&lt;/foreign-keys&gt;&lt;ref-type name="Journal Article"&gt;17&lt;/ref-type&gt;&lt;contributors&gt;&lt;authors&gt;&lt;author&gt;Ahmadiani, Saeed&lt;/author&gt;&lt;author&gt;Nikfar, Shekoufeh&lt;/author&gt;&lt;author&gt;Karimi, Somayeh&lt;/author&gt;&lt;author&gt;Jamshidi, Ahmad Reza&lt;/author&gt;&lt;author&gt;Akbari-Sari, Ali&lt;/author&gt;&lt;author&gt;Kebriaeezadeh, Abbas&lt;/author&gt;&lt;/authors&gt;&lt;/contributors&gt;&lt;titles&gt;&lt;title&gt;Rituximab as first choice for patients with refractory rheumatoid arthritis: cost-effectiveness analysis in Iran based on a systematic review and meta-analysis&lt;/title&gt;&lt;secondary-title&gt;Rheumatology international&lt;/secondary-title&gt;&lt;/titles&gt;&lt;periodical&gt;&lt;full-title&gt;Rheumatology international&lt;/full-title&gt;&lt;/periodical&gt;&lt;pages&gt;1291-1300&lt;/pages&gt;&lt;volume&gt;36&lt;/volume&gt;&lt;number&gt;9&lt;/number&gt;&lt;dates&gt;&lt;year&gt;2016&lt;/year&gt;&lt;/dates&gt;&lt;isbn&gt;0172-8172&lt;/isbn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8" w:tooltip="Ahmadiani, 2016 #37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38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8A45FA" w:rsidRPr="00BC64F4" w:rsidTr="009151B1">
        <w:trPr>
          <w:cantSplit/>
          <w:trHeight w:val="2257"/>
        </w:trPr>
        <w:tc>
          <w:tcPr>
            <w:tcW w:w="1579" w:type="dxa"/>
            <w:vMerge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76,274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32,386.89</w:t>
            </w:r>
          </w:p>
        </w:tc>
        <w:tc>
          <w:tcPr>
            <w:tcW w:w="1701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Rituximab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disease-modifying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antirheumatic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drugs (DMARDs)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Generic rituximab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3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cantSplit/>
          <w:trHeight w:val="4520"/>
        </w:trPr>
        <w:tc>
          <w:tcPr>
            <w:tcW w:w="1579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"The regimen containing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tocilizumab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is not cost-effective as compared with an infliximab- containing regimen for patients with rheumatoid arthritis in Iran"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Price of drug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123,867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60,800</w:t>
            </w:r>
          </w:p>
        </w:tc>
        <w:tc>
          <w:tcPr>
            <w:tcW w:w="2151" w:type="dxa"/>
            <w:gridSpan w:val="2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Inﬂiximab plus methotrexate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Tocilizumab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plus methotrexate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438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502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Rheumatoid Arthritis</w:t>
            </w:r>
          </w:p>
        </w:tc>
        <w:tc>
          <w:tcPr>
            <w:tcW w:w="426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043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Cost-Effectiveness Analysis of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Tocilizumab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in Comparison with Inﬂiximab in Iranian Rheumatoid Arthritis Patients with Inadequate Response to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tDMARDs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>: A Multistage Markov Model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&lt;EndNote&gt;&lt;Cite&gt;&lt;Author&gt;Hashemi-Meshkini&lt;/Author&gt;&lt;Year&gt;2016&lt;/Year&gt;&lt;RecNum&gt;38&lt;/RecNum&gt;&lt;DisplayText&gt;(40)&lt;/DisplayText&gt;&lt;record&gt;&lt;rec-number&gt;38&lt;/rec-number&gt;&lt;foreign-keys&gt;&lt;key app="EN" db-id="wdrv2wxarxsss9et5x7xdt562tr02tr0fasx"&gt;38&lt;/key&gt;&lt;/foreign-keys&gt;&lt;ref-type name="Journal Article"&gt;17&lt;/ref-type&gt;&lt;contributors&gt;&lt;authors&gt;&lt;author&gt;Hashemi-Meshkini, Amir&lt;/author&gt;&lt;author&gt;Nikfar, Shekoufeh&lt;/author&gt;&lt;author&gt;Glaser, Elizabeth&lt;/author&gt;&lt;author&gt;Jamshidi, Ahmadreza&lt;/author&gt;&lt;author&gt;Hosseini, Seyed Alireza&lt;/author&gt;&lt;/authors&gt;&lt;/contributors&gt;&lt;titles&gt;&lt;title&gt;Cost-effectiveness analysis of tocilizumab in comparison with infliximab in iranian rheumatoid arthritis patients with inadequate response to tDMARDs: a multistage Markov model&lt;/title&gt;&lt;secondary-title&gt;Value in health regional issues&lt;/secondary-title&gt;&lt;/titles&gt;&lt;periodical&gt;&lt;full-title&gt;Value in health regional issues&lt;/full-title&gt;&lt;/periodical&gt;&lt;pages&gt;42-48&lt;/pages&gt;&lt;volume&gt;9&lt;/volume&gt;&lt;dates&gt;&lt;year&gt;2016&lt;/year&gt;&lt;/dates&gt;&lt;isbn&gt;2212-1099&lt;/isbn&gt;&lt;urls&gt;&lt;/urls&gt;&lt;/record&gt;&lt;/Cite&gt;&lt;/EndNote&gt;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0" w:tooltip="Hashemi-Meshkini, 2016 #38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40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trHeight w:val="4520"/>
        </w:trPr>
        <w:tc>
          <w:tcPr>
            <w:tcW w:w="1579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"The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rTMS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is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br/>
              <w:t>more cost- effective than ECT. If the costs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of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rTMS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decrease through providing this service by a public medical facility, the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br/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rTMS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is more cost- effective than the ECT"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1,450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711.72</w:t>
            </w:r>
          </w:p>
        </w:tc>
        <w:tc>
          <w:tcPr>
            <w:tcW w:w="2151" w:type="dxa"/>
            <w:gridSpan w:val="2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Repetitive transcranial Magnetic Stimulation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electroconvulsive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5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Depression disorder</w:t>
            </w:r>
          </w:p>
        </w:tc>
        <w:tc>
          <w:tcPr>
            <w:tcW w:w="426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043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Economic evaluation of resistant major depressive disorder treatment in Iranian population: a comparison between repetitive Transcranial Magnetic Stimulation with electroconvulsive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&lt;EndNote&gt;&lt;Cite&gt;&lt;Author&gt;Ghiasvand&lt;/Author&gt;&lt;Year&gt;2016&lt;/Year&gt;&lt;RecNum&gt;40&lt;/RecNum&gt;&lt;DisplayText&gt;(56)&lt;/DisplayText&gt;&lt;record&gt;&lt;rec-number&gt;40&lt;/rec-number&gt;&lt;foreign-keys&gt;&lt;key app="EN" db-id="wdrv2wxarxsss9et5x7xdt562tr02tr0fasx"&gt;40&lt;/key&gt;&lt;/foreign-keys&gt;&lt;ref-type name="Journal Article"&gt;17&lt;/ref-type&gt;&lt;contributors&gt;&lt;authors&gt;&lt;author&gt;Ghiasvand, Hesam&lt;/author&gt;&lt;author&gt;Moradi-Joo, Mohammad&lt;/author&gt;&lt;author&gt;Abolhassani, Nazanin&lt;/author&gt;&lt;author&gt;Ravaghi, Hamid&lt;/author&gt;&lt;author&gt;Raygani, Seyed Mansoor&lt;/author&gt;&lt;author&gt;Mohabbat-Bahar, Sahar&lt;/author&gt;&lt;/authors&gt;&lt;/contributors&gt;&lt;titles&gt;&lt;title&gt;Economic evaluation of resistant major depressive disorder treatment in Iranian population: a comparison between repetitive Transcranial Magnetic Stimulation with electroconvulsive&lt;/title&gt;&lt;secondary-title&gt;Medical journal of the Islamic Republic of Iran&lt;/secondary-title&gt;&lt;/titles&gt;&lt;periodical&gt;&lt;full-title&gt;Medical journal of the Islamic Republic of Iran&lt;/full-title&gt;&lt;/periodical&gt;&lt;pages&gt;330&lt;/pages&gt;&lt;volume&gt;30&lt;/volume&gt;&lt;dates&gt;&lt;year&gt;2016&lt;/year&gt;&lt;/dates&gt;&lt;urls&gt;&lt;/urls&gt;&lt;/record&gt;&lt;/Cite&gt;&lt;/EndNote&gt;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56" w:tooltip="Ghiasvand, 2016 #40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56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trHeight w:val="4520"/>
        </w:trPr>
        <w:tc>
          <w:tcPr>
            <w:tcW w:w="1579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"All brand INF β products are cost effective in Iran except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Avonex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. Results showed that a policy of encouraging accessibility to CBPs and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biosimilars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could make even high technology products cost-effective in low-middle middle income countries"</w:t>
            </w:r>
          </w:p>
        </w:tc>
        <w:tc>
          <w:tcPr>
            <w:tcW w:w="8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59,871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64,620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57,260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63,776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42,769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44,048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39,169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41,532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48,035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52,191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46,976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49,688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12,772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13,784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12,213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13,603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30,305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31,209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27,755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29,426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37,760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41,026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36,929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39,058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18,873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20,370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18,050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20,104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13,482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13,885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12,347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13,092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15,142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16,452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14,808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15,663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4,026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4,345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3,850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4,288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9,553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9,838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8,749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9,276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11,903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12,933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11,641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12,312</w:t>
            </w:r>
          </w:p>
        </w:tc>
        <w:tc>
          <w:tcPr>
            <w:tcW w:w="2151" w:type="dxa"/>
            <w:gridSpan w:val="2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(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Avonex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>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(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Rebif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>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(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Betaferon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>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IM (CBPs)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SC (CBPs)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(CBPs &amp; BS) to symptom management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5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Multiple sclerosis</w:t>
            </w:r>
          </w:p>
        </w:tc>
        <w:tc>
          <w:tcPr>
            <w:tcW w:w="426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2012</w:t>
            </w:r>
          </w:p>
        </w:tc>
        <w:tc>
          <w:tcPr>
            <w:tcW w:w="1043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Cost-effectiveness of different interferon beta products for relapsing-remitting and secondary progressive multiple sclerosis: Decision analysis based on long-term clinical data and switchable treatments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&lt;EndNote&gt;&lt;Cite&gt;&lt;Author&gt;Nikfar&lt;/Author&gt;&lt;Year&gt;2013&lt;/Year&gt;&lt;RecNum&gt;41&lt;/RecNum&gt;&lt;DisplayText&gt;(48)&lt;/DisplayText&gt;&lt;record&gt;&lt;rec-number&gt;41&lt;/rec-number&gt;&lt;foreign-keys&gt;&lt;key app="EN" db-id="wdrv2wxarxsss9et5x7xdt562tr02tr0fasx"&gt;41&lt;/key&gt;&lt;/foreign-keys&gt;&lt;ref-type name="Journal Article"&gt;17&lt;/ref-type&gt;&lt;contributors&gt;&lt;authors&gt;&lt;author&gt;Nikfar, Shekoufeh&lt;/author&gt;&lt;author&gt;Kebriaeezadeh, Abbas&lt;/author&gt;&lt;author&gt;Dinarvand, Rassoul&lt;/author&gt;&lt;author&gt;Abdollahi, Mohammad&lt;/author&gt;&lt;author&gt;Sahraian, Mohammad-Ali&lt;/author&gt;&lt;author&gt;Henry, David&lt;/author&gt;&lt;author&gt;Sari, Ali Akbari&lt;/author&gt;&lt;/authors&gt;&lt;/contributors&gt;&lt;titles&gt;&lt;title&gt;Cost-effectiveness of different interferon beta products for relapsing-remitting and secondary progressive multiple sclerosis: Decision analysis based on long-term clinical data and switchable treatments&lt;/title&gt;&lt;secondary-title&gt;DARU Journal of Pharmaceutical Sciences&lt;/secondary-title&gt;&lt;/titles&gt;&lt;periodical&gt;&lt;full-title&gt;DARU Journal of Pharmaceutical Sciences&lt;/full-title&gt;&lt;/periodical&gt;&lt;pages&gt;50&lt;/pages&gt;&lt;volume&gt;21&lt;/volume&gt;&lt;number&gt;1&lt;/number&gt;&lt;dates&gt;&lt;year&gt;2013&lt;/year&gt;&lt;/dates&gt;&lt;isbn&gt;2008-2231&lt;/isbn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8" w:tooltip="Nikfar, 2013 #41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48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8A45FA" w:rsidRPr="00BC64F4" w:rsidTr="009151B1">
        <w:trPr>
          <w:trHeight w:val="3670"/>
        </w:trPr>
        <w:tc>
          <w:tcPr>
            <w:tcW w:w="1579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"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Quadrivalent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br/>
              <w:t>HPV vaccine (Gardasil) is not cost-effective in Iran based on the base-case parameters value".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41,803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17,749.8</w:t>
            </w:r>
          </w:p>
        </w:tc>
        <w:tc>
          <w:tcPr>
            <w:tcW w:w="2151" w:type="dxa"/>
            <w:gridSpan w:val="2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Adding vaccination of 15-year-old girls to existing situation (no official screening)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438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Government</w:t>
            </w:r>
          </w:p>
        </w:tc>
        <w:tc>
          <w:tcPr>
            <w:tcW w:w="502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Cervical cancer</w:t>
            </w:r>
          </w:p>
        </w:tc>
        <w:tc>
          <w:tcPr>
            <w:tcW w:w="426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043" w:type="dxa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Cost-Effectiveness Evaluation of </w:t>
            </w: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Quadrivalent</w:t>
            </w:r>
            <w:proofErr w:type="spellEnd"/>
            <w:r w:rsidRPr="00BC64F4">
              <w:rPr>
                <w:rFonts w:asciiTheme="majorBidi" w:hAnsiTheme="majorBidi" w:cstheme="majorBidi"/>
                <w:sz w:val="18"/>
                <w:szCs w:val="18"/>
              </w:rPr>
              <w:t xml:space="preserve"> Human Papilloma Virus Vaccine for HPV-Related Disease in Iran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&lt;EndNote&gt;&lt;Cite&gt;&lt;Author&gt;Khatibi&lt;/Author&gt;&lt;Year&gt;2014&lt;/Year&gt;&lt;RecNum&gt;42&lt;/RecNum&gt;&lt;DisplayText&gt;(24)&lt;/DisplayText&gt;&lt;record&gt;&lt;rec-number&gt;42&lt;/rec-number&gt;&lt;foreign-keys&gt;&lt;key app="EN" db-id="wdrv2wxarxsss9et5x7xdt562tr02tr0fasx"&gt;42&lt;/key&gt;&lt;/foreign-keys&gt;&lt;ref-type name="Journal Article"&gt;17&lt;/ref-type&gt;&lt;contributors&gt;&lt;authors&gt;&lt;author&gt;Khatibi, Mohsen&lt;/author&gt;&lt;author&gt;Rasekh, Hamid Reza&lt;/author&gt;&lt;author&gt;Shahverdi, Zohreh&lt;/author&gt;&lt;/authors&gt;&lt;/contributors&gt;&lt;titles&gt;&lt;title&gt;Cost-effectiveness evaluation of quadrivalent human papilloma virus vaccine for HPV-related disease in Iran&lt;/title&gt;&lt;secondary-title&gt;Iranian journal of pharmaceutical research: IJPR&lt;/secondary-title&gt;&lt;/titles&gt;&lt;periodical&gt;&lt;full-title&gt;Iranian journal of pharmaceutical research: IJPR&lt;/full-title&gt;&lt;/periodical&gt;&lt;pages&gt;225&lt;/pages&gt;&lt;volume&gt;13&lt;/volume&gt;&lt;number&gt;Suppl&lt;/number&gt;&lt;dates&gt;&lt;year&gt;2014&lt;/year&gt;&lt;/dates&gt;&lt;urls&gt;&lt;/urls&gt;&lt;/record&gt;&lt;/Cite&gt;&lt;/EndNote&gt;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4" w:tooltip="Khatibi, 2014 #42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24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A45FA" w:rsidRPr="00BC64F4" w:rsidTr="009151B1">
        <w:trPr>
          <w:cantSplit/>
          <w:trHeight w:val="3540"/>
        </w:trPr>
        <w:tc>
          <w:tcPr>
            <w:tcW w:w="1579" w:type="dxa"/>
            <w:vMerge w:val="restart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"With respect to the existing prevalence of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Helicobacter pylori infection in Iran, owing to the high price of the carbon-13 urea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breath method, and lack of significant cost-effectiveness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and cost utility superiority over the serology and histology, we recommend avoiding its application in large scale and for large population groups"</w:t>
            </w:r>
          </w:p>
        </w:tc>
        <w:tc>
          <w:tcPr>
            <w:tcW w:w="8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460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1,163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225.6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570.6</w:t>
            </w:r>
          </w:p>
        </w:tc>
        <w:tc>
          <w:tcPr>
            <w:tcW w:w="1701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Histology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Serology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13C-UBT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</w:tc>
        <w:tc>
          <w:tcPr>
            <w:tcW w:w="450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PPI based Triple Therapy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38" w:type="dxa"/>
            <w:vMerge w:val="restart"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438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provider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Helicobacter pylori infection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043" w:type="dxa"/>
            <w:vMerge w:val="restart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Economic evaluation of test-and-treat and empirical treatment strategies in the eradication of Helicobacter pylori infection; A Markov model in an Iranian adult population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&lt;EndNote&gt;&lt;Cite&gt;&lt;Author&gt;Mazdaki&lt;/Author&gt;&lt;Year&gt;2016&lt;/Year&gt;&lt;RecNum&gt;43&lt;/RecNum&gt;&lt;DisplayText&gt;(57)&lt;/DisplayText&gt;&lt;record&gt;&lt;rec-number&gt;43&lt;/rec-number&gt;&lt;foreign-keys&gt;&lt;key app="EN" db-id="wdrv2wxarxsss9et5x7xdt562tr02tr0fasx"&gt;43&lt;/key&gt;&lt;/foreign-keys&gt;&lt;ref-type name="Journal Article"&gt;17&lt;/ref-type&gt;&lt;contributors&gt;&lt;authors&gt;&lt;author&gt;Mazdaki, Alireza&lt;/author&gt;&lt;author&gt;Ghiasvand, Hesam&lt;/author&gt;&lt;author&gt;Asiabar, Ali Sarabi&lt;/author&gt;&lt;author&gt;Naghdi, Seyran&lt;/author&gt;&lt;author&gt;Aryankhesal, Aidin&lt;/author&gt;&lt;/authors&gt;&lt;/contributors&gt;&lt;titles&gt;&lt;title&gt;Economic evaluation of test-and-treat and empirical treatment strategies in the eradication of Helicobacter pylori infection; A Markov model in an Iranian adult population&lt;/title&gt;&lt;secondary-title&gt;Medical journal of the Islamic Republic of Iran&lt;/secondary-title&gt;&lt;/titles&gt;&lt;periodical&gt;&lt;full-title&gt;Medical journal of the Islamic Republic of Iran&lt;/full-title&gt;&lt;/periodical&gt;&lt;pages&gt;327&lt;/pages&gt;&lt;volume&gt;30&lt;/volume&gt;&lt;dates&gt;&lt;year&gt;2016&lt;/year&gt;&lt;/dates&gt;&lt;urls&gt;&lt;/urls&gt;&lt;/record&gt;&lt;/Cite&gt;&lt;/EndNote&gt;</w:instrTex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57" w:tooltip="Mazdaki, 2016 #43" w:history="1">
              <w:r w:rsidRPr="00BC64F4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57</w:t>
              </w:r>
            </w:hyperlink>
            <w:r w:rsidRPr="00BC64F4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BC64F4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8A45FA" w:rsidRPr="00BC64F4" w:rsidTr="009151B1">
        <w:trPr>
          <w:cantSplit/>
          <w:trHeight w:val="3540"/>
        </w:trPr>
        <w:tc>
          <w:tcPr>
            <w:tcW w:w="1579" w:type="dxa"/>
            <w:vMerge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10" w:type="dxa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175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184</w:t>
            </w:r>
          </w:p>
        </w:tc>
        <w:tc>
          <w:tcPr>
            <w:tcW w:w="1110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85.8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90.44</w:t>
            </w:r>
          </w:p>
        </w:tc>
        <w:tc>
          <w:tcPr>
            <w:tcW w:w="1701" w:type="dxa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13C-UBT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Histology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Serology as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first diagnostic</w:t>
            </w:r>
          </w:p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64F4">
              <w:rPr>
                <w:rFonts w:asciiTheme="majorBidi" w:hAnsiTheme="majorBidi" w:cstheme="majorBidi"/>
                <w:sz w:val="18"/>
                <w:szCs w:val="18"/>
              </w:rPr>
              <w:t>test</w:t>
            </w:r>
          </w:p>
        </w:tc>
        <w:tc>
          <w:tcPr>
            <w:tcW w:w="450" w:type="dxa"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C64F4">
              <w:rPr>
                <w:rFonts w:asciiTheme="majorBidi" w:hAnsiTheme="majorBidi" w:cstheme="majorBidi"/>
                <w:sz w:val="18"/>
                <w:szCs w:val="18"/>
              </w:rPr>
              <w:t>Antisecretory</w:t>
            </w:r>
            <w:proofErr w:type="spellEnd"/>
          </w:p>
        </w:tc>
        <w:tc>
          <w:tcPr>
            <w:tcW w:w="425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2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3" w:type="dxa"/>
            <w:vMerge/>
            <w:textDirection w:val="btLr"/>
            <w:vAlign w:val="center"/>
          </w:tcPr>
          <w:p w:rsidR="008A45FA" w:rsidRPr="00BC64F4" w:rsidRDefault="008A45FA" w:rsidP="009151B1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8A45FA" w:rsidRPr="00BC64F4" w:rsidRDefault="008A45FA" w:rsidP="008A45FA">
      <w:pPr>
        <w:rPr>
          <w:rFonts w:asciiTheme="majorBidi" w:hAnsiTheme="majorBidi" w:cstheme="majorBidi"/>
          <w:sz w:val="18"/>
          <w:szCs w:val="18"/>
        </w:rPr>
      </w:pPr>
    </w:p>
    <w:p w:rsidR="008A45FA" w:rsidRPr="00BC64F4" w:rsidRDefault="008A45FA" w:rsidP="008A45F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</w:p>
    <w:p w:rsidR="009E1CC0" w:rsidRDefault="009E1CC0"/>
    <w:sectPr w:rsidR="009E1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FA"/>
    <w:rsid w:val="008A45FA"/>
    <w:rsid w:val="009E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DC0E8-09A1-46CA-AB1C-44FD60B7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5FA"/>
    <w:pPr>
      <w:bidi/>
    </w:pPr>
    <w:rPr>
      <w:rFonts w:eastAsiaTheme="minorHAnsi" w:cs="Times New Roman"/>
      <w:lang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5FA"/>
    <w:pPr>
      <w:spacing w:after="0" w:line="240" w:lineRule="auto"/>
    </w:pPr>
    <w:rPr>
      <w:rFonts w:eastAsiaTheme="minorHAnsi"/>
      <w:lang w:eastAsia="en-US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A45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2475</Words>
  <Characters>13343</Characters>
  <Application>Microsoft Office Word</Application>
  <DocSecurity>0</DocSecurity>
  <Lines>342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2021-03-02T15:14:00Z</dcterms:created>
  <dcterms:modified xsi:type="dcterms:W3CDTF">2021-03-02T15:14:00Z</dcterms:modified>
</cp:coreProperties>
</file>