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FC0D0" w14:textId="5CD7952C" w:rsidR="00BA1577" w:rsidRPr="00BA1577" w:rsidRDefault="00BA1577" w:rsidP="00BA1577">
      <w:pPr>
        <w:rPr>
          <w:rFonts w:eastAsia="Arial"/>
          <w:b/>
          <w:sz w:val="21"/>
          <w:szCs w:val="21"/>
        </w:rPr>
      </w:pPr>
      <w:r w:rsidRPr="00BA1577">
        <w:rPr>
          <w:rFonts w:eastAsia="Arial"/>
          <w:b/>
          <w:sz w:val="21"/>
          <w:szCs w:val="21"/>
        </w:rPr>
        <w:t>S1 Appendix: METHODS</w:t>
      </w:r>
    </w:p>
    <w:p w14:paraId="1DB4B06D" w14:textId="77777777" w:rsidR="00BA1577" w:rsidRPr="00E46E0D" w:rsidRDefault="00BA1577" w:rsidP="00BA1577">
      <w:pPr>
        <w:rPr>
          <w:rFonts w:eastAsia="Arial"/>
          <w:b/>
          <w:sz w:val="20"/>
          <w:szCs w:val="20"/>
        </w:rPr>
      </w:pPr>
    </w:p>
    <w:p w14:paraId="37E0F64D" w14:textId="77777777" w:rsidR="00BA1577" w:rsidRPr="00E46E0D" w:rsidRDefault="00BA1577" w:rsidP="00BA1577">
      <w:pPr>
        <w:numPr>
          <w:ilvl w:val="0"/>
          <w:numId w:val="1"/>
        </w:numPr>
        <w:pBdr>
          <w:top w:val="nil"/>
          <w:left w:val="nil"/>
          <w:bottom w:val="nil"/>
          <w:right w:val="nil"/>
          <w:between w:val="nil"/>
        </w:pBdr>
        <w:rPr>
          <w:rFonts w:eastAsia="Arial"/>
          <w:b/>
          <w:color w:val="000000"/>
          <w:sz w:val="20"/>
          <w:szCs w:val="20"/>
        </w:rPr>
      </w:pPr>
      <w:r w:rsidRPr="00E46E0D">
        <w:rPr>
          <w:rFonts w:eastAsia="Arial"/>
          <w:b/>
          <w:color w:val="000000"/>
          <w:sz w:val="20"/>
          <w:szCs w:val="20"/>
        </w:rPr>
        <w:t>True disease status</w:t>
      </w:r>
    </w:p>
    <w:p w14:paraId="4C55C45C" w14:textId="77777777" w:rsidR="00BA1577" w:rsidRPr="00E46E0D" w:rsidRDefault="00BA1577" w:rsidP="00BA1577">
      <w:pPr>
        <w:rPr>
          <w:rFonts w:eastAsia="Arial"/>
          <w:color w:val="000000"/>
          <w:sz w:val="20"/>
          <w:szCs w:val="20"/>
        </w:rPr>
      </w:pPr>
      <w:r w:rsidRPr="00E46E0D">
        <w:rPr>
          <w:rFonts w:eastAsia="Arial"/>
          <w:sz w:val="20"/>
          <w:szCs w:val="20"/>
        </w:rPr>
        <w:t xml:space="preserve">The true disease status of a HCW depends on the presence or absence of SARS-CoV-2 and antibodies, which is unknown by the individual. The characteristics of the three possible true disease states are shown in Figure 1. </w:t>
      </w:r>
      <w:r w:rsidRPr="00E46E0D">
        <w:rPr>
          <w:rFonts w:eastAsia="Arial"/>
          <w:i/>
          <w:color w:val="000000"/>
          <w:sz w:val="20"/>
          <w:szCs w:val="20"/>
        </w:rPr>
        <w:t xml:space="preserve">No antibodies </w:t>
      </w:r>
      <w:r w:rsidRPr="00E46E0D">
        <w:rPr>
          <w:rFonts w:eastAsia="Arial"/>
          <w:color w:val="000000"/>
          <w:sz w:val="20"/>
          <w:szCs w:val="20"/>
        </w:rPr>
        <w:t xml:space="preserve">denotes individuals who did not have IgM or IgG antibodies against SARS-CoV-2. These individuals were susceptible to becoming infected, or they had been previously infected and had not developed an immune response, or they were infected and the immune response has waned. </w:t>
      </w:r>
      <w:r w:rsidRPr="00E46E0D">
        <w:rPr>
          <w:rFonts w:eastAsia="Arial"/>
          <w:i/>
          <w:color w:val="000000"/>
          <w:sz w:val="20"/>
          <w:szCs w:val="20"/>
        </w:rPr>
        <w:t>IgM only</w:t>
      </w:r>
      <w:r w:rsidRPr="00E46E0D">
        <w:rPr>
          <w:rFonts w:eastAsia="Arial"/>
          <w:color w:val="000000"/>
          <w:sz w:val="20"/>
          <w:szCs w:val="20"/>
        </w:rPr>
        <w:t xml:space="preserve"> pertains to individuals who had produced IgM against SARS-CoV-2 but had not yet developed IgG. Since IgM is the first type of antibody to be produced upon the introduction of a new pathogen, these individuals were likely HCWs who recently became infected and had not yet mounted a full immune response. </w:t>
      </w:r>
      <w:r w:rsidRPr="00E46E0D">
        <w:rPr>
          <w:rFonts w:eastAsia="Arial"/>
          <w:i/>
          <w:color w:val="000000"/>
          <w:sz w:val="20"/>
          <w:szCs w:val="20"/>
        </w:rPr>
        <w:t xml:space="preserve">IgG only </w:t>
      </w:r>
      <w:r w:rsidRPr="00E46E0D">
        <w:rPr>
          <w:rFonts w:eastAsia="Arial"/>
          <w:color w:val="000000"/>
          <w:sz w:val="20"/>
          <w:szCs w:val="20"/>
        </w:rPr>
        <w:t xml:space="preserve">was used to define HCWs who had produced IgG but did not have IgM. This may occur in individuals who are in the later stages of recovery, since typically IgG is produced after IgM and the titers of the latter wane with time while they remain higher for the former. </w:t>
      </w:r>
      <w:r w:rsidRPr="00E46E0D">
        <w:rPr>
          <w:rFonts w:eastAsia="Arial"/>
          <w:i/>
          <w:color w:val="000000"/>
          <w:sz w:val="20"/>
          <w:szCs w:val="20"/>
        </w:rPr>
        <w:t xml:space="preserve">Both antibodies </w:t>
      </w:r>
      <w:r w:rsidRPr="00E46E0D">
        <w:rPr>
          <w:rFonts w:eastAsia="Arial"/>
          <w:color w:val="000000"/>
          <w:sz w:val="20"/>
          <w:szCs w:val="20"/>
        </w:rPr>
        <w:t xml:space="preserve">denotes individuals with both IgM and IgG. </w:t>
      </w:r>
    </w:p>
    <w:p w14:paraId="115AD5D7" w14:textId="77777777" w:rsidR="00BA1577" w:rsidRPr="00E46E0D" w:rsidRDefault="00BA1577" w:rsidP="00BA1577">
      <w:pPr>
        <w:rPr>
          <w:rFonts w:eastAsia="Arial"/>
          <w:sz w:val="20"/>
          <w:szCs w:val="20"/>
        </w:rPr>
      </w:pPr>
    </w:p>
    <w:p w14:paraId="64CA5978" w14:textId="77777777" w:rsidR="00BA1577" w:rsidRPr="00E46E0D" w:rsidRDefault="00BA1577" w:rsidP="00BA1577">
      <w:pPr>
        <w:keepNext/>
        <w:tabs>
          <w:tab w:val="left" w:pos="5580"/>
        </w:tabs>
        <w:jc w:val="center"/>
        <w:rPr>
          <w:sz w:val="20"/>
          <w:szCs w:val="20"/>
        </w:rPr>
      </w:pPr>
      <w:r w:rsidRPr="00E46E0D">
        <w:rPr>
          <w:rFonts w:eastAsia="Calibri"/>
          <w:noProof/>
          <w:color w:val="000000"/>
          <w:sz w:val="20"/>
          <w:szCs w:val="20"/>
          <w:lang w:val="en-IN" w:eastAsia="en-IN"/>
        </w:rPr>
        <w:drawing>
          <wp:inline distT="0" distB="0" distL="0" distR="0" wp14:anchorId="06D06211" wp14:editId="034EC8CC">
            <wp:extent cx="2824681" cy="2640803"/>
            <wp:effectExtent l="0" t="0" r="0" b="1270"/>
            <wp:docPr id="50" name="image1.png"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A screenshot of a cell phone&#10;&#10;Description automatically generated"/>
                    <pic:cNvPicPr preferRelativeResize="0"/>
                  </pic:nvPicPr>
                  <pic:blipFill>
                    <a:blip r:embed="rId5"/>
                    <a:srcRect/>
                    <a:stretch>
                      <a:fillRect/>
                    </a:stretch>
                  </pic:blipFill>
                  <pic:spPr>
                    <a:xfrm>
                      <a:off x="0" y="0"/>
                      <a:ext cx="2833308" cy="2648868"/>
                    </a:xfrm>
                    <a:prstGeom prst="rect">
                      <a:avLst/>
                    </a:prstGeom>
                    <a:ln/>
                  </pic:spPr>
                </pic:pic>
              </a:graphicData>
            </a:graphic>
          </wp:inline>
        </w:drawing>
      </w:r>
    </w:p>
    <w:p w14:paraId="41D72B8F" w14:textId="77777777" w:rsidR="00BA1577" w:rsidRPr="00E46E0D" w:rsidRDefault="00BA1577" w:rsidP="00BA1577">
      <w:pPr>
        <w:pBdr>
          <w:top w:val="nil"/>
          <w:left w:val="nil"/>
          <w:bottom w:val="nil"/>
          <w:right w:val="nil"/>
          <w:between w:val="nil"/>
        </w:pBdr>
        <w:spacing w:after="200"/>
        <w:jc w:val="center"/>
        <w:rPr>
          <w:rFonts w:eastAsia="Calibri"/>
          <w:color w:val="000000"/>
          <w:sz w:val="20"/>
          <w:szCs w:val="20"/>
        </w:rPr>
      </w:pPr>
      <w:r w:rsidRPr="00E46E0D">
        <w:rPr>
          <w:rFonts w:eastAsia="Calibri"/>
          <w:b/>
          <w:bCs/>
          <w:iCs/>
          <w:color w:val="000000"/>
          <w:sz w:val="20"/>
          <w:szCs w:val="20"/>
        </w:rPr>
        <w:t>Figure I.</w:t>
      </w:r>
      <w:r w:rsidRPr="00E46E0D">
        <w:rPr>
          <w:rFonts w:eastAsia="Calibri"/>
          <w:i/>
          <w:color w:val="000000"/>
          <w:sz w:val="20"/>
          <w:szCs w:val="20"/>
        </w:rPr>
        <w:t xml:space="preserve"> </w:t>
      </w:r>
      <w:r w:rsidRPr="00E46E0D">
        <w:rPr>
          <w:rFonts w:eastAsia="Calibri"/>
          <w:color w:val="000000"/>
          <w:sz w:val="20"/>
          <w:szCs w:val="20"/>
        </w:rPr>
        <w:t>Infection states and antibody profiles of individuals with different true disease states</w:t>
      </w:r>
    </w:p>
    <w:p w14:paraId="76AED40E" w14:textId="77777777" w:rsidR="00BA1577" w:rsidRPr="00E46E0D" w:rsidRDefault="00BA1577" w:rsidP="00BA1577">
      <w:pPr>
        <w:rPr>
          <w:rFonts w:eastAsia="Arial"/>
          <w:b/>
          <w:sz w:val="20"/>
          <w:szCs w:val="20"/>
        </w:rPr>
      </w:pPr>
      <w:r>
        <w:rPr>
          <w:rFonts w:eastAsia="Arial"/>
          <w:b/>
          <w:sz w:val="20"/>
          <w:szCs w:val="20"/>
        </w:rPr>
        <w:br w:type="page"/>
      </w:r>
    </w:p>
    <w:p w14:paraId="2C0A0563" w14:textId="77777777" w:rsidR="00BA1577" w:rsidRPr="00E46E0D" w:rsidRDefault="00BA1577" w:rsidP="00BA1577">
      <w:pPr>
        <w:numPr>
          <w:ilvl w:val="0"/>
          <w:numId w:val="1"/>
        </w:numPr>
        <w:pBdr>
          <w:top w:val="nil"/>
          <w:left w:val="nil"/>
          <w:bottom w:val="nil"/>
          <w:right w:val="nil"/>
          <w:between w:val="nil"/>
        </w:pBdr>
        <w:rPr>
          <w:rFonts w:eastAsia="Arial"/>
          <w:b/>
          <w:color w:val="000000"/>
          <w:sz w:val="20"/>
          <w:szCs w:val="20"/>
        </w:rPr>
      </w:pPr>
      <w:r w:rsidRPr="00E46E0D">
        <w:rPr>
          <w:rFonts w:eastAsia="Arial"/>
          <w:b/>
          <w:color w:val="000000"/>
          <w:sz w:val="20"/>
          <w:szCs w:val="20"/>
        </w:rPr>
        <w:lastRenderedPageBreak/>
        <w:t>Inferred disease status</w:t>
      </w:r>
    </w:p>
    <w:p w14:paraId="177D7AD0" w14:textId="1A213B6B" w:rsidR="00BA1577" w:rsidRDefault="00BA1577" w:rsidP="00BA1577">
      <w:pPr>
        <w:rPr>
          <w:rFonts w:eastAsia="Arial"/>
          <w:color w:val="000000"/>
          <w:sz w:val="20"/>
          <w:szCs w:val="20"/>
        </w:rPr>
      </w:pPr>
      <w:r w:rsidRPr="00E46E0D">
        <w:rPr>
          <w:rFonts w:eastAsia="Arial"/>
          <w:color w:val="000000"/>
          <w:sz w:val="20"/>
          <w:szCs w:val="20"/>
        </w:rPr>
        <w:t>Table I outlines the inferences made based on test results.</w:t>
      </w:r>
      <w:r w:rsidRPr="00E46E0D">
        <w:rPr>
          <w:i/>
          <w:sz w:val="20"/>
          <w:szCs w:val="20"/>
        </w:rPr>
        <w:t xml:space="preserve"> </w:t>
      </w:r>
      <w:r w:rsidRPr="00E46E0D">
        <w:rPr>
          <w:rFonts w:eastAsia="Arial"/>
          <w:color w:val="000000"/>
          <w:sz w:val="20"/>
          <w:szCs w:val="20"/>
        </w:rPr>
        <w:t>A positive IgG test result indicates recovery in the absence of a positive PCR test. A positive PCR test result generally indicates that the HCW is infected, except the late clinical stage when the likelihood of still having viable virus is so low that these results are interpreted as false-positives and do not induce behavior change.</w:t>
      </w:r>
      <w:r w:rsidR="001607C4">
        <w:rPr>
          <w:rFonts w:eastAsia="Arial"/>
          <w:color w:val="000000"/>
          <w:sz w:val="20"/>
          <w:szCs w:val="20"/>
        </w:rPr>
        <w:t xml:space="preserve"> A positive Ag test is always interpreted as transmissible infection.</w:t>
      </w:r>
    </w:p>
    <w:p w14:paraId="7691D9DB" w14:textId="77777777" w:rsidR="00BA1577" w:rsidRPr="00E46E0D" w:rsidRDefault="00BA1577" w:rsidP="00BA1577">
      <w:pPr>
        <w:rPr>
          <w:rFonts w:eastAsia="Arial"/>
          <w:color w:val="000000"/>
          <w:sz w:val="20"/>
          <w:szCs w:val="20"/>
        </w:rPr>
      </w:pPr>
    </w:p>
    <w:p w14:paraId="43DD3ADB" w14:textId="77777777" w:rsidR="00BA1577" w:rsidRPr="00E46E0D" w:rsidRDefault="00BA1577" w:rsidP="00BA1577">
      <w:pPr>
        <w:ind w:firstLine="720"/>
        <w:rPr>
          <w:rFonts w:eastAsia="Arial"/>
          <w:color w:val="000000"/>
          <w:sz w:val="20"/>
          <w:szCs w:val="20"/>
        </w:rPr>
      </w:pPr>
    </w:p>
    <w:p w14:paraId="1927AD5E" w14:textId="77777777" w:rsidR="00BA1577" w:rsidRPr="00E46E0D" w:rsidRDefault="00BA1577" w:rsidP="00BA1577">
      <w:pPr>
        <w:pStyle w:val="Caption"/>
        <w:keepNext/>
        <w:rPr>
          <w:rFonts w:ascii="Times New Roman" w:hAnsi="Times New Roman" w:cs="Times New Roman"/>
          <w:i w:val="0"/>
          <w:color w:val="auto"/>
          <w:sz w:val="20"/>
          <w:szCs w:val="20"/>
        </w:rPr>
      </w:pPr>
      <w:r w:rsidRPr="00E46E0D">
        <w:rPr>
          <w:rFonts w:ascii="Times New Roman" w:hAnsi="Times New Roman" w:cs="Times New Roman"/>
          <w:b/>
          <w:i w:val="0"/>
          <w:color w:val="auto"/>
          <w:sz w:val="20"/>
          <w:szCs w:val="20"/>
        </w:rPr>
        <w:t>Table I</w:t>
      </w:r>
      <w:r w:rsidRPr="00E46E0D">
        <w:rPr>
          <w:rFonts w:ascii="Times New Roman" w:hAnsi="Times New Roman" w:cs="Times New Roman"/>
          <w:b/>
          <w:bCs/>
          <w:i w:val="0"/>
          <w:iCs w:val="0"/>
          <w:color w:val="auto"/>
          <w:sz w:val="20"/>
          <w:szCs w:val="20"/>
        </w:rPr>
        <w:t>.</w:t>
      </w:r>
      <w:r w:rsidRPr="00E46E0D">
        <w:rPr>
          <w:rFonts w:ascii="Times New Roman" w:hAnsi="Times New Roman" w:cs="Times New Roman"/>
          <w:color w:val="auto"/>
          <w:sz w:val="20"/>
          <w:szCs w:val="20"/>
        </w:rPr>
        <w:t xml:space="preserve"> </w:t>
      </w:r>
      <w:r w:rsidRPr="00E46E0D">
        <w:rPr>
          <w:rFonts w:ascii="Times New Roman" w:hAnsi="Times New Roman" w:cs="Times New Roman"/>
          <w:i w:val="0"/>
          <w:color w:val="auto"/>
          <w:sz w:val="20"/>
          <w:szCs w:val="20"/>
        </w:rPr>
        <w:t xml:space="preserve">Inferences of disease status based on test outcomes. </w:t>
      </w:r>
      <w:r w:rsidRPr="00E46E0D">
        <w:rPr>
          <w:rFonts w:ascii="Times New Roman" w:hAnsi="Times New Roman" w:cs="Times New Roman"/>
          <w:i w:val="0"/>
          <w:iCs w:val="0"/>
          <w:color w:val="auto"/>
          <w:sz w:val="20"/>
          <w:szCs w:val="20"/>
        </w:rPr>
        <w:t>Three dots indicate that</w:t>
      </w:r>
      <w:r w:rsidRPr="00E46E0D">
        <w:rPr>
          <w:rFonts w:ascii="Times New Roman" w:hAnsi="Times New Roman" w:cs="Times New Roman"/>
          <w:i w:val="0"/>
          <w:color w:val="auto"/>
          <w:sz w:val="20"/>
          <w:szCs w:val="20"/>
        </w:rPr>
        <w:t xml:space="preserve"> the test </w:t>
      </w:r>
      <w:r w:rsidRPr="00E46E0D">
        <w:rPr>
          <w:rFonts w:ascii="Times New Roman" w:hAnsi="Times New Roman" w:cs="Times New Roman"/>
          <w:i w:val="0"/>
          <w:iCs w:val="0"/>
          <w:color w:val="auto"/>
          <w:sz w:val="20"/>
          <w:szCs w:val="20"/>
        </w:rPr>
        <w:t>was not conducted</w:t>
      </w:r>
      <w:r w:rsidRPr="00E46E0D">
        <w:rPr>
          <w:rFonts w:ascii="Times New Roman" w:hAnsi="Times New Roman" w:cs="Times New Roman"/>
          <w:i w:val="0"/>
          <w:color w:val="auto"/>
          <w:sz w:val="20"/>
          <w:szCs w:val="20"/>
        </w:rPr>
        <w:t>.</w:t>
      </w:r>
    </w:p>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252"/>
        <w:gridCol w:w="1604"/>
        <w:gridCol w:w="1426"/>
        <w:gridCol w:w="2673"/>
      </w:tblGrid>
      <w:tr w:rsidR="001607C4" w:rsidRPr="00740FF0" w14:paraId="72154674" w14:textId="77777777" w:rsidTr="0022165D">
        <w:trPr>
          <w:trHeight w:val="259"/>
          <w:jc w:val="center"/>
        </w:trPr>
        <w:tc>
          <w:tcPr>
            <w:tcW w:w="1284" w:type="pct"/>
            <w:tcBorders>
              <w:bottom w:val="single" w:sz="4" w:space="0" w:color="auto"/>
            </w:tcBorders>
            <w:vAlign w:val="center"/>
          </w:tcPr>
          <w:p w14:paraId="22329F68" w14:textId="77777777" w:rsidR="001607C4" w:rsidRPr="00740FF0" w:rsidRDefault="001607C4">
            <w:pPr>
              <w:jc w:val="center"/>
              <w:rPr>
                <w:b/>
                <w:color w:val="000000"/>
                <w:sz w:val="16"/>
                <w:szCs w:val="16"/>
              </w:rPr>
            </w:pPr>
            <w:r w:rsidRPr="00740FF0">
              <w:rPr>
                <w:b/>
                <w:color w:val="000000"/>
                <w:sz w:val="16"/>
                <w:szCs w:val="16"/>
              </w:rPr>
              <w:t>Screening Strategy</w:t>
            </w:r>
          </w:p>
        </w:tc>
        <w:tc>
          <w:tcPr>
            <w:tcW w:w="669" w:type="pct"/>
            <w:tcBorders>
              <w:bottom w:val="single" w:sz="4" w:space="0" w:color="auto"/>
            </w:tcBorders>
            <w:vAlign w:val="center"/>
          </w:tcPr>
          <w:p w14:paraId="66F5B0E2" w14:textId="543B3DAF" w:rsidR="001607C4" w:rsidRPr="00740FF0" w:rsidRDefault="001607C4">
            <w:pPr>
              <w:jc w:val="center"/>
              <w:rPr>
                <w:b/>
                <w:color w:val="000000"/>
                <w:sz w:val="16"/>
                <w:szCs w:val="16"/>
              </w:rPr>
            </w:pPr>
            <w:r>
              <w:rPr>
                <w:b/>
                <w:color w:val="000000"/>
                <w:sz w:val="16"/>
                <w:szCs w:val="16"/>
              </w:rPr>
              <w:t>Ag Test Result</w:t>
            </w:r>
          </w:p>
        </w:tc>
        <w:tc>
          <w:tcPr>
            <w:tcW w:w="857" w:type="pct"/>
            <w:tcBorders>
              <w:bottom w:val="single" w:sz="4" w:space="0" w:color="auto"/>
            </w:tcBorders>
            <w:vAlign w:val="center"/>
          </w:tcPr>
          <w:p w14:paraId="0B1A0B5D" w14:textId="2F1C2CF6" w:rsidR="001607C4" w:rsidRPr="00740FF0" w:rsidRDefault="001607C4">
            <w:pPr>
              <w:jc w:val="center"/>
              <w:rPr>
                <w:b/>
                <w:color w:val="000000"/>
                <w:sz w:val="16"/>
                <w:szCs w:val="16"/>
              </w:rPr>
            </w:pPr>
            <w:r w:rsidRPr="00740FF0">
              <w:rPr>
                <w:b/>
                <w:color w:val="000000"/>
                <w:sz w:val="16"/>
                <w:szCs w:val="16"/>
              </w:rPr>
              <w:t>PCR Test Result</w:t>
            </w:r>
          </w:p>
        </w:tc>
        <w:tc>
          <w:tcPr>
            <w:tcW w:w="762" w:type="pct"/>
            <w:tcBorders>
              <w:bottom w:val="single" w:sz="4" w:space="0" w:color="auto"/>
            </w:tcBorders>
            <w:vAlign w:val="center"/>
          </w:tcPr>
          <w:p w14:paraId="01329334" w14:textId="77777777" w:rsidR="001607C4" w:rsidRPr="00740FF0" w:rsidRDefault="001607C4">
            <w:pPr>
              <w:jc w:val="center"/>
              <w:rPr>
                <w:b/>
                <w:color w:val="000000"/>
                <w:sz w:val="16"/>
                <w:szCs w:val="16"/>
              </w:rPr>
            </w:pPr>
            <w:r w:rsidRPr="00740FF0">
              <w:rPr>
                <w:b/>
                <w:color w:val="000000"/>
                <w:sz w:val="16"/>
                <w:szCs w:val="16"/>
              </w:rPr>
              <w:t>IgG Test Result</w:t>
            </w:r>
          </w:p>
        </w:tc>
        <w:tc>
          <w:tcPr>
            <w:tcW w:w="1429" w:type="pct"/>
            <w:tcBorders>
              <w:bottom w:val="single" w:sz="4" w:space="0" w:color="auto"/>
            </w:tcBorders>
            <w:vAlign w:val="center"/>
          </w:tcPr>
          <w:p w14:paraId="0C45F002" w14:textId="77777777" w:rsidR="001607C4" w:rsidRPr="00740FF0" w:rsidRDefault="001607C4">
            <w:pPr>
              <w:jc w:val="center"/>
              <w:rPr>
                <w:b/>
                <w:color w:val="000000"/>
                <w:sz w:val="16"/>
                <w:szCs w:val="16"/>
              </w:rPr>
            </w:pPr>
            <w:r w:rsidRPr="00740FF0">
              <w:rPr>
                <w:b/>
                <w:color w:val="000000"/>
                <w:sz w:val="16"/>
                <w:szCs w:val="16"/>
              </w:rPr>
              <w:t>Inferred Disease Status</w:t>
            </w:r>
          </w:p>
        </w:tc>
      </w:tr>
      <w:tr w:rsidR="001607C4" w:rsidRPr="00740FF0" w14:paraId="3EC4BF8B" w14:textId="77777777" w:rsidTr="0022165D">
        <w:trPr>
          <w:trHeight w:val="259"/>
          <w:jc w:val="center"/>
        </w:trPr>
        <w:tc>
          <w:tcPr>
            <w:tcW w:w="1284" w:type="pct"/>
            <w:tcBorders>
              <w:top w:val="single" w:sz="4" w:space="0" w:color="auto"/>
              <w:bottom w:val="single" w:sz="4" w:space="0" w:color="A5A5A5" w:themeColor="accent3"/>
            </w:tcBorders>
            <w:vAlign w:val="center"/>
          </w:tcPr>
          <w:p w14:paraId="353CD1A8" w14:textId="77777777" w:rsidR="001607C4" w:rsidRPr="00740FF0" w:rsidRDefault="001607C4">
            <w:pPr>
              <w:jc w:val="center"/>
              <w:rPr>
                <w:b/>
                <w:color w:val="000000"/>
                <w:sz w:val="16"/>
                <w:szCs w:val="16"/>
              </w:rPr>
            </w:pPr>
            <w:r w:rsidRPr="00740FF0">
              <w:rPr>
                <w:b/>
                <w:color w:val="000000"/>
                <w:sz w:val="16"/>
                <w:szCs w:val="16"/>
              </w:rPr>
              <w:t>No testing</w:t>
            </w:r>
          </w:p>
        </w:tc>
        <w:tc>
          <w:tcPr>
            <w:tcW w:w="669" w:type="pct"/>
            <w:tcBorders>
              <w:top w:val="single" w:sz="4" w:space="0" w:color="auto"/>
              <w:bottom w:val="single" w:sz="4" w:space="0" w:color="A5A5A5" w:themeColor="accent3"/>
            </w:tcBorders>
            <w:vAlign w:val="center"/>
          </w:tcPr>
          <w:p w14:paraId="75108FE0" w14:textId="667232FF" w:rsidR="001607C4" w:rsidRPr="00740FF0" w:rsidRDefault="001607C4">
            <w:pPr>
              <w:jc w:val="center"/>
              <w:rPr>
                <w:b/>
                <w:bCs/>
                <w:color w:val="000000"/>
                <w:sz w:val="16"/>
                <w:szCs w:val="16"/>
              </w:rPr>
            </w:pPr>
            <w:r>
              <w:rPr>
                <w:b/>
                <w:bCs/>
                <w:color w:val="000000"/>
                <w:sz w:val="16"/>
                <w:szCs w:val="16"/>
              </w:rPr>
              <w:t>…</w:t>
            </w:r>
          </w:p>
        </w:tc>
        <w:tc>
          <w:tcPr>
            <w:tcW w:w="857" w:type="pct"/>
            <w:tcBorders>
              <w:top w:val="single" w:sz="4" w:space="0" w:color="auto"/>
              <w:bottom w:val="single" w:sz="4" w:space="0" w:color="A5A5A5" w:themeColor="accent3"/>
            </w:tcBorders>
            <w:vAlign w:val="center"/>
          </w:tcPr>
          <w:p w14:paraId="7943DF7D" w14:textId="7A8FADEE" w:rsidR="001607C4" w:rsidRPr="00740FF0" w:rsidRDefault="001607C4">
            <w:pPr>
              <w:jc w:val="center"/>
              <w:rPr>
                <w:b/>
                <w:bCs/>
                <w:color w:val="000000"/>
                <w:sz w:val="16"/>
                <w:szCs w:val="16"/>
              </w:rPr>
            </w:pPr>
            <w:r w:rsidRPr="00740FF0">
              <w:rPr>
                <w:b/>
                <w:bCs/>
                <w:color w:val="000000"/>
                <w:sz w:val="16"/>
                <w:szCs w:val="16"/>
              </w:rPr>
              <w:t>...</w:t>
            </w:r>
          </w:p>
        </w:tc>
        <w:tc>
          <w:tcPr>
            <w:tcW w:w="762" w:type="pct"/>
            <w:tcBorders>
              <w:top w:val="single" w:sz="4" w:space="0" w:color="auto"/>
              <w:bottom w:val="single" w:sz="4" w:space="0" w:color="A5A5A5" w:themeColor="accent3"/>
            </w:tcBorders>
            <w:vAlign w:val="center"/>
          </w:tcPr>
          <w:p w14:paraId="3BE1A6DC" w14:textId="77777777" w:rsidR="001607C4" w:rsidRPr="00740FF0" w:rsidRDefault="001607C4">
            <w:pPr>
              <w:jc w:val="center"/>
              <w:rPr>
                <w:b/>
                <w:bCs/>
                <w:color w:val="000000"/>
                <w:sz w:val="16"/>
                <w:szCs w:val="16"/>
              </w:rPr>
            </w:pPr>
            <w:r w:rsidRPr="00740FF0">
              <w:rPr>
                <w:b/>
                <w:bCs/>
                <w:color w:val="000000"/>
                <w:sz w:val="16"/>
                <w:szCs w:val="16"/>
              </w:rPr>
              <w:t>…</w:t>
            </w:r>
          </w:p>
        </w:tc>
        <w:tc>
          <w:tcPr>
            <w:tcW w:w="1429" w:type="pct"/>
            <w:tcBorders>
              <w:top w:val="single" w:sz="4" w:space="0" w:color="auto"/>
              <w:bottom w:val="single" w:sz="4" w:space="0" w:color="A5A5A5" w:themeColor="accent3"/>
            </w:tcBorders>
            <w:vAlign w:val="center"/>
          </w:tcPr>
          <w:p w14:paraId="5ACB27DA" w14:textId="77777777" w:rsidR="001607C4" w:rsidRPr="00740FF0" w:rsidRDefault="001607C4">
            <w:pPr>
              <w:jc w:val="center"/>
              <w:rPr>
                <w:color w:val="000000"/>
                <w:sz w:val="16"/>
                <w:szCs w:val="16"/>
              </w:rPr>
            </w:pPr>
            <w:r w:rsidRPr="00740FF0">
              <w:rPr>
                <w:color w:val="000000"/>
                <w:sz w:val="16"/>
                <w:szCs w:val="16"/>
              </w:rPr>
              <w:t>Unknown</w:t>
            </w:r>
          </w:p>
        </w:tc>
      </w:tr>
      <w:tr w:rsidR="001607C4" w:rsidRPr="00740FF0" w14:paraId="1873234E" w14:textId="77777777" w:rsidTr="001607C4">
        <w:trPr>
          <w:trHeight w:val="259"/>
          <w:jc w:val="center"/>
        </w:trPr>
        <w:tc>
          <w:tcPr>
            <w:tcW w:w="1284" w:type="pct"/>
            <w:vMerge w:val="restart"/>
            <w:tcBorders>
              <w:top w:val="single" w:sz="4" w:space="0" w:color="A5A5A5" w:themeColor="accent3"/>
            </w:tcBorders>
            <w:vAlign w:val="center"/>
          </w:tcPr>
          <w:p w14:paraId="4F804847" w14:textId="7B4DDE92" w:rsidR="001607C4" w:rsidRPr="00740FF0" w:rsidRDefault="001607C4">
            <w:pPr>
              <w:jc w:val="center"/>
              <w:rPr>
                <w:b/>
                <w:color w:val="000000"/>
                <w:sz w:val="16"/>
                <w:szCs w:val="16"/>
              </w:rPr>
            </w:pPr>
            <w:r>
              <w:rPr>
                <w:b/>
                <w:color w:val="000000"/>
                <w:sz w:val="16"/>
                <w:szCs w:val="16"/>
              </w:rPr>
              <w:t>Ag test only</w:t>
            </w:r>
          </w:p>
        </w:tc>
        <w:tc>
          <w:tcPr>
            <w:tcW w:w="669" w:type="pct"/>
            <w:tcBorders>
              <w:top w:val="single" w:sz="4" w:space="0" w:color="A5A5A5" w:themeColor="accent3"/>
              <w:bottom w:val="dotted" w:sz="4" w:space="0" w:color="auto"/>
            </w:tcBorders>
            <w:vAlign w:val="center"/>
          </w:tcPr>
          <w:p w14:paraId="35B19B59" w14:textId="461B542D" w:rsidR="001607C4" w:rsidRDefault="001607C4">
            <w:pPr>
              <w:jc w:val="center"/>
              <w:rPr>
                <w:b/>
                <w:bCs/>
                <w:color w:val="000000"/>
                <w:sz w:val="16"/>
                <w:szCs w:val="16"/>
              </w:rPr>
            </w:pPr>
            <w:r>
              <w:rPr>
                <w:b/>
                <w:bCs/>
                <w:color w:val="000000"/>
                <w:sz w:val="16"/>
                <w:szCs w:val="16"/>
              </w:rPr>
              <w:t>+</w:t>
            </w:r>
          </w:p>
        </w:tc>
        <w:tc>
          <w:tcPr>
            <w:tcW w:w="857" w:type="pct"/>
            <w:tcBorders>
              <w:top w:val="single" w:sz="4" w:space="0" w:color="A5A5A5" w:themeColor="accent3"/>
              <w:bottom w:val="dotted" w:sz="4" w:space="0" w:color="auto"/>
            </w:tcBorders>
            <w:vAlign w:val="center"/>
          </w:tcPr>
          <w:p w14:paraId="0761A3FD" w14:textId="176C6D81" w:rsidR="001607C4" w:rsidRPr="00740FF0" w:rsidRDefault="001607C4">
            <w:pPr>
              <w:jc w:val="center"/>
              <w:rPr>
                <w:b/>
                <w:bCs/>
                <w:color w:val="000000"/>
                <w:sz w:val="16"/>
                <w:szCs w:val="16"/>
              </w:rPr>
            </w:pPr>
            <w:r>
              <w:rPr>
                <w:b/>
                <w:bCs/>
                <w:color w:val="000000"/>
                <w:sz w:val="16"/>
                <w:szCs w:val="16"/>
              </w:rPr>
              <w:t>…</w:t>
            </w:r>
          </w:p>
        </w:tc>
        <w:tc>
          <w:tcPr>
            <w:tcW w:w="762" w:type="pct"/>
            <w:tcBorders>
              <w:top w:val="single" w:sz="4" w:space="0" w:color="A5A5A5" w:themeColor="accent3"/>
              <w:bottom w:val="dotted" w:sz="4" w:space="0" w:color="auto"/>
            </w:tcBorders>
            <w:vAlign w:val="center"/>
          </w:tcPr>
          <w:p w14:paraId="47DCCC5E" w14:textId="4D98B250" w:rsidR="001607C4" w:rsidRPr="00740FF0" w:rsidRDefault="001607C4">
            <w:pPr>
              <w:jc w:val="center"/>
              <w:rPr>
                <w:b/>
                <w:bCs/>
                <w:color w:val="000000"/>
                <w:sz w:val="16"/>
                <w:szCs w:val="16"/>
              </w:rPr>
            </w:pPr>
            <w:r>
              <w:rPr>
                <w:b/>
                <w:bCs/>
                <w:color w:val="000000"/>
                <w:sz w:val="16"/>
                <w:szCs w:val="16"/>
              </w:rPr>
              <w:t>…</w:t>
            </w:r>
          </w:p>
        </w:tc>
        <w:tc>
          <w:tcPr>
            <w:tcW w:w="1429" w:type="pct"/>
            <w:tcBorders>
              <w:top w:val="single" w:sz="4" w:space="0" w:color="A5A5A5" w:themeColor="accent3"/>
              <w:bottom w:val="dotted" w:sz="4" w:space="0" w:color="auto"/>
            </w:tcBorders>
            <w:vAlign w:val="center"/>
          </w:tcPr>
          <w:p w14:paraId="7C991979" w14:textId="59ACE5AA" w:rsidR="001607C4" w:rsidRPr="00740FF0" w:rsidRDefault="001607C4">
            <w:pPr>
              <w:jc w:val="center"/>
              <w:rPr>
                <w:color w:val="000000"/>
                <w:sz w:val="16"/>
                <w:szCs w:val="16"/>
              </w:rPr>
            </w:pPr>
            <w:r>
              <w:rPr>
                <w:color w:val="000000"/>
                <w:sz w:val="16"/>
                <w:szCs w:val="16"/>
              </w:rPr>
              <w:t>Infected</w:t>
            </w:r>
          </w:p>
        </w:tc>
      </w:tr>
      <w:tr w:rsidR="001607C4" w:rsidRPr="00740FF0" w14:paraId="2D0A004B" w14:textId="77777777" w:rsidTr="001607C4">
        <w:trPr>
          <w:trHeight w:val="259"/>
          <w:jc w:val="center"/>
        </w:trPr>
        <w:tc>
          <w:tcPr>
            <w:tcW w:w="1284" w:type="pct"/>
            <w:vMerge/>
            <w:tcBorders>
              <w:bottom w:val="single" w:sz="4" w:space="0" w:color="7F7F7F" w:themeColor="text1" w:themeTint="80"/>
            </w:tcBorders>
            <w:vAlign w:val="center"/>
          </w:tcPr>
          <w:p w14:paraId="1ED15D79" w14:textId="77777777" w:rsidR="001607C4" w:rsidRDefault="001607C4" w:rsidP="001607C4">
            <w:pPr>
              <w:jc w:val="center"/>
              <w:rPr>
                <w:b/>
                <w:color w:val="000000"/>
                <w:sz w:val="16"/>
                <w:szCs w:val="16"/>
              </w:rPr>
            </w:pPr>
          </w:p>
        </w:tc>
        <w:tc>
          <w:tcPr>
            <w:tcW w:w="669" w:type="pct"/>
            <w:tcBorders>
              <w:top w:val="dotted" w:sz="4" w:space="0" w:color="auto"/>
              <w:bottom w:val="single" w:sz="4" w:space="0" w:color="7F7F7F" w:themeColor="text1" w:themeTint="80"/>
            </w:tcBorders>
            <w:vAlign w:val="center"/>
          </w:tcPr>
          <w:p w14:paraId="60FBB62F" w14:textId="6580A6B4" w:rsidR="001607C4" w:rsidRDefault="001607C4" w:rsidP="001607C4">
            <w:pPr>
              <w:jc w:val="center"/>
              <w:rPr>
                <w:b/>
                <w:bCs/>
                <w:color w:val="000000"/>
                <w:sz w:val="16"/>
                <w:szCs w:val="16"/>
              </w:rPr>
            </w:pPr>
            <w:r>
              <w:rPr>
                <w:b/>
                <w:bCs/>
                <w:color w:val="000000"/>
                <w:sz w:val="16"/>
                <w:szCs w:val="16"/>
              </w:rPr>
              <w:t>-</w:t>
            </w:r>
          </w:p>
        </w:tc>
        <w:tc>
          <w:tcPr>
            <w:tcW w:w="857" w:type="pct"/>
            <w:tcBorders>
              <w:top w:val="dotted" w:sz="4" w:space="0" w:color="auto"/>
              <w:bottom w:val="single" w:sz="4" w:space="0" w:color="7F7F7F" w:themeColor="text1" w:themeTint="80"/>
            </w:tcBorders>
            <w:vAlign w:val="center"/>
          </w:tcPr>
          <w:p w14:paraId="33891100" w14:textId="72571631" w:rsidR="001607C4" w:rsidRDefault="001607C4" w:rsidP="001607C4">
            <w:pPr>
              <w:jc w:val="center"/>
              <w:rPr>
                <w:b/>
                <w:bCs/>
                <w:color w:val="000000"/>
                <w:sz w:val="16"/>
                <w:szCs w:val="16"/>
              </w:rPr>
            </w:pPr>
            <w:r>
              <w:rPr>
                <w:b/>
                <w:bCs/>
                <w:color w:val="000000"/>
                <w:sz w:val="16"/>
                <w:szCs w:val="16"/>
              </w:rPr>
              <w:t>…</w:t>
            </w:r>
          </w:p>
        </w:tc>
        <w:tc>
          <w:tcPr>
            <w:tcW w:w="762" w:type="pct"/>
            <w:tcBorders>
              <w:top w:val="dotted" w:sz="4" w:space="0" w:color="auto"/>
              <w:bottom w:val="single" w:sz="4" w:space="0" w:color="7F7F7F" w:themeColor="text1" w:themeTint="80"/>
            </w:tcBorders>
            <w:vAlign w:val="center"/>
          </w:tcPr>
          <w:p w14:paraId="2C5E045E" w14:textId="266CF839" w:rsidR="001607C4" w:rsidRDefault="001607C4" w:rsidP="001607C4">
            <w:pPr>
              <w:jc w:val="center"/>
              <w:rPr>
                <w:b/>
                <w:bCs/>
                <w:color w:val="000000"/>
                <w:sz w:val="16"/>
                <w:szCs w:val="16"/>
              </w:rPr>
            </w:pPr>
            <w:r>
              <w:rPr>
                <w:b/>
                <w:bCs/>
                <w:color w:val="000000"/>
                <w:sz w:val="16"/>
                <w:szCs w:val="16"/>
              </w:rPr>
              <w:t>…</w:t>
            </w:r>
          </w:p>
        </w:tc>
        <w:tc>
          <w:tcPr>
            <w:tcW w:w="1429" w:type="pct"/>
            <w:tcBorders>
              <w:top w:val="dotted" w:sz="4" w:space="0" w:color="auto"/>
              <w:bottom w:val="single" w:sz="4" w:space="0" w:color="7F7F7F" w:themeColor="text1" w:themeTint="80"/>
            </w:tcBorders>
            <w:vAlign w:val="center"/>
          </w:tcPr>
          <w:p w14:paraId="2DDA5C0C" w14:textId="5BB838F4" w:rsidR="001607C4" w:rsidRPr="00740FF0" w:rsidRDefault="001607C4" w:rsidP="001607C4">
            <w:pPr>
              <w:jc w:val="center"/>
              <w:rPr>
                <w:color w:val="000000"/>
                <w:sz w:val="16"/>
                <w:szCs w:val="16"/>
              </w:rPr>
            </w:pPr>
            <w:r>
              <w:rPr>
                <w:color w:val="000000"/>
                <w:sz w:val="16"/>
                <w:szCs w:val="16"/>
              </w:rPr>
              <w:t>Susceptible</w:t>
            </w:r>
          </w:p>
        </w:tc>
      </w:tr>
      <w:tr w:rsidR="001607C4" w:rsidRPr="00740FF0" w14:paraId="6487B9F9" w14:textId="77777777" w:rsidTr="0022165D">
        <w:trPr>
          <w:trHeight w:val="259"/>
          <w:jc w:val="center"/>
        </w:trPr>
        <w:tc>
          <w:tcPr>
            <w:tcW w:w="1284" w:type="pct"/>
            <w:vMerge w:val="restart"/>
            <w:tcBorders>
              <w:top w:val="single" w:sz="4" w:space="0" w:color="7F7F7F" w:themeColor="text1" w:themeTint="80"/>
            </w:tcBorders>
            <w:vAlign w:val="center"/>
          </w:tcPr>
          <w:p w14:paraId="1CF5202C" w14:textId="77777777" w:rsidR="001607C4" w:rsidRPr="00740FF0" w:rsidRDefault="001607C4">
            <w:pPr>
              <w:jc w:val="center"/>
              <w:rPr>
                <w:b/>
                <w:color w:val="000000"/>
                <w:sz w:val="16"/>
                <w:szCs w:val="16"/>
              </w:rPr>
            </w:pPr>
            <w:r w:rsidRPr="00740FF0">
              <w:rPr>
                <w:b/>
                <w:color w:val="000000"/>
                <w:sz w:val="16"/>
                <w:szCs w:val="16"/>
              </w:rPr>
              <w:t>PCR test only</w:t>
            </w:r>
          </w:p>
        </w:tc>
        <w:tc>
          <w:tcPr>
            <w:tcW w:w="669" w:type="pct"/>
            <w:tcBorders>
              <w:top w:val="single" w:sz="4" w:space="0" w:color="7F7F7F" w:themeColor="text1" w:themeTint="80"/>
              <w:bottom w:val="dotted" w:sz="4" w:space="0" w:color="auto"/>
            </w:tcBorders>
            <w:vAlign w:val="center"/>
          </w:tcPr>
          <w:p w14:paraId="3F515DEE" w14:textId="5E5AB1E1" w:rsidR="001607C4" w:rsidRPr="00740FF0" w:rsidRDefault="001607C4">
            <w:pPr>
              <w:jc w:val="center"/>
              <w:rPr>
                <w:b/>
                <w:bCs/>
                <w:color w:val="000000"/>
                <w:sz w:val="16"/>
                <w:szCs w:val="16"/>
              </w:rPr>
            </w:pPr>
            <w:r>
              <w:rPr>
                <w:b/>
                <w:bCs/>
                <w:color w:val="000000"/>
                <w:sz w:val="16"/>
                <w:szCs w:val="16"/>
              </w:rPr>
              <w:t>…</w:t>
            </w:r>
          </w:p>
        </w:tc>
        <w:tc>
          <w:tcPr>
            <w:tcW w:w="857" w:type="pct"/>
            <w:tcBorders>
              <w:top w:val="single" w:sz="4" w:space="0" w:color="7F7F7F" w:themeColor="text1" w:themeTint="80"/>
              <w:bottom w:val="dotted" w:sz="4" w:space="0" w:color="auto"/>
            </w:tcBorders>
            <w:vAlign w:val="center"/>
          </w:tcPr>
          <w:p w14:paraId="02E00850" w14:textId="79A1629F" w:rsidR="001607C4" w:rsidRPr="00740FF0" w:rsidRDefault="001607C4">
            <w:pPr>
              <w:jc w:val="center"/>
              <w:rPr>
                <w:b/>
                <w:bCs/>
                <w:color w:val="000000"/>
                <w:sz w:val="16"/>
                <w:szCs w:val="16"/>
              </w:rPr>
            </w:pPr>
            <w:r w:rsidRPr="00740FF0">
              <w:rPr>
                <w:b/>
                <w:bCs/>
                <w:color w:val="000000"/>
                <w:sz w:val="16"/>
                <w:szCs w:val="16"/>
              </w:rPr>
              <w:t>+</w:t>
            </w:r>
          </w:p>
        </w:tc>
        <w:tc>
          <w:tcPr>
            <w:tcW w:w="762" w:type="pct"/>
            <w:tcBorders>
              <w:top w:val="single" w:sz="4" w:space="0" w:color="7F7F7F" w:themeColor="text1" w:themeTint="80"/>
              <w:bottom w:val="dotted" w:sz="4" w:space="0" w:color="auto"/>
            </w:tcBorders>
            <w:vAlign w:val="center"/>
          </w:tcPr>
          <w:p w14:paraId="67AB8DBF" w14:textId="77777777" w:rsidR="001607C4" w:rsidRPr="00740FF0" w:rsidRDefault="001607C4">
            <w:pPr>
              <w:jc w:val="center"/>
              <w:rPr>
                <w:b/>
                <w:bCs/>
                <w:color w:val="000000"/>
                <w:sz w:val="16"/>
                <w:szCs w:val="16"/>
              </w:rPr>
            </w:pPr>
            <w:r w:rsidRPr="00740FF0">
              <w:rPr>
                <w:b/>
                <w:bCs/>
                <w:color w:val="000000"/>
                <w:sz w:val="16"/>
                <w:szCs w:val="16"/>
              </w:rPr>
              <w:t>…</w:t>
            </w:r>
          </w:p>
        </w:tc>
        <w:tc>
          <w:tcPr>
            <w:tcW w:w="1429" w:type="pct"/>
            <w:tcBorders>
              <w:top w:val="single" w:sz="4" w:space="0" w:color="7F7F7F" w:themeColor="text1" w:themeTint="80"/>
              <w:bottom w:val="dotted" w:sz="4" w:space="0" w:color="auto"/>
            </w:tcBorders>
            <w:vAlign w:val="center"/>
          </w:tcPr>
          <w:p w14:paraId="3B69CA6E" w14:textId="77777777" w:rsidR="001607C4" w:rsidRPr="00740FF0" w:rsidRDefault="001607C4">
            <w:pPr>
              <w:jc w:val="center"/>
              <w:rPr>
                <w:color w:val="000000"/>
                <w:sz w:val="16"/>
                <w:szCs w:val="16"/>
              </w:rPr>
            </w:pPr>
            <w:r w:rsidRPr="00740FF0">
              <w:rPr>
                <w:color w:val="000000"/>
                <w:sz w:val="16"/>
                <w:szCs w:val="16"/>
              </w:rPr>
              <w:t>Infected*</w:t>
            </w:r>
          </w:p>
        </w:tc>
      </w:tr>
      <w:tr w:rsidR="001607C4" w:rsidRPr="00740FF0" w14:paraId="47E73E14" w14:textId="77777777" w:rsidTr="0022165D">
        <w:trPr>
          <w:trHeight w:val="259"/>
          <w:jc w:val="center"/>
        </w:trPr>
        <w:tc>
          <w:tcPr>
            <w:tcW w:w="1284" w:type="pct"/>
            <w:vMerge/>
            <w:tcBorders>
              <w:bottom w:val="single" w:sz="4" w:space="0" w:color="7F7F7F" w:themeColor="text1" w:themeTint="80"/>
            </w:tcBorders>
            <w:vAlign w:val="center"/>
          </w:tcPr>
          <w:p w14:paraId="45F66165" w14:textId="77777777" w:rsidR="001607C4" w:rsidRPr="00740FF0" w:rsidRDefault="001607C4">
            <w:pPr>
              <w:jc w:val="center"/>
              <w:rPr>
                <w:b/>
                <w:color w:val="000000"/>
                <w:sz w:val="16"/>
                <w:szCs w:val="16"/>
              </w:rPr>
            </w:pPr>
          </w:p>
        </w:tc>
        <w:tc>
          <w:tcPr>
            <w:tcW w:w="669" w:type="pct"/>
            <w:tcBorders>
              <w:top w:val="dotted" w:sz="4" w:space="0" w:color="auto"/>
              <w:bottom w:val="single" w:sz="4" w:space="0" w:color="7F7F7F" w:themeColor="text1" w:themeTint="80"/>
            </w:tcBorders>
            <w:vAlign w:val="center"/>
          </w:tcPr>
          <w:p w14:paraId="5A629A13" w14:textId="1A64E8E4" w:rsidR="001607C4" w:rsidRPr="00740FF0" w:rsidRDefault="001607C4">
            <w:pPr>
              <w:jc w:val="center"/>
              <w:rPr>
                <w:b/>
                <w:bCs/>
                <w:color w:val="000000"/>
                <w:sz w:val="16"/>
                <w:szCs w:val="16"/>
              </w:rPr>
            </w:pPr>
            <w:r>
              <w:rPr>
                <w:b/>
                <w:bCs/>
                <w:color w:val="000000"/>
                <w:sz w:val="16"/>
                <w:szCs w:val="16"/>
              </w:rPr>
              <w:t>…</w:t>
            </w:r>
          </w:p>
        </w:tc>
        <w:tc>
          <w:tcPr>
            <w:tcW w:w="857" w:type="pct"/>
            <w:tcBorders>
              <w:top w:val="dotted" w:sz="4" w:space="0" w:color="auto"/>
              <w:bottom w:val="single" w:sz="4" w:space="0" w:color="7F7F7F" w:themeColor="text1" w:themeTint="80"/>
            </w:tcBorders>
            <w:vAlign w:val="center"/>
          </w:tcPr>
          <w:p w14:paraId="180334AA" w14:textId="2F8D4A28" w:rsidR="001607C4" w:rsidRPr="00740FF0" w:rsidRDefault="001607C4">
            <w:pPr>
              <w:jc w:val="center"/>
              <w:rPr>
                <w:b/>
                <w:bCs/>
                <w:color w:val="000000"/>
                <w:sz w:val="16"/>
                <w:szCs w:val="16"/>
              </w:rPr>
            </w:pPr>
            <w:r w:rsidRPr="00740FF0">
              <w:rPr>
                <w:b/>
                <w:bCs/>
                <w:color w:val="000000"/>
                <w:sz w:val="16"/>
                <w:szCs w:val="16"/>
              </w:rPr>
              <w:t>-</w:t>
            </w:r>
          </w:p>
        </w:tc>
        <w:tc>
          <w:tcPr>
            <w:tcW w:w="762" w:type="pct"/>
            <w:tcBorders>
              <w:top w:val="dotted" w:sz="4" w:space="0" w:color="auto"/>
              <w:bottom w:val="single" w:sz="4" w:space="0" w:color="7F7F7F" w:themeColor="text1" w:themeTint="80"/>
            </w:tcBorders>
            <w:vAlign w:val="center"/>
          </w:tcPr>
          <w:p w14:paraId="4E08107C" w14:textId="77777777" w:rsidR="001607C4" w:rsidRPr="00740FF0" w:rsidRDefault="001607C4">
            <w:pPr>
              <w:jc w:val="center"/>
              <w:rPr>
                <w:b/>
                <w:bCs/>
                <w:color w:val="000000"/>
                <w:sz w:val="16"/>
                <w:szCs w:val="16"/>
              </w:rPr>
            </w:pPr>
            <w:r w:rsidRPr="00740FF0">
              <w:rPr>
                <w:b/>
                <w:bCs/>
                <w:color w:val="000000"/>
                <w:sz w:val="16"/>
                <w:szCs w:val="16"/>
              </w:rPr>
              <w:t>…</w:t>
            </w:r>
          </w:p>
        </w:tc>
        <w:tc>
          <w:tcPr>
            <w:tcW w:w="1429" w:type="pct"/>
            <w:tcBorders>
              <w:top w:val="dotted" w:sz="4" w:space="0" w:color="auto"/>
              <w:bottom w:val="single" w:sz="4" w:space="0" w:color="7F7F7F" w:themeColor="text1" w:themeTint="80"/>
            </w:tcBorders>
            <w:vAlign w:val="center"/>
          </w:tcPr>
          <w:p w14:paraId="266D3DC4" w14:textId="77777777" w:rsidR="001607C4" w:rsidRPr="00740FF0" w:rsidRDefault="001607C4">
            <w:pPr>
              <w:jc w:val="center"/>
              <w:rPr>
                <w:color w:val="000000"/>
                <w:sz w:val="16"/>
                <w:szCs w:val="16"/>
              </w:rPr>
            </w:pPr>
            <w:r w:rsidRPr="00740FF0">
              <w:rPr>
                <w:color w:val="000000"/>
                <w:sz w:val="16"/>
                <w:szCs w:val="16"/>
              </w:rPr>
              <w:t>Susceptible</w:t>
            </w:r>
          </w:p>
        </w:tc>
      </w:tr>
      <w:tr w:rsidR="001607C4" w:rsidRPr="00740FF0" w14:paraId="094E5A1A" w14:textId="77777777" w:rsidTr="0022165D">
        <w:trPr>
          <w:trHeight w:val="259"/>
          <w:jc w:val="center"/>
        </w:trPr>
        <w:tc>
          <w:tcPr>
            <w:tcW w:w="1284" w:type="pct"/>
            <w:vMerge w:val="restart"/>
            <w:tcBorders>
              <w:top w:val="single" w:sz="4" w:space="0" w:color="7F7F7F" w:themeColor="text1" w:themeTint="80"/>
            </w:tcBorders>
            <w:vAlign w:val="center"/>
          </w:tcPr>
          <w:p w14:paraId="0D454FBF" w14:textId="77777777" w:rsidR="001607C4" w:rsidRPr="00740FF0" w:rsidRDefault="001607C4">
            <w:pPr>
              <w:jc w:val="center"/>
              <w:rPr>
                <w:b/>
                <w:color w:val="000000"/>
                <w:sz w:val="16"/>
                <w:szCs w:val="16"/>
              </w:rPr>
            </w:pPr>
            <w:r w:rsidRPr="00740FF0">
              <w:rPr>
                <w:b/>
                <w:color w:val="000000"/>
                <w:sz w:val="16"/>
                <w:szCs w:val="16"/>
              </w:rPr>
              <w:t>IgG test only</w:t>
            </w:r>
          </w:p>
        </w:tc>
        <w:tc>
          <w:tcPr>
            <w:tcW w:w="669" w:type="pct"/>
            <w:tcBorders>
              <w:top w:val="single" w:sz="4" w:space="0" w:color="7F7F7F" w:themeColor="text1" w:themeTint="80"/>
              <w:bottom w:val="dotted" w:sz="4" w:space="0" w:color="auto"/>
            </w:tcBorders>
            <w:vAlign w:val="center"/>
          </w:tcPr>
          <w:p w14:paraId="7045BD96" w14:textId="00D475FE" w:rsidR="001607C4" w:rsidRPr="00740FF0" w:rsidRDefault="001607C4">
            <w:pPr>
              <w:jc w:val="center"/>
              <w:rPr>
                <w:b/>
                <w:bCs/>
                <w:color w:val="000000"/>
                <w:sz w:val="16"/>
                <w:szCs w:val="16"/>
              </w:rPr>
            </w:pPr>
            <w:r>
              <w:rPr>
                <w:b/>
                <w:bCs/>
                <w:color w:val="000000"/>
                <w:sz w:val="16"/>
                <w:szCs w:val="16"/>
              </w:rPr>
              <w:t>…</w:t>
            </w:r>
          </w:p>
        </w:tc>
        <w:tc>
          <w:tcPr>
            <w:tcW w:w="857" w:type="pct"/>
            <w:tcBorders>
              <w:top w:val="single" w:sz="4" w:space="0" w:color="7F7F7F" w:themeColor="text1" w:themeTint="80"/>
              <w:bottom w:val="dotted" w:sz="4" w:space="0" w:color="auto"/>
            </w:tcBorders>
            <w:vAlign w:val="center"/>
          </w:tcPr>
          <w:p w14:paraId="37111AFE" w14:textId="13BDB7ED" w:rsidR="001607C4" w:rsidRPr="00740FF0" w:rsidRDefault="001607C4">
            <w:pPr>
              <w:jc w:val="center"/>
              <w:rPr>
                <w:b/>
                <w:bCs/>
                <w:color w:val="000000"/>
                <w:sz w:val="16"/>
                <w:szCs w:val="16"/>
              </w:rPr>
            </w:pPr>
            <w:r w:rsidRPr="00740FF0">
              <w:rPr>
                <w:b/>
                <w:bCs/>
                <w:color w:val="000000"/>
                <w:sz w:val="16"/>
                <w:szCs w:val="16"/>
              </w:rPr>
              <w:t>…</w:t>
            </w:r>
          </w:p>
        </w:tc>
        <w:tc>
          <w:tcPr>
            <w:tcW w:w="762" w:type="pct"/>
            <w:tcBorders>
              <w:top w:val="single" w:sz="4" w:space="0" w:color="7F7F7F" w:themeColor="text1" w:themeTint="80"/>
              <w:bottom w:val="dotted" w:sz="4" w:space="0" w:color="auto"/>
            </w:tcBorders>
            <w:vAlign w:val="center"/>
          </w:tcPr>
          <w:p w14:paraId="26455C7D" w14:textId="77777777" w:rsidR="001607C4" w:rsidRPr="00740FF0" w:rsidRDefault="001607C4">
            <w:pPr>
              <w:jc w:val="center"/>
              <w:rPr>
                <w:b/>
                <w:bCs/>
                <w:color w:val="000000"/>
                <w:sz w:val="16"/>
                <w:szCs w:val="16"/>
              </w:rPr>
            </w:pPr>
            <w:r w:rsidRPr="00740FF0">
              <w:rPr>
                <w:b/>
                <w:bCs/>
                <w:color w:val="000000"/>
                <w:sz w:val="16"/>
                <w:szCs w:val="16"/>
              </w:rPr>
              <w:t>+</w:t>
            </w:r>
          </w:p>
        </w:tc>
        <w:tc>
          <w:tcPr>
            <w:tcW w:w="1429" w:type="pct"/>
            <w:tcBorders>
              <w:top w:val="single" w:sz="4" w:space="0" w:color="7F7F7F" w:themeColor="text1" w:themeTint="80"/>
              <w:bottom w:val="dotted" w:sz="4" w:space="0" w:color="auto"/>
            </w:tcBorders>
            <w:vAlign w:val="center"/>
          </w:tcPr>
          <w:p w14:paraId="4DF9F58F" w14:textId="77777777" w:rsidR="001607C4" w:rsidRPr="00740FF0" w:rsidRDefault="001607C4">
            <w:pPr>
              <w:jc w:val="center"/>
              <w:rPr>
                <w:color w:val="000000"/>
                <w:sz w:val="16"/>
                <w:szCs w:val="16"/>
              </w:rPr>
            </w:pPr>
            <w:r w:rsidRPr="00740FF0">
              <w:rPr>
                <w:color w:val="000000"/>
                <w:sz w:val="16"/>
                <w:szCs w:val="16"/>
              </w:rPr>
              <w:t>Recovered</w:t>
            </w:r>
          </w:p>
        </w:tc>
      </w:tr>
      <w:tr w:rsidR="001607C4" w:rsidRPr="00740FF0" w14:paraId="0FDC0F67" w14:textId="77777777" w:rsidTr="0022165D">
        <w:trPr>
          <w:trHeight w:val="259"/>
          <w:jc w:val="center"/>
        </w:trPr>
        <w:tc>
          <w:tcPr>
            <w:tcW w:w="1284" w:type="pct"/>
            <w:vMerge/>
            <w:tcBorders>
              <w:bottom w:val="single" w:sz="4" w:space="0" w:color="7F7F7F" w:themeColor="text1" w:themeTint="80"/>
            </w:tcBorders>
            <w:vAlign w:val="center"/>
          </w:tcPr>
          <w:p w14:paraId="1DE3412F" w14:textId="77777777" w:rsidR="001607C4" w:rsidRPr="00740FF0" w:rsidRDefault="001607C4">
            <w:pPr>
              <w:jc w:val="center"/>
              <w:rPr>
                <w:b/>
                <w:color w:val="000000"/>
                <w:sz w:val="16"/>
                <w:szCs w:val="16"/>
              </w:rPr>
            </w:pPr>
          </w:p>
        </w:tc>
        <w:tc>
          <w:tcPr>
            <w:tcW w:w="669" w:type="pct"/>
            <w:tcBorders>
              <w:top w:val="dotted" w:sz="4" w:space="0" w:color="auto"/>
              <w:bottom w:val="single" w:sz="4" w:space="0" w:color="7F7F7F" w:themeColor="text1" w:themeTint="80"/>
            </w:tcBorders>
            <w:vAlign w:val="center"/>
          </w:tcPr>
          <w:p w14:paraId="5E80174B" w14:textId="508FB71F" w:rsidR="001607C4" w:rsidRPr="00740FF0" w:rsidRDefault="001607C4">
            <w:pPr>
              <w:jc w:val="center"/>
              <w:rPr>
                <w:b/>
                <w:bCs/>
                <w:color w:val="000000"/>
                <w:sz w:val="16"/>
                <w:szCs w:val="16"/>
              </w:rPr>
            </w:pPr>
            <w:r>
              <w:rPr>
                <w:b/>
                <w:bCs/>
                <w:color w:val="000000"/>
                <w:sz w:val="16"/>
                <w:szCs w:val="16"/>
              </w:rPr>
              <w:t>…</w:t>
            </w:r>
          </w:p>
        </w:tc>
        <w:tc>
          <w:tcPr>
            <w:tcW w:w="857" w:type="pct"/>
            <w:tcBorders>
              <w:top w:val="dotted" w:sz="4" w:space="0" w:color="auto"/>
              <w:bottom w:val="single" w:sz="4" w:space="0" w:color="7F7F7F" w:themeColor="text1" w:themeTint="80"/>
            </w:tcBorders>
            <w:vAlign w:val="center"/>
          </w:tcPr>
          <w:p w14:paraId="32486238" w14:textId="3E871010" w:rsidR="001607C4" w:rsidRPr="00740FF0" w:rsidRDefault="001607C4">
            <w:pPr>
              <w:jc w:val="center"/>
              <w:rPr>
                <w:b/>
                <w:bCs/>
                <w:color w:val="000000"/>
                <w:sz w:val="16"/>
                <w:szCs w:val="16"/>
              </w:rPr>
            </w:pPr>
            <w:r w:rsidRPr="00740FF0">
              <w:rPr>
                <w:b/>
                <w:bCs/>
                <w:color w:val="000000"/>
                <w:sz w:val="16"/>
                <w:szCs w:val="16"/>
              </w:rPr>
              <w:t>…</w:t>
            </w:r>
          </w:p>
        </w:tc>
        <w:tc>
          <w:tcPr>
            <w:tcW w:w="762" w:type="pct"/>
            <w:tcBorders>
              <w:top w:val="dotted" w:sz="4" w:space="0" w:color="auto"/>
              <w:bottom w:val="single" w:sz="4" w:space="0" w:color="7F7F7F" w:themeColor="text1" w:themeTint="80"/>
            </w:tcBorders>
            <w:vAlign w:val="center"/>
          </w:tcPr>
          <w:p w14:paraId="1DECD663" w14:textId="77777777" w:rsidR="001607C4" w:rsidRPr="00740FF0" w:rsidRDefault="001607C4">
            <w:pPr>
              <w:jc w:val="center"/>
              <w:rPr>
                <w:b/>
                <w:bCs/>
                <w:color w:val="000000"/>
                <w:sz w:val="16"/>
                <w:szCs w:val="16"/>
              </w:rPr>
            </w:pPr>
            <w:r w:rsidRPr="00740FF0">
              <w:rPr>
                <w:b/>
                <w:bCs/>
                <w:color w:val="000000"/>
                <w:sz w:val="16"/>
                <w:szCs w:val="16"/>
              </w:rPr>
              <w:t>-</w:t>
            </w:r>
          </w:p>
        </w:tc>
        <w:tc>
          <w:tcPr>
            <w:tcW w:w="1429" w:type="pct"/>
            <w:tcBorders>
              <w:top w:val="dotted" w:sz="4" w:space="0" w:color="auto"/>
              <w:bottom w:val="single" w:sz="4" w:space="0" w:color="7F7F7F" w:themeColor="text1" w:themeTint="80"/>
            </w:tcBorders>
            <w:vAlign w:val="center"/>
          </w:tcPr>
          <w:p w14:paraId="21E957DA" w14:textId="77777777" w:rsidR="001607C4" w:rsidRPr="00740FF0" w:rsidRDefault="001607C4">
            <w:pPr>
              <w:jc w:val="center"/>
              <w:rPr>
                <w:color w:val="000000"/>
                <w:sz w:val="16"/>
                <w:szCs w:val="16"/>
              </w:rPr>
            </w:pPr>
            <w:r w:rsidRPr="00740FF0">
              <w:rPr>
                <w:color w:val="000000"/>
                <w:sz w:val="16"/>
                <w:szCs w:val="16"/>
              </w:rPr>
              <w:t>Susceptible</w:t>
            </w:r>
          </w:p>
        </w:tc>
      </w:tr>
      <w:tr w:rsidR="001607C4" w:rsidRPr="00740FF0" w14:paraId="7A1C341B" w14:textId="77777777" w:rsidTr="0022165D">
        <w:trPr>
          <w:trHeight w:val="259"/>
          <w:jc w:val="center"/>
        </w:trPr>
        <w:tc>
          <w:tcPr>
            <w:tcW w:w="1284" w:type="pct"/>
            <w:vMerge w:val="restart"/>
            <w:tcBorders>
              <w:top w:val="single" w:sz="4" w:space="0" w:color="7F7F7F" w:themeColor="text1" w:themeTint="80"/>
            </w:tcBorders>
            <w:vAlign w:val="center"/>
          </w:tcPr>
          <w:p w14:paraId="0847A7A8" w14:textId="77777777" w:rsidR="001607C4" w:rsidRPr="00740FF0" w:rsidRDefault="001607C4">
            <w:pPr>
              <w:jc w:val="center"/>
              <w:rPr>
                <w:b/>
                <w:color w:val="000000"/>
                <w:sz w:val="16"/>
                <w:szCs w:val="16"/>
              </w:rPr>
            </w:pPr>
            <w:r w:rsidRPr="00740FF0">
              <w:rPr>
                <w:b/>
                <w:color w:val="000000"/>
                <w:sz w:val="16"/>
                <w:szCs w:val="16"/>
              </w:rPr>
              <w:t>IgG test, if positive PCR test</w:t>
            </w:r>
          </w:p>
        </w:tc>
        <w:tc>
          <w:tcPr>
            <w:tcW w:w="669" w:type="pct"/>
            <w:tcBorders>
              <w:top w:val="single" w:sz="4" w:space="0" w:color="7F7F7F" w:themeColor="text1" w:themeTint="80"/>
              <w:bottom w:val="dotted" w:sz="4" w:space="0" w:color="auto"/>
            </w:tcBorders>
            <w:vAlign w:val="center"/>
          </w:tcPr>
          <w:p w14:paraId="749652D7" w14:textId="5158E7FD" w:rsidR="001607C4" w:rsidRPr="00740FF0" w:rsidRDefault="001607C4">
            <w:pPr>
              <w:jc w:val="center"/>
              <w:rPr>
                <w:b/>
                <w:bCs/>
                <w:color w:val="000000"/>
                <w:sz w:val="16"/>
                <w:szCs w:val="16"/>
              </w:rPr>
            </w:pPr>
            <w:r>
              <w:rPr>
                <w:b/>
                <w:bCs/>
                <w:color w:val="000000"/>
                <w:sz w:val="16"/>
                <w:szCs w:val="16"/>
              </w:rPr>
              <w:t>…</w:t>
            </w:r>
          </w:p>
        </w:tc>
        <w:tc>
          <w:tcPr>
            <w:tcW w:w="857" w:type="pct"/>
            <w:tcBorders>
              <w:top w:val="single" w:sz="4" w:space="0" w:color="7F7F7F" w:themeColor="text1" w:themeTint="80"/>
              <w:bottom w:val="dotted" w:sz="4" w:space="0" w:color="auto"/>
            </w:tcBorders>
            <w:vAlign w:val="center"/>
          </w:tcPr>
          <w:p w14:paraId="3FF78537" w14:textId="730A7E25" w:rsidR="001607C4" w:rsidRPr="00740FF0" w:rsidRDefault="001607C4">
            <w:pPr>
              <w:jc w:val="center"/>
              <w:rPr>
                <w:b/>
                <w:bCs/>
                <w:color w:val="000000"/>
                <w:sz w:val="16"/>
                <w:szCs w:val="16"/>
              </w:rPr>
            </w:pPr>
            <w:r w:rsidRPr="00740FF0">
              <w:rPr>
                <w:b/>
                <w:bCs/>
                <w:color w:val="000000"/>
                <w:sz w:val="16"/>
                <w:szCs w:val="16"/>
              </w:rPr>
              <w:t>+</w:t>
            </w:r>
          </w:p>
        </w:tc>
        <w:tc>
          <w:tcPr>
            <w:tcW w:w="762" w:type="pct"/>
            <w:tcBorders>
              <w:top w:val="single" w:sz="4" w:space="0" w:color="7F7F7F" w:themeColor="text1" w:themeTint="80"/>
              <w:bottom w:val="dotted" w:sz="4" w:space="0" w:color="auto"/>
            </w:tcBorders>
            <w:vAlign w:val="center"/>
          </w:tcPr>
          <w:p w14:paraId="15BE56C4" w14:textId="77777777" w:rsidR="001607C4" w:rsidRPr="00740FF0" w:rsidRDefault="001607C4">
            <w:pPr>
              <w:jc w:val="center"/>
              <w:rPr>
                <w:b/>
                <w:bCs/>
                <w:color w:val="000000"/>
                <w:sz w:val="16"/>
                <w:szCs w:val="16"/>
              </w:rPr>
            </w:pPr>
            <w:r w:rsidRPr="00740FF0">
              <w:rPr>
                <w:b/>
                <w:bCs/>
                <w:color w:val="000000"/>
                <w:sz w:val="16"/>
                <w:szCs w:val="16"/>
              </w:rPr>
              <w:t>+</w:t>
            </w:r>
          </w:p>
        </w:tc>
        <w:tc>
          <w:tcPr>
            <w:tcW w:w="1429" w:type="pct"/>
            <w:tcBorders>
              <w:top w:val="single" w:sz="4" w:space="0" w:color="7F7F7F" w:themeColor="text1" w:themeTint="80"/>
              <w:bottom w:val="dotted" w:sz="4" w:space="0" w:color="auto"/>
            </w:tcBorders>
            <w:vAlign w:val="center"/>
          </w:tcPr>
          <w:p w14:paraId="42135121" w14:textId="77777777" w:rsidR="001607C4" w:rsidRPr="00740FF0" w:rsidRDefault="001607C4">
            <w:pPr>
              <w:jc w:val="center"/>
              <w:rPr>
                <w:color w:val="000000"/>
                <w:sz w:val="16"/>
                <w:szCs w:val="16"/>
              </w:rPr>
            </w:pPr>
            <w:r w:rsidRPr="00740FF0">
              <w:rPr>
                <w:color w:val="000000"/>
                <w:sz w:val="16"/>
                <w:szCs w:val="16"/>
              </w:rPr>
              <w:t>Infected*</w:t>
            </w:r>
          </w:p>
        </w:tc>
      </w:tr>
      <w:tr w:rsidR="001607C4" w:rsidRPr="00740FF0" w14:paraId="4977DA1C" w14:textId="77777777" w:rsidTr="0022165D">
        <w:trPr>
          <w:trHeight w:val="259"/>
          <w:jc w:val="center"/>
        </w:trPr>
        <w:tc>
          <w:tcPr>
            <w:tcW w:w="1284" w:type="pct"/>
            <w:vMerge/>
            <w:vAlign w:val="center"/>
          </w:tcPr>
          <w:p w14:paraId="2707D6D6" w14:textId="77777777" w:rsidR="001607C4" w:rsidRPr="00740FF0" w:rsidRDefault="001607C4">
            <w:pPr>
              <w:jc w:val="center"/>
              <w:rPr>
                <w:b/>
                <w:color w:val="000000"/>
                <w:sz w:val="16"/>
                <w:szCs w:val="16"/>
              </w:rPr>
            </w:pPr>
          </w:p>
        </w:tc>
        <w:tc>
          <w:tcPr>
            <w:tcW w:w="669" w:type="pct"/>
            <w:tcBorders>
              <w:top w:val="dotted" w:sz="4" w:space="0" w:color="auto"/>
              <w:bottom w:val="dotted" w:sz="4" w:space="0" w:color="auto"/>
            </w:tcBorders>
            <w:vAlign w:val="center"/>
          </w:tcPr>
          <w:p w14:paraId="61A5F69E" w14:textId="7A01144F" w:rsidR="001607C4" w:rsidRPr="00740FF0" w:rsidRDefault="001607C4">
            <w:pPr>
              <w:jc w:val="center"/>
              <w:rPr>
                <w:b/>
                <w:bCs/>
                <w:color w:val="000000"/>
                <w:sz w:val="16"/>
                <w:szCs w:val="16"/>
              </w:rPr>
            </w:pPr>
            <w:r>
              <w:rPr>
                <w:b/>
                <w:bCs/>
                <w:color w:val="000000"/>
                <w:sz w:val="16"/>
                <w:szCs w:val="16"/>
              </w:rPr>
              <w:t>…</w:t>
            </w:r>
          </w:p>
        </w:tc>
        <w:tc>
          <w:tcPr>
            <w:tcW w:w="857" w:type="pct"/>
            <w:tcBorders>
              <w:top w:val="dotted" w:sz="4" w:space="0" w:color="auto"/>
              <w:bottom w:val="dotted" w:sz="4" w:space="0" w:color="auto"/>
            </w:tcBorders>
            <w:vAlign w:val="center"/>
          </w:tcPr>
          <w:p w14:paraId="72C9A04A" w14:textId="45F4F69E" w:rsidR="001607C4" w:rsidRPr="00740FF0" w:rsidRDefault="001607C4">
            <w:pPr>
              <w:jc w:val="center"/>
              <w:rPr>
                <w:b/>
                <w:bCs/>
                <w:color w:val="000000"/>
                <w:sz w:val="16"/>
                <w:szCs w:val="16"/>
              </w:rPr>
            </w:pPr>
            <w:r w:rsidRPr="00740FF0">
              <w:rPr>
                <w:b/>
                <w:bCs/>
                <w:color w:val="000000"/>
                <w:sz w:val="16"/>
                <w:szCs w:val="16"/>
              </w:rPr>
              <w:t>-</w:t>
            </w:r>
          </w:p>
        </w:tc>
        <w:tc>
          <w:tcPr>
            <w:tcW w:w="762" w:type="pct"/>
            <w:tcBorders>
              <w:top w:val="dotted" w:sz="4" w:space="0" w:color="auto"/>
              <w:bottom w:val="dotted" w:sz="4" w:space="0" w:color="auto"/>
            </w:tcBorders>
            <w:vAlign w:val="center"/>
          </w:tcPr>
          <w:p w14:paraId="3C171AD6" w14:textId="77777777" w:rsidR="001607C4" w:rsidRPr="00740FF0" w:rsidRDefault="001607C4">
            <w:pPr>
              <w:jc w:val="center"/>
              <w:rPr>
                <w:b/>
                <w:bCs/>
                <w:color w:val="000000"/>
                <w:sz w:val="16"/>
                <w:szCs w:val="16"/>
              </w:rPr>
            </w:pPr>
            <w:r w:rsidRPr="00740FF0">
              <w:rPr>
                <w:b/>
                <w:bCs/>
                <w:color w:val="000000"/>
                <w:sz w:val="16"/>
                <w:szCs w:val="16"/>
              </w:rPr>
              <w:t>+</w:t>
            </w:r>
          </w:p>
        </w:tc>
        <w:tc>
          <w:tcPr>
            <w:tcW w:w="1429" w:type="pct"/>
            <w:tcBorders>
              <w:top w:val="dotted" w:sz="4" w:space="0" w:color="auto"/>
              <w:bottom w:val="dotted" w:sz="4" w:space="0" w:color="auto"/>
            </w:tcBorders>
            <w:vAlign w:val="center"/>
          </w:tcPr>
          <w:p w14:paraId="5D6D6991" w14:textId="77777777" w:rsidR="001607C4" w:rsidRPr="00740FF0" w:rsidRDefault="001607C4">
            <w:pPr>
              <w:jc w:val="center"/>
              <w:rPr>
                <w:color w:val="000000"/>
                <w:sz w:val="16"/>
                <w:szCs w:val="16"/>
              </w:rPr>
            </w:pPr>
            <w:r w:rsidRPr="00740FF0">
              <w:rPr>
                <w:color w:val="000000"/>
                <w:sz w:val="16"/>
                <w:szCs w:val="16"/>
              </w:rPr>
              <w:t>Recovered</w:t>
            </w:r>
          </w:p>
        </w:tc>
      </w:tr>
      <w:tr w:rsidR="001607C4" w:rsidRPr="00740FF0" w14:paraId="6EEB5482" w14:textId="77777777" w:rsidTr="0022165D">
        <w:trPr>
          <w:trHeight w:val="259"/>
          <w:jc w:val="center"/>
        </w:trPr>
        <w:tc>
          <w:tcPr>
            <w:tcW w:w="1284" w:type="pct"/>
            <w:vMerge/>
            <w:tcBorders>
              <w:bottom w:val="single" w:sz="4" w:space="0" w:color="7F7F7F" w:themeColor="text1" w:themeTint="80"/>
            </w:tcBorders>
            <w:vAlign w:val="center"/>
          </w:tcPr>
          <w:p w14:paraId="15F7365F" w14:textId="77777777" w:rsidR="001607C4" w:rsidRPr="00740FF0" w:rsidRDefault="001607C4">
            <w:pPr>
              <w:jc w:val="center"/>
              <w:rPr>
                <w:b/>
                <w:color w:val="000000"/>
                <w:sz w:val="16"/>
                <w:szCs w:val="16"/>
              </w:rPr>
            </w:pPr>
          </w:p>
        </w:tc>
        <w:tc>
          <w:tcPr>
            <w:tcW w:w="669" w:type="pct"/>
            <w:tcBorders>
              <w:top w:val="dotted" w:sz="4" w:space="0" w:color="auto"/>
              <w:bottom w:val="single" w:sz="4" w:space="0" w:color="7F7F7F" w:themeColor="text1" w:themeTint="80"/>
            </w:tcBorders>
            <w:vAlign w:val="center"/>
          </w:tcPr>
          <w:p w14:paraId="24A68967" w14:textId="5713445F" w:rsidR="001607C4" w:rsidRPr="00740FF0" w:rsidRDefault="001607C4">
            <w:pPr>
              <w:jc w:val="center"/>
              <w:rPr>
                <w:b/>
                <w:bCs/>
                <w:color w:val="000000"/>
                <w:sz w:val="16"/>
                <w:szCs w:val="16"/>
              </w:rPr>
            </w:pPr>
            <w:r>
              <w:rPr>
                <w:b/>
                <w:bCs/>
                <w:color w:val="000000"/>
                <w:sz w:val="16"/>
                <w:szCs w:val="16"/>
              </w:rPr>
              <w:t>…</w:t>
            </w:r>
          </w:p>
        </w:tc>
        <w:tc>
          <w:tcPr>
            <w:tcW w:w="857" w:type="pct"/>
            <w:tcBorders>
              <w:top w:val="dotted" w:sz="4" w:space="0" w:color="auto"/>
              <w:bottom w:val="single" w:sz="4" w:space="0" w:color="7F7F7F" w:themeColor="text1" w:themeTint="80"/>
            </w:tcBorders>
            <w:vAlign w:val="center"/>
          </w:tcPr>
          <w:p w14:paraId="47ED97F4" w14:textId="36F308D4" w:rsidR="001607C4" w:rsidRPr="00740FF0" w:rsidRDefault="001607C4">
            <w:pPr>
              <w:jc w:val="center"/>
              <w:rPr>
                <w:b/>
                <w:bCs/>
                <w:color w:val="000000"/>
                <w:sz w:val="16"/>
                <w:szCs w:val="16"/>
              </w:rPr>
            </w:pPr>
            <w:r w:rsidRPr="00740FF0">
              <w:rPr>
                <w:b/>
                <w:bCs/>
                <w:color w:val="000000"/>
                <w:sz w:val="16"/>
                <w:szCs w:val="16"/>
              </w:rPr>
              <w:t>…</w:t>
            </w:r>
          </w:p>
        </w:tc>
        <w:tc>
          <w:tcPr>
            <w:tcW w:w="762" w:type="pct"/>
            <w:tcBorders>
              <w:top w:val="dotted" w:sz="4" w:space="0" w:color="auto"/>
              <w:bottom w:val="single" w:sz="4" w:space="0" w:color="7F7F7F" w:themeColor="text1" w:themeTint="80"/>
            </w:tcBorders>
            <w:vAlign w:val="center"/>
          </w:tcPr>
          <w:p w14:paraId="00EB4363" w14:textId="77777777" w:rsidR="001607C4" w:rsidRPr="00740FF0" w:rsidRDefault="001607C4">
            <w:pPr>
              <w:jc w:val="center"/>
              <w:rPr>
                <w:b/>
                <w:bCs/>
                <w:color w:val="000000"/>
                <w:sz w:val="16"/>
                <w:szCs w:val="16"/>
              </w:rPr>
            </w:pPr>
            <w:r w:rsidRPr="00740FF0">
              <w:rPr>
                <w:b/>
                <w:bCs/>
                <w:color w:val="000000"/>
                <w:sz w:val="16"/>
                <w:szCs w:val="16"/>
              </w:rPr>
              <w:t>-</w:t>
            </w:r>
          </w:p>
        </w:tc>
        <w:tc>
          <w:tcPr>
            <w:tcW w:w="1429" w:type="pct"/>
            <w:tcBorders>
              <w:top w:val="dotted" w:sz="4" w:space="0" w:color="auto"/>
              <w:bottom w:val="single" w:sz="4" w:space="0" w:color="7F7F7F" w:themeColor="text1" w:themeTint="80"/>
            </w:tcBorders>
            <w:vAlign w:val="center"/>
          </w:tcPr>
          <w:p w14:paraId="5C84D4FA" w14:textId="77777777" w:rsidR="001607C4" w:rsidRPr="00740FF0" w:rsidRDefault="001607C4">
            <w:pPr>
              <w:jc w:val="center"/>
              <w:rPr>
                <w:color w:val="000000"/>
                <w:sz w:val="16"/>
                <w:szCs w:val="16"/>
              </w:rPr>
            </w:pPr>
            <w:r w:rsidRPr="00740FF0">
              <w:rPr>
                <w:color w:val="000000"/>
                <w:sz w:val="16"/>
                <w:szCs w:val="16"/>
              </w:rPr>
              <w:t>Susceptible</w:t>
            </w:r>
          </w:p>
        </w:tc>
      </w:tr>
      <w:tr w:rsidR="001607C4" w:rsidRPr="00740FF0" w14:paraId="3BE3F362" w14:textId="77777777" w:rsidTr="0022165D">
        <w:trPr>
          <w:trHeight w:val="259"/>
          <w:jc w:val="center"/>
        </w:trPr>
        <w:tc>
          <w:tcPr>
            <w:tcW w:w="1284" w:type="pct"/>
            <w:vMerge w:val="restart"/>
            <w:tcBorders>
              <w:top w:val="single" w:sz="4" w:space="0" w:color="7F7F7F" w:themeColor="text1" w:themeTint="80"/>
            </w:tcBorders>
            <w:vAlign w:val="center"/>
          </w:tcPr>
          <w:p w14:paraId="5515F4CA" w14:textId="77777777" w:rsidR="001607C4" w:rsidRPr="00740FF0" w:rsidRDefault="001607C4">
            <w:pPr>
              <w:jc w:val="center"/>
              <w:rPr>
                <w:b/>
                <w:color w:val="000000"/>
                <w:sz w:val="16"/>
                <w:szCs w:val="16"/>
              </w:rPr>
            </w:pPr>
            <w:r w:rsidRPr="00740FF0">
              <w:rPr>
                <w:b/>
                <w:color w:val="000000"/>
                <w:sz w:val="16"/>
                <w:szCs w:val="16"/>
              </w:rPr>
              <w:t>IgG and PCR tests</w:t>
            </w:r>
          </w:p>
        </w:tc>
        <w:tc>
          <w:tcPr>
            <w:tcW w:w="669" w:type="pct"/>
            <w:tcBorders>
              <w:top w:val="single" w:sz="4" w:space="0" w:color="7F7F7F" w:themeColor="text1" w:themeTint="80"/>
              <w:bottom w:val="dotted" w:sz="4" w:space="0" w:color="auto"/>
            </w:tcBorders>
            <w:vAlign w:val="center"/>
          </w:tcPr>
          <w:p w14:paraId="17E32E1C" w14:textId="53F66909" w:rsidR="001607C4" w:rsidRPr="00740FF0" w:rsidRDefault="001607C4">
            <w:pPr>
              <w:jc w:val="center"/>
              <w:rPr>
                <w:b/>
                <w:bCs/>
                <w:color w:val="000000"/>
                <w:sz w:val="16"/>
                <w:szCs w:val="16"/>
              </w:rPr>
            </w:pPr>
            <w:r>
              <w:rPr>
                <w:b/>
                <w:bCs/>
                <w:color w:val="000000"/>
                <w:sz w:val="16"/>
                <w:szCs w:val="16"/>
              </w:rPr>
              <w:t>…</w:t>
            </w:r>
          </w:p>
        </w:tc>
        <w:tc>
          <w:tcPr>
            <w:tcW w:w="857" w:type="pct"/>
            <w:tcBorders>
              <w:top w:val="single" w:sz="4" w:space="0" w:color="7F7F7F" w:themeColor="text1" w:themeTint="80"/>
              <w:bottom w:val="dotted" w:sz="4" w:space="0" w:color="auto"/>
            </w:tcBorders>
            <w:vAlign w:val="center"/>
          </w:tcPr>
          <w:p w14:paraId="465CC312" w14:textId="23F20CD6" w:rsidR="001607C4" w:rsidRPr="00740FF0" w:rsidRDefault="001607C4">
            <w:pPr>
              <w:jc w:val="center"/>
              <w:rPr>
                <w:b/>
                <w:bCs/>
                <w:color w:val="000000"/>
                <w:sz w:val="16"/>
                <w:szCs w:val="16"/>
              </w:rPr>
            </w:pPr>
            <w:r w:rsidRPr="00740FF0">
              <w:rPr>
                <w:b/>
                <w:bCs/>
                <w:color w:val="000000"/>
                <w:sz w:val="16"/>
                <w:szCs w:val="16"/>
              </w:rPr>
              <w:t>+</w:t>
            </w:r>
          </w:p>
        </w:tc>
        <w:tc>
          <w:tcPr>
            <w:tcW w:w="762" w:type="pct"/>
            <w:tcBorders>
              <w:top w:val="single" w:sz="4" w:space="0" w:color="7F7F7F" w:themeColor="text1" w:themeTint="80"/>
              <w:bottom w:val="dotted" w:sz="4" w:space="0" w:color="auto"/>
            </w:tcBorders>
            <w:vAlign w:val="center"/>
          </w:tcPr>
          <w:p w14:paraId="6FB473A3" w14:textId="77777777" w:rsidR="001607C4" w:rsidRPr="00740FF0" w:rsidRDefault="001607C4">
            <w:pPr>
              <w:jc w:val="center"/>
              <w:rPr>
                <w:b/>
                <w:bCs/>
                <w:color w:val="000000"/>
                <w:sz w:val="16"/>
                <w:szCs w:val="16"/>
              </w:rPr>
            </w:pPr>
            <w:r w:rsidRPr="00740FF0">
              <w:rPr>
                <w:b/>
                <w:bCs/>
                <w:color w:val="000000"/>
                <w:sz w:val="16"/>
                <w:szCs w:val="16"/>
              </w:rPr>
              <w:t>+</w:t>
            </w:r>
          </w:p>
        </w:tc>
        <w:tc>
          <w:tcPr>
            <w:tcW w:w="1429" w:type="pct"/>
            <w:tcBorders>
              <w:top w:val="single" w:sz="4" w:space="0" w:color="7F7F7F" w:themeColor="text1" w:themeTint="80"/>
              <w:bottom w:val="dotted" w:sz="4" w:space="0" w:color="auto"/>
            </w:tcBorders>
            <w:vAlign w:val="center"/>
          </w:tcPr>
          <w:p w14:paraId="78C515D8" w14:textId="77777777" w:rsidR="001607C4" w:rsidRPr="00740FF0" w:rsidRDefault="001607C4">
            <w:pPr>
              <w:jc w:val="center"/>
              <w:rPr>
                <w:color w:val="000000"/>
                <w:sz w:val="16"/>
                <w:szCs w:val="16"/>
              </w:rPr>
            </w:pPr>
            <w:r w:rsidRPr="00740FF0">
              <w:rPr>
                <w:color w:val="000000"/>
                <w:sz w:val="16"/>
                <w:szCs w:val="16"/>
              </w:rPr>
              <w:t>Infected*</w:t>
            </w:r>
          </w:p>
        </w:tc>
      </w:tr>
      <w:tr w:rsidR="001607C4" w:rsidRPr="00740FF0" w14:paraId="5737F1F3" w14:textId="77777777" w:rsidTr="0022165D">
        <w:trPr>
          <w:trHeight w:val="259"/>
          <w:jc w:val="center"/>
        </w:trPr>
        <w:tc>
          <w:tcPr>
            <w:tcW w:w="1284" w:type="pct"/>
            <w:vMerge/>
            <w:vAlign w:val="center"/>
          </w:tcPr>
          <w:p w14:paraId="32FCD071" w14:textId="77777777" w:rsidR="001607C4" w:rsidRPr="00740FF0" w:rsidRDefault="001607C4">
            <w:pPr>
              <w:jc w:val="center"/>
              <w:rPr>
                <w:b/>
                <w:color w:val="000000"/>
                <w:sz w:val="16"/>
                <w:szCs w:val="16"/>
              </w:rPr>
            </w:pPr>
          </w:p>
        </w:tc>
        <w:tc>
          <w:tcPr>
            <w:tcW w:w="669" w:type="pct"/>
            <w:tcBorders>
              <w:top w:val="dotted" w:sz="4" w:space="0" w:color="auto"/>
              <w:bottom w:val="dotted" w:sz="4" w:space="0" w:color="auto"/>
            </w:tcBorders>
            <w:vAlign w:val="center"/>
          </w:tcPr>
          <w:p w14:paraId="3EC71F09" w14:textId="15E85CEB" w:rsidR="001607C4" w:rsidRPr="00740FF0" w:rsidRDefault="001607C4">
            <w:pPr>
              <w:jc w:val="center"/>
              <w:rPr>
                <w:b/>
                <w:bCs/>
                <w:color w:val="000000"/>
                <w:sz w:val="16"/>
                <w:szCs w:val="16"/>
              </w:rPr>
            </w:pPr>
            <w:r>
              <w:rPr>
                <w:b/>
                <w:bCs/>
                <w:color w:val="000000"/>
                <w:sz w:val="16"/>
                <w:szCs w:val="16"/>
              </w:rPr>
              <w:t>…</w:t>
            </w:r>
          </w:p>
        </w:tc>
        <w:tc>
          <w:tcPr>
            <w:tcW w:w="857" w:type="pct"/>
            <w:tcBorders>
              <w:top w:val="dotted" w:sz="4" w:space="0" w:color="auto"/>
              <w:bottom w:val="dotted" w:sz="4" w:space="0" w:color="auto"/>
            </w:tcBorders>
            <w:vAlign w:val="center"/>
          </w:tcPr>
          <w:p w14:paraId="27D550B9" w14:textId="016C9CC7" w:rsidR="001607C4" w:rsidRPr="00740FF0" w:rsidRDefault="001607C4">
            <w:pPr>
              <w:jc w:val="center"/>
              <w:rPr>
                <w:b/>
                <w:bCs/>
                <w:color w:val="000000"/>
                <w:sz w:val="16"/>
                <w:szCs w:val="16"/>
              </w:rPr>
            </w:pPr>
            <w:r w:rsidRPr="00740FF0">
              <w:rPr>
                <w:b/>
                <w:bCs/>
                <w:color w:val="000000"/>
                <w:sz w:val="16"/>
                <w:szCs w:val="16"/>
              </w:rPr>
              <w:t>-</w:t>
            </w:r>
          </w:p>
        </w:tc>
        <w:tc>
          <w:tcPr>
            <w:tcW w:w="762" w:type="pct"/>
            <w:tcBorders>
              <w:top w:val="dotted" w:sz="4" w:space="0" w:color="auto"/>
              <w:bottom w:val="dotted" w:sz="4" w:space="0" w:color="auto"/>
            </w:tcBorders>
            <w:vAlign w:val="center"/>
          </w:tcPr>
          <w:p w14:paraId="3D86A299" w14:textId="77777777" w:rsidR="001607C4" w:rsidRPr="00740FF0" w:rsidRDefault="001607C4">
            <w:pPr>
              <w:jc w:val="center"/>
              <w:rPr>
                <w:b/>
                <w:bCs/>
                <w:color w:val="000000"/>
                <w:sz w:val="16"/>
                <w:szCs w:val="16"/>
              </w:rPr>
            </w:pPr>
            <w:r w:rsidRPr="00740FF0">
              <w:rPr>
                <w:b/>
                <w:bCs/>
                <w:color w:val="000000"/>
                <w:sz w:val="16"/>
                <w:szCs w:val="16"/>
              </w:rPr>
              <w:t>+</w:t>
            </w:r>
          </w:p>
        </w:tc>
        <w:tc>
          <w:tcPr>
            <w:tcW w:w="1429" w:type="pct"/>
            <w:tcBorders>
              <w:top w:val="dotted" w:sz="4" w:space="0" w:color="auto"/>
              <w:bottom w:val="dotted" w:sz="4" w:space="0" w:color="auto"/>
            </w:tcBorders>
            <w:vAlign w:val="center"/>
          </w:tcPr>
          <w:p w14:paraId="711895CE" w14:textId="77777777" w:rsidR="001607C4" w:rsidRPr="00740FF0" w:rsidRDefault="001607C4">
            <w:pPr>
              <w:jc w:val="center"/>
              <w:rPr>
                <w:color w:val="000000"/>
                <w:sz w:val="16"/>
                <w:szCs w:val="16"/>
              </w:rPr>
            </w:pPr>
            <w:r w:rsidRPr="00740FF0">
              <w:rPr>
                <w:color w:val="000000"/>
                <w:sz w:val="16"/>
                <w:szCs w:val="16"/>
              </w:rPr>
              <w:t>Recovered</w:t>
            </w:r>
          </w:p>
        </w:tc>
      </w:tr>
      <w:tr w:rsidR="001607C4" w:rsidRPr="00740FF0" w14:paraId="288F0B39" w14:textId="77777777" w:rsidTr="0022165D">
        <w:trPr>
          <w:trHeight w:val="259"/>
          <w:jc w:val="center"/>
        </w:trPr>
        <w:tc>
          <w:tcPr>
            <w:tcW w:w="1284" w:type="pct"/>
            <w:vMerge/>
            <w:vAlign w:val="center"/>
          </w:tcPr>
          <w:p w14:paraId="1849E9B2" w14:textId="77777777" w:rsidR="001607C4" w:rsidRPr="00740FF0" w:rsidRDefault="001607C4">
            <w:pPr>
              <w:jc w:val="center"/>
              <w:rPr>
                <w:b/>
                <w:color w:val="000000"/>
                <w:sz w:val="16"/>
                <w:szCs w:val="16"/>
              </w:rPr>
            </w:pPr>
          </w:p>
        </w:tc>
        <w:tc>
          <w:tcPr>
            <w:tcW w:w="669" w:type="pct"/>
            <w:tcBorders>
              <w:top w:val="dotted" w:sz="4" w:space="0" w:color="auto"/>
              <w:bottom w:val="dotted" w:sz="4" w:space="0" w:color="auto"/>
            </w:tcBorders>
            <w:vAlign w:val="center"/>
          </w:tcPr>
          <w:p w14:paraId="7A30B458" w14:textId="44855108" w:rsidR="001607C4" w:rsidRPr="00740FF0" w:rsidRDefault="001607C4">
            <w:pPr>
              <w:jc w:val="center"/>
              <w:rPr>
                <w:b/>
                <w:bCs/>
                <w:color w:val="000000"/>
                <w:sz w:val="16"/>
                <w:szCs w:val="16"/>
              </w:rPr>
            </w:pPr>
            <w:r>
              <w:rPr>
                <w:b/>
                <w:bCs/>
                <w:color w:val="000000"/>
                <w:sz w:val="16"/>
                <w:szCs w:val="16"/>
              </w:rPr>
              <w:t>…</w:t>
            </w:r>
          </w:p>
        </w:tc>
        <w:tc>
          <w:tcPr>
            <w:tcW w:w="857" w:type="pct"/>
            <w:tcBorders>
              <w:top w:val="dotted" w:sz="4" w:space="0" w:color="auto"/>
              <w:bottom w:val="dotted" w:sz="4" w:space="0" w:color="auto"/>
            </w:tcBorders>
            <w:vAlign w:val="center"/>
          </w:tcPr>
          <w:p w14:paraId="66971326" w14:textId="77FE8491" w:rsidR="001607C4" w:rsidRPr="00740FF0" w:rsidRDefault="001607C4">
            <w:pPr>
              <w:jc w:val="center"/>
              <w:rPr>
                <w:b/>
                <w:bCs/>
                <w:color w:val="000000"/>
                <w:sz w:val="16"/>
                <w:szCs w:val="16"/>
              </w:rPr>
            </w:pPr>
            <w:r w:rsidRPr="00740FF0">
              <w:rPr>
                <w:b/>
                <w:bCs/>
                <w:color w:val="000000"/>
                <w:sz w:val="16"/>
                <w:szCs w:val="16"/>
              </w:rPr>
              <w:t>+</w:t>
            </w:r>
          </w:p>
        </w:tc>
        <w:tc>
          <w:tcPr>
            <w:tcW w:w="762" w:type="pct"/>
            <w:tcBorders>
              <w:top w:val="dotted" w:sz="4" w:space="0" w:color="auto"/>
              <w:bottom w:val="dotted" w:sz="4" w:space="0" w:color="auto"/>
            </w:tcBorders>
            <w:vAlign w:val="center"/>
          </w:tcPr>
          <w:p w14:paraId="4CC68F91" w14:textId="77777777" w:rsidR="001607C4" w:rsidRPr="00740FF0" w:rsidRDefault="001607C4">
            <w:pPr>
              <w:jc w:val="center"/>
              <w:rPr>
                <w:b/>
                <w:bCs/>
                <w:color w:val="000000"/>
                <w:sz w:val="16"/>
                <w:szCs w:val="16"/>
              </w:rPr>
            </w:pPr>
            <w:r w:rsidRPr="00740FF0">
              <w:rPr>
                <w:b/>
                <w:bCs/>
                <w:color w:val="000000"/>
                <w:sz w:val="16"/>
                <w:szCs w:val="16"/>
              </w:rPr>
              <w:t>-</w:t>
            </w:r>
          </w:p>
        </w:tc>
        <w:tc>
          <w:tcPr>
            <w:tcW w:w="1429" w:type="pct"/>
            <w:tcBorders>
              <w:top w:val="dotted" w:sz="4" w:space="0" w:color="auto"/>
              <w:bottom w:val="dotted" w:sz="4" w:space="0" w:color="auto"/>
            </w:tcBorders>
            <w:vAlign w:val="center"/>
          </w:tcPr>
          <w:p w14:paraId="787E83B1" w14:textId="77777777" w:rsidR="001607C4" w:rsidRPr="00740FF0" w:rsidRDefault="001607C4">
            <w:pPr>
              <w:jc w:val="center"/>
              <w:rPr>
                <w:color w:val="000000"/>
                <w:sz w:val="16"/>
                <w:szCs w:val="16"/>
              </w:rPr>
            </w:pPr>
            <w:r w:rsidRPr="00740FF0">
              <w:rPr>
                <w:color w:val="000000"/>
                <w:sz w:val="16"/>
                <w:szCs w:val="16"/>
              </w:rPr>
              <w:t>Infected*</w:t>
            </w:r>
          </w:p>
        </w:tc>
      </w:tr>
      <w:tr w:rsidR="001607C4" w:rsidRPr="00740FF0" w14:paraId="575C13A0" w14:textId="77777777" w:rsidTr="0022165D">
        <w:trPr>
          <w:trHeight w:val="259"/>
          <w:jc w:val="center"/>
        </w:trPr>
        <w:tc>
          <w:tcPr>
            <w:tcW w:w="1284" w:type="pct"/>
            <w:vMerge/>
            <w:tcBorders>
              <w:bottom w:val="single" w:sz="4" w:space="0" w:color="7F7F7F" w:themeColor="text1" w:themeTint="80"/>
            </w:tcBorders>
            <w:vAlign w:val="center"/>
          </w:tcPr>
          <w:p w14:paraId="12AE4F2B" w14:textId="77777777" w:rsidR="001607C4" w:rsidRPr="00740FF0" w:rsidRDefault="001607C4">
            <w:pPr>
              <w:jc w:val="center"/>
              <w:rPr>
                <w:b/>
                <w:color w:val="000000"/>
                <w:sz w:val="16"/>
                <w:szCs w:val="16"/>
              </w:rPr>
            </w:pPr>
          </w:p>
        </w:tc>
        <w:tc>
          <w:tcPr>
            <w:tcW w:w="669" w:type="pct"/>
            <w:tcBorders>
              <w:top w:val="dotted" w:sz="4" w:space="0" w:color="auto"/>
              <w:bottom w:val="single" w:sz="4" w:space="0" w:color="7F7F7F" w:themeColor="text1" w:themeTint="80"/>
            </w:tcBorders>
            <w:vAlign w:val="center"/>
          </w:tcPr>
          <w:p w14:paraId="081D2AA2" w14:textId="48A836A4" w:rsidR="001607C4" w:rsidRPr="00740FF0" w:rsidRDefault="001607C4">
            <w:pPr>
              <w:jc w:val="center"/>
              <w:rPr>
                <w:b/>
                <w:bCs/>
                <w:color w:val="000000"/>
                <w:sz w:val="16"/>
                <w:szCs w:val="16"/>
              </w:rPr>
            </w:pPr>
            <w:r>
              <w:rPr>
                <w:b/>
                <w:bCs/>
                <w:color w:val="000000"/>
                <w:sz w:val="16"/>
                <w:szCs w:val="16"/>
              </w:rPr>
              <w:t>…</w:t>
            </w:r>
          </w:p>
        </w:tc>
        <w:tc>
          <w:tcPr>
            <w:tcW w:w="857" w:type="pct"/>
            <w:tcBorders>
              <w:top w:val="dotted" w:sz="4" w:space="0" w:color="auto"/>
              <w:bottom w:val="single" w:sz="4" w:space="0" w:color="7F7F7F" w:themeColor="text1" w:themeTint="80"/>
            </w:tcBorders>
            <w:vAlign w:val="center"/>
          </w:tcPr>
          <w:p w14:paraId="441FE6B5" w14:textId="398395F8" w:rsidR="001607C4" w:rsidRPr="00740FF0" w:rsidRDefault="001607C4">
            <w:pPr>
              <w:jc w:val="center"/>
              <w:rPr>
                <w:b/>
                <w:bCs/>
                <w:color w:val="000000"/>
                <w:sz w:val="16"/>
                <w:szCs w:val="16"/>
              </w:rPr>
            </w:pPr>
            <w:r w:rsidRPr="00740FF0">
              <w:rPr>
                <w:b/>
                <w:bCs/>
                <w:color w:val="000000"/>
                <w:sz w:val="16"/>
                <w:szCs w:val="16"/>
              </w:rPr>
              <w:t>-</w:t>
            </w:r>
          </w:p>
        </w:tc>
        <w:tc>
          <w:tcPr>
            <w:tcW w:w="762" w:type="pct"/>
            <w:tcBorders>
              <w:top w:val="dotted" w:sz="4" w:space="0" w:color="auto"/>
              <w:bottom w:val="single" w:sz="4" w:space="0" w:color="7F7F7F" w:themeColor="text1" w:themeTint="80"/>
            </w:tcBorders>
            <w:vAlign w:val="center"/>
          </w:tcPr>
          <w:p w14:paraId="16E28F8A" w14:textId="77777777" w:rsidR="001607C4" w:rsidRPr="00740FF0" w:rsidRDefault="001607C4">
            <w:pPr>
              <w:jc w:val="center"/>
              <w:rPr>
                <w:b/>
                <w:bCs/>
                <w:color w:val="000000"/>
                <w:sz w:val="16"/>
                <w:szCs w:val="16"/>
              </w:rPr>
            </w:pPr>
            <w:r w:rsidRPr="00740FF0">
              <w:rPr>
                <w:b/>
                <w:bCs/>
                <w:color w:val="000000"/>
                <w:sz w:val="16"/>
                <w:szCs w:val="16"/>
              </w:rPr>
              <w:t>-</w:t>
            </w:r>
          </w:p>
        </w:tc>
        <w:tc>
          <w:tcPr>
            <w:tcW w:w="1429" w:type="pct"/>
            <w:tcBorders>
              <w:top w:val="dotted" w:sz="4" w:space="0" w:color="auto"/>
              <w:bottom w:val="single" w:sz="4" w:space="0" w:color="7F7F7F" w:themeColor="text1" w:themeTint="80"/>
            </w:tcBorders>
            <w:vAlign w:val="center"/>
          </w:tcPr>
          <w:p w14:paraId="0CA9562F" w14:textId="77777777" w:rsidR="001607C4" w:rsidRPr="00740FF0" w:rsidRDefault="001607C4">
            <w:pPr>
              <w:jc w:val="center"/>
              <w:rPr>
                <w:color w:val="000000"/>
                <w:sz w:val="16"/>
                <w:szCs w:val="16"/>
              </w:rPr>
            </w:pPr>
            <w:r w:rsidRPr="00740FF0">
              <w:rPr>
                <w:color w:val="000000"/>
                <w:sz w:val="16"/>
                <w:szCs w:val="16"/>
              </w:rPr>
              <w:t>Susceptible</w:t>
            </w:r>
          </w:p>
        </w:tc>
      </w:tr>
    </w:tbl>
    <w:p w14:paraId="0269D711" w14:textId="77777777" w:rsidR="00BA1577" w:rsidRPr="00E46E0D" w:rsidRDefault="00BA1577" w:rsidP="00BA1577">
      <w:pPr>
        <w:rPr>
          <w:rFonts w:eastAsiaTheme="minorHAnsi"/>
          <w:sz w:val="20"/>
          <w:szCs w:val="20"/>
        </w:rPr>
      </w:pPr>
      <w:r w:rsidRPr="00E46E0D">
        <w:rPr>
          <w:color w:val="000000"/>
          <w:sz w:val="20"/>
          <w:szCs w:val="20"/>
        </w:rPr>
        <w:t xml:space="preserve"> </w:t>
      </w:r>
      <w:r w:rsidRPr="00E46E0D">
        <w:rPr>
          <w:sz w:val="20"/>
          <w:szCs w:val="20"/>
        </w:rPr>
        <w:t>*</w:t>
      </w:r>
      <w:r w:rsidRPr="00E46E0D">
        <w:rPr>
          <w:rFonts w:eastAsiaTheme="minorHAnsi"/>
          <w:sz w:val="20"/>
          <w:szCs w:val="20"/>
        </w:rPr>
        <w:t>Except in the late clinical period where a positive PCR test result is considered a false positive.</w:t>
      </w:r>
    </w:p>
    <w:p w14:paraId="0D736500" w14:textId="1EF66CCC" w:rsidR="00BA1577" w:rsidRPr="00E46E0D" w:rsidRDefault="00BA1577" w:rsidP="00BA1577">
      <w:pPr>
        <w:rPr>
          <w:rFonts w:eastAsia="Arial"/>
          <w:b/>
          <w:sz w:val="20"/>
          <w:szCs w:val="20"/>
        </w:rPr>
      </w:pPr>
      <w:r>
        <w:rPr>
          <w:rFonts w:eastAsia="Arial"/>
          <w:b/>
          <w:sz w:val="20"/>
          <w:szCs w:val="20"/>
        </w:rPr>
        <w:br w:type="page"/>
      </w:r>
    </w:p>
    <w:p w14:paraId="244ED0CF" w14:textId="77777777" w:rsidR="00BA1577" w:rsidRPr="00E46E0D" w:rsidRDefault="00BA1577" w:rsidP="00BA1577">
      <w:pPr>
        <w:numPr>
          <w:ilvl w:val="0"/>
          <w:numId w:val="1"/>
        </w:numPr>
        <w:pBdr>
          <w:top w:val="nil"/>
          <w:left w:val="nil"/>
          <w:bottom w:val="nil"/>
          <w:right w:val="nil"/>
          <w:between w:val="nil"/>
        </w:pBdr>
        <w:rPr>
          <w:rFonts w:eastAsia="Arial"/>
          <w:b/>
          <w:color w:val="000000"/>
          <w:sz w:val="20"/>
          <w:szCs w:val="20"/>
        </w:rPr>
      </w:pPr>
      <w:r w:rsidRPr="00E46E0D">
        <w:rPr>
          <w:rFonts w:eastAsia="Arial"/>
          <w:b/>
          <w:color w:val="000000"/>
          <w:sz w:val="20"/>
          <w:szCs w:val="20"/>
        </w:rPr>
        <w:t>Infection control measures</w:t>
      </w:r>
    </w:p>
    <w:p w14:paraId="7EAD6D76" w14:textId="77777777" w:rsidR="00BA1577" w:rsidRPr="00E46E0D" w:rsidRDefault="00BA1577" w:rsidP="00BA1577">
      <w:pPr>
        <w:rPr>
          <w:rFonts w:eastAsia="Arial"/>
          <w:sz w:val="20"/>
          <w:szCs w:val="20"/>
        </w:rPr>
      </w:pPr>
      <w:r w:rsidRPr="00E46E0D">
        <w:rPr>
          <w:rFonts w:eastAsia="Arial"/>
          <w:sz w:val="20"/>
          <w:szCs w:val="20"/>
        </w:rPr>
        <w:t xml:space="preserve">The guidelines for HCW assignments based on screening results are shown in Table II. The probabilities are not 1 (except for isolation) because of the assumption that it may not be possible to always assign recovered individuals to COVID-19 cohorts and to always assign susceptible individuals to non-COVID-19 units due to scheduling conflicts. </w:t>
      </w:r>
    </w:p>
    <w:p w14:paraId="5E4D4705" w14:textId="545FA70F" w:rsidR="00BA1577" w:rsidRDefault="00BA1577" w:rsidP="00BA1577">
      <w:pPr>
        <w:ind w:firstLine="360"/>
        <w:rPr>
          <w:rFonts w:eastAsia="Arial"/>
          <w:color w:val="000000"/>
          <w:sz w:val="20"/>
          <w:szCs w:val="20"/>
        </w:rPr>
      </w:pPr>
    </w:p>
    <w:p w14:paraId="7498D811" w14:textId="77777777" w:rsidR="00BA1577" w:rsidRPr="00E46E0D" w:rsidRDefault="00BA1577" w:rsidP="00BA1577">
      <w:pPr>
        <w:ind w:firstLine="360"/>
        <w:rPr>
          <w:rFonts w:eastAsia="Arial"/>
          <w:color w:val="000000"/>
          <w:sz w:val="20"/>
          <w:szCs w:val="20"/>
        </w:rPr>
      </w:pPr>
    </w:p>
    <w:p w14:paraId="55AA6E18" w14:textId="77777777" w:rsidR="00BA1577" w:rsidRPr="00E46E0D" w:rsidRDefault="00BA1577" w:rsidP="00BA1577">
      <w:pPr>
        <w:pStyle w:val="Caption"/>
        <w:keepNext/>
        <w:ind w:left="540"/>
        <w:rPr>
          <w:rFonts w:ascii="Times New Roman" w:hAnsi="Times New Roman" w:cs="Times New Roman"/>
          <w:color w:val="auto"/>
          <w:sz w:val="20"/>
          <w:szCs w:val="20"/>
        </w:rPr>
      </w:pPr>
      <w:r w:rsidRPr="00E46E0D">
        <w:rPr>
          <w:rFonts w:ascii="Times New Roman" w:hAnsi="Times New Roman" w:cs="Times New Roman"/>
          <w:b/>
          <w:i w:val="0"/>
          <w:color w:val="auto"/>
          <w:sz w:val="20"/>
          <w:szCs w:val="20"/>
        </w:rPr>
        <w:t>Table II</w:t>
      </w:r>
      <w:r w:rsidRPr="00E46E0D">
        <w:rPr>
          <w:rFonts w:ascii="Times New Roman" w:hAnsi="Times New Roman" w:cs="Times New Roman"/>
          <w:b/>
          <w:bCs/>
          <w:i w:val="0"/>
          <w:iCs w:val="0"/>
          <w:color w:val="auto"/>
          <w:sz w:val="20"/>
          <w:szCs w:val="20"/>
        </w:rPr>
        <w:t xml:space="preserve">. </w:t>
      </w:r>
      <w:r w:rsidRPr="00E46E0D">
        <w:rPr>
          <w:rFonts w:ascii="Times New Roman" w:hAnsi="Times New Roman" w:cs="Times New Roman"/>
          <w:i w:val="0"/>
          <w:iCs w:val="0"/>
          <w:color w:val="auto"/>
          <w:sz w:val="20"/>
          <w:szCs w:val="20"/>
        </w:rPr>
        <w:t>Probabilities of taking the specified infection</w:t>
      </w:r>
      <w:r w:rsidRPr="00E46E0D">
        <w:rPr>
          <w:rFonts w:ascii="Times New Roman" w:hAnsi="Times New Roman" w:cs="Times New Roman"/>
          <w:i w:val="0"/>
          <w:color w:val="auto"/>
          <w:sz w:val="20"/>
          <w:szCs w:val="20"/>
        </w:rPr>
        <w:t xml:space="preserve"> control </w:t>
      </w:r>
      <w:r w:rsidRPr="00E46E0D">
        <w:rPr>
          <w:rFonts w:ascii="Times New Roman" w:hAnsi="Times New Roman" w:cs="Times New Roman"/>
          <w:i w:val="0"/>
          <w:iCs w:val="0"/>
          <w:color w:val="auto"/>
          <w:sz w:val="20"/>
          <w:szCs w:val="20"/>
        </w:rPr>
        <w:t>measure</w:t>
      </w:r>
      <w:r w:rsidRPr="00E46E0D">
        <w:rPr>
          <w:rFonts w:ascii="Times New Roman" w:hAnsi="Times New Roman" w:cs="Times New Roman"/>
          <w:i w:val="0"/>
          <w:color w:val="auto"/>
          <w:sz w:val="20"/>
          <w:szCs w:val="20"/>
        </w:rPr>
        <w:t xml:space="preserve"> based on test results</w:t>
      </w:r>
      <w:r w:rsidRPr="00E46E0D">
        <w:rPr>
          <w:rFonts w:ascii="Times New Roman" w:hAnsi="Times New Roman" w:cs="Times New Roman"/>
          <w:i w:val="0"/>
          <w:iCs w:val="0"/>
          <w:color w:val="auto"/>
          <w:sz w:val="20"/>
          <w:szCs w:val="20"/>
        </w:rPr>
        <w:t>.</w:t>
      </w:r>
    </w:p>
    <w:tbl>
      <w:tblPr>
        <w:tblStyle w:val="TableGridLight"/>
        <w:tblW w:w="83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1795"/>
        <w:gridCol w:w="2345"/>
        <w:gridCol w:w="1800"/>
      </w:tblGrid>
      <w:tr w:rsidR="00BA1577" w:rsidRPr="00740FF0" w14:paraId="028B72C0" w14:textId="77777777" w:rsidTr="00681931">
        <w:trPr>
          <w:trHeight w:val="144"/>
          <w:jc w:val="center"/>
        </w:trPr>
        <w:tc>
          <w:tcPr>
            <w:tcW w:w="2430" w:type="dxa"/>
            <w:tcBorders>
              <w:bottom w:val="single" w:sz="4" w:space="0" w:color="auto"/>
            </w:tcBorders>
            <w:noWrap/>
            <w:vAlign w:val="center"/>
            <w:hideMark/>
          </w:tcPr>
          <w:p w14:paraId="064E8269" w14:textId="77777777" w:rsidR="00BA1577" w:rsidRPr="00740FF0" w:rsidRDefault="00BA1577" w:rsidP="00BA1577">
            <w:pPr>
              <w:jc w:val="center"/>
              <w:rPr>
                <w:b/>
                <w:bCs/>
                <w:color w:val="000000"/>
                <w:sz w:val="16"/>
                <w:szCs w:val="16"/>
              </w:rPr>
            </w:pPr>
            <w:r w:rsidRPr="00740FF0">
              <w:rPr>
                <w:b/>
                <w:bCs/>
                <w:color w:val="000000"/>
                <w:sz w:val="16"/>
                <w:szCs w:val="16"/>
              </w:rPr>
              <w:t>Inferred disease status</w:t>
            </w:r>
          </w:p>
        </w:tc>
        <w:tc>
          <w:tcPr>
            <w:tcW w:w="1795" w:type="dxa"/>
            <w:tcBorders>
              <w:bottom w:val="single" w:sz="4" w:space="0" w:color="auto"/>
            </w:tcBorders>
            <w:noWrap/>
            <w:vAlign w:val="center"/>
            <w:hideMark/>
          </w:tcPr>
          <w:p w14:paraId="0CEDBB02" w14:textId="77777777" w:rsidR="00BA1577" w:rsidRPr="00740FF0" w:rsidRDefault="00BA1577" w:rsidP="00BA1577">
            <w:pPr>
              <w:jc w:val="center"/>
              <w:rPr>
                <w:b/>
                <w:bCs/>
                <w:color w:val="000000"/>
                <w:sz w:val="16"/>
                <w:szCs w:val="16"/>
              </w:rPr>
            </w:pPr>
            <w:r w:rsidRPr="00740FF0">
              <w:rPr>
                <w:b/>
                <w:bCs/>
                <w:color w:val="000000"/>
                <w:sz w:val="16"/>
                <w:szCs w:val="16"/>
              </w:rPr>
              <w:t>Isolation*</w:t>
            </w:r>
          </w:p>
        </w:tc>
        <w:tc>
          <w:tcPr>
            <w:tcW w:w="2345" w:type="dxa"/>
            <w:tcBorders>
              <w:bottom w:val="single" w:sz="4" w:space="0" w:color="auto"/>
            </w:tcBorders>
            <w:noWrap/>
            <w:vAlign w:val="center"/>
            <w:hideMark/>
          </w:tcPr>
          <w:p w14:paraId="172BEC6F" w14:textId="77777777" w:rsidR="00BA1577" w:rsidRPr="00740FF0" w:rsidRDefault="00BA1577" w:rsidP="00BA1577">
            <w:pPr>
              <w:jc w:val="center"/>
              <w:rPr>
                <w:b/>
                <w:bCs/>
                <w:color w:val="000000"/>
                <w:sz w:val="16"/>
                <w:szCs w:val="16"/>
              </w:rPr>
            </w:pPr>
            <w:r w:rsidRPr="00740FF0">
              <w:rPr>
                <w:b/>
                <w:bCs/>
                <w:color w:val="000000"/>
                <w:sz w:val="16"/>
                <w:szCs w:val="16"/>
              </w:rPr>
              <w:t>Cold zone</w:t>
            </w:r>
            <w:r w:rsidRPr="00740FF0">
              <w:rPr>
                <w:b/>
                <w:bCs/>
                <w:color w:val="000000"/>
                <w:sz w:val="16"/>
                <w:szCs w:val="16"/>
                <w:vertAlign w:val="superscript"/>
              </w:rPr>
              <w:t>†</w:t>
            </w:r>
          </w:p>
        </w:tc>
        <w:tc>
          <w:tcPr>
            <w:tcW w:w="1800" w:type="dxa"/>
            <w:tcBorders>
              <w:bottom w:val="single" w:sz="4" w:space="0" w:color="auto"/>
            </w:tcBorders>
            <w:noWrap/>
            <w:vAlign w:val="center"/>
            <w:hideMark/>
          </w:tcPr>
          <w:p w14:paraId="0B1A145A" w14:textId="77777777" w:rsidR="00BA1577" w:rsidRPr="00740FF0" w:rsidRDefault="00BA1577" w:rsidP="00BA1577">
            <w:pPr>
              <w:jc w:val="center"/>
              <w:rPr>
                <w:b/>
                <w:bCs/>
                <w:color w:val="000000"/>
                <w:sz w:val="16"/>
                <w:szCs w:val="16"/>
              </w:rPr>
            </w:pPr>
            <w:r w:rsidRPr="00740FF0">
              <w:rPr>
                <w:b/>
                <w:bCs/>
                <w:color w:val="000000"/>
                <w:sz w:val="16"/>
                <w:szCs w:val="16"/>
              </w:rPr>
              <w:t>Hot zone</w:t>
            </w:r>
            <w:r w:rsidRPr="00740FF0">
              <w:rPr>
                <w:b/>
                <w:bCs/>
                <w:color w:val="000000"/>
                <w:sz w:val="16"/>
                <w:szCs w:val="16"/>
                <w:vertAlign w:val="superscript"/>
              </w:rPr>
              <w:t>¥</w:t>
            </w:r>
          </w:p>
        </w:tc>
      </w:tr>
      <w:tr w:rsidR="00BA1577" w:rsidRPr="00740FF0" w14:paraId="2288D6F4" w14:textId="77777777" w:rsidTr="00681931">
        <w:trPr>
          <w:trHeight w:val="288"/>
          <w:jc w:val="center"/>
        </w:trPr>
        <w:tc>
          <w:tcPr>
            <w:tcW w:w="2430" w:type="dxa"/>
            <w:tcBorders>
              <w:top w:val="single" w:sz="4" w:space="0" w:color="auto"/>
              <w:bottom w:val="dotted" w:sz="4" w:space="0" w:color="auto"/>
            </w:tcBorders>
            <w:noWrap/>
            <w:vAlign w:val="center"/>
            <w:hideMark/>
          </w:tcPr>
          <w:p w14:paraId="3ABDF01D" w14:textId="77777777" w:rsidR="00BA1577" w:rsidRPr="00740FF0" w:rsidRDefault="00BA1577" w:rsidP="00BA1577">
            <w:pPr>
              <w:jc w:val="center"/>
              <w:rPr>
                <w:i/>
                <w:color w:val="000000"/>
                <w:sz w:val="16"/>
                <w:szCs w:val="16"/>
              </w:rPr>
            </w:pPr>
            <w:r w:rsidRPr="00740FF0">
              <w:rPr>
                <w:i/>
                <w:color w:val="000000"/>
                <w:sz w:val="16"/>
                <w:szCs w:val="16"/>
              </w:rPr>
              <w:t>Susceptible</w:t>
            </w:r>
          </w:p>
        </w:tc>
        <w:tc>
          <w:tcPr>
            <w:tcW w:w="1795" w:type="dxa"/>
            <w:tcBorders>
              <w:top w:val="single" w:sz="4" w:space="0" w:color="auto"/>
              <w:bottom w:val="dotted" w:sz="4" w:space="0" w:color="auto"/>
            </w:tcBorders>
            <w:noWrap/>
            <w:vAlign w:val="center"/>
            <w:hideMark/>
          </w:tcPr>
          <w:p w14:paraId="23B16381" w14:textId="77777777" w:rsidR="00BA1577" w:rsidRPr="00740FF0" w:rsidRDefault="00BA1577" w:rsidP="00BA1577">
            <w:pPr>
              <w:jc w:val="center"/>
              <w:rPr>
                <w:color w:val="000000"/>
                <w:sz w:val="16"/>
                <w:szCs w:val="16"/>
              </w:rPr>
            </w:pPr>
            <w:r w:rsidRPr="00740FF0">
              <w:rPr>
                <w:color w:val="000000"/>
                <w:sz w:val="16"/>
                <w:szCs w:val="16"/>
              </w:rPr>
              <w:t>0</w:t>
            </w:r>
          </w:p>
        </w:tc>
        <w:tc>
          <w:tcPr>
            <w:tcW w:w="2345" w:type="dxa"/>
            <w:tcBorders>
              <w:top w:val="single" w:sz="4" w:space="0" w:color="auto"/>
              <w:bottom w:val="dotted" w:sz="4" w:space="0" w:color="auto"/>
            </w:tcBorders>
            <w:noWrap/>
            <w:vAlign w:val="center"/>
            <w:hideMark/>
          </w:tcPr>
          <w:p w14:paraId="6743039C" w14:textId="77777777" w:rsidR="00BA1577" w:rsidRPr="00740FF0" w:rsidRDefault="00BA1577" w:rsidP="00BA1577">
            <w:pPr>
              <w:jc w:val="center"/>
              <w:rPr>
                <w:color w:val="000000"/>
                <w:sz w:val="16"/>
                <w:szCs w:val="16"/>
              </w:rPr>
            </w:pPr>
            <w:r w:rsidRPr="00740FF0">
              <w:rPr>
                <w:color w:val="000000"/>
                <w:sz w:val="16"/>
                <w:szCs w:val="16"/>
              </w:rPr>
              <w:t>0</w:t>
            </w:r>
            <w:r>
              <w:rPr>
                <w:color w:val="000000"/>
                <w:sz w:val="16"/>
                <w:szCs w:val="16"/>
              </w:rPr>
              <w:t>.</w:t>
            </w:r>
            <w:r w:rsidRPr="00740FF0">
              <w:rPr>
                <w:color w:val="000000"/>
                <w:sz w:val="16"/>
                <w:szCs w:val="16"/>
              </w:rPr>
              <w:t>8</w:t>
            </w:r>
          </w:p>
        </w:tc>
        <w:tc>
          <w:tcPr>
            <w:tcW w:w="1800" w:type="dxa"/>
            <w:tcBorders>
              <w:top w:val="single" w:sz="4" w:space="0" w:color="auto"/>
              <w:bottom w:val="dotted" w:sz="4" w:space="0" w:color="auto"/>
            </w:tcBorders>
            <w:noWrap/>
            <w:vAlign w:val="center"/>
            <w:hideMark/>
          </w:tcPr>
          <w:p w14:paraId="10EE56E9" w14:textId="77777777" w:rsidR="00BA1577" w:rsidRPr="00740FF0" w:rsidRDefault="00BA1577" w:rsidP="00BA1577">
            <w:pPr>
              <w:jc w:val="center"/>
              <w:rPr>
                <w:color w:val="000000"/>
                <w:sz w:val="16"/>
                <w:szCs w:val="16"/>
              </w:rPr>
            </w:pPr>
            <w:r w:rsidRPr="00740FF0">
              <w:rPr>
                <w:color w:val="000000"/>
                <w:sz w:val="16"/>
                <w:szCs w:val="16"/>
              </w:rPr>
              <w:t>0</w:t>
            </w:r>
            <w:r>
              <w:rPr>
                <w:color w:val="000000"/>
                <w:sz w:val="16"/>
                <w:szCs w:val="16"/>
              </w:rPr>
              <w:t>.</w:t>
            </w:r>
            <w:r w:rsidRPr="00740FF0">
              <w:rPr>
                <w:color w:val="000000"/>
                <w:sz w:val="16"/>
                <w:szCs w:val="16"/>
              </w:rPr>
              <w:t>2</w:t>
            </w:r>
          </w:p>
        </w:tc>
      </w:tr>
      <w:tr w:rsidR="00BA1577" w:rsidRPr="00740FF0" w14:paraId="5038794F" w14:textId="77777777" w:rsidTr="00681931">
        <w:trPr>
          <w:trHeight w:val="288"/>
          <w:jc w:val="center"/>
        </w:trPr>
        <w:tc>
          <w:tcPr>
            <w:tcW w:w="2430" w:type="dxa"/>
            <w:tcBorders>
              <w:top w:val="dotted" w:sz="4" w:space="0" w:color="auto"/>
              <w:bottom w:val="dotted" w:sz="4" w:space="0" w:color="auto"/>
            </w:tcBorders>
            <w:noWrap/>
            <w:vAlign w:val="center"/>
            <w:hideMark/>
          </w:tcPr>
          <w:p w14:paraId="76AB0BDB" w14:textId="77777777" w:rsidR="00BA1577" w:rsidRPr="00740FF0" w:rsidRDefault="00BA1577" w:rsidP="00BA1577">
            <w:pPr>
              <w:jc w:val="center"/>
              <w:rPr>
                <w:i/>
                <w:color w:val="000000"/>
                <w:sz w:val="16"/>
                <w:szCs w:val="16"/>
              </w:rPr>
            </w:pPr>
            <w:r w:rsidRPr="00740FF0">
              <w:rPr>
                <w:i/>
                <w:color w:val="000000"/>
                <w:sz w:val="16"/>
                <w:szCs w:val="16"/>
              </w:rPr>
              <w:t>Infected</w:t>
            </w:r>
          </w:p>
        </w:tc>
        <w:tc>
          <w:tcPr>
            <w:tcW w:w="1795" w:type="dxa"/>
            <w:tcBorders>
              <w:top w:val="dotted" w:sz="4" w:space="0" w:color="auto"/>
              <w:bottom w:val="dotted" w:sz="4" w:space="0" w:color="auto"/>
            </w:tcBorders>
            <w:noWrap/>
            <w:vAlign w:val="center"/>
            <w:hideMark/>
          </w:tcPr>
          <w:p w14:paraId="1AF2B9C3" w14:textId="77777777" w:rsidR="00BA1577" w:rsidRPr="00740FF0" w:rsidRDefault="00BA1577" w:rsidP="00BA1577">
            <w:pPr>
              <w:jc w:val="center"/>
              <w:rPr>
                <w:color w:val="000000"/>
                <w:sz w:val="16"/>
                <w:szCs w:val="16"/>
              </w:rPr>
            </w:pPr>
            <w:r w:rsidRPr="00740FF0">
              <w:rPr>
                <w:color w:val="000000"/>
                <w:sz w:val="16"/>
                <w:szCs w:val="16"/>
              </w:rPr>
              <w:t>1</w:t>
            </w:r>
          </w:p>
        </w:tc>
        <w:tc>
          <w:tcPr>
            <w:tcW w:w="2345" w:type="dxa"/>
            <w:tcBorders>
              <w:top w:val="dotted" w:sz="4" w:space="0" w:color="auto"/>
              <w:bottom w:val="dotted" w:sz="4" w:space="0" w:color="auto"/>
            </w:tcBorders>
            <w:noWrap/>
            <w:vAlign w:val="center"/>
            <w:hideMark/>
          </w:tcPr>
          <w:p w14:paraId="6CCD2236" w14:textId="77777777" w:rsidR="00BA1577" w:rsidRPr="00740FF0" w:rsidRDefault="00BA1577" w:rsidP="00BA1577">
            <w:pPr>
              <w:jc w:val="center"/>
              <w:rPr>
                <w:color w:val="000000"/>
                <w:sz w:val="16"/>
                <w:szCs w:val="16"/>
              </w:rPr>
            </w:pPr>
            <w:r w:rsidRPr="00740FF0">
              <w:rPr>
                <w:color w:val="000000"/>
                <w:sz w:val="16"/>
                <w:szCs w:val="16"/>
              </w:rPr>
              <w:t>0</w:t>
            </w:r>
          </w:p>
        </w:tc>
        <w:tc>
          <w:tcPr>
            <w:tcW w:w="1800" w:type="dxa"/>
            <w:tcBorders>
              <w:top w:val="dotted" w:sz="4" w:space="0" w:color="auto"/>
              <w:bottom w:val="dotted" w:sz="4" w:space="0" w:color="auto"/>
            </w:tcBorders>
            <w:noWrap/>
            <w:vAlign w:val="center"/>
            <w:hideMark/>
          </w:tcPr>
          <w:p w14:paraId="14A6708C" w14:textId="77777777" w:rsidR="00BA1577" w:rsidRPr="00740FF0" w:rsidRDefault="00BA1577" w:rsidP="00BA1577">
            <w:pPr>
              <w:jc w:val="center"/>
              <w:rPr>
                <w:color w:val="000000"/>
                <w:sz w:val="16"/>
                <w:szCs w:val="16"/>
              </w:rPr>
            </w:pPr>
            <w:r w:rsidRPr="00740FF0">
              <w:rPr>
                <w:color w:val="000000"/>
                <w:sz w:val="16"/>
                <w:szCs w:val="16"/>
              </w:rPr>
              <w:t>0</w:t>
            </w:r>
          </w:p>
        </w:tc>
      </w:tr>
      <w:tr w:rsidR="00BA1577" w:rsidRPr="00740FF0" w14:paraId="4B1488F1" w14:textId="77777777" w:rsidTr="00681931">
        <w:trPr>
          <w:trHeight w:val="288"/>
          <w:jc w:val="center"/>
        </w:trPr>
        <w:tc>
          <w:tcPr>
            <w:tcW w:w="2430" w:type="dxa"/>
            <w:tcBorders>
              <w:top w:val="dotted" w:sz="4" w:space="0" w:color="auto"/>
              <w:bottom w:val="dotted" w:sz="4" w:space="0" w:color="auto"/>
            </w:tcBorders>
            <w:noWrap/>
            <w:vAlign w:val="center"/>
            <w:hideMark/>
          </w:tcPr>
          <w:p w14:paraId="2192AC5C" w14:textId="77777777" w:rsidR="00BA1577" w:rsidRPr="00740FF0" w:rsidRDefault="00BA1577" w:rsidP="00BA1577">
            <w:pPr>
              <w:jc w:val="center"/>
              <w:rPr>
                <w:i/>
                <w:color w:val="000000"/>
                <w:sz w:val="16"/>
                <w:szCs w:val="16"/>
              </w:rPr>
            </w:pPr>
            <w:r w:rsidRPr="00740FF0">
              <w:rPr>
                <w:i/>
                <w:color w:val="000000"/>
                <w:sz w:val="16"/>
                <w:szCs w:val="16"/>
              </w:rPr>
              <w:t>Recovered</w:t>
            </w:r>
          </w:p>
        </w:tc>
        <w:tc>
          <w:tcPr>
            <w:tcW w:w="1795" w:type="dxa"/>
            <w:tcBorders>
              <w:top w:val="dotted" w:sz="4" w:space="0" w:color="auto"/>
              <w:bottom w:val="dotted" w:sz="4" w:space="0" w:color="auto"/>
            </w:tcBorders>
            <w:noWrap/>
            <w:vAlign w:val="center"/>
            <w:hideMark/>
          </w:tcPr>
          <w:p w14:paraId="12EB050A" w14:textId="77777777" w:rsidR="00BA1577" w:rsidRPr="00740FF0" w:rsidRDefault="00BA1577" w:rsidP="00BA1577">
            <w:pPr>
              <w:jc w:val="center"/>
              <w:rPr>
                <w:color w:val="000000"/>
                <w:sz w:val="16"/>
                <w:szCs w:val="16"/>
              </w:rPr>
            </w:pPr>
            <w:r w:rsidRPr="00740FF0">
              <w:rPr>
                <w:color w:val="000000"/>
                <w:sz w:val="16"/>
                <w:szCs w:val="16"/>
              </w:rPr>
              <w:t>0</w:t>
            </w:r>
          </w:p>
        </w:tc>
        <w:tc>
          <w:tcPr>
            <w:tcW w:w="2345" w:type="dxa"/>
            <w:tcBorders>
              <w:top w:val="dotted" w:sz="4" w:space="0" w:color="auto"/>
              <w:bottom w:val="dotted" w:sz="4" w:space="0" w:color="auto"/>
            </w:tcBorders>
            <w:noWrap/>
            <w:vAlign w:val="center"/>
            <w:hideMark/>
          </w:tcPr>
          <w:p w14:paraId="5D2D0C46" w14:textId="77777777" w:rsidR="00BA1577" w:rsidRPr="00740FF0" w:rsidRDefault="00BA1577" w:rsidP="00BA1577">
            <w:pPr>
              <w:jc w:val="center"/>
              <w:rPr>
                <w:color w:val="000000"/>
                <w:sz w:val="16"/>
                <w:szCs w:val="16"/>
              </w:rPr>
            </w:pPr>
            <w:r w:rsidRPr="00740FF0">
              <w:rPr>
                <w:color w:val="000000"/>
                <w:sz w:val="16"/>
                <w:szCs w:val="16"/>
              </w:rPr>
              <w:t>0</w:t>
            </w:r>
            <w:r>
              <w:rPr>
                <w:color w:val="000000"/>
                <w:sz w:val="16"/>
                <w:szCs w:val="16"/>
              </w:rPr>
              <w:t>.</w:t>
            </w:r>
            <w:r w:rsidRPr="00740FF0">
              <w:rPr>
                <w:color w:val="000000"/>
                <w:sz w:val="16"/>
                <w:szCs w:val="16"/>
              </w:rPr>
              <w:t>2</w:t>
            </w:r>
          </w:p>
        </w:tc>
        <w:tc>
          <w:tcPr>
            <w:tcW w:w="1800" w:type="dxa"/>
            <w:tcBorders>
              <w:top w:val="dotted" w:sz="4" w:space="0" w:color="auto"/>
              <w:bottom w:val="dotted" w:sz="4" w:space="0" w:color="auto"/>
            </w:tcBorders>
            <w:noWrap/>
            <w:vAlign w:val="center"/>
            <w:hideMark/>
          </w:tcPr>
          <w:p w14:paraId="243CC9C0" w14:textId="77777777" w:rsidR="00BA1577" w:rsidRPr="00740FF0" w:rsidRDefault="00BA1577" w:rsidP="00BA1577">
            <w:pPr>
              <w:jc w:val="center"/>
              <w:rPr>
                <w:color w:val="000000"/>
                <w:sz w:val="16"/>
                <w:szCs w:val="16"/>
              </w:rPr>
            </w:pPr>
            <w:r w:rsidRPr="00740FF0">
              <w:rPr>
                <w:color w:val="000000"/>
                <w:sz w:val="16"/>
                <w:szCs w:val="16"/>
              </w:rPr>
              <w:t>0</w:t>
            </w:r>
            <w:r>
              <w:rPr>
                <w:color w:val="000000"/>
                <w:sz w:val="16"/>
                <w:szCs w:val="16"/>
              </w:rPr>
              <w:t>.</w:t>
            </w:r>
            <w:r w:rsidRPr="00740FF0">
              <w:rPr>
                <w:color w:val="000000"/>
                <w:sz w:val="16"/>
                <w:szCs w:val="16"/>
              </w:rPr>
              <w:t>8</w:t>
            </w:r>
          </w:p>
        </w:tc>
      </w:tr>
      <w:tr w:rsidR="00BA1577" w:rsidRPr="00740FF0" w14:paraId="6292C852" w14:textId="77777777" w:rsidTr="00681931">
        <w:trPr>
          <w:trHeight w:val="288"/>
          <w:jc w:val="center"/>
        </w:trPr>
        <w:tc>
          <w:tcPr>
            <w:tcW w:w="2430" w:type="dxa"/>
            <w:tcBorders>
              <w:top w:val="dotted" w:sz="4" w:space="0" w:color="auto"/>
              <w:bottom w:val="single" w:sz="4" w:space="0" w:color="7F7F7F" w:themeColor="text1" w:themeTint="80"/>
            </w:tcBorders>
            <w:noWrap/>
            <w:vAlign w:val="center"/>
            <w:hideMark/>
          </w:tcPr>
          <w:p w14:paraId="6DD6563F" w14:textId="77777777" w:rsidR="00BA1577" w:rsidRPr="00740FF0" w:rsidRDefault="00BA1577" w:rsidP="00BA1577">
            <w:pPr>
              <w:jc w:val="center"/>
              <w:rPr>
                <w:i/>
                <w:color w:val="000000"/>
                <w:sz w:val="16"/>
                <w:szCs w:val="16"/>
              </w:rPr>
            </w:pPr>
            <w:r w:rsidRPr="00740FF0">
              <w:rPr>
                <w:i/>
                <w:color w:val="000000"/>
                <w:sz w:val="16"/>
                <w:szCs w:val="16"/>
              </w:rPr>
              <w:t>Unknown</w:t>
            </w:r>
          </w:p>
        </w:tc>
        <w:tc>
          <w:tcPr>
            <w:tcW w:w="1795" w:type="dxa"/>
            <w:tcBorders>
              <w:top w:val="dotted" w:sz="4" w:space="0" w:color="auto"/>
              <w:bottom w:val="single" w:sz="4" w:space="0" w:color="7F7F7F" w:themeColor="text1" w:themeTint="80"/>
            </w:tcBorders>
            <w:noWrap/>
            <w:vAlign w:val="center"/>
            <w:hideMark/>
          </w:tcPr>
          <w:p w14:paraId="52B7A0C7" w14:textId="77777777" w:rsidR="00BA1577" w:rsidRPr="00740FF0" w:rsidRDefault="00BA1577" w:rsidP="00BA1577">
            <w:pPr>
              <w:jc w:val="center"/>
              <w:rPr>
                <w:color w:val="000000"/>
                <w:sz w:val="16"/>
                <w:szCs w:val="16"/>
              </w:rPr>
            </w:pPr>
            <w:r w:rsidRPr="00740FF0">
              <w:rPr>
                <w:color w:val="000000"/>
                <w:sz w:val="16"/>
                <w:szCs w:val="16"/>
              </w:rPr>
              <w:t>0</w:t>
            </w:r>
          </w:p>
        </w:tc>
        <w:tc>
          <w:tcPr>
            <w:tcW w:w="2345" w:type="dxa"/>
            <w:tcBorders>
              <w:top w:val="dotted" w:sz="4" w:space="0" w:color="auto"/>
              <w:bottom w:val="single" w:sz="4" w:space="0" w:color="7F7F7F" w:themeColor="text1" w:themeTint="80"/>
            </w:tcBorders>
            <w:noWrap/>
            <w:vAlign w:val="center"/>
            <w:hideMark/>
          </w:tcPr>
          <w:p w14:paraId="699FCFBA" w14:textId="77777777" w:rsidR="00BA1577" w:rsidRPr="00740FF0" w:rsidRDefault="00BA1577" w:rsidP="00BA1577">
            <w:pPr>
              <w:jc w:val="center"/>
              <w:rPr>
                <w:color w:val="000000"/>
                <w:sz w:val="16"/>
                <w:szCs w:val="16"/>
              </w:rPr>
            </w:pPr>
            <w:r w:rsidRPr="00740FF0">
              <w:rPr>
                <w:color w:val="000000"/>
                <w:sz w:val="16"/>
                <w:szCs w:val="16"/>
              </w:rPr>
              <w:t>0</w:t>
            </w:r>
            <w:r>
              <w:rPr>
                <w:color w:val="000000"/>
                <w:sz w:val="16"/>
                <w:szCs w:val="16"/>
              </w:rPr>
              <w:t>.</w:t>
            </w:r>
            <w:r w:rsidRPr="00740FF0">
              <w:rPr>
                <w:color w:val="000000"/>
                <w:sz w:val="16"/>
                <w:szCs w:val="16"/>
              </w:rPr>
              <w:t>7</w:t>
            </w:r>
          </w:p>
        </w:tc>
        <w:tc>
          <w:tcPr>
            <w:tcW w:w="1800" w:type="dxa"/>
            <w:tcBorders>
              <w:top w:val="dotted" w:sz="4" w:space="0" w:color="auto"/>
              <w:bottom w:val="single" w:sz="4" w:space="0" w:color="7F7F7F" w:themeColor="text1" w:themeTint="80"/>
            </w:tcBorders>
            <w:noWrap/>
            <w:vAlign w:val="center"/>
            <w:hideMark/>
          </w:tcPr>
          <w:p w14:paraId="32F0FFD1" w14:textId="77777777" w:rsidR="00BA1577" w:rsidRPr="00740FF0" w:rsidRDefault="00BA1577" w:rsidP="00BA1577">
            <w:pPr>
              <w:jc w:val="center"/>
              <w:rPr>
                <w:color w:val="000000"/>
                <w:sz w:val="16"/>
                <w:szCs w:val="16"/>
              </w:rPr>
            </w:pPr>
            <w:r w:rsidRPr="00740FF0">
              <w:rPr>
                <w:color w:val="000000"/>
                <w:sz w:val="16"/>
                <w:szCs w:val="16"/>
              </w:rPr>
              <w:t>0</w:t>
            </w:r>
            <w:r>
              <w:rPr>
                <w:color w:val="000000"/>
                <w:sz w:val="16"/>
                <w:szCs w:val="16"/>
              </w:rPr>
              <w:t>.</w:t>
            </w:r>
            <w:r w:rsidRPr="00740FF0">
              <w:rPr>
                <w:color w:val="000000"/>
                <w:sz w:val="16"/>
                <w:szCs w:val="16"/>
              </w:rPr>
              <w:t>3</w:t>
            </w:r>
          </w:p>
        </w:tc>
      </w:tr>
    </w:tbl>
    <w:p w14:paraId="341BD1FF" w14:textId="77777777" w:rsidR="00BA1577" w:rsidRPr="00E46E0D" w:rsidRDefault="00BA1577" w:rsidP="00BA1577">
      <w:pPr>
        <w:rPr>
          <w:rFonts w:eastAsia="Arial"/>
          <w:sz w:val="20"/>
          <w:szCs w:val="20"/>
        </w:rPr>
      </w:pPr>
      <w:r w:rsidRPr="00E46E0D">
        <w:rPr>
          <w:rFonts w:eastAsia="Arial"/>
          <w:b/>
          <w:bCs/>
          <w:i/>
          <w:iCs/>
          <w:sz w:val="20"/>
          <w:szCs w:val="20"/>
        </w:rPr>
        <w:t>*Isolation:</w:t>
      </w:r>
      <w:r w:rsidRPr="00E46E0D">
        <w:rPr>
          <w:rFonts w:eastAsia="Arial"/>
          <w:i/>
          <w:iCs/>
          <w:sz w:val="20"/>
          <w:szCs w:val="20"/>
        </w:rPr>
        <w:t xml:space="preserve"> </w:t>
      </w:r>
      <w:r w:rsidRPr="00E46E0D">
        <w:rPr>
          <w:rFonts w:eastAsia="Arial"/>
          <w:sz w:val="20"/>
          <w:szCs w:val="20"/>
        </w:rPr>
        <w:t xml:space="preserve">The individual undergoing screening is isolated. </w:t>
      </w:r>
      <w:r w:rsidRPr="00E46E0D">
        <w:rPr>
          <w:rFonts w:eastAsia="Arial"/>
          <w:b/>
          <w:bCs/>
          <w:i/>
          <w:iCs/>
          <w:sz w:val="20"/>
          <w:szCs w:val="20"/>
          <w:vertAlign w:val="superscript"/>
        </w:rPr>
        <w:t>†</w:t>
      </w:r>
      <w:r w:rsidRPr="00E46E0D">
        <w:rPr>
          <w:rFonts w:eastAsia="Arial"/>
          <w:b/>
          <w:bCs/>
          <w:i/>
          <w:iCs/>
          <w:sz w:val="20"/>
          <w:szCs w:val="20"/>
        </w:rPr>
        <w:t>Cold zone:</w:t>
      </w:r>
      <w:r w:rsidRPr="00E46E0D">
        <w:rPr>
          <w:rFonts w:eastAsia="Arial"/>
          <w:sz w:val="20"/>
          <w:szCs w:val="20"/>
        </w:rPr>
        <w:t xml:space="preserve"> The individual undergoing screening is assigned to a cold zone and does not interact with any COVID-19 patients. They take social distancing and masking precautions in community settings.</w:t>
      </w:r>
      <w:r w:rsidRPr="00E46E0D">
        <w:rPr>
          <w:rFonts w:eastAsia="Arial"/>
          <w:sz w:val="20"/>
          <w:szCs w:val="20"/>
          <w:vertAlign w:val="superscript"/>
        </w:rPr>
        <w:t xml:space="preserve"> </w:t>
      </w:r>
      <w:r w:rsidRPr="00E46E0D">
        <w:rPr>
          <w:rFonts w:eastAsia="Arial"/>
          <w:b/>
          <w:bCs/>
          <w:i/>
          <w:iCs/>
          <w:sz w:val="20"/>
          <w:szCs w:val="20"/>
          <w:vertAlign w:val="superscript"/>
        </w:rPr>
        <w:t>¥</w:t>
      </w:r>
      <w:r w:rsidRPr="00E46E0D">
        <w:rPr>
          <w:rFonts w:eastAsia="Arial"/>
          <w:b/>
          <w:bCs/>
          <w:i/>
          <w:iCs/>
          <w:sz w:val="20"/>
          <w:szCs w:val="20"/>
        </w:rPr>
        <w:t>Hot zone:</w:t>
      </w:r>
      <w:r w:rsidRPr="00E46E0D">
        <w:rPr>
          <w:rFonts w:eastAsia="Arial"/>
          <w:sz w:val="20"/>
          <w:szCs w:val="20"/>
        </w:rPr>
        <w:t xml:space="preserve"> The individual undergoing screening is assigned to a hot zone and only interacts with COVID-19 patients. They are less strict about social distancing and masking precautions in community settings.</w:t>
      </w:r>
    </w:p>
    <w:p w14:paraId="2A54062B" w14:textId="77777777" w:rsidR="00BA1577" w:rsidRPr="00E46E0D" w:rsidRDefault="00BA1577" w:rsidP="00BA1577">
      <w:pPr>
        <w:rPr>
          <w:rFonts w:eastAsia="Arial"/>
          <w:color w:val="4F81BD"/>
          <w:sz w:val="20"/>
          <w:szCs w:val="20"/>
          <w:highlight w:val="cyan"/>
        </w:rPr>
      </w:pPr>
      <w:r>
        <w:rPr>
          <w:rFonts w:eastAsia="Arial"/>
          <w:color w:val="4F81BD"/>
          <w:sz w:val="20"/>
          <w:szCs w:val="20"/>
          <w:highlight w:val="cyan"/>
        </w:rPr>
        <w:br w:type="page"/>
      </w:r>
    </w:p>
    <w:p w14:paraId="747D73FD" w14:textId="77777777" w:rsidR="00BA1577" w:rsidRPr="00E46E0D" w:rsidRDefault="00BA1577" w:rsidP="00BA1577">
      <w:pPr>
        <w:numPr>
          <w:ilvl w:val="0"/>
          <w:numId w:val="1"/>
        </w:numPr>
        <w:pBdr>
          <w:top w:val="nil"/>
          <w:left w:val="nil"/>
          <w:bottom w:val="nil"/>
          <w:right w:val="nil"/>
          <w:between w:val="nil"/>
        </w:pBdr>
        <w:rPr>
          <w:rFonts w:eastAsia="Arial"/>
          <w:b/>
          <w:color w:val="000000"/>
          <w:sz w:val="20"/>
          <w:szCs w:val="20"/>
        </w:rPr>
      </w:pPr>
      <w:r w:rsidRPr="00E46E0D">
        <w:rPr>
          <w:rFonts w:eastAsia="Arial"/>
          <w:b/>
          <w:color w:val="000000"/>
          <w:sz w:val="20"/>
          <w:szCs w:val="20"/>
        </w:rPr>
        <w:t>Transmissibility</w:t>
      </w:r>
    </w:p>
    <w:p w14:paraId="0BD79EFC" w14:textId="77777777" w:rsidR="00BA1577" w:rsidRPr="00E46E0D" w:rsidRDefault="00BA1577" w:rsidP="00BA1577">
      <w:pPr>
        <w:rPr>
          <w:rFonts w:eastAsia="Arial"/>
          <w:sz w:val="20"/>
          <w:szCs w:val="20"/>
        </w:rPr>
      </w:pPr>
      <w:r w:rsidRPr="00E46E0D">
        <w:rPr>
          <w:rFonts w:eastAsia="Arial"/>
          <w:sz w:val="20"/>
          <w:szCs w:val="20"/>
        </w:rPr>
        <w:t xml:space="preserve">Table III depicts the transmissibility inputs in base-case. It is assumed that HCWs cannot acquire a second infection of SARS-CoV-2 while infected with active virus and recovered individuals can neither acquire nor transmit infection. When an infected HCW is assigned to a COVID-19 cohort, the likelihood of transmitting the virus to others in the hospital decreases because they would be caring for individuals who are already infected and working alongside other HCWs who have recovered. </w:t>
      </w:r>
    </w:p>
    <w:p w14:paraId="69FAD694" w14:textId="77777777" w:rsidR="00BA1577" w:rsidRPr="00E46E0D" w:rsidRDefault="00BA1577" w:rsidP="00BA1577">
      <w:pPr>
        <w:rPr>
          <w:rFonts w:eastAsia="Arial"/>
          <w:sz w:val="20"/>
          <w:szCs w:val="20"/>
        </w:rPr>
      </w:pPr>
    </w:p>
    <w:p w14:paraId="5706CBF9" w14:textId="042C5ED0" w:rsidR="00BA1577" w:rsidRPr="00E46E0D" w:rsidRDefault="00BA1577" w:rsidP="00BA1577">
      <w:pPr>
        <w:rPr>
          <w:sz w:val="20"/>
          <w:szCs w:val="20"/>
        </w:rPr>
      </w:pPr>
      <w:r w:rsidRPr="00E46E0D">
        <w:rPr>
          <w:b/>
          <w:iCs/>
          <w:sz w:val="20"/>
          <w:szCs w:val="20"/>
        </w:rPr>
        <w:t>Table III</w:t>
      </w:r>
      <w:r w:rsidRPr="00E46E0D">
        <w:rPr>
          <w:b/>
          <w:bCs/>
          <w:iCs/>
          <w:sz w:val="20"/>
          <w:szCs w:val="20"/>
        </w:rPr>
        <w:t>.</w:t>
      </w:r>
      <w:r w:rsidRPr="00E46E0D">
        <w:rPr>
          <w:iCs/>
          <w:sz w:val="20"/>
          <w:szCs w:val="20"/>
        </w:rPr>
        <w:t xml:space="preserve"> Transmissibility characteristics of SARS-CoV-2 given different disease states and infection control measures for the HCW being screened. </w:t>
      </w:r>
    </w:p>
    <w:p w14:paraId="3ACBF1FD" w14:textId="4FC11504" w:rsidR="00BA1577" w:rsidRPr="00E46E0D" w:rsidRDefault="00BA1577" w:rsidP="00BA1577">
      <w:pPr>
        <w:pStyle w:val="Caption"/>
        <w:keepNext/>
        <w:spacing w:after="0"/>
        <w:rPr>
          <w:rFonts w:ascii="Times New Roman" w:hAnsi="Times New Roman" w:cs="Times New Roman"/>
          <w:iCs w:val="0"/>
          <w:color w:val="auto"/>
          <w:sz w:val="20"/>
          <w:szCs w:val="20"/>
        </w:rPr>
      </w:pPr>
      <w:r w:rsidRPr="00E46E0D">
        <w:rPr>
          <w:rFonts w:ascii="Times New Roman" w:hAnsi="Times New Roman" w:cs="Times New Roman"/>
          <w:iCs w:val="0"/>
          <w:color w:val="auto"/>
          <w:sz w:val="20"/>
          <w:szCs w:val="20"/>
        </w:rPr>
        <w:t xml:space="preserve">The value </w:t>
      </w:r>
      <w:r w:rsidR="00791A0B">
        <w:rPr>
          <w:rFonts w:ascii="Times New Roman" w:hAnsi="Times New Roman" w:cs="Times New Roman"/>
          <w:iCs w:val="0"/>
          <w:color w:val="auto"/>
          <w:sz w:val="20"/>
          <w:szCs w:val="20"/>
        </w:rPr>
        <w:t>1.4 / 100,000</w:t>
      </w:r>
      <w:r w:rsidRPr="00E46E0D">
        <w:rPr>
          <w:rFonts w:ascii="Times New Roman" w:hAnsi="Times New Roman" w:cs="Times New Roman"/>
          <w:iCs w:val="0"/>
          <w:color w:val="auto"/>
          <w:sz w:val="20"/>
          <w:szCs w:val="20"/>
        </w:rPr>
        <w:t xml:space="preserve"> means that each uninfected HCW has a 1</w:t>
      </w:r>
      <w:r w:rsidR="00791A0B">
        <w:rPr>
          <w:rFonts w:ascii="Times New Roman" w:hAnsi="Times New Roman" w:cs="Times New Roman"/>
          <w:iCs w:val="0"/>
          <w:color w:val="auto"/>
          <w:sz w:val="20"/>
          <w:szCs w:val="20"/>
        </w:rPr>
        <w:t>.4</w:t>
      </w:r>
      <w:r w:rsidRPr="00E46E0D">
        <w:rPr>
          <w:rFonts w:ascii="Times New Roman" w:hAnsi="Times New Roman" w:cs="Times New Roman"/>
          <w:iCs w:val="0"/>
          <w:color w:val="auto"/>
          <w:sz w:val="20"/>
          <w:szCs w:val="20"/>
        </w:rPr>
        <w:t xml:space="preserve"> in 100</w:t>
      </w:r>
      <w:r w:rsidR="00791A0B">
        <w:rPr>
          <w:rFonts w:ascii="Times New Roman" w:hAnsi="Times New Roman" w:cs="Times New Roman"/>
          <w:iCs w:val="0"/>
          <w:color w:val="auto"/>
          <w:sz w:val="20"/>
          <w:szCs w:val="20"/>
        </w:rPr>
        <w:t>,00</w:t>
      </w:r>
      <w:r w:rsidRPr="00E46E0D">
        <w:rPr>
          <w:rFonts w:ascii="Times New Roman" w:hAnsi="Times New Roman" w:cs="Times New Roman"/>
          <w:iCs w:val="0"/>
          <w:color w:val="auto"/>
          <w:sz w:val="20"/>
          <w:szCs w:val="20"/>
        </w:rPr>
        <w:t>0 risk of acquiring COVID-19 in the community setting over two weeks if isolated (assuming imperfect isolation and 10% the chance of acquisition as being assigned to the cold zone). The value 0</w:t>
      </w:r>
      <w:r>
        <w:rPr>
          <w:rFonts w:ascii="Times New Roman" w:hAnsi="Times New Roman" w:cs="Times New Roman"/>
          <w:iCs w:val="0"/>
          <w:color w:val="auto"/>
          <w:sz w:val="20"/>
          <w:szCs w:val="20"/>
        </w:rPr>
        <w:t>.</w:t>
      </w:r>
      <w:r w:rsidR="00791A0B">
        <w:rPr>
          <w:rFonts w:ascii="Times New Roman" w:hAnsi="Times New Roman" w:cs="Times New Roman"/>
          <w:iCs w:val="0"/>
          <w:color w:val="auto"/>
          <w:sz w:val="20"/>
          <w:szCs w:val="20"/>
        </w:rPr>
        <w:t>2</w:t>
      </w:r>
      <w:r w:rsidRPr="00E46E0D">
        <w:rPr>
          <w:rFonts w:ascii="Times New Roman" w:hAnsi="Times New Roman" w:cs="Times New Roman"/>
          <w:iCs w:val="0"/>
          <w:color w:val="auto"/>
          <w:sz w:val="20"/>
          <w:szCs w:val="20"/>
        </w:rPr>
        <w:t xml:space="preserve"> means that an infected individual who is isolated will cause 0</w:t>
      </w:r>
      <w:r>
        <w:rPr>
          <w:rFonts w:ascii="Times New Roman" w:hAnsi="Times New Roman" w:cs="Times New Roman"/>
          <w:iCs w:val="0"/>
          <w:color w:val="auto"/>
          <w:sz w:val="20"/>
          <w:szCs w:val="20"/>
        </w:rPr>
        <w:t>.</w:t>
      </w:r>
      <w:r w:rsidR="00791A0B">
        <w:rPr>
          <w:rFonts w:ascii="Times New Roman" w:hAnsi="Times New Roman" w:cs="Times New Roman"/>
          <w:iCs w:val="0"/>
          <w:color w:val="auto"/>
          <w:sz w:val="20"/>
          <w:szCs w:val="20"/>
        </w:rPr>
        <w:t>2</w:t>
      </w:r>
      <w:r w:rsidRPr="00E46E0D">
        <w:rPr>
          <w:rFonts w:ascii="Times New Roman" w:hAnsi="Times New Roman" w:cs="Times New Roman"/>
          <w:iCs w:val="0"/>
          <w:color w:val="auto"/>
          <w:sz w:val="20"/>
          <w:szCs w:val="20"/>
        </w:rPr>
        <w:t xml:space="preserve"> new infections in the community setting over two weeks (assuming imperfect isolation and 25% the chance of transmission as bein</w:t>
      </w:r>
      <w:r>
        <w:rPr>
          <w:rFonts w:ascii="Times New Roman" w:hAnsi="Times New Roman" w:cs="Times New Roman"/>
          <w:iCs w:val="0"/>
          <w:color w:val="auto"/>
          <w:sz w:val="20"/>
          <w:szCs w:val="20"/>
        </w:rPr>
        <w:t>g</w:t>
      </w:r>
      <w:r w:rsidRPr="00E46E0D">
        <w:rPr>
          <w:rFonts w:ascii="Times New Roman" w:hAnsi="Times New Roman" w:cs="Times New Roman"/>
          <w:iCs w:val="0"/>
          <w:color w:val="auto"/>
          <w:sz w:val="20"/>
          <w:szCs w:val="20"/>
        </w:rPr>
        <w:t xml:space="preserve"> assigned to the cold zone).</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1537"/>
        <w:gridCol w:w="1487"/>
        <w:gridCol w:w="1151"/>
        <w:gridCol w:w="245"/>
        <w:gridCol w:w="1167"/>
        <w:gridCol w:w="1284"/>
        <w:gridCol w:w="1204"/>
      </w:tblGrid>
      <w:tr w:rsidR="00BA1577" w:rsidRPr="00740FF0" w14:paraId="37751183" w14:textId="77777777" w:rsidTr="00681931">
        <w:trPr>
          <w:trHeight w:val="318"/>
        </w:trPr>
        <w:tc>
          <w:tcPr>
            <w:tcW w:w="1285" w:type="dxa"/>
            <w:vMerge w:val="restart"/>
            <w:noWrap/>
            <w:vAlign w:val="bottom"/>
            <w:hideMark/>
          </w:tcPr>
          <w:p w14:paraId="3D0F4B48" w14:textId="77777777" w:rsidR="00BA1577" w:rsidRPr="00740FF0" w:rsidRDefault="00BA1577" w:rsidP="00BA1577">
            <w:pPr>
              <w:jc w:val="center"/>
              <w:rPr>
                <w:b/>
                <w:bCs/>
                <w:color w:val="000000"/>
                <w:sz w:val="16"/>
                <w:szCs w:val="16"/>
              </w:rPr>
            </w:pPr>
            <w:r w:rsidRPr="00740FF0">
              <w:rPr>
                <w:b/>
                <w:bCs/>
                <w:color w:val="000000"/>
                <w:sz w:val="16"/>
                <w:szCs w:val="16"/>
              </w:rPr>
              <w:t>True disease status</w:t>
            </w:r>
          </w:p>
        </w:tc>
        <w:tc>
          <w:tcPr>
            <w:tcW w:w="4175" w:type="dxa"/>
            <w:gridSpan w:val="3"/>
            <w:tcBorders>
              <w:bottom w:val="single" w:sz="4" w:space="0" w:color="auto"/>
            </w:tcBorders>
            <w:noWrap/>
            <w:vAlign w:val="center"/>
            <w:hideMark/>
          </w:tcPr>
          <w:p w14:paraId="0EC7D0DE" w14:textId="77777777" w:rsidR="00BA1577" w:rsidRPr="00740FF0" w:rsidRDefault="00BA1577" w:rsidP="00BA1577">
            <w:pPr>
              <w:jc w:val="center"/>
              <w:rPr>
                <w:b/>
                <w:bCs/>
                <w:color w:val="000000"/>
                <w:sz w:val="16"/>
                <w:szCs w:val="16"/>
              </w:rPr>
            </w:pPr>
            <w:r w:rsidRPr="00740FF0">
              <w:rPr>
                <w:b/>
                <w:bCs/>
                <w:color w:val="000000"/>
                <w:sz w:val="16"/>
                <w:szCs w:val="16"/>
              </w:rPr>
              <w:t>Probability of acquisition in community setting</w:t>
            </w:r>
          </w:p>
        </w:tc>
        <w:tc>
          <w:tcPr>
            <w:tcW w:w="245" w:type="dxa"/>
            <w:noWrap/>
            <w:vAlign w:val="center"/>
            <w:hideMark/>
          </w:tcPr>
          <w:p w14:paraId="22A4819C" w14:textId="77777777" w:rsidR="00BA1577" w:rsidRPr="00740FF0" w:rsidRDefault="00BA1577" w:rsidP="00BA1577">
            <w:pPr>
              <w:jc w:val="center"/>
              <w:rPr>
                <w:b/>
                <w:bCs/>
                <w:color w:val="000000"/>
                <w:sz w:val="16"/>
                <w:szCs w:val="16"/>
              </w:rPr>
            </w:pPr>
          </w:p>
        </w:tc>
        <w:tc>
          <w:tcPr>
            <w:tcW w:w="3655" w:type="dxa"/>
            <w:gridSpan w:val="3"/>
            <w:tcBorders>
              <w:bottom w:val="single" w:sz="4" w:space="0" w:color="auto"/>
            </w:tcBorders>
            <w:noWrap/>
            <w:vAlign w:val="center"/>
            <w:hideMark/>
          </w:tcPr>
          <w:p w14:paraId="1C0CF08D" w14:textId="77777777" w:rsidR="00BA1577" w:rsidRPr="00740FF0" w:rsidRDefault="00BA1577" w:rsidP="00BA1577">
            <w:pPr>
              <w:jc w:val="center"/>
              <w:rPr>
                <w:b/>
                <w:bCs/>
                <w:color w:val="000000"/>
                <w:sz w:val="16"/>
                <w:szCs w:val="16"/>
              </w:rPr>
            </w:pPr>
            <w:r w:rsidRPr="00740FF0">
              <w:rPr>
                <w:b/>
                <w:bCs/>
                <w:color w:val="000000"/>
                <w:sz w:val="16"/>
                <w:szCs w:val="16"/>
              </w:rPr>
              <w:t># of infections transmitted in community setting</w:t>
            </w:r>
          </w:p>
        </w:tc>
      </w:tr>
      <w:tr w:rsidR="00BA1577" w:rsidRPr="00740FF0" w14:paraId="0E34C048" w14:textId="77777777" w:rsidTr="00681931">
        <w:trPr>
          <w:trHeight w:val="638"/>
        </w:trPr>
        <w:tc>
          <w:tcPr>
            <w:tcW w:w="1285" w:type="dxa"/>
            <w:vMerge/>
            <w:tcBorders>
              <w:bottom w:val="single" w:sz="4" w:space="0" w:color="7F7F7F" w:themeColor="text1" w:themeTint="80"/>
            </w:tcBorders>
            <w:noWrap/>
            <w:vAlign w:val="center"/>
            <w:hideMark/>
          </w:tcPr>
          <w:p w14:paraId="212DA296" w14:textId="77777777" w:rsidR="00BA1577" w:rsidRPr="00740FF0" w:rsidRDefault="00BA1577" w:rsidP="00BA1577">
            <w:pPr>
              <w:jc w:val="center"/>
              <w:rPr>
                <w:color w:val="000000"/>
                <w:sz w:val="16"/>
                <w:szCs w:val="16"/>
              </w:rPr>
            </w:pPr>
          </w:p>
        </w:tc>
        <w:tc>
          <w:tcPr>
            <w:tcW w:w="1537" w:type="dxa"/>
            <w:tcBorders>
              <w:top w:val="single" w:sz="4" w:space="0" w:color="auto"/>
              <w:bottom w:val="single" w:sz="4" w:space="0" w:color="7F7F7F" w:themeColor="text1" w:themeTint="80"/>
            </w:tcBorders>
            <w:noWrap/>
            <w:vAlign w:val="center"/>
            <w:hideMark/>
          </w:tcPr>
          <w:p w14:paraId="6EC31FB8" w14:textId="77777777" w:rsidR="00BA1577" w:rsidRPr="00740FF0" w:rsidRDefault="00BA1577" w:rsidP="00BA1577">
            <w:pPr>
              <w:jc w:val="center"/>
              <w:rPr>
                <w:b/>
                <w:bCs/>
                <w:color w:val="000000"/>
                <w:sz w:val="16"/>
                <w:szCs w:val="16"/>
              </w:rPr>
            </w:pPr>
            <w:r w:rsidRPr="00740FF0">
              <w:rPr>
                <w:b/>
                <w:bCs/>
                <w:color w:val="000000"/>
                <w:sz w:val="16"/>
                <w:szCs w:val="16"/>
              </w:rPr>
              <w:t>Isolation*</w:t>
            </w:r>
          </w:p>
        </w:tc>
        <w:tc>
          <w:tcPr>
            <w:tcW w:w="1487" w:type="dxa"/>
            <w:tcBorders>
              <w:top w:val="single" w:sz="4" w:space="0" w:color="auto"/>
              <w:bottom w:val="single" w:sz="4" w:space="0" w:color="7F7F7F" w:themeColor="text1" w:themeTint="80"/>
            </w:tcBorders>
            <w:noWrap/>
            <w:vAlign w:val="center"/>
            <w:hideMark/>
          </w:tcPr>
          <w:p w14:paraId="4EA4BDC5" w14:textId="77777777" w:rsidR="00BA1577" w:rsidRPr="00740FF0" w:rsidRDefault="00BA1577" w:rsidP="00BA1577">
            <w:pPr>
              <w:jc w:val="center"/>
              <w:rPr>
                <w:b/>
                <w:bCs/>
                <w:color w:val="000000"/>
                <w:sz w:val="16"/>
                <w:szCs w:val="16"/>
              </w:rPr>
            </w:pPr>
            <w:r w:rsidRPr="00740FF0">
              <w:rPr>
                <w:b/>
                <w:bCs/>
                <w:color w:val="000000"/>
                <w:sz w:val="16"/>
                <w:szCs w:val="16"/>
              </w:rPr>
              <w:t>Cold zone</w:t>
            </w:r>
            <w:r w:rsidRPr="00740FF0">
              <w:rPr>
                <w:b/>
                <w:bCs/>
                <w:color w:val="000000"/>
                <w:sz w:val="16"/>
                <w:szCs w:val="16"/>
                <w:vertAlign w:val="superscript"/>
              </w:rPr>
              <w:t>†</w:t>
            </w:r>
          </w:p>
        </w:tc>
        <w:tc>
          <w:tcPr>
            <w:tcW w:w="1151" w:type="dxa"/>
            <w:tcBorders>
              <w:top w:val="single" w:sz="4" w:space="0" w:color="auto"/>
              <w:bottom w:val="single" w:sz="4" w:space="0" w:color="7F7F7F" w:themeColor="text1" w:themeTint="80"/>
            </w:tcBorders>
            <w:noWrap/>
            <w:vAlign w:val="center"/>
            <w:hideMark/>
          </w:tcPr>
          <w:p w14:paraId="21110603" w14:textId="77777777" w:rsidR="00BA1577" w:rsidRPr="00740FF0" w:rsidRDefault="00BA1577" w:rsidP="00BA1577">
            <w:pPr>
              <w:jc w:val="center"/>
              <w:rPr>
                <w:b/>
                <w:bCs/>
                <w:color w:val="000000"/>
                <w:sz w:val="16"/>
                <w:szCs w:val="16"/>
              </w:rPr>
            </w:pPr>
            <w:r w:rsidRPr="00740FF0">
              <w:rPr>
                <w:b/>
                <w:bCs/>
                <w:color w:val="000000"/>
                <w:sz w:val="16"/>
                <w:szCs w:val="16"/>
              </w:rPr>
              <w:t>Hot zone</w:t>
            </w:r>
            <w:r w:rsidRPr="00740FF0">
              <w:rPr>
                <w:b/>
                <w:bCs/>
                <w:color w:val="000000"/>
                <w:sz w:val="16"/>
                <w:szCs w:val="16"/>
                <w:vertAlign w:val="superscript"/>
              </w:rPr>
              <w:t>¥</w:t>
            </w:r>
          </w:p>
        </w:tc>
        <w:tc>
          <w:tcPr>
            <w:tcW w:w="245" w:type="dxa"/>
            <w:tcBorders>
              <w:bottom w:val="single" w:sz="4" w:space="0" w:color="7F7F7F" w:themeColor="text1" w:themeTint="80"/>
            </w:tcBorders>
            <w:noWrap/>
            <w:vAlign w:val="center"/>
            <w:hideMark/>
          </w:tcPr>
          <w:p w14:paraId="25205398" w14:textId="77777777" w:rsidR="00BA1577" w:rsidRPr="00740FF0" w:rsidRDefault="00BA1577" w:rsidP="00BA1577">
            <w:pPr>
              <w:jc w:val="center"/>
              <w:rPr>
                <w:b/>
                <w:bCs/>
                <w:color w:val="000000"/>
                <w:sz w:val="16"/>
                <w:szCs w:val="16"/>
              </w:rPr>
            </w:pPr>
          </w:p>
        </w:tc>
        <w:tc>
          <w:tcPr>
            <w:tcW w:w="1167" w:type="dxa"/>
            <w:tcBorders>
              <w:top w:val="single" w:sz="4" w:space="0" w:color="auto"/>
              <w:bottom w:val="single" w:sz="4" w:space="0" w:color="7F7F7F" w:themeColor="text1" w:themeTint="80"/>
            </w:tcBorders>
            <w:noWrap/>
            <w:vAlign w:val="center"/>
            <w:hideMark/>
          </w:tcPr>
          <w:p w14:paraId="6433B207" w14:textId="77777777" w:rsidR="00BA1577" w:rsidRPr="00740FF0" w:rsidRDefault="00BA1577" w:rsidP="00BA1577">
            <w:pPr>
              <w:jc w:val="center"/>
              <w:rPr>
                <w:b/>
                <w:bCs/>
                <w:color w:val="000000"/>
                <w:sz w:val="16"/>
                <w:szCs w:val="16"/>
              </w:rPr>
            </w:pPr>
            <w:r w:rsidRPr="00740FF0">
              <w:rPr>
                <w:b/>
                <w:bCs/>
                <w:color w:val="000000"/>
                <w:sz w:val="16"/>
                <w:szCs w:val="16"/>
              </w:rPr>
              <w:t>Isolation*</w:t>
            </w:r>
          </w:p>
        </w:tc>
        <w:tc>
          <w:tcPr>
            <w:tcW w:w="1284" w:type="dxa"/>
            <w:tcBorders>
              <w:top w:val="single" w:sz="4" w:space="0" w:color="auto"/>
              <w:bottom w:val="single" w:sz="4" w:space="0" w:color="7F7F7F" w:themeColor="text1" w:themeTint="80"/>
            </w:tcBorders>
            <w:noWrap/>
            <w:vAlign w:val="center"/>
            <w:hideMark/>
          </w:tcPr>
          <w:p w14:paraId="2E419F25" w14:textId="77777777" w:rsidR="00BA1577" w:rsidRPr="00740FF0" w:rsidRDefault="00BA1577" w:rsidP="00BA1577">
            <w:pPr>
              <w:jc w:val="center"/>
              <w:rPr>
                <w:b/>
                <w:bCs/>
                <w:color w:val="000000"/>
                <w:sz w:val="16"/>
                <w:szCs w:val="16"/>
              </w:rPr>
            </w:pPr>
            <w:r w:rsidRPr="00740FF0">
              <w:rPr>
                <w:b/>
                <w:bCs/>
                <w:color w:val="000000"/>
                <w:sz w:val="16"/>
                <w:szCs w:val="16"/>
              </w:rPr>
              <w:t>Cold zone</w:t>
            </w:r>
            <w:r w:rsidRPr="00740FF0">
              <w:rPr>
                <w:b/>
                <w:bCs/>
                <w:color w:val="000000"/>
                <w:sz w:val="16"/>
                <w:szCs w:val="16"/>
                <w:vertAlign w:val="superscript"/>
              </w:rPr>
              <w:t>†</w:t>
            </w:r>
          </w:p>
        </w:tc>
        <w:tc>
          <w:tcPr>
            <w:tcW w:w="1204" w:type="dxa"/>
            <w:tcBorders>
              <w:top w:val="single" w:sz="4" w:space="0" w:color="auto"/>
              <w:bottom w:val="single" w:sz="4" w:space="0" w:color="7F7F7F" w:themeColor="text1" w:themeTint="80"/>
            </w:tcBorders>
            <w:noWrap/>
            <w:vAlign w:val="center"/>
            <w:hideMark/>
          </w:tcPr>
          <w:p w14:paraId="268317CC" w14:textId="77777777" w:rsidR="00BA1577" w:rsidRPr="00740FF0" w:rsidRDefault="00BA1577" w:rsidP="00BA1577">
            <w:pPr>
              <w:jc w:val="center"/>
              <w:rPr>
                <w:b/>
                <w:bCs/>
                <w:color w:val="000000"/>
                <w:sz w:val="16"/>
                <w:szCs w:val="16"/>
              </w:rPr>
            </w:pPr>
            <w:r w:rsidRPr="00740FF0">
              <w:rPr>
                <w:b/>
                <w:bCs/>
                <w:color w:val="000000"/>
                <w:sz w:val="16"/>
                <w:szCs w:val="16"/>
              </w:rPr>
              <w:t>Hot zone</w:t>
            </w:r>
            <w:r w:rsidRPr="00740FF0">
              <w:rPr>
                <w:b/>
                <w:bCs/>
                <w:color w:val="000000"/>
                <w:sz w:val="16"/>
                <w:szCs w:val="16"/>
                <w:vertAlign w:val="superscript"/>
              </w:rPr>
              <w:t>¥</w:t>
            </w:r>
          </w:p>
        </w:tc>
      </w:tr>
      <w:tr w:rsidR="00BA1577" w:rsidRPr="00740FF0" w14:paraId="5A4AAB04" w14:textId="77777777" w:rsidTr="00681931">
        <w:trPr>
          <w:trHeight w:val="318"/>
        </w:trPr>
        <w:tc>
          <w:tcPr>
            <w:tcW w:w="1285" w:type="dxa"/>
            <w:tcBorders>
              <w:top w:val="single" w:sz="4" w:space="0" w:color="7F7F7F" w:themeColor="text1" w:themeTint="80"/>
              <w:bottom w:val="dotted" w:sz="4" w:space="0" w:color="auto"/>
            </w:tcBorders>
            <w:noWrap/>
            <w:vAlign w:val="center"/>
            <w:hideMark/>
          </w:tcPr>
          <w:p w14:paraId="18C15576" w14:textId="77777777" w:rsidR="00BA1577" w:rsidRPr="00740FF0" w:rsidRDefault="00BA1577" w:rsidP="00BA1577">
            <w:pPr>
              <w:jc w:val="center"/>
              <w:rPr>
                <w:color w:val="000000"/>
                <w:sz w:val="16"/>
                <w:szCs w:val="16"/>
              </w:rPr>
            </w:pPr>
            <w:r w:rsidRPr="00740FF0">
              <w:rPr>
                <w:color w:val="000000"/>
                <w:sz w:val="16"/>
                <w:szCs w:val="16"/>
              </w:rPr>
              <w:t>Susceptible</w:t>
            </w:r>
          </w:p>
        </w:tc>
        <w:tc>
          <w:tcPr>
            <w:tcW w:w="1537" w:type="dxa"/>
            <w:tcBorders>
              <w:top w:val="single" w:sz="4" w:space="0" w:color="7F7F7F" w:themeColor="text1" w:themeTint="80"/>
              <w:bottom w:val="dotted" w:sz="4" w:space="0" w:color="auto"/>
            </w:tcBorders>
            <w:noWrap/>
            <w:vAlign w:val="center"/>
            <w:hideMark/>
          </w:tcPr>
          <w:p w14:paraId="4BF85866" w14:textId="5AC6B200" w:rsidR="00BA1577" w:rsidRPr="00740FF0" w:rsidRDefault="001607C4" w:rsidP="00BA1577">
            <w:pPr>
              <w:jc w:val="center"/>
              <w:rPr>
                <w:color w:val="000000"/>
                <w:sz w:val="16"/>
                <w:szCs w:val="16"/>
              </w:rPr>
            </w:pPr>
            <w:r>
              <w:rPr>
                <w:color w:val="000000"/>
                <w:sz w:val="16"/>
                <w:szCs w:val="16"/>
              </w:rPr>
              <w:t>1.4</w:t>
            </w:r>
            <w:r w:rsidR="00791A0B">
              <w:rPr>
                <w:color w:val="000000"/>
                <w:sz w:val="16"/>
                <w:szCs w:val="16"/>
              </w:rPr>
              <w:t xml:space="preserve"> / 100,00</w:t>
            </w:r>
          </w:p>
        </w:tc>
        <w:tc>
          <w:tcPr>
            <w:tcW w:w="1487" w:type="dxa"/>
            <w:tcBorders>
              <w:top w:val="single" w:sz="4" w:space="0" w:color="7F7F7F" w:themeColor="text1" w:themeTint="80"/>
              <w:bottom w:val="dotted" w:sz="4" w:space="0" w:color="auto"/>
            </w:tcBorders>
            <w:noWrap/>
            <w:vAlign w:val="center"/>
            <w:hideMark/>
          </w:tcPr>
          <w:p w14:paraId="1164144E" w14:textId="734D1ACE" w:rsidR="00BA1577" w:rsidRPr="00740FF0" w:rsidRDefault="001607C4" w:rsidP="00BA1577">
            <w:pPr>
              <w:jc w:val="center"/>
              <w:rPr>
                <w:color w:val="000000"/>
                <w:sz w:val="16"/>
                <w:szCs w:val="16"/>
              </w:rPr>
            </w:pPr>
            <w:r>
              <w:rPr>
                <w:color w:val="000000"/>
                <w:sz w:val="16"/>
                <w:szCs w:val="16"/>
              </w:rPr>
              <w:t>4.2</w:t>
            </w:r>
            <w:r w:rsidR="00791A0B">
              <w:rPr>
                <w:color w:val="000000"/>
                <w:sz w:val="16"/>
                <w:szCs w:val="16"/>
              </w:rPr>
              <w:t xml:space="preserve"> / 100,000</w:t>
            </w:r>
          </w:p>
        </w:tc>
        <w:tc>
          <w:tcPr>
            <w:tcW w:w="1151" w:type="dxa"/>
            <w:tcBorders>
              <w:top w:val="single" w:sz="4" w:space="0" w:color="7F7F7F" w:themeColor="text1" w:themeTint="80"/>
              <w:bottom w:val="dotted" w:sz="4" w:space="0" w:color="auto"/>
            </w:tcBorders>
            <w:noWrap/>
            <w:vAlign w:val="center"/>
            <w:hideMark/>
          </w:tcPr>
          <w:p w14:paraId="476BA03E" w14:textId="0A96FE61" w:rsidR="00BA1577" w:rsidRPr="00740FF0" w:rsidRDefault="00791A0B" w:rsidP="00BA1577">
            <w:pPr>
              <w:jc w:val="center"/>
              <w:rPr>
                <w:color w:val="000000"/>
                <w:sz w:val="16"/>
                <w:szCs w:val="16"/>
              </w:rPr>
            </w:pPr>
            <w:r>
              <w:rPr>
                <w:color w:val="000000"/>
                <w:sz w:val="16"/>
                <w:szCs w:val="16"/>
              </w:rPr>
              <w:t>6.2 / 100,000</w:t>
            </w:r>
          </w:p>
        </w:tc>
        <w:tc>
          <w:tcPr>
            <w:tcW w:w="245" w:type="dxa"/>
            <w:tcBorders>
              <w:top w:val="single" w:sz="4" w:space="0" w:color="7F7F7F" w:themeColor="text1" w:themeTint="80"/>
              <w:bottom w:val="dotted" w:sz="4" w:space="0" w:color="auto"/>
            </w:tcBorders>
            <w:noWrap/>
            <w:vAlign w:val="center"/>
            <w:hideMark/>
          </w:tcPr>
          <w:p w14:paraId="06EF554D" w14:textId="77777777" w:rsidR="00BA1577" w:rsidRPr="00740FF0" w:rsidRDefault="00BA1577" w:rsidP="00BA1577">
            <w:pPr>
              <w:jc w:val="center"/>
              <w:rPr>
                <w:color w:val="000000"/>
                <w:sz w:val="16"/>
                <w:szCs w:val="16"/>
              </w:rPr>
            </w:pPr>
          </w:p>
        </w:tc>
        <w:tc>
          <w:tcPr>
            <w:tcW w:w="1167" w:type="dxa"/>
            <w:tcBorders>
              <w:top w:val="single" w:sz="4" w:space="0" w:color="7F7F7F" w:themeColor="text1" w:themeTint="80"/>
              <w:bottom w:val="dotted" w:sz="4" w:space="0" w:color="auto"/>
            </w:tcBorders>
            <w:noWrap/>
            <w:vAlign w:val="center"/>
            <w:hideMark/>
          </w:tcPr>
          <w:p w14:paraId="26A8183B" w14:textId="77777777" w:rsidR="00BA1577" w:rsidRPr="00740FF0" w:rsidRDefault="00BA1577" w:rsidP="00BA1577">
            <w:pPr>
              <w:jc w:val="center"/>
              <w:rPr>
                <w:color w:val="000000"/>
                <w:sz w:val="16"/>
                <w:szCs w:val="16"/>
              </w:rPr>
            </w:pPr>
            <w:r w:rsidRPr="00740FF0">
              <w:rPr>
                <w:color w:val="000000"/>
                <w:sz w:val="16"/>
                <w:szCs w:val="16"/>
              </w:rPr>
              <w:t>0</w:t>
            </w:r>
          </w:p>
        </w:tc>
        <w:tc>
          <w:tcPr>
            <w:tcW w:w="1284" w:type="dxa"/>
            <w:tcBorders>
              <w:top w:val="single" w:sz="4" w:space="0" w:color="7F7F7F" w:themeColor="text1" w:themeTint="80"/>
              <w:bottom w:val="dotted" w:sz="4" w:space="0" w:color="auto"/>
            </w:tcBorders>
            <w:noWrap/>
            <w:vAlign w:val="center"/>
            <w:hideMark/>
          </w:tcPr>
          <w:p w14:paraId="19B65E30" w14:textId="77777777" w:rsidR="00BA1577" w:rsidRPr="00740FF0" w:rsidRDefault="00BA1577" w:rsidP="00BA1577">
            <w:pPr>
              <w:jc w:val="center"/>
              <w:rPr>
                <w:color w:val="000000"/>
                <w:sz w:val="16"/>
                <w:szCs w:val="16"/>
              </w:rPr>
            </w:pPr>
            <w:r w:rsidRPr="00740FF0">
              <w:rPr>
                <w:color w:val="000000"/>
                <w:sz w:val="16"/>
                <w:szCs w:val="16"/>
              </w:rPr>
              <w:t>0</w:t>
            </w:r>
          </w:p>
        </w:tc>
        <w:tc>
          <w:tcPr>
            <w:tcW w:w="1204" w:type="dxa"/>
            <w:tcBorders>
              <w:top w:val="single" w:sz="4" w:space="0" w:color="7F7F7F" w:themeColor="text1" w:themeTint="80"/>
              <w:bottom w:val="dotted" w:sz="4" w:space="0" w:color="auto"/>
            </w:tcBorders>
            <w:noWrap/>
            <w:vAlign w:val="center"/>
            <w:hideMark/>
          </w:tcPr>
          <w:p w14:paraId="0448073F" w14:textId="77777777" w:rsidR="00BA1577" w:rsidRPr="00740FF0" w:rsidRDefault="00BA1577" w:rsidP="00BA1577">
            <w:pPr>
              <w:jc w:val="center"/>
              <w:rPr>
                <w:color w:val="000000"/>
                <w:sz w:val="16"/>
                <w:szCs w:val="16"/>
              </w:rPr>
            </w:pPr>
            <w:r w:rsidRPr="00740FF0">
              <w:rPr>
                <w:color w:val="000000"/>
                <w:sz w:val="16"/>
                <w:szCs w:val="16"/>
              </w:rPr>
              <w:t>0</w:t>
            </w:r>
          </w:p>
        </w:tc>
      </w:tr>
      <w:tr w:rsidR="00BA1577" w:rsidRPr="00740FF0" w14:paraId="3BBC99AB" w14:textId="77777777" w:rsidTr="00681931">
        <w:trPr>
          <w:trHeight w:val="318"/>
        </w:trPr>
        <w:tc>
          <w:tcPr>
            <w:tcW w:w="1285" w:type="dxa"/>
            <w:tcBorders>
              <w:top w:val="dotted" w:sz="4" w:space="0" w:color="auto"/>
              <w:bottom w:val="dotted" w:sz="4" w:space="0" w:color="auto"/>
            </w:tcBorders>
            <w:noWrap/>
            <w:vAlign w:val="center"/>
            <w:hideMark/>
          </w:tcPr>
          <w:p w14:paraId="7D8F9BF4" w14:textId="77777777" w:rsidR="00BA1577" w:rsidRPr="00740FF0" w:rsidRDefault="00BA1577" w:rsidP="00BA1577">
            <w:pPr>
              <w:jc w:val="center"/>
              <w:rPr>
                <w:color w:val="000000"/>
                <w:sz w:val="16"/>
                <w:szCs w:val="16"/>
              </w:rPr>
            </w:pPr>
            <w:r w:rsidRPr="00740FF0">
              <w:rPr>
                <w:color w:val="000000"/>
                <w:sz w:val="16"/>
                <w:szCs w:val="16"/>
              </w:rPr>
              <w:t>Infected</w:t>
            </w:r>
          </w:p>
        </w:tc>
        <w:tc>
          <w:tcPr>
            <w:tcW w:w="1537" w:type="dxa"/>
            <w:tcBorders>
              <w:top w:val="dotted" w:sz="4" w:space="0" w:color="auto"/>
              <w:bottom w:val="dotted" w:sz="4" w:space="0" w:color="auto"/>
            </w:tcBorders>
            <w:noWrap/>
            <w:vAlign w:val="center"/>
            <w:hideMark/>
          </w:tcPr>
          <w:p w14:paraId="095EE83D" w14:textId="77777777" w:rsidR="00BA1577" w:rsidRPr="00740FF0" w:rsidRDefault="00BA1577" w:rsidP="00BA1577">
            <w:pPr>
              <w:jc w:val="center"/>
              <w:rPr>
                <w:color w:val="000000"/>
                <w:sz w:val="16"/>
                <w:szCs w:val="16"/>
              </w:rPr>
            </w:pPr>
            <w:r w:rsidRPr="00740FF0">
              <w:rPr>
                <w:color w:val="000000"/>
                <w:sz w:val="16"/>
                <w:szCs w:val="16"/>
              </w:rPr>
              <w:t>0</w:t>
            </w:r>
          </w:p>
        </w:tc>
        <w:tc>
          <w:tcPr>
            <w:tcW w:w="1487" w:type="dxa"/>
            <w:tcBorders>
              <w:top w:val="dotted" w:sz="4" w:space="0" w:color="auto"/>
              <w:bottom w:val="dotted" w:sz="4" w:space="0" w:color="auto"/>
            </w:tcBorders>
            <w:noWrap/>
            <w:vAlign w:val="center"/>
            <w:hideMark/>
          </w:tcPr>
          <w:p w14:paraId="190024BC" w14:textId="77777777" w:rsidR="00BA1577" w:rsidRPr="00740FF0" w:rsidRDefault="00BA1577" w:rsidP="00BA1577">
            <w:pPr>
              <w:jc w:val="center"/>
              <w:rPr>
                <w:color w:val="000000"/>
                <w:sz w:val="16"/>
                <w:szCs w:val="16"/>
              </w:rPr>
            </w:pPr>
            <w:r w:rsidRPr="00740FF0">
              <w:rPr>
                <w:color w:val="000000"/>
                <w:sz w:val="16"/>
                <w:szCs w:val="16"/>
              </w:rPr>
              <w:t>0</w:t>
            </w:r>
          </w:p>
        </w:tc>
        <w:tc>
          <w:tcPr>
            <w:tcW w:w="1151" w:type="dxa"/>
            <w:tcBorders>
              <w:top w:val="dotted" w:sz="4" w:space="0" w:color="auto"/>
              <w:bottom w:val="dotted" w:sz="4" w:space="0" w:color="auto"/>
            </w:tcBorders>
            <w:noWrap/>
            <w:vAlign w:val="center"/>
            <w:hideMark/>
          </w:tcPr>
          <w:p w14:paraId="358DF918" w14:textId="77777777" w:rsidR="00BA1577" w:rsidRPr="00740FF0" w:rsidRDefault="00BA1577" w:rsidP="00BA1577">
            <w:pPr>
              <w:jc w:val="center"/>
              <w:rPr>
                <w:color w:val="000000"/>
                <w:sz w:val="16"/>
                <w:szCs w:val="16"/>
              </w:rPr>
            </w:pPr>
            <w:r w:rsidRPr="00740FF0">
              <w:rPr>
                <w:color w:val="000000"/>
                <w:sz w:val="16"/>
                <w:szCs w:val="16"/>
              </w:rPr>
              <w:t>0</w:t>
            </w:r>
          </w:p>
        </w:tc>
        <w:tc>
          <w:tcPr>
            <w:tcW w:w="245" w:type="dxa"/>
            <w:tcBorders>
              <w:top w:val="dotted" w:sz="4" w:space="0" w:color="auto"/>
              <w:bottom w:val="dotted" w:sz="4" w:space="0" w:color="auto"/>
            </w:tcBorders>
            <w:noWrap/>
            <w:vAlign w:val="center"/>
            <w:hideMark/>
          </w:tcPr>
          <w:p w14:paraId="2299DB6C" w14:textId="77777777" w:rsidR="00BA1577" w:rsidRPr="00740FF0" w:rsidRDefault="00BA1577" w:rsidP="00BA1577">
            <w:pPr>
              <w:jc w:val="center"/>
              <w:rPr>
                <w:color w:val="000000"/>
                <w:sz w:val="16"/>
                <w:szCs w:val="16"/>
              </w:rPr>
            </w:pPr>
          </w:p>
        </w:tc>
        <w:tc>
          <w:tcPr>
            <w:tcW w:w="1167" w:type="dxa"/>
            <w:tcBorders>
              <w:top w:val="dotted" w:sz="4" w:space="0" w:color="auto"/>
              <w:bottom w:val="dotted" w:sz="4" w:space="0" w:color="auto"/>
            </w:tcBorders>
            <w:noWrap/>
            <w:vAlign w:val="center"/>
            <w:hideMark/>
          </w:tcPr>
          <w:p w14:paraId="03837F93" w14:textId="5DA97959" w:rsidR="00BA1577" w:rsidRPr="00740FF0" w:rsidRDefault="00BA1577" w:rsidP="00BA1577">
            <w:pPr>
              <w:jc w:val="center"/>
              <w:rPr>
                <w:color w:val="000000"/>
                <w:sz w:val="16"/>
                <w:szCs w:val="16"/>
              </w:rPr>
            </w:pPr>
            <w:r w:rsidRPr="00740FF0">
              <w:rPr>
                <w:color w:val="000000"/>
                <w:sz w:val="16"/>
                <w:szCs w:val="16"/>
              </w:rPr>
              <w:t>0</w:t>
            </w:r>
            <w:r>
              <w:rPr>
                <w:color w:val="000000"/>
                <w:sz w:val="16"/>
                <w:szCs w:val="16"/>
              </w:rPr>
              <w:t>.</w:t>
            </w:r>
            <w:r w:rsidR="00791A0B">
              <w:rPr>
                <w:color w:val="000000"/>
                <w:sz w:val="16"/>
                <w:szCs w:val="16"/>
              </w:rPr>
              <w:t>2</w:t>
            </w:r>
          </w:p>
        </w:tc>
        <w:tc>
          <w:tcPr>
            <w:tcW w:w="1284" w:type="dxa"/>
            <w:tcBorders>
              <w:top w:val="dotted" w:sz="4" w:space="0" w:color="auto"/>
              <w:bottom w:val="dotted" w:sz="4" w:space="0" w:color="auto"/>
            </w:tcBorders>
            <w:noWrap/>
            <w:vAlign w:val="center"/>
            <w:hideMark/>
          </w:tcPr>
          <w:p w14:paraId="66C1ECDD" w14:textId="49A12851" w:rsidR="00BA1577" w:rsidRPr="00740FF0" w:rsidRDefault="00791A0B" w:rsidP="00BA1577">
            <w:pPr>
              <w:jc w:val="center"/>
              <w:rPr>
                <w:color w:val="000000"/>
                <w:sz w:val="16"/>
                <w:szCs w:val="16"/>
              </w:rPr>
            </w:pPr>
            <w:r>
              <w:rPr>
                <w:color w:val="000000"/>
                <w:sz w:val="16"/>
                <w:szCs w:val="16"/>
              </w:rPr>
              <w:t>0.85</w:t>
            </w:r>
          </w:p>
        </w:tc>
        <w:tc>
          <w:tcPr>
            <w:tcW w:w="1204" w:type="dxa"/>
            <w:tcBorders>
              <w:top w:val="dotted" w:sz="4" w:space="0" w:color="auto"/>
              <w:bottom w:val="dotted" w:sz="4" w:space="0" w:color="auto"/>
            </w:tcBorders>
            <w:noWrap/>
            <w:vAlign w:val="center"/>
            <w:hideMark/>
          </w:tcPr>
          <w:p w14:paraId="38A8B88C" w14:textId="46949539" w:rsidR="00BA1577" w:rsidRPr="00740FF0" w:rsidRDefault="00791A0B" w:rsidP="00BA1577">
            <w:pPr>
              <w:jc w:val="center"/>
              <w:rPr>
                <w:color w:val="000000"/>
                <w:sz w:val="16"/>
                <w:szCs w:val="16"/>
              </w:rPr>
            </w:pPr>
            <w:r>
              <w:rPr>
                <w:color w:val="000000"/>
                <w:sz w:val="16"/>
                <w:szCs w:val="16"/>
              </w:rPr>
              <w:t>1</w:t>
            </w:r>
          </w:p>
        </w:tc>
      </w:tr>
      <w:tr w:rsidR="00BA1577" w:rsidRPr="00740FF0" w14:paraId="300A358B" w14:textId="77777777" w:rsidTr="00681931">
        <w:trPr>
          <w:trHeight w:val="318"/>
        </w:trPr>
        <w:tc>
          <w:tcPr>
            <w:tcW w:w="1285" w:type="dxa"/>
            <w:tcBorders>
              <w:top w:val="dotted" w:sz="4" w:space="0" w:color="auto"/>
              <w:bottom w:val="single" w:sz="4" w:space="0" w:color="7F7F7F" w:themeColor="text1" w:themeTint="80"/>
            </w:tcBorders>
            <w:noWrap/>
            <w:vAlign w:val="center"/>
            <w:hideMark/>
          </w:tcPr>
          <w:p w14:paraId="4D60018C" w14:textId="77777777" w:rsidR="00BA1577" w:rsidRPr="00740FF0" w:rsidRDefault="00BA1577" w:rsidP="00BA1577">
            <w:pPr>
              <w:jc w:val="center"/>
              <w:rPr>
                <w:color w:val="000000"/>
                <w:sz w:val="16"/>
                <w:szCs w:val="16"/>
              </w:rPr>
            </w:pPr>
            <w:r w:rsidRPr="00740FF0">
              <w:rPr>
                <w:color w:val="000000"/>
                <w:sz w:val="16"/>
                <w:szCs w:val="16"/>
              </w:rPr>
              <w:t>Recovered</w:t>
            </w:r>
          </w:p>
        </w:tc>
        <w:tc>
          <w:tcPr>
            <w:tcW w:w="1537" w:type="dxa"/>
            <w:tcBorders>
              <w:top w:val="dotted" w:sz="4" w:space="0" w:color="auto"/>
              <w:bottom w:val="single" w:sz="4" w:space="0" w:color="7F7F7F" w:themeColor="text1" w:themeTint="80"/>
            </w:tcBorders>
            <w:noWrap/>
            <w:vAlign w:val="center"/>
            <w:hideMark/>
          </w:tcPr>
          <w:p w14:paraId="77283C2F" w14:textId="77777777" w:rsidR="00BA1577" w:rsidRPr="00740FF0" w:rsidRDefault="00BA1577" w:rsidP="00BA1577">
            <w:pPr>
              <w:jc w:val="center"/>
              <w:rPr>
                <w:color w:val="000000"/>
                <w:sz w:val="16"/>
                <w:szCs w:val="16"/>
              </w:rPr>
            </w:pPr>
            <w:r w:rsidRPr="00740FF0">
              <w:rPr>
                <w:color w:val="000000"/>
                <w:sz w:val="16"/>
                <w:szCs w:val="16"/>
              </w:rPr>
              <w:t>0</w:t>
            </w:r>
          </w:p>
        </w:tc>
        <w:tc>
          <w:tcPr>
            <w:tcW w:w="1487" w:type="dxa"/>
            <w:tcBorders>
              <w:top w:val="dotted" w:sz="4" w:space="0" w:color="auto"/>
              <w:bottom w:val="single" w:sz="4" w:space="0" w:color="7F7F7F" w:themeColor="text1" w:themeTint="80"/>
            </w:tcBorders>
            <w:noWrap/>
            <w:vAlign w:val="center"/>
            <w:hideMark/>
          </w:tcPr>
          <w:p w14:paraId="5D99DF98" w14:textId="77777777" w:rsidR="00BA1577" w:rsidRPr="00740FF0" w:rsidRDefault="00BA1577" w:rsidP="00BA1577">
            <w:pPr>
              <w:jc w:val="center"/>
              <w:rPr>
                <w:color w:val="000000"/>
                <w:sz w:val="16"/>
                <w:szCs w:val="16"/>
              </w:rPr>
            </w:pPr>
            <w:r w:rsidRPr="00740FF0">
              <w:rPr>
                <w:color w:val="000000"/>
                <w:sz w:val="16"/>
                <w:szCs w:val="16"/>
              </w:rPr>
              <w:t>0</w:t>
            </w:r>
          </w:p>
        </w:tc>
        <w:tc>
          <w:tcPr>
            <w:tcW w:w="1151" w:type="dxa"/>
            <w:tcBorders>
              <w:top w:val="dotted" w:sz="4" w:space="0" w:color="auto"/>
              <w:bottom w:val="single" w:sz="4" w:space="0" w:color="7F7F7F" w:themeColor="text1" w:themeTint="80"/>
            </w:tcBorders>
            <w:noWrap/>
            <w:vAlign w:val="center"/>
            <w:hideMark/>
          </w:tcPr>
          <w:p w14:paraId="7323A242" w14:textId="4D2D97D4" w:rsidR="00BA1577" w:rsidRPr="00740FF0" w:rsidRDefault="00791A0B" w:rsidP="00BA1577">
            <w:pPr>
              <w:jc w:val="center"/>
              <w:rPr>
                <w:color w:val="000000"/>
                <w:sz w:val="16"/>
                <w:szCs w:val="16"/>
              </w:rPr>
            </w:pPr>
            <w:r>
              <w:rPr>
                <w:color w:val="000000"/>
                <w:sz w:val="16"/>
                <w:szCs w:val="16"/>
              </w:rPr>
              <w:t>0.6 / 100,000</w:t>
            </w:r>
          </w:p>
        </w:tc>
        <w:tc>
          <w:tcPr>
            <w:tcW w:w="245" w:type="dxa"/>
            <w:tcBorders>
              <w:top w:val="dotted" w:sz="4" w:space="0" w:color="auto"/>
              <w:bottom w:val="single" w:sz="4" w:space="0" w:color="7F7F7F" w:themeColor="text1" w:themeTint="80"/>
            </w:tcBorders>
            <w:noWrap/>
            <w:vAlign w:val="center"/>
            <w:hideMark/>
          </w:tcPr>
          <w:p w14:paraId="3914A83A" w14:textId="77777777" w:rsidR="00BA1577" w:rsidRPr="00740FF0" w:rsidRDefault="00BA1577" w:rsidP="00BA1577">
            <w:pPr>
              <w:jc w:val="center"/>
              <w:rPr>
                <w:color w:val="000000"/>
                <w:sz w:val="16"/>
                <w:szCs w:val="16"/>
              </w:rPr>
            </w:pPr>
          </w:p>
        </w:tc>
        <w:tc>
          <w:tcPr>
            <w:tcW w:w="1167" w:type="dxa"/>
            <w:tcBorders>
              <w:top w:val="dotted" w:sz="4" w:space="0" w:color="auto"/>
              <w:bottom w:val="single" w:sz="4" w:space="0" w:color="7F7F7F" w:themeColor="text1" w:themeTint="80"/>
            </w:tcBorders>
            <w:noWrap/>
            <w:vAlign w:val="center"/>
            <w:hideMark/>
          </w:tcPr>
          <w:p w14:paraId="6886826C" w14:textId="77777777" w:rsidR="00BA1577" w:rsidRPr="00740FF0" w:rsidRDefault="00BA1577" w:rsidP="00BA1577">
            <w:pPr>
              <w:jc w:val="center"/>
              <w:rPr>
                <w:color w:val="000000"/>
                <w:sz w:val="16"/>
                <w:szCs w:val="16"/>
              </w:rPr>
            </w:pPr>
            <w:r w:rsidRPr="00740FF0">
              <w:rPr>
                <w:color w:val="000000"/>
                <w:sz w:val="16"/>
                <w:szCs w:val="16"/>
              </w:rPr>
              <w:t>0</w:t>
            </w:r>
          </w:p>
        </w:tc>
        <w:tc>
          <w:tcPr>
            <w:tcW w:w="1284" w:type="dxa"/>
            <w:tcBorders>
              <w:top w:val="dotted" w:sz="4" w:space="0" w:color="auto"/>
              <w:bottom w:val="single" w:sz="4" w:space="0" w:color="7F7F7F" w:themeColor="text1" w:themeTint="80"/>
            </w:tcBorders>
            <w:noWrap/>
            <w:vAlign w:val="center"/>
            <w:hideMark/>
          </w:tcPr>
          <w:p w14:paraId="0B4662C6" w14:textId="77777777" w:rsidR="00BA1577" w:rsidRPr="00740FF0" w:rsidRDefault="00BA1577" w:rsidP="00BA1577">
            <w:pPr>
              <w:jc w:val="center"/>
              <w:rPr>
                <w:color w:val="000000"/>
                <w:sz w:val="16"/>
                <w:szCs w:val="16"/>
              </w:rPr>
            </w:pPr>
            <w:r w:rsidRPr="00740FF0">
              <w:rPr>
                <w:color w:val="000000"/>
                <w:sz w:val="16"/>
                <w:szCs w:val="16"/>
              </w:rPr>
              <w:t>0</w:t>
            </w:r>
          </w:p>
        </w:tc>
        <w:tc>
          <w:tcPr>
            <w:tcW w:w="1204" w:type="dxa"/>
            <w:tcBorders>
              <w:top w:val="dotted" w:sz="4" w:space="0" w:color="auto"/>
              <w:bottom w:val="single" w:sz="4" w:space="0" w:color="7F7F7F" w:themeColor="text1" w:themeTint="80"/>
            </w:tcBorders>
            <w:noWrap/>
            <w:vAlign w:val="center"/>
            <w:hideMark/>
          </w:tcPr>
          <w:p w14:paraId="2647EADF" w14:textId="77777777" w:rsidR="00BA1577" w:rsidRPr="00740FF0" w:rsidRDefault="00BA1577" w:rsidP="00BA1577">
            <w:pPr>
              <w:jc w:val="center"/>
              <w:rPr>
                <w:color w:val="000000"/>
                <w:sz w:val="16"/>
                <w:szCs w:val="16"/>
              </w:rPr>
            </w:pPr>
            <w:r w:rsidRPr="00740FF0">
              <w:rPr>
                <w:color w:val="000000"/>
                <w:sz w:val="16"/>
                <w:szCs w:val="16"/>
              </w:rPr>
              <w:t>0</w:t>
            </w:r>
          </w:p>
        </w:tc>
      </w:tr>
      <w:tr w:rsidR="00BA1577" w:rsidRPr="00740FF0" w14:paraId="1ABCDB4E" w14:textId="77777777" w:rsidTr="00681931">
        <w:trPr>
          <w:trHeight w:val="318"/>
        </w:trPr>
        <w:tc>
          <w:tcPr>
            <w:tcW w:w="1285" w:type="dxa"/>
            <w:tcBorders>
              <w:top w:val="single" w:sz="4" w:space="0" w:color="7F7F7F" w:themeColor="text1" w:themeTint="80"/>
            </w:tcBorders>
            <w:noWrap/>
            <w:vAlign w:val="center"/>
            <w:hideMark/>
          </w:tcPr>
          <w:p w14:paraId="12B4E8BF" w14:textId="77777777" w:rsidR="00BA1577" w:rsidRPr="00740FF0" w:rsidRDefault="00BA1577" w:rsidP="00BA1577">
            <w:pPr>
              <w:jc w:val="center"/>
              <w:rPr>
                <w:color w:val="000000"/>
                <w:sz w:val="16"/>
                <w:szCs w:val="16"/>
              </w:rPr>
            </w:pPr>
          </w:p>
        </w:tc>
        <w:tc>
          <w:tcPr>
            <w:tcW w:w="1537" w:type="dxa"/>
            <w:tcBorders>
              <w:top w:val="single" w:sz="4" w:space="0" w:color="7F7F7F" w:themeColor="text1" w:themeTint="80"/>
            </w:tcBorders>
            <w:noWrap/>
            <w:vAlign w:val="center"/>
            <w:hideMark/>
          </w:tcPr>
          <w:p w14:paraId="4151934C" w14:textId="77777777" w:rsidR="00BA1577" w:rsidRPr="00740FF0" w:rsidRDefault="00BA1577" w:rsidP="00BA1577">
            <w:pPr>
              <w:jc w:val="center"/>
              <w:rPr>
                <w:sz w:val="16"/>
                <w:szCs w:val="16"/>
              </w:rPr>
            </w:pPr>
          </w:p>
        </w:tc>
        <w:tc>
          <w:tcPr>
            <w:tcW w:w="1487" w:type="dxa"/>
            <w:tcBorders>
              <w:top w:val="single" w:sz="4" w:space="0" w:color="7F7F7F" w:themeColor="text1" w:themeTint="80"/>
            </w:tcBorders>
            <w:noWrap/>
            <w:vAlign w:val="center"/>
            <w:hideMark/>
          </w:tcPr>
          <w:p w14:paraId="718C8F04" w14:textId="77777777" w:rsidR="00BA1577" w:rsidRPr="00740FF0" w:rsidRDefault="00BA1577" w:rsidP="00BA1577">
            <w:pPr>
              <w:jc w:val="center"/>
              <w:rPr>
                <w:sz w:val="16"/>
                <w:szCs w:val="16"/>
              </w:rPr>
            </w:pPr>
          </w:p>
        </w:tc>
        <w:tc>
          <w:tcPr>
            <w:tcW w:w="1151" w:type="dxa"/>
            <w:tcBorders>
              <w:top w:val="single" w:sz="4" w:space="0" w:color="7F7F7F" w:themeColor="text1" w:themeTint="80"/>
            </w:tcBorders>
            <w:noWrap/>
            <w:vAlign w:val="center"/>
            <w:hideMark/>
          </w:tcPr>
          <w:p w14:paraId="38578670" w14:textId="77777777" w:rsidR="00BA1577" w:rsidRPr="00740FF0" w:rsidRDefault="00BA1577" w:rsidP="00BA1577">
            <w:pPr>
              <w:jc w:val="center"/>
              <w:rPr>
                <w:sz w:val="16"/>
                <w:szCs w:val="16"/>
              </w:rPr>
            </w:pPr>
          </w:p>
        </w:tc>
        <w:tc>
          <w:tcPr>
            <w:tcW w:w="245" w:type="dxa"/>
            <w:tcBorders>
              <w:top w:val="single" w:sz="4" w:space="0" w:color="7F7F7F" w:themeColor="text1" w:themeTint="80"/>
            </w:tcBorders>
            <w:noWrap/>
            <w:vAlign w:val="center"/>
            <w:hideMark/>
          </w:tcPr>
          <w:p w14:paraId="10CD4571" w14:textId="77777777" w:rsidR="00BA1577" w:rsidRPr="00740FF0" w:rsidRDefault="00BA1577" w:rsidP="00BA1577">
            <w:pPr>
              <w:jc w:val="center"/>
              <w:rPr>
                <w:sz w:val="16"/>
                <w:szCs w:val="16"/>
              </w:rPr>
            </w:pPr>
          </w:p>
        </w:tc>
        <w:tc>
          <w:tcPr>
            <w:tcW w:w="1167" w:type="dxa"/>
            <w:tcBorders>
              <w:top w:val="single" w:sz="4" w:space="0" w:color="7F7F7F" w:themeColor="text1" w:themeTint="80"/>
            </w:tcBorders>
            <w:noWrap/>
            <w:vAlign w:val="center"/>
            <w:hideMark/>
          </w:tcPr>
          <w:p w14:paraId="2DEDAFDB" w14:textId="77777777" w:rsidR="00BA1577" w:rsidRPr="00740FF0" w:rsidRDefault="00BA1577" w:rsidP="00BA1577">
            <w:pPr>
              <w:jc w:val="center"/>
              <w:rPr>
                <w:sz w:val="16"/>
                <w:szCs w:val="16"/>
              </w:rPr>
            </w:pPr>
          </w:p>
        </w:tc>
        <w:tc>
          <w:tcPr>
            <w:tcW w:w="1284" w:type="dxa"/>
            <w:tcBorders>
              <w:top w:val="single" w:sz="4" w:space="0" w:color="7F7F7F" w:themeColor="text1" w:themeTint="80"/>
            </w:tcBorders>
            <w:noWrap/>
            <w:vAlign w:val="center"/>
            <w:hideMark/>
          </w:tcPr>
          <w:p w14:paraId="12803A0E" w14:textId="77777777" w:rsidR="00BA1577" w:rsidRPr="00740FF0" w:rsidRDefault="00BA1577" w:rsidP="00BA1577">
            <w:pPr>
              <w:jc w:val="center"/>
              <w:rPr>
                <w:sz w:val="16"/>
                <w:szCs w:val="16"/>
              </w:rPr>
            </w:pPr>
          </w:p>
        </w:tc>
        <w:tc>
          <w:tcPr>
            <w:tcW w:w="1204" w:type="dxa"/>
            <w:tcBorders>
              <w:top w:val="single" w:sz="4" w:space="0" w:color="7F7F7F" w:themeColor="text1" w:themeTint="80"/>
            </w:tcBorders>
            <w:noWrap/>
            <w:vAlign w:val="center"/>
            <w:hideMark/>
          </w:tcPr>
          <w:p w14:paraId="5C3FE83A" w14:textId="77777777" w:rsidR="00BA1577" w:rsidRPr="00740FF0" w:rsidRDefault="00BA1577" w:rsidP="00BA1577">
            <w:pPr>
              <w:jc w:val="center"/>
              <w:rPr>
                <w:sz w:val="16"/>
                <w:szCs w:val="16"/>
              </w:rPr>
            </w:pPr>
          </w:p>
        </w:tc>
      </w:tr>
      <w:tr w:rsidR="00BA1577" w:rsidRPr="00740FF0" w14:paraId="7929983B" w14:textId="77777777" w:rsidTr="00681931">
        <w:trPr>
          <w:trHeight w:val="318"/>
        </w:trPr>
        <w:tc>
          <w:tcPr>
            <w:tcW w:w="1285" w:type="dxa"/>
            <w:vMerge w:val="restart"/>
            <w:noWrap/>
            <w:vAlign w:val="bottom"/>
            <w:hideMark/>
          </w:tcPr>
          <w:p w14:paraId="5A35F7D5" w14:textId="77777777" w:rsidR="00BA1577" w:rsidRPr="00740FF0" w:rsidRDefault="00BA1577" w:rsidP="00BA1577">
            <w:pPr>
              <w:jc w:val="center"/>
              <w:rPr>
                <w:b/>
                <w:bCs/>
                <w:color w:val="000000"/>
                <w:sz w:val="16"/>
                <w:szCs w:val="16"/>
              </w:rPr>
            </w:pPr>
            <w:r w:rsidRPr="00740FF0">
              <w:rPr>
                <w:b/>
                <w:bCs/>
                <w:color w:val="000000"/>
                <w:sz w:val="16"/>
                <w:szCs w:val="16"/>
              </w:rPr>
              <w:t>True disease status</w:t>
            </w:r>
          </w:p>
        </w:tc>
        <w:tc>
          <w:tcPr>
            <w:tcW w:w="4175" w:type="dxa"/>
            <w:gridSpan w:val="3"/>
            <w:noWrap/>
            <w:vAlign w:val="center"/>
            <w:hideMark/>
          </w:tcPr>
          <w:p w14:paraId="63717E91" w14:textId="77777777" w:rsidR="00BA1577" w:rsidRPr="00740FF0" w:rsidRDefault="00BA1577" w:rsidP="00BA1577">
            <w:pPr>
              <w:jc w:val="center"/>
              <w:rPr>
                <w:b/>
                <w:bCs/>
                <w:color w:val="000000"/>
                <w:sz w:val="16"/>
                <w:szCs w:val="16"/>
              </w:rPr>
            </w:pPr>
            <w:r w:rsidRPr="00740FF0">
              <w:rPr>
                <w:b/>
                <w:bCs/>
                <w:color w:val="000000"/>
                <w:sz w:val="16"/>
                <w:szCs w:val="16"/>
              </w:rPr>
              <w:t>Probability of acquisition in health care setting</w:t>
            </w:r>
          </w:p>
        </w:tc>
        <w:tc>
          <w:tcPr>
            <w:tcW w:w="245" w:type="dxa"/>
            <w:noWrap/>
            <w:vAlign w:val="center"/>
            <w:hideMark/>
          </w:tcPr>
          <w:p w14:paraId="141178DD" w14:textId="77777777" w:rsidR="00BA1577" w:rsidRPr="00740FF0" w:rsidRDefault="00BA1577" w:rsidP="00BA1577">
            <w:pPr>
              <w:jc w:val="center"/>
              <w:rPr>
                <w:b/>
                <w:bCs/>
                <w:color w:val="000000"/>
                <w:sz w:val="16"/>
                <w:szCs w:val="16"/>
              </w:rPr>
            </w:pPr>
          </w:p>
        </w:tc>
        <w:tc>
          <w:tcPr>
            <w:tcW w:w="3655" w:type="dxa"/>
            <w:gridSpan w:val="3"/>
            <w:tcBorders>
              <w:bottom w:val="single" w:sz="4" w:space="0" w:color="auto"/>
            </w:tcBorders>
            <w:noWrap/>
            <w:vAlign w:val="center"/>
            <w:hideMark/>
          </w:tcPr>
          <w:p w14:paraId="7D56773F" w14:textId="77777777" w:rsidR="00BA1577" w:rsidRPr="00740FF0" w:rsidRDefault="00BA1577" w:rsidP="00BA1577">
            <w:pPr>
              <w:jc w:val="center"/>
              <w:rPr>
                <w:b/>
                <w:bCs/>
                <w:color w:val="000000"/>
                <w:sz w:val="16"/>
                <w:szCs w:val="16"/>
              </w:rPr>
            </w:pPr>
            <w:r w:rsidRPr="00740FF0">
              <w:rPr>
                <w:b/>
                <w:bCs/>
                <w:color w:val="000000"/>
                <w:sz w:val="16"/>
                <w:szCs w:val="16"/>
              </w:rPr>
              <w:t># of infections transmitted in health care setting</w:t>
            </w:r>
          </w:p>
        </w:tc>
      </w:tr>
      <w:tr w:rsidR="00BA1577" w:rsidRPr="00740FF0" w14:paraId="18F15855" w14:textId="77777777" w:rsidTr="00681931">
        <w:trPr>
          <w:trHeight w:val="634"/>
        </w:trPr>
        <w:tc>
          <w:tcPr>
            <w:tcW w:w="1285" w:type="dxa"/>
            <w:vMerge/>
            <w:tcBorders>
              <w:bottom w:val="single" w:sz="4" w:space="0" w:color="7F7F7F" w:themeColor="text1" w:themeTint="80"/>
            </w:tcBorders>
            <w:noWrap/>
            <w:vAlign w:val="center"/>
            <w:hideMark/>
          </w:tcPr>
          <w:p w14:paraId="4BC20273" w14:textId="77777777" w:rsidR="00BA1577" w:rsidRPr="00740FF0" w:rsidRDefault="00BA1577" w:rsidP="00BA1577">
            <w:pPr>
              <w:jc w:val="center"/>
              <w:rPr>
                <w:color w:val="000000"/>
                <w:sz w:val="16"/>
                <w:szCs w:val="16"/>
              </w:rPr>
            </w:pPr>
          </w:p>
        </w:tc>
        <w:tc>
          <w:tcPr>
            <w:tcW w:w="1537" w:type="dxa"/>
            <w:tcBorders>
              <w:top w:val="single" w:sz="4" w:space="0" w:color="auto"/>
              <w:bottom w:val="single" w:sz="4" w:space="0" w:color="7F7F7F" w:themeColor="text1" w:themeTint="80"/>
            </w:tcBorders>
            <w:noWrap/>
            <w:vAlign w:val="center"/>
            <w:hideMark/>
          </w:tcPr>
          <w:p w14:paraId="6CE4C8B8" w14:textId="77777777" w:rsidR="00BA1577" w:rsidRPr="00740FF0" w:rsidRDefault="00BA1577" w:rsidP="00BA1577">
            <w:pPr>
              <w:jc w:val="center"/>
              <w:rPr>
                <w:b/>
                <w:bCs/>
                <w:color w:val="000000"/>
                <w:sz w:val="16"/>
                <w:szCs w:val="16"/>
              </w:rPr>
            </w:pPr>
            <w:r w:rsidRPr="00740FF0">
              <w:rPr>
                <w:b/>
                <w:bCs/>
                <w:color w:val="000000"/>
                <w:sz w:val="16"/>
                <w:szCs w:val="16"/>
              </w:rPr>
              <w:t>Isolation*</w:t>
            </w:r>
          </w:p>
        </w:tc>
        <w:tc>
          <w:tcPr>
            <w:tcW w:w="1487" w:type="dxa"/>
            <w:tcBorders>
              <w:top w:val="single" w:sz="4" w:space="0" w:color="auto"/>
              <w:bottom w:val="single" w:sz="4" w:space="0" w:color="7F7F7F" w:themeColor="text1" w:themeTint="80"/>
            </w:tcBorders>
            <w:noWrap/>
            <w:vAlign w:val="center"/>
            <w:hideMark/>
          </w:tcPr>
          <w:p w14:paraId="1FF53DF8" w14:textId="77777777" w:rsidR="00BA1577" w:rsidRPr="00740FF0" w:rsidRDefault="00BA1577" w:rsidP="00BA1577">
            <w:pPr>
              <w:jc w:val="center"/>
              <w:rPr>
                <w:b/>
                <w:bCs/>
                <w:color w:val="000000"/>
                <w:sz w:val="16"/>
                <w:szCs w:val="16"/>
              </w:rPr>
            </w:pPr>
            <w:r w:rsidRPr="00740FF0">
              <w:rPr>
                <w:b/>
                <w:bCs/>
                <w:color w:val="000000"/>
                <w:sz w:val="16"/>
                <w:szCs w:val="16"/>
              </w:rPr>
              <w:t>Cold zone</w:t>
            </w:r>
            <w:r w:rsidRPr="00740FF0">
              <w:rPr>
                <w:b/>
                <w:bCs/>
                <w:color w:val="000000"/>
                <w:sz w:val="16"/>
                <w:szCs w:val="16"/>
                <w:vertAlign w:val="superscript"/>
              </w:rPr>
              <w:t>†</w:t>
            </w:r>
          </w:p>
        </w:tc>
        <w:tc>
          <w:tcPr>
            <w:tcW w:w="1151" w:type="dxa"/>
            <w:tcBorders>
              <w:top w:val="single" w:sz="4" w:space="0" w:color="auto"/>
              <w:bottom w:val="single" w:sz="4" w:space="0" w:color="7F7F7F" w:themeColor="text1" w:themeTint="80"/>
            </w:tcBorders>
            <w:noWrap/>
            <w:vAlign w:val="center"/>
            <w:hideMark/>
          </w:tcPr>
          <w:p w14:paraId="1E572824" w14:textId="77777777" w:rsidR="00BA1577" w:rsidRPr="00740FF0" w:rsidRDefault="00BA1577" w:rsidP="00BA1577">
            <w:pPr>
              <w:jc w:val="center"/>
              <w:rPr>
                <w:b/>
                <w:bCs/>
                <w:color w:val="000000"/>
                <w:sz w:val="16"/>
                <w:szCs w:val="16"/>
              </w:rPr>
            </w:pPr>
            <w:r w:rsidRPr="00740FF0">
              <w:rPr>
                <w:b/>
                <w:bCs/>
                <w:color w:val="000000"/>
                <w:sz w:val="16"/>
                <w:szCs w:val="16"/>
              </w:rPr>
              <w:t>Hot zone</w:t>
            </w:r>
            <w:r w:rsidRPr="00740FF0">
              <w:rPr>
                <w:b/>
                <w:bCs/>
                <w:color w:val="000000"/>
                <w:sz w:val="16"/>
                <w:szCs w:val="16"/>
                <w:vertAlign w:val="superscript"/>
              </w:rPr>
              <w:t>¥</w:t>
            </w:r>
          </w:p>
        </w:tc>
        <w:tc>
          <w:tcPr>
            <w:tcW w:w="245" w:type="dxa"/>
            <w:tcBorders>
              <w:bottom w:val="single" w:sz="4" w:space="0" w:color="7F7F7F" w:themeColor="text1" w:themeTint="80"/>
            </w:tcBorders>
            <w:noWrap/>
            <w:vAlign w:val="center"/>
            <w:hideMark/>
          </w:tcPr>
          <w:p w14:paraId="10ABA6C7" w14:textId="77777777" w:rsidR="00BA1577" w:rsidRPr="00740FF0" w:rsidRDefault="00BA1577" w:rsidP="00BA1577">
            <w:pPr>
              <w:jc w:val="center"/>
              <w:rPr>
                <w:b/>
                <w:bCs/>
                <w:color w:val="000000"/>
                <w:sz w:val="16"/>
                <w:szCs w:val="16"/>
              </w:rPr>
            </w:pPr>
          </w:p>
        </w:tc>
        <w:tc>
          <w:tcPr>
            <w:tcW w:w="1167" w:type="dxa"/>
            <w:tcBorders>
              <w:top w:val="single" w:sz="4" w:space="0" w:color="auto"/>
              <w:bottom w:val="single" w:sz="4" w:space="0" w:color="7F7F7F" w:themeColor="text1" w:themeTint="80"/>
            </w:tcBorders>
            <w:noWrap/>
            <w:vAlign w:val="center"/>
            <w:hideMark/>
          </w:tcPr>
          <w:p w14:paraId="2429CE87" w14:textId="77777777" w:rsidR="00BA1577" w:rsidRPr="00740FF0" w:rsidRDefault="00BA1577" w:rsidP="00BA1577">
            <w:pPr>
              <w:jc w:val="center"/>
              <w:rPr>
                <w:b/>
                <w:bCs/>
                <w:color w:val="000000"/>
                <w:sz w:val="16"/>
                <w:szCs w:val="16"/>
              </w:rPr>
            </w:pPr>
            <w:r w:rsidRPr="00740FF0">
              <w:rPr>
                <w:b/>
                <w:bCs/>
                <w:color w:val="000000"/>
                <w:sz w:val="16"/>
                <w:szCs w:val="16"/>
              </w:rPr>
              <w:t>Isolation*</w:t>
            </w:r>
          </w:p>
        </w:tc>
        <w:tc>
          <w:tcPr>
            <w:tcW w:w="1284" w:type="dxa"/>
            <w:tcBorders>
              <w:top w:val="single" w:sz="4" w:space="0" w:color="auto"/>
              <w:bottom w:val="single" w:sz="4" w:space="0" w:color="7F7F7F" w:themeColor="text1" w:themeTint="80"/>
            </w:tcBorders>
            <w:noWrap/>
            <w:vAlign w:val="center"/>
            <w:hideMark/>
          </w:tcPr>
          <w:p w14:paraId="72E4C74A" w14:textId="77777777" w:rsidR="00BA1577" w:rsidRPr="00740FF0" w:rsidRDefault="00BA1577" w:rsidP="00BA1577">
            <w:pPr>
              <w:jc w:val="center"/>
              <w:rPr>
                <w:b/>
                <w:bCs/>
                <w:color w:val="000000"/>
                <w:sz w:val="16"/>
                <w:szCs w:val="16"/>
              </w:rPr>
            </w:pPr>
            <w:r w:rsidRPr="00740FF0">
              <w:rPr>
                <w:b/>
                <w:bCs/>
                <w:color w:val="000000"/>
                <w:sz w:val="16"/>
                <w:szCs w:val="16"/>
              </w:rPr>
              <w:t>Cold zone</w:t>
            </w:r>
            <w:r w:rsidRPr="00740FF0">
              <w:rPr>
                <w:b/>
                <w:bCs/>
                <w:color w:val="000000"/>
                <w:sz w:val="16"/>
                <w:szCs w:val="16"/>
                <w:vertAlign w:val="superscript"/>
              </w:rPr>
              <w:t>†</w:t>
            </w:r>
          </w:p>
        </w:tc>
        <w:tc>
          <w:tcPr>
            <w:tcW w:w="1204" w:type="dxa"/>
            <w:tcBorders>
              <w:top w:val="single" w:sz="4" w:space="0" w:color="auto"/>
              <w:bottom w:val="single" w:sz="4" w:space="0" w:color="7F7F7F" w:themeColor="text1" w:themeTint="80"/>
            </w:tcBorders>
            <w:noWrap/>
            <w:vAlign w:val="center"/>
            <w:hideMark/>
          </w:tcPr>
          <w:p w14:paraId="4DBE4F34" w14:textId="77777777" w:rsidR="00BA1577" w:rsidRPr="00740FF0" w:rsidRDefault="00BA1577" w:rsidP="00BA1577">
            <w:pPr>
              <w:jc w:val="center"/>
              <w:rPr>
                <w:b/>
                <w:bCs/>
                <w:color w:val="000000"/>
                <w:sz w:val="16"/>
                <w:szCs w:val="16"/>
              </w:rPr>
            </w:pPr>
            <w:r w:rsidRPr="00740FF0">
              <w:rPr>
                <w:b/>
                <w:bCs/>
                <w:color w:val="000000"/>
                <w:sz w:val="16"/>
                <w:szCs w:val="16"/>
              </w:rPr>
              <w:t>Hot zone</w:t>
            </w:r>
            <w:r w:rsidRPr="00740FF0">
              <w:rPr>
                <w:b/>
                <w:bCs/>
                <w:color w:val="000000"/>
                <w:sz w:val="16"/>
                <w:szCs w:val="16"/>
                <w:vertAlign w:val="superscript"/>
              </w:rPr>
              <w:t>¥</w:t>
            </w:r>
          </w:p>
        </w:tc>
      </w:tr>
      <w:tr w:rsidR="00BA1577" w:rsidRPr="00740FF0" w14:paraId="52D62AB9" w14:textId="77777777" w:rsidTr="00681931">
        <w:trPr>
          <w:trHeight w:val="318"/>
        </w:trPr>
        <w:tc>
          <w:tcPr>
            <w:tcW w:w="1285" w:type="dxa"/>
            <w:tcBorders>
              <w:top w:val="single" w:sz="4" w:space="0" w:color="7F7F7F" w:themeColor="text1" w:themeTint="80"/>
              <w:bottom w:val="dotted" w:sz="4" w:space="0" w:color="auto"/>
            </w:tcBorders>
            <w:noWrap/>
            <w:vAlign w:val="center"/>
            <w:hideMark/>
          </w:tcPr>
          <w:p w14:paraId="7DD67191" w14:textId="77777777" w:rsidR="00BA1577" w:rsidRPr="00740FF0" w:rsidRDefault="00BA1577" w:rsidP="00BA1577">
            <w:pPr>
              <w:jc w:val="center"/>
              <w:rPr>
                <w:color w:val="000000"/>
                <w:sz w:val="16"/>
                <w:szCs w:val="16"/>
              </w:rPr>
            </w:pPr>
            <w:r w:rsidRPr="00740FF0">
              <w:rPr>
                <w:color w:val="000000"/>
                <w:sz w:val="16"/>
                <w:szCs w:val="16"/>
              </w:rPr>
              <w:t>Susceptible</w:t>
            </w:r>
          </w:p>
        </w:tc>
        <w:tc>
          <w:tcPr>
            <w:tcW w:w="1537" w:type="dxa"/>
            <w:tcBorders>
              <w:top w:val="single" w:sz="4" w:space="0" w:color="7F7F7F" w:themeColor="text1" w:themeTint="80"/>
              <w:bottom w:val="dotted" w:sz="4" w:space="0" w:color="auto"/>
            </w:tcBorders>
            <w:noWrap/>
            <w:vAlign w:val="center"/>
            <w:hideMark/>
          </w:tcPr>
          <w:p w14:paraId="26CFCCD3" w14:textId="77777777" w:rsidR="00BA1577" w:rsidRPr="00740FF0" w:rsidRDefault="00BA1577" w:rsidP="00BA1577">
            <w:pPr>
              <w:jc w:val="center"/>
              <w:rPr>
                <w:color w:val="000000"/>
                <w:sz w:val="16"/>
                <w:szCs w:val="16"/>
              </w:rPr>
            </w:pPr>
            <w:r w:rsidRPr="00740FF0">
              <w:rPr>
                <w:color w:val="000000"/>
                <w:sz w:val="16"/>
                <w:szCs w:val="16"/>
              </w:rPr>
              <w:t>0</w:t>
            </w:r>
          </w:p>
        </w:tc>
        <w:tc>
          <w:tcPr>
            <w:tcW w:w="1487" w:type="dxa"/>
            <w:tcBorders>
              <w:top w:val="single" w:sz="4" w:space="0" w:color="7F7F7F" w:themeColor="text1" w:themeTint="80"/>
              <w:bottom w:val="dotted" w:sz="4" w:space="0" w:color="auto"/>
            </w:tcBorders>
            <w:noWrap/>
            <w:vAlign w:val="center"/>
            <w:hideMark/>
          </w:tcPr>
          <w:p w14:paraId="0CF18BF4" w14:textId="2F86A8D0" w:rsidR="00BA1577" w:rsidRPr="00740FF0" w:rsidRDefault="00791A0B" w:rsidP="00BA1577">
            <w:pPr>
              <w:jc w:val="center"/>
              <w:rPr>
                <w:color w:val="000000"/>
                <w:sz w:val="16"/>
                <w:szCs w:val="16"/>
              </w:rPr>
            </w:pPr>
            <w:r>
              <w:rPr>
                <w:color w:val="000000"/>
                <w:sz w:val="16"/>
                <w:szCs w:val="16"/>
              </w:rPr>
              <w:t>12.4 / 100,000</w:t>
            </w:r>
          </w:p>
        </w:tc>
        <w:tc>
          <w:tcPr>
            <w:tcW w:w="1151" w:type="dxa"/>
            <w:tcBorders>
              <w:top w:val="single" w:sz="4" w:space="0" w:color="7F7F7F" w:themeColor="text1" w:themeTint="80"/>
              <w:bottom w:val="dotted" w:sz="4" w:space="0" w:color="auto"/>
            </w:tcBorders>
            <w:noWrap/>
            <w:vAlign w:val="center"/>
            <w:hideMark/>
          </w:tcPr>
          <w:p w14:paraId="2992C631" w14:textId="7349F89A" w:rsidR="00BA1577" w:rsidRPr="00740FF0" w:rsidRDefault="00791A0B" w:rsidP="00BA1577">
            <w:pPr>
              <w:jc w:val="center"/>
              <w:rPr>
                <w:color w:val="000000"/>
                <w:sz w:val="16"/>
                <w:szCs w:val="16"/>
              </w:rPr>
            </w:pPr>
            <w:r>
              <w:rPr>
                <w:color w:val="000000"/>
                <w:sz w:val="16"/>
                <w:szCs w:val="16"/>
              </w:rPr>
              <w:t>18.7 / 100,000</w:t>
            </w:r>
          </w:p>
        </w:tc>
        <w:tc>
          <w:tcPr>
            <w:tcW w:w="245" w:type="dxa"/>
            <w:tcBorders>
              <w:top w:val="single" w:sz="4" w:space="0" w:color="7F7F7F" w:themeColor="text1" w:themeTint="80"/>
              <w:bottom w:val="dotted" w:sz="4" w:space="0" w:color="auto"/>
            </w:tcBorders>
            <w:noWrap/>
            <w:vAlign w:val="center"/>
            <w:hideMark/>
          </w:tcPr>
          <w:p w14:paraId="7ECA0244" w14:textId="77777777" w:rsidR="00BA1577" w:rsidRPr="00740FF0" w:rsidRDefault="00BA1577" w:rsidP="00BA1577">
            <w:pPr>
              <w:jc w:val="center"/>
              <w:rPr>
                <w:color w:val="000000"/>
                <w:sz w:val="16"/>
                <w:szCs w:val="16"/>
              </w:rPr>
            </w:pPr>
          </w:p>
        </w:tc>
        <w:tc>
          <w:tcPr>
            <w:tcW w:w="1167" w:type="dxa"/>
            <w:tcBorders>
              <w:top w:val="single" w:sz="4" w:space="0" w:color="7F7F7F" w:themeColor="text1" w:themeTint="80"/>
              <w:bottom w:val="dotted" w:sz="4" w:space="0" w:color="auto"/>
            </w:tcBorders>
            <w:noWrap/>
            <w:vAlign w:val="center"/>
            <w:hideMark/>
          </w:tcPr>
          <w:p w14:paraId="26C5DAF3" w14:textId="77777777" w:rsidR="00BA1577" w:rsidRPr="00740FF0" w:rsidRDefault="00BA1577" w:rsidP="00BA1577">
            <w:pPr>
              <w:jc w:val="center"/>
              <w:rPr>
                <w:color w:val="000000"/>
                <w:sz w:val="16"/>
                <w:szCs w:val="16"/>
              </w:rPr>
            </w:pPr>
            <w:r w:rsidRPr="00740FF0">
              <w:rPr>
                <w:color w:val="000000"/>
                <w:sz w:val="16"/>
                <w:szCs w:val="16"/>
              </w:rPr>
              <w:t>0</w:t>
            </w:r>
          </w:p>
        </w:tc>
        <w:tc>
          <w:tcPr>
            <w:tcW w:w="1284" w:type="dxa"/>
            <w:tcBorders>
              <w:top w:val="single" w:sz="4" w:space="0" w:color="7F7F7F" w:themeColor="text1" w:themeTint="80"/>
              <w:bottom w:val="dotted" w:sz="4" w:space="0" w:color="auto"/>
            </w:tcBorders>
            <w:noWrap/>
            <w:vAlign w:val="center"/>
            <w:hideMark/>
          </w:tcPr>
          <w:p w14:paraId="0F6D53A7" w14:textId="77777777" w:rsidR="00BA1577" w:rsidRPr="00740FF0" w:rsidRDefault="00BA1577" w:rsidP="00BA1577">
            <w:pPr>
              <w:jc w:val="center"/>
              <w:rPr>
                <w:color w:val="000000"/>
                <w:sz w:val="16"/>
                <w:szCs w:val="16"/>
              </w:rPr>
            </w:pPr>
            <w:r w:rsidRPr="00740FF0">
              <w:rPr>
                <w:color w:val="000000"/>
                <w:sz w:val="16"/>
                <w:szCs w:val="16"/>
              </w:rPr>
              <w:t>0</w:t>
            </w:r>
          </w:p>
        </w:tc>
        <w:tc>
          <w:tcPr>
            <w:tcW w:w="1204" w:type="dxa"/>
            <w:tcBorders>
              <w:top w:val="single" w:sz="4" w:space="0" w:color="7F7F7F" w:themeColor="text1" w:themeTint="80"/>
              <w:bottom w:val="dotted" w:sz="4" w:space="0" w:color="auto"/>
            </w:tcBorders>
            <w:noWrap/>
            <w:vAlign w:val="center"/>
            <w:hideMark/>
          </w:tcPr>
          <w:p w14:paraId="702EEA0F" w14:textId="77777777" w:rsidR="00BA1577" w:rsidRPr="00740FF0" w:rsidRDefault="00BA1577" w:rsidP="00BA1577">
            <w:pPr>
              <w:jc w:val="center"/>
              <w:rPr>
                <w:color w:val="000000"/>
                <w:sz w:val="16"/>
                <w:szCs w:val="16"/>
              </w:rPr>
            </w:pPr>
            <w:r w:rsidRPr="00740FF0">
              <w:rPr>
                <w:color w:val="000000"/>
                <w:sz w:val="16"/>
                <w:szCs w:val="16"/>
              </w:rPr>
              <w:t>0</w:t>
            </w:r>
          </w:p>
        </w:tc>
      </w:tr>
      <w:tr w:rsidR="00BA1577" w:rsidRPr="00740FF0" w14:paraId="1A2D4A73" w14:textId="77777777" w:rsidTr="00681931">
        <w:trPr>
          <w:trHeight w:val="318"/>
        </w:trPr>
        <w:tc>
          <w:tcPr>
            <w:tcW w:w="1285" w:type="dxa"/>
            <w:tcBorders>
              <w:top w:val="dotted" w:sz="4" w:space="0" w:color="auto"/>
              <w:bottom w:val="dotted" w:sz="4" w:space="0" w:color="auto"/>
            </w:tcBorders>
            <w:noWrap/>
            <w:vAlign w:val="center"/>
            <w:hideMark/>
          </w:tcPr>
          <w:p w14:paraId="7D31DCFC" w14:textId="77777777" w:rsidR="00BA1577" w:rsidRPr="00740FF0" w:rsidRDefault="00BA1577" w:rsidP="00BA1577">
            <w:pPr>
              <w:jc w:val="center"/>
              <w:rPr>
                <w:color w:val="000000"/>
                <w:sz w:val="16"/>
                <w:szCs w:val="16"/>
              </w:rPr>
            </w:pPr>
            <w:r w:rsidRPr="00740FF0">
              <w:rPr>
                <w:color w:val="000000"/>
                <w:sz w:val="16"/>
                <w:szCs w:val="16"/>
              </w:rPr>
              <w:t>Infected</w:t>
            </w:r>
          </w:p>
        </w:tc>
        <w:tc>
          <w:tcPr>
            <w:tcW w:w="1537" w:type="dxa"/>
            <w:tcBorders>
              <w:top w:val="dotted" w:sz="4" w:space="0" w:color="auto"/>
              <w:bottom w:val="dotted" w:sz="4" w:space="0" w:color="auto"/>
            </w:tcBorders>
            <w:noWrap/>
            <w:vAlign w:val="center"/>
            <w:hideMark/>
          </w:tcPr>
          <w:p w14:paraId="7CF7B152" w14:textId="77777777" w:rsidR="00BA1577" w:rsidRPr="00740FF0" w:rsidRDefault="00BA1577" w:rsidP="00BA1577">
            <w:pPr>
              <w:jc w:val="center"/>
              <w:rPr>
                <w:color w:val="000000"/>
                <w:sz w:val="16"/>
                <w:szCs w:val="16"/>
              </w:rPr>
            </w:pPr>
            <w:r w:rsidRPr="00740FF0">
              <w:rPr>
                <w:color w:val="000000"/>
                <w:sz w:val="16"/>
                <w:szCs w:val="16"/>
              </w:rPr>
              <w:t>0</w:t>
            </w:r>
          </w:p>
        </w:tc>
        <w:tc>
          <w:tcPr>
            <w:tcW w:w="1487" w:type="dxa"/>
            <w:tcBorders>
              <w:top w:val="dotted" w:sz="4" w:space="0" w:color="auto"/>
              <w:bottom w:val="dotted" w:sz="4" w:space="0" w:color="auto"/>
            </w:tcBorders>
            <w:noWrap/>
            <w:vAlign w:val="center"/>
            <w:hideMark/>
          </w:tcPr>
          <w:p w14:paraId="455A87B5" w14:textId="77777777" w:rsidR="00BA1577" w:rsidRPr="00740FF0" w:rsidRDefault="00BA1577" w:rsidP="00BA1577">
            <w:pPr>
              <w:jc w:val="center"/>
              <w:rPr>
                <w:color w:val="000000"/>
                <w:sz w:val="16"/>
                <w:szCs w:val="16"/>
              </w:rPr>
            </w:pPr>
            <w:r w:rsidRPr="00740FF0">
              <w:rPr>
                <w:color w:val="000000"/>
                <w:sz w:val="16"/>
                <w:szCs w:val="16"/>
              </w:rPr>
              <w:t>0</w:t>
            </w:r>
          </w:p>
        </w:tc>
        <w:tc>
          <w:tcPr>
            <w:tcW w:w="1151" w:type="dxa"/>
            <w:tcBorders>
              <w:top w:val="dotted" w:sz="4" w:space="0" w:color="auto"/>
              <w:bottom w:val="dotted" w:sz="4" w:space="0" w:color="auto"/>
            </w:tcBorders>
            <w:noWrap/>
            <w:vAlign w:val="center"/>
            <w:hideMark/>
          </w:tcPr>
          <w:p w14:paraId="3D14FA67" w14:textId="77777777" w:rsidR="00BA1577" w:rsidRPr="00740FF0" w:rsidRDefault="00BA1577" w:rsidP="00BA1577">
            <w:pPr>
              <w:jc w:val="center"/>
              <w:rPr>
                <w:color w:val="000000"/>
                <w:sz w:val="16"/>
                <w:szCs w:val="16"/>
              </w:rPr>
            </w:pPr>
            <w:r w:rsidRPr="00740FF0">
              <w:rPr>
                <w:color w:val="000000"/>
                <w:sz w:val="16"/>
                <w:szCs w:val="16"/>
              </w:rPr>
              <w:t>0</w:t>
            </w:r>
          </w:p>
        </w:tc>
        <w:tc>
          <w:tcPr>
            <w:tcW w:w="245" w:type="dxa"/>
            <w:tcBorders>
              <w:top w:val="dotted" w:sz="4" w:space="0" w:color="auto"/>
              <w:bottom w:val="dotted" w:sz="4" w:space="0" w:color="auto"/>
            </w:tcBorders>
            <w:noWrap/>
            <w:vAlign w:val="center"/>
            <w:hideMark/>
          </w:tcPr>
          <w:p w14:paraId="68D71E7A" w14:textId="77777777" w:rsidR="00BA1577" w:rsidRPr="00740FF0" w:rsidRDefault="00BA1577" w:rsidP="00BA1577">
            <w:pPr>
              <w:jc w:val="center"/>
              <w:rPr>
                <w:color w:val="000000"/>
                <w:sz w:val="16"/>
                <w:szCs w:val="16"/>
              </w:rPr>
            </w:pPr>
          </w:p>
        </w:tc>
        <w:tc>
          <w:tcPr>
            <w:tcW w:w="1167" w:type="dxa"/>
            <w:tcBorders>
              <w:top w:val="dotted" w:sz="4" w:space="0" w:color="auto"/>
              <w:bottom w:val="dotted" w:sz="4" w:space="0" w:color="auto"/>
            </w:tcBorders>
            <w:noWrap/>
            <w:vAlign w:val="center"/>
            <w:hideMark/>
          </w:tcPr>
          <w:p w14:paraId="1FB91F17" w14:textId="77777777" w:rsidR="00BA1577" w:rsidRPr="00740FF0" w:rsidRDefault="00BA1577" w:rsidP="00BA1577">
            <w:pPr>
              <w:jc w:val="center"/>
              <w:rPr>
                <w:color w:val="000000"/>
                <w:sz w:val="16"/>
                <w:szCs w:val="16"/>
              </w:rPr>
            </w:pPr>
            <w:r w:rsidRPr="00740FF0">
              <w:rPr>
                <w:color w:val="000000"/>
                <w:sz w:val="16"/>
                <w:szCs w:val="16"/>
              </w:rPr>
              <w:t>0</w:t>
            </w:r>
          </w:p>
        </w:tc>
        <w:tc>
          <w:tcPr>
            <w:tcW w:w="1284" w:type="dxa"/>
            <w:tcBorders>
              <w:top w:val="dotted" w:sz="4" w:space="0" w:color="auto"/>
              <w:bottom w:val="dotted" w:sz="4" w:space="0" w:color="auto"/>
            </w:tcBorders>
            <w:noWrap/>
            <w:vAlign w:val="center"/>
            <w:hideMark/>
          </w:tcPr>
          <w:p w14:paraId="1BEA76FF" w14:textId="77D32720" w:rsidR="00BA1577" w:rsidRPr="00740FF0" w:rsidRDefault="00791A0B" w:rsidP="00BA1577">
            <w:pPr>
              <w:jc w:val="center"/>
              <w:rPr>
                <w:color w:val="000000"/>
                <w:sz w:val="16"/>
                <w:szCs w:val="16"/>
              </w:rPr>
            </w:pPr>
            <w:r>
              <w:rPr>
                <w:color w:val="000000"/>
                <w:sz w:val="16"/>
                <w:szCs w:val="16"/>
              </w:rPr>
              <w:t>1</w:t>
            </w:r>
          </w:p>
        </w:tc>
        <w:tc>
          <w:tcPr>
            <w:tcW w:w="1204" w:type="dxa"/>
            <w:tcBorders>
              <w:top w:val="dotted" w:sz="4" w:space="0" w:color="auto"/>
              <w:bottom w:val="dotted" w:sz="4" w:space="0" w:color="auto"/>
            </w:tcBorders>
            <w:noWrap/>
            <w:vAlign w:val="center"/>
            <w:hideMark/>
          </w:tcPr>
          <w:p w14:paraId="0CE3CC9D" w14:textId="7A90E823" w:rsidR="00BA1577" w:rsidRPr="00740FF0" w:rsidRDefault="00791A0B" w:rsidP="00BA1577">
            <w:pPr>
              <w:jc w:val="center"/>
              <w:rPr>
                <w:color w:val="000000"/>
                <w:sz w:val="16"/>
                <w:szCs w:val="16"/>
              </w:rPr>
            </w:pPr>
            <w:r>
              <w:rPr>
                <w:color w:val="000000"/>
                <w:sz w:val="16"/>
                <w:szCs w:val="16"/>
              </w:rPr>
              <w:t>0.8</w:t>
            </w:r>
          </w:p>
        </w:tc>
      </w:tr>
      <w:tr w:rsidR="00BA1577" w:rsidRPr="00740FF0" w14:paraId="0ADA5C11" w14:textId="77777777" w:rsidTr="00681931">
        <w:trPr>
          <w:trHeight w:val="318"/>
        </w:trPr>
        <w:tc>
          <w:tcPr>
            <w:tcW w:w="1285" w:type="dxa"/>
            <w:tcBorders>
              <w:top w:val="dotted" w:sz="4" w:space="0" w:color="auto"/>
              <w:bottom w:val="single" w:sz="4" w:space="0" w:color="7F7F7F" w:themeColor="text1" w:themeTint="80"/>
            </w:tcBorders>
            <w:noWrap/>
            <w:vAlign w:val="center"/>
            <w:hideMark/>
          </w:tcPr>
          <w:p w14:paraId="568DE615" w14:textId="77777777" w:rsidR="00BA1577" w:rsidRPr="00740FF0" w:rsidRDefault="00BA1577" w:rsidP="00BA1577">
            <w:pPr>
              <w:jc w:val="center"/>
              <w:rPr>
                <w:color w:val="000000"/>
                <w:sz w:val="16"/>
                <w:szCs w:val="16"/>
              </w:rPr>
            </w:pPr>
            <w:r w:rsidRPr="00740FF0">
              <w:rPr>
                <w:color w:val="000000"/>
                <w:sz w:val="16"/>
                <w:szCs w:val="16"/>
              </w:rPr>
              <w:t>Recovered</w:t>
            </w:r>
          </w:p>
        </w:tc>
        <w:tc>
          <w:tcPr>
            <w:tcW w:w="1537" w:type="dxa"/>
            <w:tcBorders>
              <w:top w:val="dotted" w:sz="4" w:space="0" w:color="auto"/>
              <w:bottom w:val="single" w:sz="4" w:space="0" w:color="7F7F7F" w:themeColor="text1" w:themeTint="80"/>
            </w:tcBorders>
            <w:noWrap/>
            <w:vAlign w:val="center"/>
            <w:hideMark/>
          </w:tcPr>
          <w:p w14:paraId="1CC09856" w14:textId="77777777" w:rsidR="00BA1577" w:rsidRPr="00740FF0" w:rsidRDefault="00BA1577" w:rsidP="00BA1577">
            <w:pPr>
              <w:jc w:val="center"/>
              <w:rPr>
                <w:color w:val="000000"/>
                <w:sz w:val="16"/>
                <w:szCs w:val="16"/>
              </w:rPr>
            </w:pPr>
            <w:r w:rsidRPr="00740FF0">
              <w:rPr>
                <w:color w:val="000000"/>
                <w:sz w:val="16"/>
                <w:szCs w:val="16"/>
              </w:rPr>
              <w:t>0</w:t>
            </w:r>
          </w:p>
        </w:tc>
        <w:tc>
          <w:tcPr>
            <w:tcW w:w="1487" w:type="dxa"/>
            <w:tcBorders>
              <w:top w:val="dotted" w:sz="4" w:space="0" w:color="auto"/>
              <w:bottom w:val="single" w:sz="4" w:space="0" w:color="7F7F7F" w:themeColor="text1" w:themeTint="80"/>
            </w:tcBorders>
            <w:noWrap/>
            <w:vAlign w:val="center"/>
            <w:hideMark/>
          </w:tcPr>
          <w:p w14:paraId="23A0D384" w14:textId="24268E1D" w:rsidR="00BA1577" w:rsidRPr="00740FF0" w:rsidRDefault="00791A0B" w:rsidP="00BA1577">
            <w:pPr>
              <w:jc w:val="center"/>
              <w:rPr>
                <w:color w:val="000000"/>
                <w:sz w:val="16"/>
                <w:szCs w:val="16"/>
              </w:rPr>
            </w:pPr>
            <w:r>
              <w:rPr>
                <w:color w:val="000000"/>
                <w:sz w:val="16"/>
                <w:szCs w:val="16"/>
              </w:rPr>
              <w:t>1.9 / 100,000</w:t>
            </w:r>
          </w:p>
        </w:tc>
        <w:tc>
          <w:tcPr>
            <w:tcW w:w="1151" w:type="dxa"/>
            <w:tcBorders>
              <w:top w:val="dotted" w:sz="4" w:space="0" w:color="auto"/>
              <w:bottom w:val="single" w:sz="4" w:space="0" w:color="7F7F7F" w:themeColor="text1" w:themeTint="80"/>
            </w:tcBorders>
            <w:noWrap/>
            <w:vAlign w:val="center"/>
            <w:hideMark/>
          </w:tcPr>
          <w:p w14:paraId="6BDF323D" w14:textId="7626AAB3" w:rsidR="00BA1577" w:rsidRPr="00740FF0" w:rsidRDefault="00791A0B" w:rsidP="00BA1577">
            <w:pPr>
              <w:jc w:val="center"/>
              <w:rPr>
                <w:color w:val="000000"/>
                <w:sz w:val="16"/>
                <w:szCs w:val="16"/>
              </w:rPr>
            </w:pPr>
            <w:r>
              <w:rPr>
                <w:color w:val="000000"/>
                <w:sz w:val="16"/>
                <w:szCs w:val="16"/>
              </w:rPr>
              <w:t>2.8 / 100,000</w:t>
            </w:r>
          </w:p>
        </w:tc>
        <w:tc>
          <w:tcPr>
            <w:tcW w:w="245" w:type="dxa"/>
            <w:tcBorders>
              <w:top w:val="dotted" w:sz="4" w:space="0" w:color="auto"/>
              <w:bottom w:val="single" w:sz="4" w:space="0" w:color="7F7F7F" w:themeColor="text1" w:themeTint="80"/>
            </w:tcBorders>
            <w:noWrap/>
            <w:vAlign w:val="center"/>
            <w:hideMark/>
          </w:tcPr>
          <w:p w14:paraId="6C972C58" w14:textId="77777777" w:rsidR="00BA1577" w:rsidRPr="00740FF0" w:rsidRDefault="00BA1577" w:rsidP="00BA1577">
            <w:pPr>
              <w:jc w:val="center"/>
              <w:rPr>
                <w:color w:val="000000"/>
                <w:sz w:val="16"/>
                <w:szCs w:val="16"/>
              </w:rPr>
            </w:pPr>
          </w:p>
        </w:tc>
        <w:tc>
          <w:tcPr>
            <w:tcW w:w="1167" w:type="dxa"/>
            <w:tcBorders>
              <w:top w:val="dotted" w:sz="4" w:space="0" w:color="auto"/>
              <w:bottom w:val="single" w:sz="4" w:space="0" w:color="7F7F7F" w:themeColor="text1" w:themeTint="80"/>
            </w:tcBorders>
            <w:noWrap/>
            <w:vAlign w:val="center"/>
            <w:hideMark/>
          </w:tcPr>
          <w:p w14:paraId="7E8D123E" w14:textId="77777777" w:rsidR="00BA1577" w:rsidRPr="00740FF0" w:rsidRDefault="00BA1577" w:rsidP="00BA1577">
            <w:pPr>
              <w:jc w:val="center"/>
              <w:rPr>
                <w:color w:val="000000"/>
                <w:sz w:val="16"/>
                <w:szCs w:val="16"/>
              </w:rPr>
            </w:pPr>
            <w:r w:rsidRPr="00740FF0">
              <w:rPr>
                <w:color w:val="000000"/>
                <w:sz w:val="16"/>
                <w:szCs w:val="16"/>
              </w:rPr>
              <w:t>0</w:t>
            </w:r>
          </w:p>
        </w:tc>
        <w:tc>
          <w:tcPr>
            <w:tcW w:w="1284" w:type="dxa"/>
            <w:tcBorders>
              <w:top w:val="dotted" w:sz="4" w:space="0" w:color="auto"/>
              <w:bottom w:val="single" w:sz="4" w:space="0" w:color="7F7F7F" w:themeColor="text1" w:themeTint="80"/>
            </w:tcBorders>
            <w:noWrap/>
            <w:vAlign w:val="center"/>
            <w:hideMark/>
          </w:tcPr>
          <w:p w14:paraId="0501D27B" w14:textId="77777777" w:rsidR="00BA1577" w:rsidRPr="00740FF0" w:rsidRDefault="00BA1577" w:rsidP="00BA1577">
            <w:pPr>
              <w:jc w:val="center"/>
              <w:rPr>
                <w:color w:val="000000"/>
                <w:sz w:val="16"/>
                <w:szCs w:val="16"/>
              </w:rPr>
            </w:pPr>
            <w:r w:rsidRPr="00740FF0">
              <w:rPr>
                <w:color w:val="000000"/>
                <w:sz w:val="16"/>
                <w:szCs w:val="16"/>
              </w:rPr>
              <w:t>0</w:t>
            </w:r>
          </w:p>
        </w:tc>
        <w:tc>
          <w:tcPr>
            <w:tcW w:w="1204" w:type="dxa"/>
            <w:tcBorders>
              <w:top w:val="dotted" w:sz="4" w:space="0" w:color="auto"/>
              <w:bottom w:val="single" w:sz="4" w:space="0" w:color="7F7F7F" w:themeColor="text1" w:themeTint="80"/>
            </w:tcBorders>
            <w:noWrap/>
            <w:vAlign w:val="center"/>
            <w:hideMark/>
          </w:tcPr>
          <w:p w14:paraId="31F47933" w14:textId="77777777" w:rsidR="00BA1577" w:rsidRPr="00740FF0" w:rsidRDefault="00BA1577" w:rsidP="00BA1577">
            <w:pPr>
              <w:jc w:val="center"/>
              <w:rPr>
                <w:color w:val="000000"/>
                <w:sz w:val="16"/>
                <w:szCs w:val="16"/>
              </w:rPr>
            </w:pPr>
            <w:r w:rsidRPr="00740FF0">
              <w:rPr>
                <w:color w:val="000000"/>
                <w:sz w:val="16"/>
                <w:szCs w:val="16"/>
              </w:rPr>
              <w:t>0</w:t>
            </w:r>
          </w:p>
        </w:tc>
      </w:tr>
    </w:tbl>
    <w:p w14:paraId="760AB70A" w14:textId="69977294" w:rsidR="00BA1577" w:rsidRPr="00E46E0D" w:rsidRDefault="00BA1577" w:rsidP="00BA1577">
      <w:pPr>
        <w:rPr>
          <w:rFonts w:eastAsia="Arial"/>
          <w:sz w:val="20"/>
          <w:szCs w:val="20"/>
        </w:rPr>
      </w:pPr>
      <w:r w:rsidRPr="00E46E0D">
        <w:rPr>
          <w:rFonts w:eastAsia="Arial"/>
          <w:b/>
          <w:bCs/>
          <w:i/>
          <w:iCs/>
          <w:sz w:val="20"/>
          <w:szCs w:val="20"/>
        </w:rPr>
        <w:t>*Isolation:</w:t>
      </w:r>
      <w:r w:rsidRPr="00E46E0D">
        <w:rPr>
          <w:rFonts w:eastAsia="Arial"/>
          <w:i/>
          <w:iCs/>
          <w:sz w:val="20"/>
          <w:szCs w:val="20"/>
        </w:rPr>
        <w:t xml:space="preserve"> </w:t>
      </w:r>
      <w:r w:rsidRPr="00E46E0D">
        <w:rPr>
          <w:rFonts w:eastAsia="Arial"/>
          <w:sz w:val="20"/>
          <w:szCs w:val="20"/>
        </w:rPr>
        <w:t xml:space="preserve">The individual undergoing screening is isolated. </w:t>
      </w:r>
      <w:r w:rsidRPr="00E46E0D">
        <w:rPr>
          <w:rFonts w:eastAsia="Arial"/>
          <w:b/>
          <w:bCs/>
          <w:i/>
          <w:iCs/>
          <w:sz w:val="20"/>
          <w:szCs w:val="20"/>
          <w:vertAlign w:val="superscript"/>
        </w:rPr>
        <w:t>†</w:t>
      </w:r>
      <w:r w:rsidRPr="00E46E0D">
        <w:rPr>
          <w:rFonts w:eastAsia="Arial"/>
          <w:b/>
          <w:bCs/>
          <w:i/>
          <w:iCs/>
          <w:sz w:val="20"/>
          <w:szCs w:val="20"/>
        </w:rPr>
        <w:t>Cold zone:</w:t>
      </w:r>
      <w:r w:rsidRPr="00E46E0D">
        <w:rPr>
          <w:rFonts w:eastAsia="Arial"/>
          <w:sz w:val="20"/>
          <w:szCs w:val="20"/>
        </w:rPr>
        <w:t xml:space="preserve"> The individual undergoing screening is assigned to a cold zone and does not interact with any COVID-19 patients. They take social distancing and masking precautions in community settings.</w:t>
      </w:r>
      <w:r w:rsidRPr="00E46E0D">
        <w:rPr>
          <w:rFonts w:eastAsia="Arial"/>
          <w:sz w:val="20"/>
          <w:szCs w:val="20"/>
          <w:vertAlign w:val="superscript"/>
        </w:rPr>
        <w:t xml:space="preserve"> </w:t>
      </w:r>
      <w:r w:rsidRPr="00E46E0D">
        <w:rPr>
          <w:rFonts w:eastAsia="Arial"/>
          <w:b/>
          <w:bCs/>
          <w:i/>
          <w:iCs/>
          <w:sz w:val="20"/>
          <w:szCs w:val="20"/>
          <w:vertAlign w:val="superscript"/>
        </w:rPr>
        <w:t>¥</w:t>
      </w:r>
      <w:r w:rsidRPr="00E46E0D">
        <w:rPr>
          <w:rFonts w:eastAsia="Arial"/>
          <w:b/>
          <w:bCs/>
          <w:i/>
          <w:iCs/>
          <w:sz w:val="20"/>
          <w:szCs w:val="20"/>
        </w:rPr>
        <w:t>Hot zone:</w:t>
      </w:r>
      <w:r w:rsidRPr="00E46E0D">
        <w:rPr>
          <w:rFonts w:eastAsia="Arial"/>
          <w:sz w:val="20"/>
          <w:szCs w:val="20"/>
        </w:rPr>
        <w:t xml:space="preserve"> The individual undergoing screening is assigned to a hot zone and only interacts with COVID-19 patients. They are less strict about social distancing and masking precautions in community settings.</w:t>
      </w:r>
    </w:p>
    <w:p w14:paraId="48848043" w14:textId="1E395652" w:rsidR="00BA1577" w:rsidRPr="00E46E0D" w:rsidRDefault="00BA1577" w:rsidP="00BA1577">
      <w:pPr>
        <w:rPr>
          <w:rFonts w:eastAsia="Arial"/>
          <w:sz w:val="20"/>
          <w:szCs w:val="20"/>
        </w:rPr>
      </w:pPr>
      <w:r>
        <w:rPr>
          <w:rFonts w:eastAsia="Arial"/>
          <w:sz w:val="20"/>
          <w:szCs w:val="20"/>
        </w:rPr>
        <w:br w:type="page"/>
      </w:r>
    </w:p>
    <w:p w14:paraId="33577D87" w14:textId="77777777" w:rsidR="00BA1577" w:rsidRPr="00E46E0D" w:rsidRDefault="00BA1577" w:rsidP="00BA1577">
      <w:pPr>
        <w:numPr>
          <w:ilvl w:val="0"/>
          <w:numId w:val="1"/>
        </w:numPr>
        <w:pBdr>
          <w:top w:val="nil"/>
          <w:left w:val="nil"/>
          <w:bottom w:val="nil"/>
          <w:right w:val="nil"/>
          <w:between w:val="nil"/>
        </w:pBdr>
        <w:rPr>
          <w:rFonts w:eastAsia="Arial"/>
          <w:b/>
          <w:color w:val="000000"/>
          <w:sz w:val="20"/>
          <w:szCs w:val="20"/>
        </w:rPr>
      </w:pPr>
      <w:r w:rsidRPr="00E46E0D">
        <w:rPr>
          <w:rFonts w:eastAsia="Arial"/>
          <w:b/>
          <w:color w:val="000000"/>
          <w:sz w:val="20"/>
          <w:szCs w:val="20"/>
        </w:rPr>
        <w:t>PCR test performance</w:t>
      </w:r>
    </w:p>
    <w:p w14:paraId="3E776C6D" w14:textId="77777777" w:rsidR="00BA1577" w:rsidRPr="00E46E0D" w:rsidRDefault="00BA1577" w:rsidP="00BA1577">
      <w:pPr>
        <w:rPr>
          <w:rFonts w:eastAsia="Arial"/>
          <w:sz w:val="20"/>
          <w:szCs w:val="20"/>
        </w:rPr>
      </w:pPr>
      <w:r w:rsidRPr="00E46E0D">
        <w:rPr>
          <w:rFonts w:eastAsia="Arial"/>
          <w:sz w:val="20"/>
          <w:szCs w:val="20"/>
        </w:rPr>
        <w:t xml:space="preserve">PCR tests detect a specified portion of RNA but cannot distinguish between a live viral pathogen and fragments of RNA left behind. In this study, we defined the term “infected” based on being infectious. Per this definition, a true positive PCR test result would entail the presence of viable virus only. Even if the test accurately detects viral fragments, this would be considered a false positive since the HCW tested would no longer be infectious. To reflect this, we adjusted PCR performance for time since symptom onset. </w:t>
      </w:r>
    </w:p>
    <w:p w14:paraId="068756E9" w14:textId="77777777" w:rsidR="00BA1577" w:rsidRPr="00E46E0D" w:rsidRDefault="00BA1577" w:rsidP="00BA1577">
      <w:pPr>
        <w:rPr>
          <w:rFonts w:eastAsia="Arial"/>
          <w:sz w:val="20"/>
          <w:szCs w:val="20"/>
        </w:rPr>
      </w:pPr>
      <w:r w:rsidRPr="00E46E0D">
        <w:rPr>
          <w:rFonts w:eastAsia="Arial"/>
          <w:sz w:val="20"/>
          <w:szCs w:val="20"/>
        </w:rPr>
        <w:t xml:space="preserve">In days 1-7 post-symptom onset, being infected and being infectious are closely aligned; it is very likely that an infected individual still has viable virus and can infect others. At this time period, PCR test performance for infectivity should reflect the marketed test performance and have high sensitivity and specificity. </w:t>
      </w:r>
    </w:p>
    <w:p w14:paraId="111DDCCC" w14:textId="77777777" w:rsidR="00BA1577" w:rsidRPr="00E46E0D" w:rsidRDefault="00BA1577" w:rsidP="00BA1577">
      <w:pPr>
        <w:rPr>
          <w:rFonts w:eastAsia="Arial"/>
          <w:sz w:val="20"/>
          <w:szCs w:val="20"/>
        </w:rPr>
      </w:pPr>
      <w:r w:rsidRPr="00E46E0D">
        <w:rPr>
          <w:rFonts w:eastAsia="Arial"/>
          <w:sz w:val="20"/>
          <w:szCs w:val="20"/>
        </w:rPr>
        <w:t>Research suggests that viral cultures could not be obtained approximately 8 to 11 days after symptom onset, indicating that the alignment of infection versus infectivity is lost sometime in the second week post-symptom onset.</w:t>
      </w:r>
      <w:r w:rsidRPr="00E46E0D">
        <w:rPr>
          <w:rFonts w:eastAsia="Arial"/>
          <w:sz w:val="20"/>
          <w:szCs w:val="20"/>
        </w:rPr>
        <w:fldChar w:fldCharType="begin" w:fldLock="1"/>
      </w:r>
      <w:r>
        <w:rPr>
          <w:rFonts w:eastAsia="Arial"/>
          <w:sz w:val="20"/>
          <w:szCs w:val="20"/>
        </w:rPr>
        <w:instrText>ADDIN CSL_CITATION {"citationItems":[{"id":"ITEM-1","itemData":{"id":"ITEM-1","issued":{"date-parts":[["2020"]]},"title":"Position Statement from the National Centre for Infectious Diseases and the Chapter of Infectious Disease Physicians, Academy of Medicine, Singapore - 23 May 2020","type":"report"},"uris":["http://www.mendeley.com/documents/?uuid=130f5a68-8b0d-4931-839e-0e44c9fa0599"]},{"id":"ITEM-2","itemData":{"DOI":"10.1016/S0140-6736(20)30868-0","ISSN":"1474547X","author":[{"dropping-particle":"","family":"Atkinson","given":"Barry","non-dropping-particle":"","parse-names":false,"suffix":""},{"dropping-particle":"","family":"Petersen","given":"Eskild","non-dropping-particle":"","parse-names":false,"suffix":""}],"container-title":"The Lancet","id":"ITEM-2","issue":"10233","issued":{"date-parts":[["2020"]]},"page":"1339-1340","publisher":"Elsevier Ltd","title":"SARS-CoV-2 shedding and infectivity","type":"article-journal","volume":"395"},"uris":["http://www.mendeley.com/documents/?uuid=d1e16396-2731-47cb-bcc0-95a425e5b164"]},{"id":"ITEM-3","itemData":{"DOI":"10.1038/s41586-020-2196-x","author":[{"dropping-particle":"","family":"Wölfel","given":"Roman","non-dropping-particle":"","parse-names":false,"suffix":""},{"dropping-particle":"","family":"Corman","given":"Victor M","non-dropping-particle":"","parse-names":false,"suffix":""},{"dropping-particle":"","family":"Guggemos","given":"Wolfgang","non-dropping-particle":"","parse-names":false,"suffix":""},{"dropping-particle":"","family":"Seilmaier","given":"Michael","non-dropping-particle":"","parse-names":false,"suffix":""},{"dropping-particle":"","family":"Zange","given":"Sabine","non-dropping-particle":"","parse-names":false,"suffix":""},{"dropping-particle":"","family":"Müller","given":"Marcel A","non-dropping-particle":"","parse-names":false,"suffix":""},{"dropping-particle":"","family":"Niemeyer","given":"Daniela","non-dropping-particle":"","parse-names":false,"suffix":""},{"dropping-particle":"","family":"Jones","given":"Terry C","non-dropping-particle":"","parse-names":false,"suffix":""},{"dropping-particle":"","family":"Vollmar","given":"Patrick","non-dropping-particle":"","parse-names":false,"suffix":""},{"dropping-particle":"","family":"Rothe","given":"Camilla","non-dropping-particle":"","parse-names":false,"suffix":""},{"dropping-particle":"","family":"Hoelscher","given":"Michael","non-dropping-particle":"","parse-names":false,"suffix":""},{"dropping-particle":"","family":"Bleicker","given":"Tobias","non-dropping-particle":"","parse-names":false,"suffix":""},{"dropping-particle":"","family":"Brünink","given":"Sebastian","non-dropping-particle":"","parse-names":false,"suffix":""},{"dropping-particle":"","family":"Schneider","given":"Julia","non-dropping-particle":"","parse-names":false,"suffix":""},{"dropping-particle":"","family":"Ehmann","given":"Rosina","non-dropping-particle":"","parse-names":false,"suffix":""},{"dropping-particle":"","family":"Zwirglmaier","given":"Katrin","non-dropping-particle":"","parse-names":false,"suffix":""},{"dropping-particle":"","family":"Drosten","given":"Christian","non-dropping-particle":"","parse-names":false,"suffix":""},{"dropping-particle":"","family":"Wendtner","given":"Clemens","non-dropping-particle":"","parse-names":false,"suffix":""}],"container-title":"Nature","id":"ITEM-3","issued":{"date-parts":[["2020"]]},"note":"9 patients only!","page":"465","title":"Virological assessment of hospitalized patients with COVID-2019","type":"article-journal","volume":"581"},"uris":["http://www.mendeley.com/documents/?uuid=1abcf5d3-d316-31ad-a4d9-ee822f46e16e"]}],"mendeley":{"formattedCitation":"(6,11,20)","plainTextFormattedCitation":"(6,11,20)","previouslyFormattedCitation":"(6,11,20)"},"properties":{"noteIndex":0},"schema":"https://github.com/citation-style-language/schema/raw/master/csl-citation.json"}</w:instrText>
      </w:r>
      <w:r w:rsidRPr="00E46E0D">
        <w:rPr>
          <w:rFonts w:eastAsia="Arial"/>
          <w:sz w:val="20"/>
          <w:szCs w:val="20"/>
        </w:rPr>
        <w:fldChar w:fldCharType="separate"/>
      </w:r>
      <w:r w:rsidRPr="002604EF">
        <w:rPr>
          <w:rFonts w:eastAsia="Arial"/>
          <w:noProof/>
          <w:sz w:val="20"/>
          <w:szCs w:val="20"/>
        </w:rPr>
        <w:t>(6,11,20)</w:t>
      </w:r>
      <w:r w:rsidRPr="00E46E0D">
        <w:rPr>
          <w:rFonts w:eastAsia="Arial"/>
          <w:sz w:val="20"/>
          <w:szCs w:val="20"/>
        </w:rPr>
        <w:fldChar w:fldCharType="end"/>
      </w:r>
      <w:r w:rsidRPr="00E46E0D">
        <w:rPr>
          <w:rFonts w:eastAsia="Arial"/>
          <w:sz w:val="20"/>
          <w:szCs w:val="20"/>
        </w:rPr>
        <w:t xml:space="preserve"> While a false negative is still unlikely (and sensitivity remains high), this suggests that a positive PCR result obtained in days 8-14 (or thereafter) is likely due to viral fragments and should be considered a false positive in the context of our analysis. Xiao et al reports an 89</w:t>
      </w:r>
      <w:r>
        <w:rPr>
          <w:rFonts w:eastAsia="Arial"/>
          <w:sz w:val="20"/>
          <w:szCs w:val="20"/>
        </w:rPr>
        <w:t>.</w:t>
      </w:r>
      <w:r w:rsidRPr="00E46E0D">
        <w:rPr>
          <w:rFonts w:eastAsia="Arial"/>
          <w:sz w:val="20"/>
          <w:szCs w:val="20"/>
        </w:rPr>
        <w:t>3% PCR-positivity rate in a sample of 56 patients known to be infected with SARS-CoV-2 in days 8-14 post-symptom onset.</w:t>
      </w:r>
      <w:r w:rsidRPr="00E46E0D">
        <w:rPr>
          <w:rFonts w:eastAsia="Arial"/>
          <w:sz w:val="20"/>
          <w:szCs w:val="20"/>
          <w:vertAlign w:val="superscript"/>
        </w:rPr>
        <w:t>40</w:t>
      </w:r>
      <w:r w:rsidRPr="00E46E0D">
        <w:rPr>
          <w:rFonts w:eastAsia="Arial"/>
          <w:sz w:val="20"/>
          <w:szCs w:val="20"/>
        </w:rPr>
        <w:t xml:space="preserve"> Within this timeframe, 7</w:t>
      </w:r>
      <w:r>
        <w:rPr>
          <w:rFonts w:eastAsia="Arial"/>
          <w:sz w:val="20"/>
          <w:szCs w:val="20"/>
        </w:rPr>
        <w:t>.</w:t>
      </w:r>
      <w:r w:rsidRPr="00E46E0D">
        <w:rPr>
          <w:rFonts w:eastAsia="Arial"/>
          <w:sz w:val="20"/>
          <w:szCs w:val="20"/>
        </w:rPr>
        <w:t>9% of infected individuals are assumed to remain infectious.</w:t>
      </w:r>
      <w:r w:rsidRPr="00E46E0D">
        <w:rPr>
          <w:rFonts w:eastAsia="Arial"/>
          <w:sz w:val="20"/>
          <w:szCs w:val="20"/>
          <w:vertAlign w:val="superscript"/>
        </w:rPr>
        <w:t>17</w:t>
      </w:r>
      <w:r w:rsidRPr="00E46E0D">
        <w:rPr>
          <w:rFonts w:eastAsia="Arial"/>
          <w:sz w:val="20"/>
          <w:szCs w:val="20"/>
        </w:rPr>
        <w:t xml:space="preserve"> Using these values and 95% sensitivity:</w:t>
      </w:r>
    </w:p>
    <w:p w14:paraId="41AC41C5" w14:textId="77777777" w:rsidR="00BA1577" w:rsidRPr="00E46E0D" w:rsidRDefault="00BA1577" w:rsidP="00BA1577">
      <w:pPr>
        <w:rPr>
          <w:rFonts w:eastAsia="Arial"/>
          <w:sz w:val="20"/>
          <w:szCs w:val="20"/>
        </w:rPr>
      </w:pPr>
    </w:p>
    <w:p w14:paraId="0863FD3C" w14:textId="77777777" w:rsidR="00BA1577" w:rsidRPr="00E46E0D" w:rsidRDefault="00BA1577" w:rsidP="00BA1577">
      <w:pPr>
        <w:jc w:val="center"/>
        <w:rPr>
          <w:rFonts w:eastAsia="Cambria Math"/>
          <w:sz w:val="20"/>
          <w:szCs w:val="20"/>
        </w:rPr>
      </w:pPr>
      <m:oMathPara>
        <m:oMath>
          <m:r>
            <w:rPr>
              <w:rFonts w:ascii="Cambria Math" w:eastAsia="Cambria Math" w:hAnsi="Cambria Math"/>
              <w:sz w:val="20"/>
              <w:szCs w:val="20"/>
            </w:rPr>
            <m:t xml:space="preserve">Specificity (days 8-14) = </m:t>
          </m:r>
          <m:f>
            <m:fPr>
              <m:ctrlPr>
                <w:rPr>
                  <w:rFonts w:ascii="Cambria Math" w:eastAsia="Cambria Math" w:hAnsi="Cambria Math"/>
                  <w:sz w:val="20"/>
                  <w:szCs w:val="20"/>
                </w:rPr>
              </m:ctrlPr>
            </m:fPr>
            <m:num>
              <m:r>
                <w:rPr>
                  <w:rFonts w:ascii="Cambria Math" w:eastAsia="Cambria Math" w:hAnsi="Cambria Math"/>
                  <w:sz w:val="20"/>
                  <w:szCs w:val="20"/>
                </w:rPr>
                <m:t>% not infectious – (% test positive – % true positive)</m:t>
              </m:r>
            </m:num>
            <m:den>
              <m:r>
                <w:rPr>
                  <w:rFonts w:ascii="Cambria Math" w:eastAsia="Cambria Math" w:hAnsi="Cambria Math"/>
                  <w:sz w:val="20"/>
                  <w:szCs w:val="20"/>
                </w:rPr>
                <m:t>% not infectious</m:t>
              </m:r>
            </m:den>
          </m:f>
          <m:r>
            <w:rPr>
              <w:rFonts w:ascii="Cambria Math" w:eastAsia="Cambria Math" w:hAnsi="Cambria Math"/>
              <w:sz w:val="20"/>
              <w:szCs w:val="20"/>
            </w:rPr>
            <m:t xml:space="preserve"> = </m:t>
          </m:r>
          <m:f>
            <m:fPr>
              <m:ctrlPr>
                <w:rPr>
                  <w:rFonts w:ascii="Cambria Math" w:eastAsia="Cambria Math" w:hAnsi="Cambria Math"/>
                  <w:sz w:val="20"/>
                  <w:szCs w:val="20"/>
                </w:rPr>
              </m:ctrlPr>
            </m:fPr>
            <m:num>
              <m:r>
                <w:rPr>
                  <w:rFonts w:ascii="Cambria Math" w:eastAsia="Cambria Math" w:hAnsi="Cambria Math"/>
                  <w:sz w:val="20"/>
                  <w:szCs w:val="20"/>
                </w:rPr>
                <m:t>92.1 – (89.3 – 0.95x7.9)</m:t>
              </m:r>
            </m:num>
            <m:den>
              <m:r>
                <w:rPr>
                  <w:rFonts w:ascii="Cambria Math" w:eastAsia="Cambria Math" w:hAnsi="Cambria Math"/>
                  <w:sz w:val="20"/>
                  <w:szCs w:val="20"/>
                </w:rPr>
                <m:t>92.1</m:t>
              </m:r>
            </m:den>
          </m:f>
          <m:r>
            <w:rPr>
              <w:rFonts w:ascii="Cambria Math" w:eastAsia="Cambria Math" w:hAnsi="Cambria Math"/>
              <w:sz w:val="20"/>
              <w:szCs w:val="20"/>
            </w:rPr>
            <m:t xml:space="preserve"> = 0.11 </m:t>
          </m:r>
        </m:oMath>
      </m:oMathPara>
    </w:p>
    <w:p w14:paraId="7EF69207" w14:textId="77777777" w:rsidR="00BA1577" w:rsidRPr="00E46E0D" w:rsidRDefault="00BA1577" w:rsidP="00BA1577">
      <w:pPr>
        <w:rPr>
          <w:rFonts w:eastAsia="Arial"/>
          <w:sz w:val="20"/>
          <w:szCs w:val="20"/>
        </w:rPr>
      </w:pPr>
    </w:p>
    <w:p w14:paraId="544D0F54" w14:textId="77777777" w:rsidR="00BA1577" w:rsidRPr="00E46E0D" w:rsidRDefault="00BA1577" w:rsidP="00BA1577">
      <w:pPr>
        <w:rPr>
          <w:rFonts w:eastAsia="Arial"/>
          <w:sz w:val="20"/>
          <w:szCs w:val="20"/>
        </w:rPr>
      </w:pPr>
      <w:r w:rsidRPr="00E46E0D">
        <w:rPr>
          <w:rFonts w:eastAsia="Arial"/>
          <w:sz w:val="20"/>
          <w:szCs w:val="20"/>
        </w:rPr>
        <w:t xml:space="preserve">The upper and lower bounds of specificity were calculated using the upper and lower bounds for PCR sensitivity and applying the same formula. </w:t>
      </w:r>
    </w:p>
    <w:p w14:paraId="2B51DBDD" w14:textId="77777777" w:rsidR="00BA1577" w:rsidRPr="00E46E0D" w:rsidRDefault="00BA1577" w:rsidP="00BA1577">
      <w:pPr>
        <w:rPr>
          <w:rFonts w:eastAsia="Arial"/>
          <w:sz w:val="20"/>
          <w:szCs w:val="20"/>
        </w:rPr>
      </w:pPr>
      <w:r w:rsidRPr="00E46E0D">
        <w:rPr>
          <w:rFonts w:eastAsia="Arial"/>
          <w:sz w:val="20"/>
          <w:szCs w:val="20"/>
        </w:rPr>
        <w:t>15-39 days after symptom onset, virtually no viable SARS-CoV-2 remains in infected individuals.</w:t>
      </w:r>
      <w:r w:rsidRPr="00E46E0D">
        <w:rPr>
          <w:rFonts w:eastAsia="Arial"/>
          <w:sz w:val="20"/>
          <w:szCs w:val="20"/>
        </w:rPr>
        <w:fldChar w:fldCharType="begin" w:fldLock="1"/>
      </w:r>
      <w:r>
        <w:rPr>
          <w:rFonts w:eastAsia="Arial"/>
          <w:sz w:val="20"/>
          <w:szCs w:val="20"/>
        </w:rPr>
        <w:instrText>ADDIN CSL_CITATION {"citationItems":[{"id":"ITEM-1","itemData":{"DOI":"10.1016/S1473-3099(20)30237-1","ISSN":"14744457","PMID":"32224308","author":[{"dropping-particle":"","family":"Joynt","given":"Gavin M.","non-dropping-particle":"","parse-names":false,"suffix":""},{"dropping-particle":"","family":"Wu","given":"William Kk","non-dropping-particle":"","parse-names":false,"suffix":""}],"container-title":"The Lancet. Infectious diseases","id":"ITEM-1","issue":"20","issued":{"date-parts":[["2020"]]},"note":"SARS - RNA detectable 1+ months after onset, but live virus only up to 3 weeks.\nEven though this is a limitation, it still seems to be reasonable to use RNA as a proxy during the conditions of a pandemic.","page":"19-20","publisher":"Elsevier Ltd","title":"Understanding COVID-19: what does viral RNA load really mean?","type":"article-journal","volume":"3099"},"uris":["http://www.mendeley.com/documents/?uuid=1cd70b34-64a5-48af-9182-a37fe6f5c2cd"]}],"mendeley":{"formattedCitation":"(21)","plainTextFormattedCitation":"(21)","previouslyFormattedCitation":"(21)"},"properties":{"noteIndex":0},"schema":"https://github.com/citation-style-language/schema/raw/master/csl-citation.json"}</w:instrText>
      </w:r>
      <w:r w:rsidRPr="00E46E0D">
        <w:rPr>
          <w:rFonts w:eastAsia="Arial"/>
          <w:sz w:val="20"/>
          <w:szCs w:val="20"/>
        </w:rPr>
        <w:fldChar w:fldCharType="separate"/>
      </w:r>
      <w:r w:rsidRPr="002604EF">
        <w:rPr>
          <w:rFonts w:eastAsia="Arial"/>
          <w:noProof/>
          <w:sz w:val="20"/>
          <w:szCs w:val="20"/>
        </w:rPr>
        <w:t>(21)</w:t>
      </w:r>
      <w:r w:rsidRPr="00E46E0D">
        <w:rPr>
          <w:rFonts w:eastAsia="Arial"/>
          <w:sz w:val="20"/>
          <w:szCs w:val="20"/>
        </w:rPr>
        <w:fldChar w:fldCharType="end"/>
      </w:r>
      <w:r w:rsidRPr="00E46E0D">
        <w:rPr>
          <w:rFonts w:eastAsia="Arial"/>
          <w:sz w:val="20"/>
          <w:szCs w:val="20"/>
        </w:rPr>
        <w:t xml:space="preserve"> Consequently, the sensitivity becomes irrelevant. The body also continues to eliminate the remaining viral fragments, so specificity once again increases. Using 34</w:t>
      </w:r>
      <w:r>
        <w:rPr>
          <w:rFonts w:eastAsia="Arial"/>
          <w:sz w:val="20"/>
          <w:szCs w:val="20"/>
        </w:rPr>
        <w:t>.</w:t>
      </w:r>
      <w:r w:rsidRPr="00E46E0D">
        <w:rPr>
          <w:rFonts w:eastAsia="Arial"/>
          <w:sz w:val="20"/>
          <w:szCs w:val="20"/>
        </w:rPr>
        <w:t>5% PCR positivity rate and applying the formula above, we estimated the PCR specificity to be 0</w:t>
      </w:r>
      <w:r>
        <w:rPr>
          <w:rFonts w:eastAsia="Arial"/>
          <w:sz w:val="20"/>
          <w:szCs w:val="20"/>
        </w:rPr>
        <w:t>.</w:t>
      </w:r>
      <w:r w:rsidRPr="00E46E0D">
        <w:rPr>
          <w:rFonts w:eastAsia="Arial"/>
          <w:sz w:val="20"/>
          <w:szCs w:val="20"/>
        </w:rPr>
        <w:t>66 at this point in the course of disease.</w:t>
      </w:r>
      <w:r w:rsidRPr="00E46E0D">
        <w:rPr>
          <w:rFonts w:eastAsia="Arial"/>
          <w:sz w:val="20"/>
          <w:szCs w:val="20"/>
          <w:vertAlign w:val="superscript"/>
        </w:rPr>
        <w:fldChar w:fldCharType="begin" w:fldLock="1"/>
      </w:r>
      <w:r>
        <w:rPr>
          <w:rFonts w:eastAsia="Arial"/>
          <w:sz w:val="20"/>
          <w:szCs w:val="20"/>
          <w:vertAlign w:val="superscript"/>
        </w:rPr>
        <w:instrText>ADDIN CSL_CITATION {"citationItems":[{"id":"ITEM-1","itemData":{"ISBN":"8618971201115","abstract":"A novel coronavirus (COVID-19) pandemic threatens the world. Here, we first studied the dynamics profile of SARS-CoV-2 from 56 recovered COVID-19 patients. We found virus shedding was up to 6 weeks after onset of symptoms. Prolonged observation period is necessary for older patients.","author":[{"dropping-particle":"","family":"Xiao","given":"Ai Tang","non-dropping-particle":"","parse-names":false,"suffix":""},{"dropping-particle":"","family":"Tong","given":"Yi Xin","non-dropping-particle":"","parse-names":false,"suffix":""},{"dropping-particle":"","family":"Zhang","given":"Sheng","non-dropping-particle":"","parse-names":false,"suffix":""}],"container-title":"Clinical Infectious Diseases","id":"ITEM-1","issued":{"date-parts":[["2020"]]},"title":"Profile of PT-PCR for SARS-CoV-2: a preliminary study from 56 COVID-19 patients","type":"article-journal"},"uris":["http://www.mendeley.com/documents/?uuid=0d601cbf-1c27-364a-9c9d-3c2336d7b478"]}],"mendeley":{"formattedCitation":"(48)","plainTextFormattedCitation":"(48)","previouslyFormattedCitation":"(48)"},"properties":{"noteIndex":0},"schema":"https://github.com/citation-style-language/schema/raw/master/csl-citation.json"}</w:instrText>
      </w:r>
      <w:r w:rsidRPr="00E46E0D">
        <w:rPr>
          <w:rFonts w:eastAsia="Arial"/>
          <w:sz w:val="20"/>
          <w:szCs w:val="20"/>
          <w:vertAlign w:val="superscript"/>
        </w:rPr>
        <w:fldChar w:fldCharType="separate"/>
      </w:r>
      <w:r w:rsidRPr="002604EF">
        <w:rPr>
          <w:rFonts w:eastAsia="Arial"/>
          <w:noProof/>
          <w:sz w:val="20"/>
          <w:szCs w:val="20"/>
        </w:rPr>
        <w:t>(48)</w:t>
      </w:r>
      <w:r w:rsidRPr="00E46E0D">
        <w:rPr>
          <w:rFonts w:eastAsia="Arial"/>
          <w:sz w:val="20"/>
          <w:szCs w:val="20"/>
          <w:vertAlign w:val="superscript"/>
        </w:rPr>
        <w:fldChar w:fldCharType="end"/>
      </w:r>
    </w:p>
    <w:p w14:paraId="7E6C78A9" w14:textId="77777777" w:rsidR="00BA1577" w:rsidRDefault="00BA1577" w:rsidP="00BA1577">
      <w:pPr>
        <w:rPr>
          <w:rFonts w:eastAsia="Arial"/>
          <w:sz w:val="20"/>
          <w:szCs w:val="20"/>
        </w:rPr>
      </w:pPr>
      <w:r w:rsidRPr="00E46E0D">
        <w:rPr>
          <w:rFonts w:eastAsia="Arial"/>
          <w:sz w:val="20"/>
          <w:szCs w:val="20"/>
        </w:rPr>
        <w:t>The specificity value used for the strata of asymptomatic HCWs is an arithmetic average of the specificities estimated for the three other strata.</w:t>
      </w:r>
    </w:p>
    <w:p w14:paraId="6349A537" w14:textId="1B542AFD" w:rsidR="00BA1577" w:rsidRPr="00E46E0D" w:rsidRDefault="00BA1577" w:rsidP="00BA1577">
      <w:pPr>
        <w:rPr>
          <w:rFonts w:eastAsia="Arial"/>
          <w:sz w:val="20"/>
          <w:szCs w:val="20"/>
        </w:rPr>
      </w:pPr>
      <w:r>
        <w:rPr>
          <w:rFonts w:eastAsia="Arial"/>
          <w:sz w:val="20"/>
          <w:szCs w:val="20"/>
        </w:rPr>
        <w:br w:type="page"/>
      </w:r>
    </w:p>
    <w:p w14:paraId="0697702E" w14:textId="77777777" w:rsidR="00BA1577" w:rsidRPr="00E46E0D" w:rsidRDefault="00BA1577" w:rsidP="00BA1577">
      <w:pPr>
        <w:numPr>
          <w:ilvl w:val="0"/>
          <w:numId w:val="1"/>
        </w:numPr>
        <w:pBdr>
          <w:top w:val="nil"/>
          <w:left w:val="nil"/>
          <w:bottom w:val="nil"/>
          <w:right w:val="nil"/>
          <w:between w:val="nil"/>
        </w:pBdr>
        <w:rPr>
          <w:rFonts w:eastAsia="Arial"/>
          <w:b/>
          <w:color w:val="000000"/>
          <w:sz w:val="20"/>
          <w:szCs w:val="20"/>
        </w:rPr>
      </w:pPr>
      <w:r w:rsidRPr="00E46E0D">
        <w:rPr>
          <w:rFonts w:eastAsia="Arial"/>
          <w:b/>
          <w:color w:val="000000"/>
          <w:sz w:val="20"/>
          <w:szCs w:val="20"/>
        </w:rPr>
        <w:t>Cost of COVID-19 treatment</w:t>
      </w:r>
    </w:p>
    <w:p w14:paraId="7AB747F5" w14:textId="77777777" w:rsidR="00BA1577" w:rsidRPr="00E46E0D" w:rsidRDefault="00BA1577" w:rsidP="00BA1577">
      <w:pPr>
        <w:rPr>
          <w:rFonts w:eastAsia="Arial"/>
          <w:sz w:val="20"/>
          <w:szCs w:val="20"/>
        </w:rPr>
      </w:pPr>
      <w:r w:rsidRPr="00E46E0D">
        <w:rPr>
          <w:rFonts w:eastAsia="Arial"/>
          <w:sz w:val="20"/>
          <w:szCs w:val="20"/>
        </w:rPr>
        <w:t>The cost of treating COVID-19 depends on severity. While asymptomatic individuals will not require any treatment and generate no costs, severely ill individuals require critical care and incur very high costs. We used the distribution of disease severity among those infected with COVID-19 and the respective average costs incurred for each level of severity to calculate a weighted average cost of treatment (Table IV).</w:t>
      </w:r>
      <w:r w:rsidRPr="00E46E0D">
        <w:rPr>
          <w:i/>
          <w:sz w:val="20"/>
          <w:szCs w:val="20"/>
        </w:rPr>
        <w:fldChar w:fldCharType="begin" w:fldLock="1"/>
      </w:r>
      <w:r>
        <w:rPr>
          <w:sz w:val="20"/>
          <w:szCs w:val="20"/>
        </w:rPr>
        <w:instrText>ADDIN CSL_CITATION {"citationItems":[{"id":"ITEM-1","itemData":{"URL":"https://www.healthsystemtracker.org/brief/potential-costs-of-coronavirus-treatment-for-people-with-employer-coverage/","accessed":{"date-parts":[["2020","6","24"]]},"author":[{"dropping-particle":"","family":"Rae","given":"Matthew","non-dropping-particle":"","parse-names":false,"suffix":""},{"dropping-particle":"","family":"Claxton","given":"Gary","non-dropping-particle":"","parse-names":false,"suffix":""},{"dropping-particle":"","family":"Kurani","given":"Nisha","non-dropping-particle":"","parse-names":false,"suffix":""},{"dropping-particle":"","family":"McDermott","given":"Daniel","non-dropping-particle":"","parse-names":false,"suffix":""},{"dropping-particle":"","family":"Cox","given":"Cynthia","non-dropping-particle":"","parse-names":false,"suffix":""}],"container-title":"Peterson-KFF Health System Tracker","id":"ITEM-1","issued":{"date-parts":[["2020","3","13"]]},"title":"Potential costs of COVID-19 treatment for people with employer coverage","type":"webpage"},"uris":["http://www.mendeley.com/documents/?uuid=86ff1a7d-865a-3a59-ad2e-ad35386800dd"]}],"mendeley":{"formattedCitation":"(31)","plainTextFormattedCitation":"(31)","previouslyFormattedCitation":"(31)"},"properties":{"noteIndex":0},"schema":"https://github.com/citation-style-language/schema/raw/master/csl-citation.json"}</w:instrText>
      </w:r>
      <w:r w:rsidRPr="00E46E0D">
        <w:rPr>
          <w:i/>
          <w:sz w:val="20"/>
          <w:szCs w:val="20"/>
        </w:rPr>
        <w:fldChar w:fldCharType="separate"/>
      </w:r>
      <w:r w:rsidRPr="002604EF">
        <w:rPr>
          <w:noProof/>
          <w:sz w:val="20"/>
          <w:szCs w:val="20"/>
        </w:rPr>
        <w:t>(31)</w:t>
      </w:r>
      <w:r w:rsidRPr="00E46E0D">
        <w:rPr>
          <w:i/>
          <w:sz w:val="20"/>
          <w:szCs w:val="20"/>
        </w:rPr>
        <w:fldChar w:fldCharType="end"/>
      </w:r>
    </w:p>
    <w:p w14:paraId="64508B7F" w14:textId="77777777" w:rsidR="00BA1577" w:rsidRPr="00E46E0D" w:rsidRDefault="00BA1577" w:rsidP="00BA1577">
      <w:pPr>
        <w:rPr>
          <w:rFonts w:eastAsia="Arial"/>
          <w:sz w:val="20"/>
          <w:szCs w:val="20"/>
        </w:rPr>
      </w:pPr>
    </w:p>
    <w:p w14:paraId="01046CF8" w14:textId="77777777" w:rsidR="00BA1577" w:rsidRPr="00E46E0D" w:rsidRDefault="00BA1577" w:rsidP="00BA1577">
      <w:pPr>
        <w:pStyle w:val="Caption"/>
        <w:keepNext/>
        <w:spacing w:after="0"/>
        <w:ind w:left="1800"/>
        <w:rPr>
          <w:rFonts w:ascii="Times New Roman" w:hAnsi="Times New Roman" w:cs="Times New Roman"/>
          <w:i w:val="0"/>
          <w:color w:val="auto"/>
          <w:sz w:val="20"/>
          <w:szCs w:val="20"/>
        </w:rPr>
      </w:pPr>
      <w:r w:rsidRPr="00E46E0D">
        <w:rPr>
          <w:rFonts w:ascii="Times New Roman" w:hAnsi="Times New Roman" w:cs="Times New Roman"/>
          <w:b/>
          <w:i w:val="0"/>
          <w:color w:val="auto"/>
          <w:sz w:val="20"/>
          <w:szCs w:val="20"/>
        </w:rPr>
        <w:t>Table IV</w:t>
      </w:r>
      <w:r w:rsidRPr="00E46E0D">
        <w:rPr>
          <w:rFonts w:ascii="Times New Roman" w:hAnsi="Times New Roman" w:cs="Times New Roman"/>
          <w:b/>
          <w:bCs/>
          <w:i w:val="0"/>
          <w:iCs w:val="0"/>
          <w:color w:val="auto"/>
          <w:sz w:val="20"/>
          <w:szCs w:val="20"/>
        </w:rPr>
        <w:t>.</w:t>
      </w:r>
      <w:r w:rsidRPr="00E46E0D">
        <w:rPr>
          <w:rFonts w:ascii="Times New Roman" w:hAnsi="Times New Roman" w:cs="Times New Roman"/>
          <w:color w:val="auto"/>
          <w:sz w:val="20"/>
          <w:szCs w:val="20"/>
        </w:rPr>
        <w:t xml:space="preserve"> </w:t>
      </w:r>
      <w:r w:rsidRPr="00E46E0D">
        <w:rPr>
          <w:rFonts w:ascii="Times New Roman" w:hAnsi="Times New Roman" w:cs="Times New Roman"/>
          <w:i w:val="0"/>
          <w:color w:val="auto"/>
          <w:sz w:val="20"/>
          <w:szCs w:val="20"/>
        </w:rPr>
        <w:t>Breakdown of treatment costs by type of care sought.</w:t>
      </w:r>
      <w:r w:rsidRPr="00E46E0D">
        <w:rPr>
          <w:rFonts w:ascii="Times New Roman" w:hAnsi="Times New Roman" w:cs="Times New Roman"/>
          <w:i w:val="0"/>
          <w:color w:val="auto"/>
          <w:sz w:val="20"/>
          <w:szCs w:val="20"/>
        </w:rPr>
        <w:fldChar w:fldCharType="begin" w:fldLock="1"/>
      </w:r>
      <w:r>
        <w:rPr>
          <w:rFonts w:ascii="Times New Roman" w:hAnsi="Times New Roman" w:cs="Times New Roman"/>
          <w:i w:val="0"/>
          <w:color w:val="auto"/>
          <w:sz w:val="20"/>
          <w:szCs w:val="20"/>
        </w:rPr>
        <w:instrText>ADDIN CSL_CITATION {"citationItems":[{"id":"ITEM-1","itemData":{"URL":"https://www.healthsystemtracker.org/brief/potential-costs-of-coronavirus-treatment-for-people-with-employer-coverage/","accessed":{"date-parts":[["2020","6","24"]]},"author":[{"dropping-particle":"","family":"Rae","given":"Matthew","non-dropping-particle":"","parse-names":false,"suffix":""},{"dropping-particle":"","family":"Claxton","given":"Gary","non-dropping-particle":"","parse-names":false,"suffix":""},{"dropping-particle":"","family":"Kurani","given":"Nisha","non-dropping-particle":"","parse-names":false,"suffix":""},{"dropping-particle":"","family":"McDermott","given":"Daniel","non-dropping-particle":"","parse-names":false,"suffix":""},{"dropping-particle":"","family":"Cox","given":"Cynthia","non-dropping-particle":"","parse-names":false,"suffix":""}],"container-title":"Peterson-KFF Health System Tracker","id":"ITEM-1","issued":{"date-parts":[["2020","3","13"]]},"title":"Potential costs of COVID-19 treatment for people with employer coverage","type":"webpage"},"uris":["http://www.mendeley.com/documents/?uuid=86ff1a7d-865a-3a59-ad2e-ad35386800dd"]}],"mendeley":{"formattedCitation":"(31)","plainTextFormattedCitation":"(31)","previouslyFormattedCitation":"(31)"},"properties":{"noteIndex":0},"schema":"https://github.com/citation-style-language/schema/raw/master/csl-citation.json"}</w:instrText>
      </w:r>
      <w:r w:rsidRPr="00E46E0D">
        <w:rPr>
          <w:rFonts w:ascii="Times New Roman" w:hAnsi="Times New Roman" w:cs="Times New Roman"/>
          <w:i w:val="0"/>
          <w:color w:val="auto"/>
          <w:sz w:val="20"/>
          <w:szCs w:val="20"/>
        </w:rPr>
        <w:fldChar w:fldCharType="separate"/>
      </w:r>
      <w:r w:rsidRPr="002604EF">
        <w:rPr>
          <w:rFonts w:ascii="Times New Roman" w:hAnsi="Times New Roman" w:cs="Times New Roman"/>
          <w:i w:val="0"/>
          <w:noProof/>
          <w:color w:val="auto"/>
          <w:sz w:val="20"/>
          <w:szCs w:val="20"/>
        </w:rPr>
        <w:t>(31)</w:t>
      </w:r>
      <w:r w:rsidRPr="00E46E0D">
        <w:rPr>
          <w:rFonts w:ascii="Times New Roman" w:hAnsi="Times New Roman" w:cs="Times New Roman"/>
          <w:i w:val="0"/>
          <w:color w:val="auto"/>
          <w:sz w:val="20"/>
          <w:szCs w:val="20"/>
        </w:rPr>
        <w:fldChar w:fldCharType="end"/>
      </w:r>
      <w:r w:rsidRPr="00E46E0D">
        <w:rPr>
          <w:rFonts w:ascii="Times New Roman" w:hAnsi="Times New Roman" w:cs="Times New Roman"/>
          <w:i w:val="0"/>
          <w:color w:val="auto"/>
          <w:sz w:val="20"/>
          <w:szCs w:val="20"/>
        </w:rPr>
        <w:t xml:space="preserve"> </w:t>
      </w:r>
    </w:p>
    <w:p w14:paraId="21D513CD" w14:textId="77777777" w:rsidR="00BA1577" w:rsidRPr="00E46E0D" w:rsidRDefault="00BA1577" w:rsidP="00BA1577">
      <w:pPr>
        <w:pStyle w:val="Caption"/>
        <w:keepNext/>
        <w:ind w:left="1800"/>
        <w:rPr>
          <w:rFonts w:ascii="Times New Roman" w:hAnsi="Times New Roman" w:cs="Times New Roman"/>
          <w:i w:val="0"/>
          <w:color w:val="auto"/>
          <w:sz w:val="20"/>
          <w:szCs w:val="20"/>
        </w:rPr>
      </w:pPr>
      <w:r w:rsidRPr="00E46E0D">
        <w:rPr>
          <w:rFonts w:ascii="Times New Roman" w:hAnsi="Times New Roman" w:cs="Times New Roman"/>
          <w:i w:val="0"/>
          <w:color w:val="auto"/>
          <w:sz w:val="20"/>
          <w:szCs w:val="20"/>
        </w:rPr>
        <w:t>ED: emergency department; ICU: intensive care unit.</w:t>
      </w:r>
    </w:p>
    <w:tbl>
      <w:tblPr>
        <w:tblStyle w:val="TableGridLight"/>
        <w:tblW w:w="53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572"/>
        <w:gridCol w:w="1300"/>
      </w:tblGrid>
      <w:tr w:rsidR="00BA1577" w:rsidRPr="00740FF0" w14:paraId="48AFA3CF" w14:textId="77777777" w:rsidTr="00681931">
        <w:trPr>
          <w:trHeight w:val="320"/>
          <w:jc w:val="center"/>
        </w:trPr>
        <w:tc>
          <w:tcPr>
            <w:tcW w:w="2520" w:type="dxa"/>
            <w:tcBorders>
              <w:bottom w:val="single" w:sz="4" w:space="0" w:color="auto"/>
            </w:tcBorders>
            <w:noWrap/>
            <w:vAlign w:val="center"/>
            <w:hideMark/>
          </w:tcPr>
          <w:p w14:paraId="066571AD" w14:textId="77777777" w:rsidR="00BA1577" w:rsidRPr="00740FF0" w:rsidRDefault="00BA1577" w:rsidP="00BA1577">
            <w:pPr>
              <w:jc w:val="center"/>
              <w:rPr>
                <w:b/>
                <w:color w:val="000000"/>
                <w:sz w:val="16"/>
                <w:szCs w:val="16"/>
              </w:rPr>
            </w:pPr>
            <w:r w:rsidRPr="00740FF0">
              <w:rPr>
                <w:b/>
                <w:color w:val="000000"/>
                <w:sz w:val="16"/>
                <w:szCs w:val="16"/>
              </w:rPr>
              <w:t>Type of care needed</w:t>
            </w:r>
          </w:p>
        </w:tc>
        <w:tc>
          <w:tcPr>
            <w:tcW w:w="1572" w:type="dxa"/>
            <w:tcBorders>
              <w:bottom w:val="single" w:sz="4" w:space="0" w:color="auto"/>
            </w:tcBorders>
            <w:noWrap/>
            <w:vAlign w:val="center"/>
            <w:hideMark/>
          </w:tcPr>
          <w:p w14:paraId="7CC69C6C" w14:textId="77777777" w:rsidR="00BA1577" w:rsidRPr="00740FF0" w:rsidRDefault="00BA1577" w:rsidP="00BA1577">
            <w:pPr>
              <w:jc w:val="center"/>
              <w:rPr>
                <w:b/>
                <w:color w:val="000000"/>
                <w:sz w:val="16"/>
                <w:szCs w:val="16"/>
              </w:rPr>
            </w:pPr>
            <w:r w:rsidRPr="00740FF0">
              <w:rPr>
                <w:b/>
                <w:color w:val="000000"/>
                <w:sz w:val="16"/>
                <w:szCs w:val="16"/>
              </w:rPr>
              <w:t>% of infected</w:t>
            </w:r>
          </w:p>
        </w:tc>
        <w:tc>
          <w:tcPr>
            <w:tcW w:w="1300" w:type="dxa"/>
            <w:tcBorders>
              <w:bottom w:val="single" w:sz="4" w:space="0" w:color="auto"/>
            </w:tcBorders>
            <w:noWrap/>
            <w:vAlign w:val="center"/>
            <w:hideMark/>
          </w:tcPr>
          <w:p w14:paraId="6A6BE7FC" w14:textId="77777777" w:rsidR="00BA1577" w:rsidRPr="00740FF0" w:rsidRDefault="00BA1577" w:rsidP="00BA1577">
            <w:pPr>
              <w:jc w:val="center"/>
              <w:rPr>
                <w:b/>
                <w:color w:val="000000"/>
                <w:sz w:val="16"/>
                <w:szCs w:val="16"/>
              </w:rPr>
            </w:pPr>
            <w:r w:rsidRPr="00740FF0">
              <w:rPr>
                <w:b/>
                <w:color w:val="000000"/>
                <w:sz w:val="16"/>
                <w:szCs w:val="16"/>
              </w:rPr>
              <w:t>Cost</w:t>
            </w:r>
          </w:p>
        </w:tc>
      </w:tr>
      <w:tr w:rsidR="00BA1577" w:rsidRPr="00740FF0" w14:paraId="17566594" w14:textId="77777777" w:rsidTr="00681931">
        <w:trPr>
          <w:trHeight w:val="320"/>
          <w:jc w:val="center"/>
        </w:trPr>
        <w:tc>
          <w:tcPr>
            <w:tcW w:w="2520" w:type="dxa"/>
            <w:tcBorders>
              <w:top w:val="single" w:sz="4" w:space="0" w:color="auto"/>
              <w:bottom w:val="dotted" w:sz="4" w:space="0" w:color="auto"/>
            </w:tcBorders>
            <w:noWrap/>
            <w:vAlign w:val="center"/>
            <w:hideMark/>
          </w:tcPr>
          <w:p w14:paraId="152C204E" w14:textId="77777777" w:rsidR="00BA1577" w:rsidRPr="00740FF0" w:rsidRDefault="00BA1577" w:rsidP="00BA1577">
            <w:pPr>
              <w:rPr>
                <w:b/>
                <w:color w:val="000000"/>
                <w:sz w:val="16"/>
                <w:szCs w:val="16"/>
              </w:rPr>
            </w:pPr>
            <w:r w:rsidRPr="00740FF0">
              <w:rPr>
                <w:color w:val="000000"/>
                <w:sz w:val="16"/>
                <w:szCs w:val="16"/>
              </w:rPr>
              <w:t>Does not seek care</w:t>
            </w:r>
          </w:p>
        </w:tc>
        <w:tc>
          <w:tcPr>
            <w:tcW w:w="1572" w:type="dxa"/>
            <w:tcBorders>
              <w:top w:val="single" w:sz="4" w:space="0" w:color="auto"/>
              <w:bottom w:val="dotted" w:sz="4" w:space="0" w:color="auto"/>
            </w:tcBorders>
            <w:noWrap/>
            <w:vAlign w:val="center"/>
            <w:hideMark/>
          </w:tcPr>
          <w:p w14:paraId="58E01D96" w14:textId="77777777" w:rsidR="00BA1577" w:rsidRPr="00740FF0" w:rsidRDefault="00BA1577" w:rsidP="00BA1577">
            <w:pPr>
              <w:jc w:val="center"/>
              <w:rPr>
                <w:color w:val="000000"/>
                <w:sz w:val="16"/>
                <w:szCs w:val="16"/>
              </w:rPr>
            </w:pPr>
            <w:r w:rsidRPr="00740FF0">
              <w:rPr>
                <w:color w:val="000000"/>
                <w:sz w:val="16"/>
                <w:szCs w:val="16"/>
              </w:rPr>
              <w:t>79%</w:t>
            </w:r>
          </w:p>
        </w:tc>
        <w:tc>
          <w:tcPr>
            <w:tcW w:w="1300" w:type="dxa"/>
            <w:tcBorders>
              <w:top w:val="single" w:sz="4" w:space="0" w:color="auto"/>
              <w:bottom w:val="dotted" w:sz="4" w:space="0" w:color="auto"/>
            </w:tcBorders>
            <w:noWrap/>
            <w:vAlign w:val="center"/>
            <w:hideMark/>
          </w:tcPr>
          <w:p w14:paraId="28DBE7BF" w14:textId="77777777" w:rsidR="00BA1577" w:rsidRPr="00740FF0" w:rsidRDefault="00BA1577" w:rsidP="00BA1577">
            <w:pPr>
              <w:jc w:val="center"/>
              <w:rPr>
                <w:color w:val="000000"/>
                <w:sz w:val="16"/>
                <w:szCs w:val="16"/>
              </w:rPr>
            </w:pPr>
            <w:r w:rsidRPr="00740FF0">
              <w:rPr>
                <w:color w:val="000000"/>
                <w:sz w:val="16"/>
                <w:szCs w:val="16"/>
              </w:rPr>
              <w:t>$0</w:t>
            </w:r>
          </w:p>
        </w:tc>
      </w:tr>
      <w:tr w:rsidR="00BA1577" w:rsidRPr="00740FF0" w14:paraId="7BBE9CB0" w14:textId="77777777" w:rsidTr="00681931">
        <w:trPr>
          <w:trHeight w:val="320"/>
          <w:jc w:val="center"/>
        </w:trPr>
        <w:tc>
          <w:tcPr>
            <w:tcW w:w="2520" w:type="dxa"/>
            <w:tcBorders>
              <w:top w:val="dotted" w:sz="4" w:space="0" w:color="auto"/>
              <w:bottom w:val="dotted" w:sz="4" w:space="0" w:color="auto"/>
            </w:tcBorders>
            <w:noWrap/>
            <w:vAlign w:val="center"/>
            <w:hideMark/>
          </w:tcPr>
          <w:p w14:paraId="6883946A" w14:textId="77777777" w:rsidR="00BA1577" w:rsidRPr="00740FF0" w:rsidRDefault="00BA1577" w:rsidP="00BA1577">
            <w:pPr>
              <w:rPr>
                <w:b/>
                <w:color w:val="000000"/>
                <w:sz w:val="16"/>
                <w:szCs w:val="16"/>
              </w:rPr>
            </w:pPr>
            <w:r w:rsidRPr="00740FF0">
              <w:rPr>
                <w:color w:val="000000"/>
                <w:sz w:val="16"/>
                <w:szCs w:val="16"/>
              </w:rPr>
              <w:t>Seeks outpatient care</w:t>
            </w:r>
          </w:p>
        </w:tc>
        <w:tc>
          <w:tcPr>
            <w:tcW w:w="1572" w:type="dxa"/>
            <w:tcBorders>
              <w:top w:val="dotted" w:sz="4" w:space="0" w:color="auto"/>
              <w:bottom w:val="dotted" w:sz="4" w:space="0" w:color="auto"/>
            </w:tcBorders>
            <w:noWrap/>
            <w:vAlign w:val="center"/>
            <w:hideMark/>
          </w:tcPr>
          <w:p w14:paraId="1AE18273" w14:textId="77777777" w:rsidR="00BA1577" w:rsidRPr="00740FF0" w:rsidRDefault="00BA1577" w:rsidP="00BA1577">
            <w:pPr>
              <w:jc w:val="center"/>
              <w:rPr>
                <w:color w:val="000000"/>
                <w:sz w:val="16"/>
                <w:szCs w:val="16"/>
              </w:rPr>
            </w:pPr>
            <w:r w:rsidRPr="00740FF0">
              <w:rPr>
                <w:color w:val="000000"/>
                <w:sz w:val="16"/>
                <w:szCs w:val="16"/>
              </w:rPr>
              <w:t>2%</w:t>
            </w:r>
          </w:p>
        </w:tc>
        <w:tc>
          <w:tcPr>
            <w:tcW w:w="1300" w:type="dxa"/>
            <w:tcBorders>
              <w:top w:val="dotted" w:sz="4" w:space="0" w:color="auto"/>
              <w:bottom w:val="dotted" w:sz="4" w:space="0" w:color="auto"/>
            </w:tcBorders>
            <w:noWrap/>
            <w:vAlign w:val="center"/>
            <w:hideMark/>
          </w:tcPr>
          <w:p w14:paraId="58562462" w14:textId="77777777" w:rsidR="00BA1577" w:rsidRPr="00740FF0" w:rsidRDefault="00BA1577" w:rsidP="00BA1577">
            <w:pPr>
              <w:jc w:val="center"/>
              <w:rPr>
                <w:color w:val="000000"/>
                <w:sz w:val="16"/>
                <w:szCs w:val="16"/>
              </w:rPr>
            </w:pPr>
            <w:r w:rsidRPr="00740FF0">
              <w:rPr>
                <w:color w:val="000000"/>
                <w:sz w:val="16"/>
                <w:szCs w:val="16"/>
              </w:rPr>
              <w:t>$513</w:t>
            </w:r>
          </w:p>
        </w:tc>
      </w:tr>
      <w:tr w:rsidR="00BA1577" w:rsidRPr="00740FF0" w14:paraId="14A2E544" w14:textId="77777777" w:rsidTr="00681931">
        <w:trPr>
          <w:trHeight w:val="320"/>
          <w:jc w:val="center"/>
        </w:trPr>
        <w:tc>
          <w:tcPr>
            <w:tcW w:w="2520" w:type="dxa"/>
            <w:tcBorders>
              <w:top w:val="dotted" w:sz="4" w:space="0" w:color="auto"/>
              <w:bottom w:val="dotted" w:sz="4" w:space="0" w:color="auto"/>
            </w:tcBorders>
            <w:noWrap/>
            <w:vAlign w:val="center"/>
            <w:hideMark/>
          </w:tcPr>
          <w:p w14:paraId="5A8E0B04" w14:textId="77777777" w:rsidR="00BA1577" w:rsidRPr="00740FF0" w:rsidRDefault="00BA1577" w:rsidP="00BA1577">
            <w:pPr>
              <w:rPr>
                <w:b/>
                <w:color w:val="000000"/>
                <w:sz w:val="16"/>
                <w:szCs w:val="16"/>
              </w:rPr>
            </w:pPr>
            <w:r w:rsidRPr="00740FF0">
              <w:rPr>
                <w:color w:val="000000"/>
                <w:sz w:val="16"/>
                <w:szCs w:val="16"/>
              </w:rPr>
              <w:t>Seeks care at ED</w:t>
            </w:r>
          </w:p>
        </w:tc>
        <w:tc>
          <w:tcPr>
            <w:tcW w:w="1572" w:type="dxa"/>
            <w:tcBorders>
              <w:top w:val="dotted" w:sz="4" w:space="0" w:color="auto"/>
              <w:bottom w:val="dotted" w:sz="4" w:space="0" w:color="auto"/>
            </w:tcBorders>
            <w:noWrap/>
            <w:vAlign w:val="center"/>
            <w:hideMark/>
          </w:tcPr>
          <w:p w14:paraId="164974B1" w14:textId="77777777" w:rsidR="00BA1577" w:rsidRPr="00740FF0" w:rsidRDefault="00BA1577" w:rsidP="00BA1577">
            <w:pPr>
              <w:jc w:val="center"/>
              <w:rPr>
                <w:color w:val="000000"/>
                <w:sz w:val="16"/>
                <w:szCs w:val="16"/>
              </w:rPr>
            </w:pPr>
            <w:r w:rsidRPr="00740FF0">
              <w:rPr>
                <w:color w:val="000000"/>
                <w:sz w:val="16"/>
                <w:szCs w:val="16"/>
              </w:rPr>
              <w:t>4%</w:t>
            </w:r>
          </w:p>
        </w:tc>
        <w:tc>
          <w:tcPr>
            <w:tcW w:w="1300" w:type="dxa"/>
            <w:tcBorders>
              <w:top w:val="dotted" w:sz="4" w:space="0" w:color="auto"/>
              <w:bottom w:val="dotted" w:sz="4" w:space="0" w:color="auto"/>
            </w:tcBorders>
            <w:noWrap/>
            <w:vAlign w:val="center"/>
            <w:hideMark/>
          </w:tcPr>
          <w:p w14:paraId="1B0E74C8" w14:textId="77777777" w:rsidR="00BA1577" w:rsidRPr="00740FF0" w:rsidRDefault="00BA1577" w:rsidP="00BA1577">
            <w:pPr>
              <w:jc w:val="center"/>
              <w:rPr>
                <w:color w:val="000000"/>
                <w:sz w:val="16"/>
                <w:szCs w:val="16"/>
              </w:rPr>
            </w:pPr>
            <w:r w:rsidRPr="00740FF0">
              <w:rPr>
                <w:color w:val="000000"/>
                <w:sz w:val="16"/>
                <w:szCs w:val="16"/>
              </w:rPr>
              <w:t>$815</w:t>
            </w:r>
          </w:p>
        </w:tc>
      </w:tr>
      <w:tr w:rsidR="00BA1577" w:rsidRPr="00740FF0" w14:paraId="0D6B2684" w14:textId="77777777" w:rsidTr="00681931">
        <w:trPr>
          <w:trHeight w:val="320"/>
          <w:jc w:val="center"/>
        </w:trPr>
        <w:tc>
          <w:tcPr>
            <w:tcW w:w="2520" w:type="dxa"/>
            <w:tcBorders>
              <w:top w:val="dotted" w:sz="4" w:space="0" w:color="auto"/>
              <w:bottom w:val="dotted" w:sz="4" w:space="0" w:color="auto"/>
            </w:tcBorders>
            <w:noWrap/>
            <w:vAlign w:val="center"/>
            <w:hideMark/>
          </w:tcPr>
          <w:p w14:paraId="4842158E" w14:textId="77777777" w:rsidR="00BA1577" w:rsidRPr="00740FF0" w:rsidRDefault="00BA1577" w:rsidP="00BA1577">
            <w:pPr>
              <w:rPr>
                <w:b/>
                <w:color w:val="000000"/>
                <w:sz w:val="16"/>
                <w:szCs w:val="16"/>
              </w:rPr>
            </w:pPr>
            <w:r w:rsidRPr="00740FF0">
              <w:rPr>
                <w:color w:val="000000"/>
                <w:sz w:val="16"/>
                <w:szCs w:val="16"/>
              </w:rPr>
              <w:t>Requires hospitalization</w:t>
            </w:r>
          </w:p>
        </w:tc>
        <w:tc>
          <w:tcPr>
            <w:tcW w:w="1572" w:type="dxa"/>
            <w:tcBorders>
              <w:top w:val="dotted" w:sz="4" w:space="0" w:color="auto"/>
              <w:bottom w:val="dotted" w:sz="4" w:space="0" w:color="auto"/>
            </w:tcBorders>
            <w:noWrap/>
            <w:vAlign w:val="center"/>
            <w:hideMark/>
          </w:tcPr>
          <w:p w14:paraId="2A41B6BD" w14:textId="77777777" w:rsidR="00BA1577" w:rsidRPr="00740FF0" w:rsidRDefault="00BA1577" w:rsidP="00BA1577">
            <w:pPr>
              <w:jc w:val="center"/>
              <w:rPr>
                <w:color w:val="000000"/>
                <w:sz w:val="16"/>
                <w:szCs w:val="16"/>
              </w:rPr>
            </w:pPr>
            <w:r w:rsidRPr="00740FF0">
              <w:rPr>
                <w:color w:val="000000"/>
                <w:sz w:val="16"/>
                <w:szCs w:val="16"/>
              </w:rPr>
              <w:t>12%</w:t>
            </w:r>
          </w:p>
        </w:tc>
        <w:tc>
          <w:tcPr>
            <w:tcW w:w="1300" w:type="dxa"/>
            <w:tcBorders>
              <w:top w:val="dotted" w:sz="4" w:space="0" w:color="auto"/>
              <w:bottom w:val="dotted" w:sz="4" w:space="0" w:color="auto"/>
            </w:tcBorders>
            <w:noWrap/>
            <w:vAlign w:val="center"/>
            <w:hideMark/>
          </w:tcPr>
          <w:p w14:paraId="360C3572" w14:textId="77777777" w:rsidR="00BA1577" w:rsidRPr="00740FF0" w:rsidRDefault="00BA1577" w:rsidP="00BA1577">
            <w:pPr>
              <w:jc w:val="center"/>
              <w:rPr>
                <w:color w:val="000000"/>
                <w:sz w:val="16"/>
                <w:szCs w:val="16"/>
              </w:rPr>
            </w:pPr>
            <w:r w:rsidRPr="00740FF0">
              <w:rPr>
                <w:color w:val="000000"/>
                <w:sz w:val="16"/>
                <w:szCs w:val="16"/>
              </w:rPr>
              <w:t>$12,000</w:t>
            </w:r>
          </w:p>
        </w:tc>
      </w:tr>
      <w:tr w:rsidR="00BA1577" w:rsidRPr="00740FF0" w14:paraId="18337CCC" w14:textId="77777777" w:rsidTr="00681931">
        <w:trPr>
          <w:trHeight w:val="320"/>
          <w:jc w:val="center"/>
        </w:trPr>
        <w:tc>
          <w:tcPr>
            <w:tcW w:w="2520" w:type="dxa"/>
            <w:tcBorders>
              <w:top w:val="dotted" w:sz="4" w:space="0" w:color="auto"/>
              <w:bottom w:val="single" w:sz="4" w:space="0" w:color="7F7F7F" w:themeColor="text1" w:themeTint="80"/>
            </w:tcBorders>
            <w:noWrap/>
            <w:vAlign w:val="center"/>
            <w:hideMark/>
          </w:tcPr>
          <w:p w14:paraId="62B15018" w14:textId="77777777" w:rsidR="00BA1577" w:rsidRPr="00740FF0" w:rsidRDefault="00BA1577" w:rsidP="00BA1577">
            <w:pPr>
              <w:rPr>
                <w:b/>
                <w:color w:val="000000"/>
                <w:sz w:val="16"/>
                <w:szCs w:val="16"/>
              </w:rPr>
            </w:pPr>
            <w:r w:rsidRPr="00740FF0">
              <w:rPr>
                <w:color w:val="000000"/>
                <w:sz w:val="16"/>
                <w:szCs w:val="16"/>
              </w:rPr>
              <w:t>Requires ICU admission</w:t>
            </w:r>
          </w:p>
        </w:tc>
        <w:tc>
          <w:tcPr>
            <w:tcW w:w="1572" w:type="dxa"/>
            <w:tcBorders>
              <w:top w:val="dotted" w:sz="4" w:space="0" w:color="auto"/>
              <w:bottom w:val="single" w:sz="4" w:space="0" w:color="7F7F7F" w:themeColor="text1" w:themeTint="80"/>
            </w:tcBorders>
            <w:noWrap/>
            <w:vAlign w:val="center"/>
            <w:hideMark/>
          </w:tcPr>
          <w:p w14:paraId="475AA71F" w14:textId="77777777" w:rsidR="00BA1577" w:rsidRPr="00740FF0" w:rsidRDefault="00BA1577" w:rsidP="00BA1577">
            <w:pPr>
              <w:jc w:val="center"/>
              <w:rPr>
                <w:color w:val="000000"/>
                <w:sz w:val="16"/>
                <w:szCs w:val="16"/>
              </w:rPr>
            </w:pPr>
            <w:r w:rsidRPr="00740FF0">
              <w:rPr>
                <w:color w:val="000000"/>
                <w:sz w:val="16"/>
                <w:szCs w:val="16"/>
              </w:rPr>
              <w:t>3%</w:t>
            </w:r>
          </w:p>
        </w:tc>
        <w:tc>
          <w:tcPr>
            <w:tcW w:w="1300" w:type="dxa"/>
            <w:tcBorders>
              <w:top w:val="dotted" w:sz="4" w:space="0" w:color="auto"/>
              <w:bottom w:val="single" w:sz="4" w:space="0" w:color="7F7F7F" w:themeColor="text1" w:themeTint="80"/>
            </w:tcBorders>
            <w:noWrap/>
            <w:vAlign w:val="center"/>
            <w:hideMark/>
          </w:tcPr>
          <w:p w14:paraId="7BCA3A82" w14:textId="77777777" w:rsidR="00BA1577" w:rsidRPr="00740FF0" w:rsidRDefault="00BA1577" w:rsidP="00BA1577">
            <w:pPr>
              <w:jc w:val="center"/>
              <w:rPr>
                <w:color w:val="000000"/>
                <w:sz w:val="16"/>
                <w:szCs w:val="16"/>
              </w:rPr>
            </w:pPr>
            <w:r w:rsidRPr="00740FF0">
              <w:rPr>
                <w:color w:val="000000"/>
                <w:sz w:val="16"/>
                <w:szCs w:val="16"/>
              </w:rPr>
              <w:t>$61,000</w:t>
            </w:r>
          </w:p>
        </w:tc>
      </w:tr>
      <w:tr w:rsidR="00BA1577" w:rsidRPr="00740FF0" w14:paraId="18E393DE" w14:textId="77777777" w:rsidTr="00681931">
        <w:trPr>
          <w:trHeight w:val="320"/>
          <w:jc w:val="center"/>
        </w:trPr>
        <w:tc>
          <w:tcPr>
            <w:tcW w:w="2520" w:type="dxa"/>
            <w:tcBorders>
              <w:top w:val="single" w:sz="4" w:space="0" w:color="7F7F7F" w:themeColor="text1" w:themeTint="80"/>
              <w:bottom w:val="single" w:sz="4" w:space="0" w:color="7F7F7F" w:themeColor="text1" w:themeTint="80"/>
            </w:tcBorders>
            <w:noWrap/>
            <w:vAlign w:val="center"/>
            <w:hideMark/>
          </w:tcPr>
          <w:p w14:paraId="0A47636C" w14:textId="77777777" w:rsidR="00BA1577" w:rsidRPr="00740FF0" w:rsidRDefault="00BA1577" w:rsidP="00BA1577">
            <w:pPr>
              <w:rPr>
                <w:b/>
                <w:color w:val="000000"/>
                <w:sz w:val="16"/>
                <w:szCs w:val="16"/>
              </w:rPr>
            </w:pPr>
            <w:r w:rsidRPr="00740FF0">
              <w:rPr>
                <w:b/>
                <w:color w:val="000000"/>
                <w:sz w:val="16"/>
                <w:szCs w:val="16"/>
              </w:rPr>
              <w:t>Weighted total</w:t>
            </w:r>
          </w:p>
        </w:tc>
        <w:tc>
          <w:tcPr>
            <w:tcW w:w="1572" w:type="dxa"/>
            <w:tcBorders>
              <w:top w:val="single" w:sz="4" w:space="0" w:color="7F7F7F" w:themeColor="text1" w:themeTint="80"/>
              <w:bottom w:val="single" w:sz="4" w:space="0" w:color="7F7F7F" w:themeColor="text1" w:themeTint="80"/>
            </w:tcBorders>
            <w:noWrap/>
            <w:vAlign w:val="center"/>
            <w:hideMark/>
          </w:tcPr>
          <w:p w14:paraId="6FBDDA62" w14:textId="77777777" w:rsidR="00BA1577" w:rsidRPr="00740FF0" w:rsidRDefault="00BA1577" w:rsidP="00BA1577">
            <w:pPr>
              <w:jc w:val="center"/>
              <w:rPr>
                <w:b/>
                <w:bCs/>
                <w:color w:val="000000"/>
                <w:sz w:val="16"/>
                <w:szCs w:val="16"/>
              </w:rPr>
            </w:pPr>
            <w:r w:rsidRPr="00740FF0">
              <w:rPr>
                <w:b/>
                <w:bCs/>
                <w:color w:val="000000"/>
                <w:sz w:val="16"/>
                <w:szCs w:val="16"/>
              </w:rPr>
              <w:t>100%</w:t>
            </w:r>
          </w:p>
        </w:tc>
        <w:tc>
          <w:tcPr>
            <w:tcW w:w="1300" w:type="dxa"/>
            <w:tcBorders>
              <w:top w:val="single" w:sz="4" w:space="0" w:color="7F7F7F" w:themeColor="text1" w:themeTint="80"/>
              <w:bottom w:val="single" w:sz="4" w:space="0" w:color="7F7F7F" w:themeColor="text1" w:themeTint="80"/>
            </w:tcBorders>
            <w:noWrap/>
            <w:vAlign w:val="center"/>
            <w:hideMark/>
          </w:tcPr>
          <w:p w14:paraId="616FCBA0" w14:textId="77777777" w:rsidR="00BA1577" w:rsidRPr="00740FF0" w:rsidRDefault="00BA1577" w:rsidP="00BA1577">
            <w:pPr>
              <w:jc w:val="center"/>
              <w:rPr>
                <w:b/>
                <w:bCs/>
                <w:color w:val="000000"/>
                <w:sz w:val="16"/>
                <w:szCs w:val="16"/>
              </w:rPr>
            </w:pPr>
            <w:r w:rsidRPr="00740FF0">
              <w:rPr>
                <w:b/>
                <w:bCs/>
                <w:color w:val="000000"/>
                <w:sz w:val="16"/>
                <w:szCs w:val="16"/>
              </w:rPr>
              <w:t>$3,313</w:t>
            </w:r>
          </w:p>
        </w:tc>
      </w:tr>
    </w:tbl>
    <w:p w14:paraId="6DAC5DD9" w14:textId="0701F6FE" w:rsidR="00BA1577" w:rsidRDefault="00BA1577" w:rsidP="00BA1577">
      <w:pPr>
        <w:rPr>
          <w:rFonts w:eastAsia="Arial"/>
          <w:sz w:val="20"/>
          <w:szCs w:val="20"/>
        </w:rPr>
      </w:pPr>
    </w:p>
    <w:p w14:paraId="716D21E5" w14:textId="02BA542B" w:rsidR="00BA1577" w:rsidRDefault="00BA1577" w:rsidP="00BA1577">
      <w:pPr>
        <w:rPr>
          <w:rFonts w:eastAsia="Arial"/>
          <w:sz w:val="20"/>
          <w:szCs w:val="20"/>
        </w:rPr>
      </w:pPr>
    </w:p>
    <w:p w14:paraId="413BA068" w14:textId="278584C3" w:rsidR="00BA1577" w:rsidRDefault="00BA1577" w:rsidP="00BA1577">
      <w:pPr>
        <w:rPr>
          <w:rFonts w:eastAsia="Arial"/>
          <w:sz w:val="20"/>
          <w:szCs w:val="20"/>
        </w:rPr>
      </w:pPr>
    </w:p>
    <w:p w14:paraId="4842E230" w14:textId="48EC31DD" w:rsidR="00BA1577" w:rsidRDefault="00BA1577" w:rsidP="00BA1577">
      <w:pPr>
        <w:rPr>
          <w:rFonts w:eastAsia="Arial"/>
          <w:sz w:val="20"/>
          <w:szCs w:val="20"/>
        </w:rPr>
      </w:pPr>
    </w:p>
    <w:p w14:paraId="2841D0BD" w14:textId="77777777" w:rsidR="00BA1577" w:rsidRPr="00E46E0D" w:rsidRDefault="00BA1577" w:rsidP="00BA1577">
      <w:pPr>
        <w:rPr>
          <w:rFonts w:eastAsia="Arial"/>
          <w:sz w:val="20"/>
          <w:szCs w:val="20"/>
        </w:rPr>
      </w:pPr>
    </w:p>
    <w:p w14:paraId="08994280" w14:textId="77777777" w:rsidR="00BA1577" w:rsidRPr="00E46E0D" w:rsidRDefault="00BA1577" w:rsidP="00BA1577">
      <w:pPr>
        <w:pStyle w:val="ListParagraph"/>
        <w:numPr>
          <w:ilvl w:val="0"/>
          <w:numId w:val="1"/>
        </w:numPr>
        <w:rPr>
          <w:rFonts w:ascii="Times New Roman" w:hAnsi="Times New Roman" w:cs="Times New Roman"/>
          <w:b/>
          <w:bCs/>
          <w:sz w:val="20"/>
          <w:szCs w:val="20"/>
        </w:rPr>
      </w:pPr>
      <w:r w:rsidRPr="00E46E0D">
        <w:rPr>
          <w:rFonts w:ascii="Times New Roman" w:hAnsi="Times New Roman" w:cs="Times New Roman"/>
          <w:b/>
          <w:bCs/>
          <w:sz w:val="20"/>
          <w:szCs w:val="20"/>
        </w:rPr>
        <w:t>Decision tree</w:t>
      </w:r>
    </w:p>
    <w:p w14:paraId="7A98D4EE" w14:textId="2BB88418" w:rsidR="00BA1577" w:rsidRDefault="00BA1577" w:rsidP="00BA1577">
      <w:pPr>
        <w:rPr>
          <w:sz w:val="20"/>
          <w:szCs w:val="20"/>
        </w:rPr>
      </w:pPr>
      <w:r w:rsidRPr="00E46E0D">
        <w:rPr>
          <w:sz w:val="20"/>
          <w:szCs w:val="20"/>
        </w:rPr>
        <w:t>A simplified version of the decision tree is presented in Fig</w:t>
      </w:r>
      <w:bookmarkStart w:id="0" w:name="_GoBack"/>
      <w:bookmarkEnd w:id="0"/>
      <w:r w:rsidRPr="00E46E0D">
        <w:rPr>
          <w:sz w:val="20"/>
          <w:szCs w:val="20"/>
        </w:rPr>
        <w:t>ure II.</w:t>
      </w:r>
    </w:p>
    <w:p w14:paraId="685A6225" w14:textId="77777777" w:rsidR="00791A0B" w:rsidRDefault="00791A0B" w:rsidP="00BA1577">
      <w:pPr>
        <w:rPr>
          <w:noProof/>
        </w:rPr>
      </w:pPr>
    </w:p>
    <w:p w14:paraId="60B05612" w14:textId="1BFD8816" w:rsidR="00BA1577" w:rsidRPr="00E46E0D" w:rsidRDefault="00791A0B" w:rsidP="0022165D">
      <w:pPr>
        <w:jc w:val="center"/>
        <w:rPr>
          <w:sz w:val="20"/>
          <w:szCs w:val="20"/>
        </w:rPr>
      </w:pPr>
      <w:r>
        <w:rPr>
          <w:noProof/>
          <w:lang w:val="en-IN" w:eastAsia="en-IN"/>
        </w:rPr>
        <w:drawing>
          <wp:inline distT="0" distB="0" distL="0" distR="0" wp14:anchorId="043850D9" wp14:editId="38433843">
            <wp:extent cx="5391346" cy="17843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8974" t="19563" r="6944" b="27065"/>
                    <a:stretch/>
                  </pic:blipFill>
                  <pic:spPr bwMode="auto">
                    <a:xfrm>
                      <a:off x="0" y="0"/>
                      <a:ext cx="5396478" cy="1786049"/>
                    </a:xfrm>
                    <a:prstGeom prst="rect">
                      <a:avLst/>
                    </a:prstGeom>
                    <a:ln>
                      <a:noFill/>
                    </a:ln>
                    <a:extLst>
                      <a:ext uri="{53640926-AAD7-44D8-BBD7-CCE9431645EC}">
                        <a14:shadowObscured xmlns:a14="http://schemas.microsoft.com/office/drawing/2010/main"/>
                      </a:ext>
                    </a:extLst>
                  </pic:spPr>
                </pic:pic>
              </a:graphicData>
            </a:graphic>
          </wp:inline>
        </w:drawing>
      </w:r>
    </w:p>
    <w:p w14:paraId="542DA3A6" w14:textId="54131769" w:rsidR="00BA1577" w:rsidRPr="00E46E0D" w:rsidRDefault="00BA1577" w:rsidP="00BA1577">
      <w:pPr>
        <w:jc w:val="center"/>
        <w:rPr>
          <w:sz w:val="20"/>
          <w:szCs w:val="20"/>
        </w:rPr>
      </w:pPr>
    </w:p>
    <w:p w14:paraId="2236D528" w14:textId="7A0BA4A7" w:rsidR="00227A95" w:rsidRPr="00BA1577" w:rsidRDefault="00BA1577" w:rsidP="00BA1577">
      <w:pPr>
        <w:rPr>
          <w:rFonts w:eastAsia="Arial"/>
          <w:sz w:val="20"/>
          <w:szCs w:val="20"/>
        </w:rPr>
      </w:pPr>
      <w:r w:rsidRPr="00E46E0D">
        <w:rPr>
          <w:b/>
          <w:bCs/>
          <w:sz w:val="20"/>
          <w:szCs w:val="20"/>
        </w:rPr>
        <w:t xml:space="preserve">Figure II. </w:t>
      </w:r>
      <w:r w:rsidRPr="00E46E0D">
        <w:rPr>
          <w:sz w:val="20"/>
          <w:szCs w:val="20"/>
        </w:rPr>
        <w:t>Simplified decision tree.</w:t>
      </w:r>
    </w:p>
    <w:sectPr w:rsidR="00227A95" w:rsidRPr="00BA1577" w:rsidSect="002C35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3D6EF9"/>
    <w:multiLevelType w:val="multilevel"/>
    <w:tmpl w:val="45E0381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77"/>
    <w:rsid w:val="001607C4"/>
    <w:rsid w:val="0022165D"/>
    <w:rsid w:val="00227A95"/>
    <w:rsid w:val="002C350E"/>
    <w:rsid w:val="00727533"/>
    <w:rsid w:val="00791A0B"/>
    <w:rsid w:val="007F10E1"/>
    <w:rsid w:val="00BA1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BE87B"/>
  <w15:chartTrackingRefBased/>
  <w15:docId w15:val="{6259A993-C0EB-7F4A-A4AB-46821763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57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1577"/>
    <w:pPr>
      <w:ind w:left="720"/>
      <w:contextualSpacing/>
    </w:pPr>
    <w:rPr>
      <w:rFonts w:asciiTheme="minorHAnsi" w:eastAsiaTheme="minorHAnsi" w:hAnsiTheme="minorHAnsi" w:cstheme="minorBidi"/>
    </w:rPr>
  </w:style>
  <w:style w:type="table" w:styleId="TableGrid">
    <w:name w:val="Table Grid"/>
    <w:basedOn w:val="TableNormal"/>
    <w:uiPriority w:val="39"/>
    <w:rsid w:val="00BA157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A1577"/>
    <w:pPr>
      <w:spacing w:after="200"/>
    </w:pPr>
    <w:rPr>
      <w:rFonts w:asciiTheme="minorHAnsi" w:eastAsiaTheme="minorHAnsi" w:hAnsiTheme="minorHAnsi" w:cstheme="minorBidi"/>
      <w:i/>
      <w:iCs/>
      <w:color w:val="44546A" w:themeColor="text2"/>
      <w:sz w:val="18"/>
      <w:szCs w:val="18"/>
    </w:rPr>
  </w:style>
  <w:style w:type="table" w:styleId="TableGridLight">
    <w:name w:val="Grid Table Light"/>
    <w:basedOn w:val="TableNormal"/>
    <w:uiPriority w:val="40"/>
    <w:rsid w:val="00BA15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1607C4"/>
    <w:rPr>
      <w:sz w:val="16"/>
      <w:szCs w:val="16"/>
    </w:rPr>
  </w:style>
  <w:style w:type="paragraph" w:styleId="CommentText">
    <w:name w:val="annotation text"/>
    <w:basedOn w:val="Normal"/>
    <w:link w:val="CommentTextChar"/>
    <w:uiPriority w:val="99"/>
    <w:semiHidden/>
    <w:unhideWhenUsed/>
    <w:rsid w:val="001607C4"/>
    <w:rPr>
      <w:sz w:val="20"/>
      <w:szCs w:val="20"/>
    </w:rPr>
  </w:style>
  <w:style w:type="character" w:customStyle="1" w:styleId="CommentTextChar">
    <w:name w:val="Comment Text Char"/>
    <w:basedOn w:val="DefaultParagraphFont"/>
    <w:link w:val="CommentText"/>
    <w:uiPriority w:val="99"/>
    <w:semiHidden/>
    <w:rsid w:val="001607C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607C4"/>
    <w:rPr>
      <w:b/>
      <w:bCs/>
    </w:rPr>
  </w:style>
  <w:style w:type="character" w:customStyle="1" w:styleId="CommentSubjectChar">
    <w:name w:val="Comment Subject Char"/>
    <w:basedOn w:val="CommentTextChar"/>
    <w:link w:val="CommentSubject"/>
    <w:uiPriority w:val="99"/>
    <w:semiHidden/>
    <w:rsid w:val="001607C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607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7C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2743</Words>
  <Characters>15636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SIGAL MAYA</dc:creator>
  <cp:keywords/>
  <dc:description/>
  <cp:lastModifiedBy>Jini Mol J.</cp:lastModifiedBy>
  <cp:revision>3</cp:revision>
  <dcterms:created xsi:type="dcterms:W3CDTF">2021-06-18T19:12:00Z</dcterms:created>
  <dcterms:modified xsi:type="dcterms:W3CDTF">2022-01-04T09:28:00Z</dcterms:modified>
</cp:coreProperties>
</file>