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6596" w14:textId="77777777" w:rsidR="005629B1" w:rsidRPr="00841640" w:rsidRDefault="005629B1" w:rsidP="005629B1">
      <w:pPr>
        <w:rPr>
          <w:rFonts w:asciiTheme="minorHAnsi" w:hAnsiTheme="minorHAnsi" w:cstheme="minorHAnsi"/>
          <w:b/>
        </w:rPr>
      </w:pPr>
      <w:r w:rsidRPr="00841640">
        <w:rPr>
          <w:rFonts w:asciiTheme="minorHAnsi" w:hAnsiTheme="minorHAnsi" w:cstheme="minorHAnsi"/>
          <w:b/>
        </w:rPr>
        <w:t>Supporting Table 1</w:t>
      </w:r>
      <w:r w:rsidRPr="00841640">
        <w:rPr>
          <w:rFonts w:asciiTheme="minorHAnsi" w:hAnsiTheme="minorHAnsi" w:cstheme="minorHAnsi"/>
          <w:b/>
          <w:lang w:val="vi-VN"/>
        </w:rPr>
        <w:t xml:space="preserve">: Glossary of </w:t>
      </w:r>
      <w:r w:rsidRPr="00841640">
        <w:rPr>
          <w:rFonts w:asciiTheme="minorHAnsi" w:hAnsiTheme="minorHAnsi" w:cstheme="minorHAnsi"/>
          <w:b/>
          <w:lang w:val="en-US"/>
        </w:rPr>
        <w:t xml:space="preserve">key </w:t>
      </w:r>
      <w:r w:rsidRPr="00841640">
        <w:rPr>
          <w:rFonts w:asciiTheme="minorHAnsi" w:hAnsiTheme="minorHAnsi" w:cstheme="minorHAnsi"/>
          <w:b/>
        </w:rPr>
        <w:t>terms related to catastrophic health expenditure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5629B1" w:rsidRPr="00CA32CE" w14:paraId="680E7BAC" w14:textId="77777777" w:rsidTr="00F44EF1">
        <w:trPr>
          <w:trHeight w:val="245"/>
        </w:trPr>
        <w:tc>
          <w:tcPr>
            <w:tcW w:w="9351" w:type="dxa"/>
            <w:gridSpan w:val="2"/>
          </w:tcPr>
          <w:p w14:paraId="700E1A29" w14:textId="77777777" w:rsidR="005629B1" w:rsidRPr="00D51D5A" w:rsidRDefault="005629B1" w:rsidP="00F44EF1">
            <w:pPr>
              <w:rPr>
                <w:rFonts w:asciiTheme="minorHAnsi" w:hAnsiTheme="minorHAnsi" w:cstheme="minorHAnsi"/>
                <w:sz w:val="24"/>
                <w:szCs w:val="24"/>
                <w:lang w:val="vi-VN"/>
              </w:rPr>
            </w:pPr>
            <w:r w:rsidRPr="00D51D5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General terms</w:t>
            </w:r>
          </w:p>
        </w:tc>
      </w:tr>
      <w:tr w:rsidR="005629B1" w:rsidRPr="00CA32CE" w14:paraId="44012042" w14:textId="77777777" w:rsidTr="00F44EF1">
        <w:trPr>
          <w:trHeight w:val="1014"/>
        </w:trPr>
        <w:tc>
          <w:tcPr>
            <w:tcW w:w="4106" w:type="dxa"/>
          </w:tcPr>
          <w:p w14:paraId="0EAB5B2A" w14:textId="77777777" w:rsidR="005629B1" w:rsidRPr="00841640" w:rsidRDefault="005629B1" w:rsidP="00F44EF1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41640">
              <w:rPr>
                <w:rFonts w:asciiTheme="minorHAnsi" w:hAnsiTheme="minorHAnsi" w:cstheme="minorHAnsi"/>
                <w:b/>
                <w:lang w:val="vi-VN"/>
              </w:rPr>
              <w:t>Cat</w:t>
            </w:r>
            <w:r w:rsidRPr="00841640">
              <w:rPr>
                <w:rFonts w:asciiTheme="minorHAnsi" w:hAnsiTheme="minorHAnsi" w:cstheme="minorHAnsi"/>
                <w:b/>
              </w:rPr>
              <w:t xml:space="preserve">astrophic health expenditure </w:t>
            </w:r>
          </w:p>
          <w:p w14:paraId="5ED52064" w14:textId="77777777" w:rsidR="005629B1" w:rsidRPr="00841640" w:rsidRDefault="005629B1" w:rsidP="00F44EF1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41640">
              <w:rPr>
                <w:rFonts w:asciiTheme="minorHAnsi" w:hAnsiTheme="minorHAnsi" w:cstheme="minorHAnsi"/>
                <w:b/>
                <w:lang w:val="vi-VN"/>
              </w:rPr>
              <w:t xml:space="preserve">(or </w:t>
            </w:r>
            <w:r w:rsidRPr="00841640">
              <w:rPr>
                <w:rFonts w:asciiTheme="minorHAnsi" w:hAnsiTheme="minorHAnsi" w:cstheme="minorHAnsi"/>
                <w:b/>
              </w:rPr>
              <w:t>catastrophic out-of-pocket</w:t>
            </w:r>
            <w:r w:rsidRPr="00841640">
              <w:rPr>
                <w:rFonts w:asciiTheme="minorHAnsi" w:hAnsiTheme="minorHAnsi" w:cstheme="minorHAnsi"/>
                <w:b/>
                <w:lang w:val="vi-VN"/>
              </w:rPr>
              <w:t xml:space="preserve"> </w:t>
            </w:r>
            <w:r w:rsidRPr="00841640">
              <w:rPr>
                <w:rFonts w:asciiTheme="minorHAnsi" w:hAnsiTheme="minorHAnsi" w:cstheme="minorHAnsi"/>
                <w:b/>
              </w:rPr>
              <w:t>expenditure or</w:t>
            </w:r>
            <w:r w:rsidRPr="00841640">
              <w:rPr>
                <w:rFonts w:asciiTheme="minorHAnsi" w:hAnsiTheme="minorHAnsi" w:cstheme="minorHAnsi"/>
                <w:b/>
                <w:lang w:val="vi-VN"/>
              </w:rPr>
              <w:t xml:space="preserve"> </w:t>
            </w:r>
            <w:r w:rsidRPr="00841640">
              <w:rPr>
                <w:rFonts w:asciiTheme="minorHAnsi" w:hAnsiTheme="minorHAnsi" w:cstheme="minorHAnsi"/>
                <w:b/>
              </w:rPr>
              <w:t>catastrophic</w:t>
            </w:r>
            <w:r w:rsidRPr="00841640">
              <w:rPr>
                <w:rFonts w:asciiTheme="minorHAnsi" w:hAnsiTheme="minorHAnsi" w:cstheme="minorHAnsi"/>
                <w:b/>
                <w:lang w:val="vi-VN"/>
              </w:rPr>
              <w:t xml:space="preserve"> </w:t>
            </w:r>
            <w:r w:rsidRPr="00841640">
              <w:rPr>
                <w:rFonts w:asciiTheme="minorHAnsi" w:hAnsiTheme="minorHAnsi" w:cstheme="minorHAnsi"/>
                <w:b/>
              </w:rPr>
              <w:t xml:space="preserve">health spending) </w:t>
            </w:r>
          </w:p>
        </w:tc>
        <w:tc>
          <w:tcPr>
            <w:tcW w:w="5245" w:type="dxa"/>
          </w:tcPr>
          <w:p w14:paraId="314876C5" w14:textId="77777777" w:rsidR="005629B1" w:rsidRPr="00841640" w:rsidRDefault="005629B1" w:rsidP="00F44EF1">
            <w:pPr>
              <w:jc w:val="both"/>
              <w:rPr>
                <w:rFonts w:asciiTheme="minorHAnsi" w:hAnsiTheme="minorHAnsi" w:cstheme="minorHAnsi"/>
              </w:rPr>
            </w:pPr>
            <w:r w:rsidRPr="00841640">
              <w:rPr>
                <w:rFonts w:asciiTheme="minorHAnsi" w:hAnsiTheme="minorHAnsi" w:cstheme="minorHAnsi"/>
                <w:lang w:val="vi-VN"/>
              </w:rPr>
              <w:t>A</w:t>
            </w:r>
            <w:r w:rsidRPr="00841640">
              <w:rPr>
                <w:rFonts w:asciiTheme="minorHAnsi" w:hAnsiTheme="minorHAnsi" w:cstheme="minorHAnsi"/>
              </w:rPr>
              <w:t xml:space="preserve"> metric that capture</w:t>
            </w:r>
            <w:r w:rsidRPr="00841640">
              <w:rPr>
                <w:rFonts w:asciiTheme="minorHAnsi" w:hAnsiTheme="minorHAnsi" w:cstheme="minorHAnsi"/>
                <w:lang w:val="vi-VN"/>
              </w:rPr>
              <w:t>s</w:t>
            </w:r>
            <w:r w:rsidRPr="00841640">
              <w:rPr>
                <w:rFonts w:asciiTheme="minorHAnsi" w:hAnsiTheme="minorHAnsi" w:cstheme="minorHAnsi"/>
              </w:rPr>
              <w:t xml:space="preserve"> when out-of-pocket payments for healthcare services goes above a defined threshold of household income or expenditure, indicating it is resulting in financial hardship for the household. </w:t>
            </w:r>
          </w:p>
        </w:tc>
      </w:tr>
      <w:tr w:rsidR="005629B1" w:rsidRPr="00CA32CE" w14:paraId="1BEECFC2" w14:textId="77777777" w:rsidTr="00F44EF1">
        <w:trPr>
          <w:trHeight w:val="54"/>
        </w:trPr>
        <w:tc>
          <w:tcPr>
            <w:tcW w:w="4106" w:type="dxa"/>
          </w:tcPr>
          <w:p w14:paraId="7A3F62C2" w14:textId="77777777" w:rsidR="005629B1" w:rsidRPr="00841640" w:rsidRDefault="005629B1" w:rsidP="00F44EF1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41640">
              <w:rPr>
                <w:rFonts w:asciiTheme="minorHAnsi" w:hAnsiTheme="minorHAnsi" w:cstheme="minorHAnsi"/>
                <w:b/>
                <w:lang w:val="vi-VN"/>
              </w:rPr>
              <w:t>Out-of-pocket</w:t>
            </w:r>
            <w:r w:rsidRPr="00841640">
              <w:rPr>
                <w:rFonts w:asciiTheme="minorHAnsi" w:hAnsiTheme="minorHAnsi" w:cstheme="minorHAnsi"/>
                <w:b/>
              </w:rPr>
              <w:t xml:space="preserve"> payments</w:t>
            </w:r>
          </w:p>
        </w:tc>
        <w:tc>
          <w:tcPr>
            <w:tcW w:w="5245" w:type="dxa"/>
          </w:tcPr>
          <w:p w14:paraId="6CBCA40F" w14:textId="77777777" w:rsidR="005629B1" w:rsidRPr="00841640" w:rsidRDefault="005629B1" w:rsidP="00F44EF1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841640">
              <w:rPr>
                <w:rFonts w:asciiTheme="minorHAnsi" w:hAnsiTheme="minorHAnsi" w:cstheme="minorHAnsi"/>
                <w:bCs/>
                <w:lang w:val="vi-VN"/>
              </w:rPr>
              <w:t>Out-of-pocket</w:t>
            </w:r>
            <w:r w:rsidRPr="00841640">
              <w:rPr>
                <w:rFonts w:asciiTheme="minorHAnsi" w:hAnsiTheme="minorHAnsi" w:cstheme="minorHAnsi"/>
                <w:bCs/>
              </w:rPr>
              <w:t xml:space="preserve"> payments are expenditures borne directly by an individual/household for health services that are not reimbursed by any third-party, such as a health insurance program</w:t>
            </w:r>
            <w:r w:rsidRPr="00841640">
              <w:rPr>
                <w:rFonts w:asciiTheme="minorHAnsi" w:hAnsiTheme="minorHAnsi" w:cstheme="minorHAnsi"/>
              </w:rPr>
              <w:t>. In practice, there can be variations in the precise definition of o</w:t>
            </w:r>
            <w:r w:rsidRPr="00841640">
              <w:rPr>
                <w:rFonts w:asciiTheme="minorHAnsi" w:hAnsiTheme="minorHAnsi" w:cstheme="minorHAnsi"/>
                <w:bCs/>
                <w:lang w:val="vi-VN"/>
              </w:rPr>
              <w:t>ut-of-pocket</w:t>
            </w:r>
            <w:r w:rsidRPr="00841640">
              <w:rPr>
                <w:rFonts w:asciiTheme="minorHAnsi" w:hAnsiTheme="minorHAnsi" w:cstheme="minorHAnsi"/>
              </w:rPr>
              <w:t xml:space="preserve"> payments and what types of cost components are included within it.</w:t>
            </w:r>
          </w:p>
        </w:tc>
      </w:tr>
      <w:tr w:rsidR="005629B1" w:rsidRPr="00CA32CE" w14:paraId="009CF536" w14:textId="77777777" w:rsidTr="00F44EF1">
        <w:trPr>
          <w:trHeight w:val="54"/>
        </w:trPr>
        <w:tc>
          <w:tcPr>
            <w:tcW w:w="4106" w:type="dxa"/>
          </w:tcPr>
          <w:p w14:paraId="33A50624" w14:textId="77777777" w:rsidR="005629B1" w:rsidRPr="00841640" w:rsidRDefault="005629B1" w:rsidP="00F44EF1">
            <w:pPr>
              <w:rPr>
                <w:rFonts w:asciiTheme="minorHAnsi" w:hAnsiTheme="minorHAnsi" w:cstheme="minorHAnsi"/>
                <w:b/>
                <w:lang w:val="vi-VN"/>
              </w:rPr>
            </w:pPr>
            <w:r w:rsidRPr="00841640">
              <w:rPr>
                <w:rFonts w:asciiTheme="minorHAnsi" w:hAnsiTheme="minorHAnsi" w:cstheme="minorHAnsi"/>
                <w:b/>
                <w:highlight w:val="white"/>
              </w:rPr>
              <w:t xml:space="preserve">Equivalence scales (or household equivalence scales) </w:t>
            </w:r>
          </w:p>
        </w:tc>
        <w:tc>
          <w:tcPr>
            <w:tcW w:w="5245" w:type="dxa"/>
          </w:tcPr>
          <w:p w14:paraId="5CE9638D" w14:textId="77777777" w:rsidR="005629B1" w:rsidRPr="00841640" w:rsidRDefault="005629B1" w:rsidP="00F44EF1">
            <w:pPr>
              <w:rPr>
                <w:rFonts w:asciiTheme="minorHAnsi" w:hAnsiTheme="minorHAnsi" w:cstheme="minorHAnsi"/>
                <w:bCs/>
                <w:lang w:val="vi-VN"/>
              </w:rPr>
            </w:pPr>
            <w:r w:rsidRPr="00841640">
              <w:rPr>
                <w:rFonts w:asciiTheme="minorHAnsi" w:hAnsiTheme="minorHAnsi" w:cstheme="minorHAnsi"/>
                <w:bCs/>
                <w:highlight w:val="white"/>
              </w:rPr>
              <w:t xml:space="preserve">Equivalence scales </w:t>
            </w:r>
            <w:r w:rsidRPr="00841640">
              <w:rPr>
                <w:rFonts w:asciiTheme="minorHAnsi" w:hAnsiTheme="minorHAnsi" w:cstheme="minorHAnsi"/>
                <w:bCs/>
              </w:rPr>
              <w:t xml:space="preserve">can be used to </w:t>
            </w:r>
            <w:r w:rsidRPr="00841640">
              <w:rPr>
                <w:rFonts w:asciiTheme="minorHAnsi" w:eastAsia="SimSun" w:hAnsiTheme="minorHAnsi" w:cstheme="minorHAnsi"/>
                <w:bCs/>
              </w:rPr>
              <w:t>adjust</w:t>
            </w:r>
            <w:r w:rsidRPr="00841640">
              <w:rPr>
                <w:rFonts w:asciiTheme="minorHAnsi" w:eastAsia="SimSun" w:hAnsiTheme="minorHAnsi" w:cstheme="minorHAnsi"/>
              </w:rPr>
              <w:t xml:space="preserve"> household consumption data to an individual level considering the size and age composition of the household and the </w:t>
            </w:r>
            <w:r w:rsidRPr="00841640">
              <w:rPr>
                <w:rFonts w:asciiTheme="minorHAnsi" w:hAnsiTheme="minorHAnsi" w:cstheme="minorHAnsi"/>
                <w:color w:val="000000"/>
              </w:rPr>
              <w:t>economies of scale surrounding household consumption.</w:t>
            </w:r>
          </w:p>
        </w:tc>
      </w:tr>
      <w:tr w:rsidR="005629B1" w:rsidRPr="00CA32CE" w14:paraId="3141CAD9" w14:textId="77777777" w:rsidTr="00F44EF1">
        <w:trPr>
          <w:trHeight w:val="69"/>
        </w:trPr>
        <w:tc>
          <w:tcPr>
            <w:tcW w:w="9351" w:type="dxa"/>
            <w:gridSpan w:val="2"/>
          </w:tcPr>
          <w:p w14:paraId="2077DC0E" w14:textId="77777777" w:rsidR="005629B1" w:rsidRPr="00841640" w:rsidRDefault="005629B1" w:rsidP="00F44EF1">
            <w:pPr>
              <w:rPr>
                <w:rFonts w:asciiTheme="minorHAnsi" w:hAnsiTheme="minorHAnsi" w:cstheme="minorHAnsi"/>
              </w:rPr>
            </w:pPr>
            <w:r w:rsidRPr="00841640">
              <w:rPr>
                <w:rFonts w:asciiTheme="minorHAnsi" w:hAnsiTheme="minorHAnsi" w:cstheme="minorHAnsi"/>
                <w:b/>
                <w:u w:val="single"/>
              </w:rPr>
              <w:t>The budget share approach</w:t>
            </w:r>
          </w:p>
        </w:tc>
      </w:tr>
      <w:tr w:rsidR="005629B1" w:rsidRPr="00CA32CE" w14:paraId="474B4624" w14:textId="77777777" w:rsidTr="00F44EF1">
        <w:trPr>
          <w:trHeight w:val="1134"/>
        </w:trPr>
        <w:tc>
          <w:tcPr>
            <w:tcW w:w="4106" w:type="dxa"/>
          </w:tcPr>
          <w:p w14:paraId="440FA9EE" w14:textId="77777777" w:rsidR="005629B1" w:rsidRPr="00841640" w:rsidRDefault="005629B1" w:rsidP="00F44EF1">
            <w:pPr>
              <w:rPr>
                <w:rFonts w:asciiTheme="minorHAnsi" w:hAnsiTheme="minorHAnsi" w:cstheme="minorHAnsi"/>
                <w:b/>
              </w:rPr>
            </w:pPr>
            <w:r w:rsidRPr="00841640">
              <w:rPr>
                <w:rFonts w:asciiTheme="minorHAnsi" w:hAnsiTheme="minorHAnsi" w:cstheme="minorHAnsi"/>
                <w:b/>
              </w:rPr>
              <w:t xml:space="preserve">The budget share </w:t>
            </w:r>
            <w:r w:rsidRPr="00841640">
              <w:rPr>
                <w:rFonts w:asciiTheme="minorHAnsi" w:hAnsiTheme="minorHAnsi" w:cstheme="minorHAnsi"/>
                <w:b/>
                <w:lang w:val="vi-VN"/>
              </w:rPr>
              <w:t>(</w:t>
            </w:r>
            <w:r w:rsidRPr="00841640">
              <w:rPr>
                <w:rFonts w:asciiTheme="minorHAnsi" w:hAnsiTheme="minorHAnsi" w:cstheme="minorHAnsi"/>
                <w:b/>
              </w:rPr>
              <w:t xml:space="preserve">or </w:t>
            </w:r>
            <w:r w:rsidRPr="00841640">
              <w:rPr>
                <w:rFonts w:asciiTheme="minorHAnsi" w:hAnsiTheme="minorHAnsi" w:cstheme="minorHAnsi"/>
                <w:b/>
                <w:lang w:val="vi-VN"/>
              </w:rPr>
              <w:t>the</w:t>
            </w:r>
            <w:r w:rsidRPr="00841640">
              <w:rPr>
                <w:rFonts w:asciiTheme="minorHAnsi" w:hAnsiTheme="minorHAnsi" w:cstheme="minorHAnsi"/>
                <w:b/>
              </w:rPr>
              <w:t xml:space="preserve"> basic) approach</w:t>
            </w:r>
          </w:p>
        </w:tc>
        <w:tc>
          <w:tcPr>
            <w:tcW w:w="5245" w:type="dxa"/>
          </w:tcPr>
          <w:p w14:paraId="27F6EF69" w14:textId="77777777" w:rsidR="005629B1" w:rsidRPr="00841640" w:rsidRDefault="005629B1" w:rsidP="00F44EF1">
            <w:pPr>
              <w:rPr>
                <w:rFonts w:asciiTheme="minorHAnsi" w:hAnsiTheme="minorHAnsi" w:cstheme="minorHAnsi"/>
              </w:rPr>
            </w:pPr>
            <w:r w:rsidRPr="00841640">
              <w:rPr>
                <w:rFonts w:asciiTheme="minorHAnsi" w:hAnsiTheme="minorHAnsi" w:cstheme="minorHAnsi"/>
              </w:rPr>
              <w:t>An approach used to</w:t>
            </w:r>
            <w:r w:rsidRPr="00841640">
              <w:rPr>
                <w:rFonts w:asciiTheme="minorHAnsi" w:hAnsiTheme="minorHAnsi" w:cstheme="minorHAnsi"/>
                <w:lang w:val="vi-VN"/>
              </w:rPr>
              <w:t xml:space="preserve"> me</w:t>
            </w:r>
            <w:proofErr w:type="spellStart"/>
            <w:r w:rsidRPr="00841640">
              <w:rPr>
                <w:rFonts w:asciiTheme="minorHAnsi" w:hAnsiTheme="minorHAnsi" w:cstheme="minorHAnsi"/>
              </w:rPr>
              <w:t>asure</w:t>
            </w:r>
            <w:proofErr w:type="spellEnd"/>
            <w:r w:rsidRPr="00841640">
              <w:rPr>
                <w:rFonts w:asciiTheme="minorHAnsi" w:hAnsiTheme="minorHAnsi" w:cstheme="minorHAnsi"/>
                <w:lang w:val="vi-VN"/>
              </w:rPr>
              <w:t xml:space="preserve"> </w:t>
            </w:r>
            <w:r w:rsidRPr="00841640">
              <w:rPr>
                <w:rFonts w:asciiTheme="minorHAnsi" w:hAnsiTheme="minorHAnsi" w:cstheme="minorHAnsi"/>
              </w:rPr>
              <w:t>the incidence of catastrophic health expenditure. It d</w:t>
            </w:r>
            <w:r w:rsidRPr="00841640">
              <w:rPr>
                <w:rFonts w:asciiTheme="minorHAnsi" w:hAnsiTheme="minorHAnsi" w:cstheme="minorHAnsi"/>
                <w:lang w:val="vi-VN"/>
              </w:rPr>
              <w:t>ef</w:t>
            </w:r>
            <w:proofErr w:type="spellStart"/>
            <w:r w:rsidRPr="00841640">
              <w:rPr>
                <w:rFonts w:asciiTheme="minorHAnsi" w:hAnsiTheme="minorHAnsi" w:cstheme="minorHAnsi"/>
              </w:rPr>
              <w:t>ines</w:t>
            </w:r>
            <w:proofErr w:type="spellEnd"/>
            <w:r w:rsidRPr="00841640">
              <w:rPr>
                <w:rFonts w:asciiTheme="minorHAnsi" w:hAnsiTheme="minorHAnsi" w:cstheme="minorHAnsi"/>
              </w:rPr>
              <w:t xml:space="preserve"> c</w:t>
            </w:r>
            <w:r w:rsidRPr="00841640">
              <w:rPr>
                <w:rFonts w:asciiTheme="minorHAnsi" w:hAnsiTheme="minorHAnsi" w:cstheme="minorHAnsi"/>
                <w:lang w:val="vi-VN"/>
              </w:rPr>
              <w:t>at</w:t>
            </w:r>
            <w:r w:rsidRPr="00841640">
              <w:rPr>
                <w:rFonts w:asciiTheme="minorHAnsi" w:hAnsiTheme="minorHAnsi" w:cstheme="minorHAnsi"/>
              </w:rPr>
              <w:t>astrophic health expenditure as occurring when out-of-pocket payments exceed a defined proportion of a household’s total income or expenditure within a given period.</w:t>
            </w:r>
          </w:p>
        </w:tc>
      </w:tr>
      <w:tr w:rsidR="005629B1" w:rsidRPr="00CA32CE" w14:paraId="6EA9AF93" w14:textId="77777777" w:rsidTr="00F44EF1">
        <w:trPr>
          <w:trHeight w:val="358"/>
        </w:trPr>
        <w:tc>
          <w:tcPr>
            <w:tcW w:w="9351" w:type="dxa"/>
            <w:gridSpan w:val="2"/>
          </w:tcPr>
          <w:p w14:paraId="2DCEB95B" w14:textId="77777777" w:rsidR="005629B1" w:rsidRPr="00841640" w:rsidRDefault="005629B1" w:rsidP="00F44EF1">
            <w:pPr>
              <w:rPr>
                <w:rFonts w:asciiTheme="minorHAnsi" w:hAnsiTheme="minorHAnsi" w:cstheme="minorHAnsi"/>
              </w:rPr>
            </w:pPr>
            <w:r w:rsidRPr="00841640">
              <w:rPr>
                <w:rFonts w:asciiTheme="minorHAnsi" w:hAnsiTheme="minorHAnsi" w:cstheme="minorHAnsi"/>
                <w:b/>
                <w:u w:val="single"/>
              </w:rPr>
              <w:t>The capacity-to-pay approach</w:t>
            </w:r>
          </w:p>
        </w:tc>
      </w:tr>
      <w:tr w:rsidR="005629B1" w:rsidRPr="00CA32CE" w14:paraId="14D08EC1" w14:textId="77777777" w:rsidTr="00F44EF1">
        <w:trPr>
          <w:trHeight w:val="358"/>
        </w:trPr>
        <w:tc>
          <w:tcPr>
            <w:tcW w:w="4106" w:type="dxa"/>
          </w:tcPr>
          <w:p w14:paraId="7EC17A3B" w14:textId="77777777" w:rsidR="005629B1" w:rsidRPr="00841640" w:rsidRDefault="005629B1" w:rsidP="00F44EF1">
            <w:pPr>
              <w:rPr>
                <w:rFonts w:asciiTheme="minorHAnsi" w:hAnsiTheme="minorHAnsi" w:cstheme="minorHAnsi"/>
                <w:b/>
              </w:rPr>
            </w:pPr>
            <w:r w:rsidRPr="00841640">
              <w:rPr>
                <w:rFonts w:asciiTheme="minorHAnsi" w:hAnsiTheme="minorHAnsi" w:cstheme="minorHAnsi"/>
                <w:b/>
              </w:rPr>
              <w:t>The capacity-to-pay (or ability to pay) approach</w:t>
            </w:r>
          </w:p>
        </w:tc>
        <w:tc>
          <w:tcPr>
            <w:tcW w:w="5245" w:type="dxa"/>
          </w:tcPr>
          <w:p w14:paraId="5F7B35EC" w14:textId="77777777" w:rsidR="005629B1" w:rsidRPr="00841640" w:rsidRDefault="005629B1" w:rsidP="00F44EF1">
            <w:pPr>
              <w:rPr>
                <w:rFonts w:asciiTheme="minorHAnsi" w:hAnsiTheme="minorHAnsi" w:cstheme="minorHAnsi"/>
              </w:rPr>
            </w:pPr>
            <w:r w:rsidRPr="00841640">
              <w:rPr>
                <w:rFonts w:asciiTheme="minorHAnsi" w:hAnsiTheme="minorHAnsi" w:cstheme="minorHAnsi"/>
              </w:rPr>
              <w:t>An approach used</w:t>
            </w:r>
            <w:r w:rsidRPr="00841640">
              <w:rPr>
                <w:rFonts w:asciiTheme="minorHAnsi" w:hAnsiTheme="minorHAnsi" w:cstheme="minorHAnsi"/>
                <w:lang w:val="vi-VN"/>
              </w:rPr>
              <w:t xml:space="preserve"> to measure </w:t>
            </w:r>
            <w:r w:rsidRPr="00841640">
              <w:rPr>
                <w:rFonts w:asciiTheme="minorHAnsi" w:hAnsiTheme="minorHAnsi" w:cstheme="minorHAnsi"/>
              </w:rPr>
              <w:t>the incidence of catastrophic health expenditure. It defines c</w:t>
            </w:r>
            <w:r w:rsidRPr="00841640">
              <w:rPr>
                <w:rFonts w:asciiTheme="minorHAnsi" w:hAnsiTheme="minorHAnsi" w:cstheme="minorHAnsi"/>
                <w:lang w:val="vi-VN"/>
              </w:rPr>
              <w:t>at</w:t>
            </w:r>
            <w:r w:rsidRPr="00841640">
              <w:rPr>
                <w:rFonts w:asciiTheme="minorHAnsi" w:hAnsiTheme="minorHAnsi" w:cstheme="minorHAnsi"/>
              </w:rPr>
              <w:t>astrophic health expenditure as occurring when out-of-pocket payments exceed a defined proportion of a household’s capacity to pay.</w:t>
            </w:r>
          </w:p>
        </w:tc>
      </w:tr>
      <w:tr w:rsidR="005629B1" w:rsidRPr="00CA32CE" w14:paraId="31D82A7E" w14:textId="77777777" w:rsidTr="00F44EF1">
        <w:trPr>
          <w:trHeight w:val="494"/>
        </w:trPr>
        <w:tc>
          <w:tcPr>
            <w:tcW w:w="4106" w:type="dxa"/>
          </w:tcPr>
          <w:p w14:paraId="20014ACC" w14:textId="77777777" w:rsidR="005629B1" w:rsidRPr="00841640" w:rsidRDefault="005629B1" w:rsidP="00F44EF1">
            <w:pPr>
              <w:rPr>
                <w:rFonts w:asciiTheme="minorHAnsi" w:hAnsiTheme="minorHAnsi" w:cstheme="minorHAnsi"/>
                <w:b/>
              </w:rPr>
            </w:pPr>
            <w:bookmarkStart w:id="0" w:name="_Hlk114054866"/>
            <w:r w:rsidRPr="00841640">
              <w:rPr>
                <w:rFonts w:asciiTheme="minorHAnsi" w:hAnsiTheme="minorHAnsi" w:cstheme="minorHAnsi"/>
                <w:b/>
              </w:rPr>
              <w:t>H</w:t>
            </w:r>
            <w:r w:rsidRPr="00841640">
              <w:rPr>
                <w:rFonts w:asciiTheme="minorHAnsi" w:hAnsiTheme="minorHAnsi" w:cstheme="minorHAnsi"/>
                <w:b/>
                <w:lang w:val="vi-VN"/>
              </w:rPr>
              <w:t>ousehold’s capacity to pay</w:t>
            </w:r>
            <w:bookmarkEnd w:id="0"/>
          </w:p>
        </w:tc>
        <w:tc>
          <w:tcPr>
            <w:tcW w:w="5245" w:type="dxa"/>
          </w:tcPr>
          <w:p w14:paraId="6C9F2EED" w14:textId="77777777" w:rsidR="005629B1" w:rsidRPr="00841640" w:rsidRDefault="005629B1" w:rsidP="00F44EF1">
            <w:pPr>
              <w:rPr>
                <w:rFonts w:asciiTheme="minorHAnsi" w:hAnsiTheme="minorHAnsi" w:cstheme="minorHAnsi"/>
              </w:rPr>
            </w:pPr>
            <w:r w:rsidRPr="00841640">
              <w:rPr>
                <w:rFonts w:asciiTheme="minorHAnsi" w:hAnsiTheme="minorHAnsi" w:cstheme="minorHAnsi"/>
              </w:rPr>
              <w:t xml:space="preserve">The total household expenditure remaining after their basic needs have been met. </w:t>
            </w:r>
          </w:p>
        </w:tc>
      </w:tr>
      <w:tr w:rsidR="005629B1" w:rsidRPr="00CA32CE" w14:paraId="2E836C52" w14:textId="77777777" w:rsidTr="00F44EF1">
        <w:trPr>
          <w:trHeight w:val="665"/>
        </w:trPr>
        <w:tc>
          <w:tcPr>
            <w:tcW w:w="4106" w:type="dxa"/>
          </w:tcPr>
          <w:p w14:paraId="4CE2E8EF" w14:textId="77777777" w:rsidR="005629B1" w:rsidRPr="00841640" w:rsidRDefault="005629B1" w:rsidP="00F44EF1">
            <w:pPr>
              <w:rPr>
                <w:rFonts w:asciiTheme="minorHAnsi" w:hAnsiTheme="minorHAnsi" w:cstheme="minorHAnsi"/>
                <w:b/>
              </w:rPr>
            </w:pPr>
            <w:r w:rsidRPr="00841640">
              <w:rPr>
                <w:rFonts w:asciiTheme="minorHAnsi" w:hAnsiTheme="minorHAnsi" w:cstheme="minorHAnsi"/>
                <w:b/>
                <w:highlight w:val="white"/>
              </w:rPr>
              <w:t>Basic needs (or basic subsistence need, or standard amount)</w:t>
            </w:r>
          </w:p>
        </w:tc>
        <w:tc>
          <w:tcPr>
            <w:tcW w:w="5245" w:type="dxa"/>
          </w:tcPr>
          <w:p w14:paraId="380EE567" w14:textId="77777777" w:rsidR="005629B1" w:rsidRPr="00841640" w:rsidRDefault="005629B1" w:rsidP="00F44EF1">
            <w:pPr>
              <w:rPr>
                <w:rFonts w:asciiTheme="minorHAnsi" w:hAnsiTheme="minorHAnsi" w:cstheme="minorHAnsi"/>
              </w:rPr>
            </w:pPr>
            <w:r w:rsidRPr="00841640">
              <w:rPr>
                <w:rFonts w:asciiTheme="minorHAnsi" w:hAnsiTheme="minorHAnsi" w:cstheme="minorHAnsi"/>
                <w:shd w:val="clear" w:color="auto" w:fill="FFFFFF"/>
                <w:lang w:val="vi-VN"/>
              </w:rPr>
              <w:t>T</w:t>
            </w:r>
            <w:r w:rsidRPr="00841640">
              <w:rPr>
                <w:rFonts w:asciiTheme="minorHAnsi" w:hAnsiTheme="minorHAnsi" w:cstheme="minorHAnsi"/>
                <w:shd w:val="clear" w:color="auto" w:fill="FFFFFF"/>
              </w:rPr>
              <w:t>he assumed amount needed for a household to maintain its basic needs.</w:t>
            </w:r>
            <w:r w:rsidRPr="00841640">
              <w:rPr>
                <w:rFonts w:asciiTheme="minorHAnsi" w:hAnsiTheme="minorHAnsi" w:cstheme="minorHAnsi"/>
                <w:shd w:val="clear" w:color="auto" w:fill="FFFFFF"/>
                <w:lang w:val="vi-VN"/>
              </w:rPr>
              <w:t xml:space="preserve"> Different methods are used to approximate basic needs</w:t>
            </w:r>
            <w:r w:rsidRPr="00841640">
              <w:rPr>
                <w:rFonts w:asciiTheme="minorHAnsi" w:hAnsiTheme="minorHAnsi" w:cstheme="minorHAnsi"/>
                <w:shd w:val="clear" w:color="auto" w:fill="FFFFFF"/>
              </w:rPr>
              <w:t xml:space="preserve"> (Table 1)</w:t>
            </w:r>
            <w:r w:rsidRPr="00841640">
              <w:rPr>
                <w:rFonts w:asciiTheme="minorHAnsi" w:hAnsiTheme="minorHAnsi" w:cstheme="minorHAnsi"/>
                <w:shd w:val="clear" w:color="auto" w:fill="FFFFFF"/>
                <w:lang w:val="vi-VN"/>
              </w:rPr>
              <w:t xml:space="preserve">, with food spending </w:t>
            </w:r>
            <w:r w:rsidRPr="00841640">
              <w:rPr>
                <w:rFonts w:asciiTheme="minorHAnsi" w:hAnsiTheme="minorHAnsi" w:cstheme="minorHAnsi"/>
                <w:shd w:val="clear" w:color="auto" w:fill="FFFFFF"/>
              </w:rPr>
              <w:t>commonly</w:t>
            </w:r>
            <w:r w:rsidRPr="00841640">
              <w:rPr>
                <w:rFonts w:asciiTheme="minorHAnsi" w:hAnsiTheme="minorHAnsi" w:cstheme="minorHAnsi"/>
                <w:shd w:val="clear" w:color="auto" w:fill="FFFFFF"/>
                <w:lang w:val="vi-VN"/>
              </w:rPr>
              <w:t xml:space="preserve"> used as a proxy</w:t>
            </w:r>
            <w:r w:rsidRPr="00841640">
              <w:rPr>
                <w:rFonts w:asciiTheme="minorHAnsi" w:hAnsiTheme="minorHAnsi" w:cstheme="minorHAnsi"/>
                <w:shd w:val="clear" w:color="auto" w:fill="FFFFFF"/>
              </w:rPr>
              <w:t>.</w:t>
            </w:r>
          </w:p>
        </w:tc>
      </w:tr>
    </w:tbl>
    <w:p w14:paraId="0AE3C095" w14:textId="77777777" w:rsidR="002D4730" w:rsidRDefault="002D4730"/>
    <w:sectPr w:rsidR="002D4730" w:rsidSect="00AC24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9B1"/>
    <w:rsid w:val="0001037D"/>
    <w:rsid w:val="000A6FB9"/>
    <w:rsid w:val="00102888"/>
    <w:rsid w:val="001031F7"/>
    <w:rsid w:val="00135B25"/>
    <w:rsid w:val="00174D2C"/>
    <w:rsid w:val="00175CDF"/>
    <w:rsid w:val="002A0BCF"/>
    <w:rsid w:val="002A33A8"/>
    <w:rsid w:val="002C5E25"/>
    <w:rsid w:val="002D40D7"/>
    <w:rsid w:val="002D4730"/>
    <w:rsid w:val="002E2318"/>
    <w:rsid w:val="002E4638"/>
    <w:rsid w:val="003A5E09"/>
    <w:rsid w:val="003C138B"/>
    <w:rsid w:val="00442A00"/>
    <w:rsid w:val="00461F38"/>
    <w:rsid w:val="004B32B3"/>
    <w:rsid w:val="004D0CBD"/>
    <w:rsid w:val="004D4C03"/>
    <w:rsid w:val="00507168"/>
    <w:rsid w:val="00555480"/>
    <w:rsid w:val="005629B1"/>
    <w:rsid w:val="005B09D8"/>
    <w:rsid w:val="0065793B"/>
    <w:rsid w:val="00676AF5"/>
    <w:rsid w:val="0068534C"/>
    <w:rsid w:val="006A47A9"/>
    <w:rsid w:val="0073771C"/>
    <w:rsid w:val="007461CA"/>
    <w:rsid w:val="007C08CE"/>
    <w:rsid w:val="007E7B68"/>
    <w:rsid w:val="00841640"/>
    <w:rsid w:val="008D1541"/>
    <w:rsid w:val="008F71DB"/>
    <w:rsid w:val="009122D7"/>
    <w:rsid w:val="00986A70"/>
    <w:rsid w:val="00A3701A"/>
    <w:rsid w:val="00A406DC"/>
    <w:rsid w:val="00AB5CB4"/>
    <w:rsid w:val="00AC243D"/>
    <w:rsid w:val="00AC31A3"/>
    <w:rsid w:val="00AC36EC"/>
    <w:rsid w:val="00AD20EE"/>
    <w:rsid w:val="00AF6AFE"/>
    <w:rsid w:val="00B03EE4"/>
    <w:rsid w:val="00B4128F"/>
    <w:rsid w:val="00BE4A42"/>
    <w:rsid w:val="00BF77BB"/>
    <w:rsid w:val="00C32D6D"/>
    <w:rsid w:val="00C942A0"/>
    <w:rsid w:val="00CA30DC"/>
    <w:rsid w:val="00D51D5A"/>
    <w:rsid w:val="00D55599"/>
    <w:rsid w:val="00D61EA2"/>
    <w:rsid w:val="00D771D1"/>
    <w:rsid w:val="00DB3176"/>
    <w:rsid w:val="00DD55A5"/>
    <w:rsid w:val="00DE4E0F"/>
    <w:rsid w:val="00DF280E"/>
    <w:rsid w:val="00DF4BF2"/>
    <w:rsid w:val="00E06516"/>
    <w:rsid w:val="00E30754"/>
    <w:rsid w:val="00E57365"/>
    <w:rsid w:val="00E66239"/>
    <w:rsid w:val="00E916FA"/>
    <w:rsid w:val="00EC0DFF"/>
    <w:rsid w:val="00F028A6"/>
    <w:rsid w:val="00F41617"/>
    <w:rsid w:val="00FF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C00F1"/>
  <w15:chartTrackingRefBased/>
  <w15:docId w15:val="{1AE2BE09-8FF8-B24F-9B5A-7009C085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9B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5629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29B1"/>
    <w:pPr>
      <w:spacing w:after="160"/>
    </w:pPr>
    <w:rPr>
      <w:rFonts w:asciiTheme="minorHAnsi" w:eastAsia="SimSun" w:hAnsiTheme="minorHAnsi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29B1"/>
    <w:rPr>
      <w:rFonts w:eastAsia="SimSun"/>
      <w:sz w:val="20"/>
      <w:szCs w:val="20"/>
      <w:lang w:val="en-US" w:eastAsia="en-US"/>
    </w:rPr>
  </w:style>
  <w:style w:type="table" w:styleId="TableGrid">
    <w:name w:val="Table Grid"/>
    <w:basedOn w:val="TableNormal"/>
    <w:uiPriority w:val="39"/>
    <w:rsid w:val="005629B1"/>
    <w:rPr>
      <w:rFonts w:eastAsia="SimSu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Huyen Nguyen Anh</dc:creator>
  <cp:keywords/>
  <dc:description/>
  <cp:lastModifiedBy>Huyen Nguyen Anh</cp:lastModifiedBy>
  <cp:revision>1</cp:revision>
  <dcterms:created xsi:type="dcterms:W3CDTF">2023-04-05T08:58:00Z</dcterms:created>
  <dcterms:modified xsi:type="dcterms:W3CDTF">2023-04-05T10:42:00Z</dcterms:modified>
</cp:coreProperties>
</file>