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9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891"/>
        <w:gridCol w:w="891"/>
        <w:gridCol w:w="1006"/>
        <w:gridCol w:w="884"/>
        <w:gridCol w:w="784"/>
        <w:gridCol w:w="891"/>
        <w:gridCol w:w="1127"/>
        <w:gridCol w:w="992"/>
      </w:tblGrid>
      <w:tr w:rsidR="00E84BA9" w:rsidRPr="006E34BD" w:rsidTr="00E84BA9">
        <w:trPr>
          <w:trHeight w:val="300"/>
        </w:trPr>
        <w:tc>
          <w:tcPr>
            <w:tcW w:w="1998" w:type="dxa"/>
            <w:noWrap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gridSpan w:val="4"/>
            <w:noWrap/>
          </w:tcPr>
          <w:p w:rsidR="00E84BA9" w:rsidRPr="00E84BA9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Catastrophic Expenditures</w:t>
            </w:r>
          </w:p>
        </w:tc>
        <w:tc>
          <w:tcPr>
            <w:tcW w:w="3794" w:type="dxa"/>
            <w:gridSpan w:val="4"/>
          </w:tcPr>
          <w:p w:rsidR="00E84BA9" w:rsidRPr="00E84BA9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Impoverishing Expenditures</w:t>
            </w:r>
          </w:p>
        </w:tc>
      </w:tr>
      <w:tr w:rsidR="00E84BA9" w:rsidRPr="006E34BD" w:rsidTr="00E84BA9">
        <w:trPr>
          <w:trHeight w:val="176"/>
        </w:trPr>
        <w:tc>
          <w:tcPr>
            <w:tcW w:w="1998" w:type="dxa"/>
            <w:vMerge w:val="restart"/>
            <w:noWrap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vMerge w:val="restart"/>
            <w:noWrap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Odds</w:t>
            </w:r>
          </w:p>
        </w:tc>
        <w:tc>
          <w:tcPr>
            <w:tcW w:w="1897" w:type="dxa"/>
            <w:gridSpan w:val="2"/>
            <w:noWrap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Confidence Interval</w:t>
            </w:r>
          </w:p>
        </w:tc>
        <w:tc>
          <w:tcPr>
            <w:tcW w:w="884" w:type="dxa"/>
            <w:vMerge w:val="restart"/>
            <w:noWrap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 value</w:t>
            </w:r>
          </w:p>
        </w:tc>
        <w:tc>
          <w:tcPr>
            <w:tcW w:w="784" w:type="dxa"/>
            <w:vMerge w:val="restart"/>
          </w:tcPr>
          <w:p w:rsidR="00E84BA9" w:rsidRPr="00E84BA9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Odds</w:t>
            </w:r>
          </w:p>
        </w:tc>
        <w:tc>
          <w:tcPr>
            <w:tcW w:w="2018" w:type="dxa"/>
            <w:gridSpan w:val="2"/>
          </w:tcPr>
          <w:p w:rsidR="00E84BA9" w:rsidRPr="00E84BA9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Confidence Interval</w:t>
            </w:r>
          </w:p>
        </w:tc>
        <w:tc>
          <w:tcPr>
            <w:tcW w:w="992" w:type="dxa"/>
            <w:vMerge w:val="restart"/>
          </w:tcPr>
          <w:p w:rsidR="00E84BA9" w:rsidRPr="00E84BA9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 value</w:t>
            </w:r>
          </w:p>
        </w:tc>
      </w:tr>
      <w:tr w:rsidR="00E84BA9" w:rsidRPr="006E34BD" w:rsidTr="00E84BA9">
        <w:trPr>
          <w:trHeight w:val="176"/>
        </w:trPr>
        <w:tc>
          <w:tcPr>
            <w:tcW w:w="1998" w:type="dxa"/>
            <w:vMerge/>
            <w:noWrap/>
          </w:tcPr>
          <w:p w:rsidR="00E84BA9" w:rsidRPr="001725DA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vMerge/>
            <w:noWrap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noWrap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5D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2.5 %</w:t>
            </w:r>
          </w:p>
        </w:tc>
        <w:tc>
          <w:tcPr>
            <w:tcW w:w="1006" w:type="dxa"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5D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97.5 %</w:t>
            </w:r>
          </w:p>
        </w:tc>
        <w:tc>
          <w:tcPr>
            <w:tcW w:w="884" w:type="dxa"/>
            <w:vMerge/>
            <w:noWrap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vMerge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91" w:type="dxa"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3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2.5 %</w:t>
            </w:r>
          </w:p>
        </w:tc>
        <w:tc>
          <w:tcPr>
            <w:tcW w:w="1127" w:type="dxa"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32C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97.5 %</w:t>
            </w:r>
          </w:p>
        </w:tc>
        <w:tc>
          <w:tcPr>
            <w:tcW w:w="992" w:type="dxa"/>
            <w:vMerge/>
          </w:tcPr>
          <w:p w:rsidR="00E84BA9" w:rsidRPr="001725DA" w:rsidRDefault="00E84BA9" w:rsidP="00E84BA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BA9" w:rsidRPr="006E34BD" w:rsidTr="00E84BA9">
        <w:trPr>
          <w:trHeight w:val="300"/>
        </w:trPr>
        <w:tc>
          <w:tcPr>
            <w:tcW w:w="1998" w:type="dxa"/>
            <w:noWrap/>
            <w:hideMark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06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884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784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891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127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24.19</w:t>
            </w:r>
          </w:p>
        </w:tc>
        <w:tc>
          <w:tcPr>
            <w:tcW w:w="992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</w:tr>
      <w:tr w:rsidR="00E84BA9" w:rsidRPr="006E34BD" w:rsidTr="00E84BA9">
        <w:trPr>
          <w:trHeight w:val="300"/>
        </w:trPr>
        <w:tc>
          <w:tcPr>
            <w:tcW w:w="1998" w:type="dxa"/>
            <w:noWrap/>
            <w:hideMark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06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84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84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891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27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992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E84BA9" w:rsidRPr="006E34BD" w:rsidTr="00E84BA9">
        <w:trPr>
          <w:trHeight w:val="300"/>
        </w:trPr>
        <w:tc>
          <w:tcPr>
            <w:tcW w:w="1998" w:type="dxa"/>
            <w:noWrap/>
            <w:hideMark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Marriage Status Single vs. Married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06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884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784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891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127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5.60</w:t>
            </w:r>
          </w:p>
        </w:tc>
        <w:tc>
          <w:tcPr>
            <w:tcW w:w="992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</w:t>
            </w:r>
          </w:p>
        </w:tc>
      </w:tr>
      <w:tr w:rsidR="00E84BA9" w:rsidRPr="006E34BD" w:rsidTr="00E84BA9">
        <w:trPr>
          <w:trHeight w:val="300"/>
        </w:trPr>
        <w:tc>
          <w:tcPr>
            <w:tcW w:w="1998" w:type="dxa"/>
            <w:noWrap/>
            <w:hideMark/>
          </w:tcPr>
          <w:p w:rsidR="00E84BA9" w:rsidRPr="00E84BA9" w:rsidRDefault="00E84BA9" w:rsidP="00E84BA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Household Size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91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6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84" w:type="dxa"/>
            <w:noWrap/>
            <w:hideMark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784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891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127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992" w:type="dxa"/>
          </w:tcPr>
          <w:p w:rsidR="00E84BA9" w:rsidRPr="00E84BA9" w:rsidRDefault="00E84BA9" w:rsidP="00E84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84BA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</w:t>
            </w:r>
          </w:p>
        </w:tc>
      </w:tr>
    </w:tbl>
    <w:p w:rsidR="00E84BA9" w:rsidRDefault="00223797" w:rsidP="00E84BA9">
      <w:pPr>
        <w:rPr>
          <w:rFonts w:asciiTheme="majorBidi" w:hAnsiTheme="majorBidi" w:cstheme="majorBidi"/>
          <w:color w:val="000000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Additional </w:t>
      </w:r>
      <w:r w:rsidR="00E84BA9" w:rsidRPr="006B68CE">
        <w:rPr>
          <w:rFonts w:asciiTheme="majorBidi" w:hAnsiTheme="majorBidi" w:cstheme="majorBidi"/>
          <w:sz w:val="22"/>
          <w:szCs w:val="22"/>
        </w:rPr>
        <w:t>table 3</w:t>
      </w:r>
      <w:r w:rsidR="00E84BA9" w:rsidRPr="00E84BA9"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. </w:t>
      </w:r>
      <w:r w:rsidR="00E84BA9" w:rsidRPr="00E84BA9">
        <w:rPr>
          <w:rFonts w:asciiTheme="majorBidi" w:hAnsiTheme="majorBidi" w:cstheme="majorBidi"/>
          <w:color w:val="000000"/>
          <w:sz w:val="22"/>
          <w:szCs w:val="22"/>
        </w:rPr>
        <w:t>Determinants of catastrophic and impoverishing health expenditures</w:t>
      </w:r>
      <w:bookmarkStart w:id="0" w:name="_GoBack"/>
      <w:bookmarkEnd w:id="0"/>
    </w:p>
    <w:sectPr w:rsidR="00E84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A9"/>
    <w:rsid w:val="00223797"/>
    <w:rsid w:val="007E7BED"/>
    <w:rsid w:val="00895AE4"/>
    <w:rsid w:val="00E8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74931F-58AF-4F28-B8FC-A9409FF6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B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84BA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8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4B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B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84BA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Revathi Thangaraj</cp:lastModifiedBy>
  <cp:revision>2</cp:revision>
  <dcterms:created xsi:type="dcterms:W3CDTF">2023-08-21T04:10:00Z</dcterms:created>
  <dcterms:modified xsi:type="dcterms:W3CDTF">2023-11-01T13:56:00Z</dcterms:modified>
</cp:coreProperties>
</file>