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E3E1C">
      <w:pPr>
        <w:widowControl/>
        <w:rPr>
          <w:rFonts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Consolidated Health Economic Evaluation Reporting Standards (CHEERS) checklist</w:t>
      </w:r>
    </w:p>
    <w:p w14:paraId="7FD668BB"/>
    <w:tbl>
      <w:tblPr>
        <w:tblStyle w:val="2"/>
        <w:tblW w:w="5000" w:type="pct"/>
        <w:tblInd w:w="0" w:type="dxa"/>
        <w:tblLayout w:type="fixed"/>
        <w:tblCellMar>
          <w:top w:w="0" w:type="dxa"/>
          <w:left w:w="108" w:type="dxa"/>
          <w:bottom w:w="0" w:type="dxa"/>
          <w:right w:w="108" w:type="dxa"/>
        </w:tblCellMar>
      </w:tblPr>
      <w:tblGrid>
        <w:gridCol w:w="1352"/>
        <w:gridCol w:w="942"/>
        <w:gridCol w:w="4474"/>
        <w:gridCol w:w="1754"/>
      </w:tblGrid>
      <w:tr w14:paraId="3404A86C">
        <w:tblPrEx>
          <w:tblCellMar>
            <w:top w:w="0" w:type="dxa"/>
            <w:left w:w="108" w:type="dxa"/>
            <w:bottom w:w="0" w:type="dxa"/>
            <w:right w:w="108" w:type="dxa"/>
          </w:tblCellMar>
        </w:tblPrEx>
        <w:trPr>
          <w:trHeight w:val="290" w:hRule="atLeast"/>
        </w:trPr>
        <w:tc>
          <w:tcPr>
            <w:tcW w:w="7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5F7A6F">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Section</w:t>
            </w:r>
          </w:p>
        </w:tc>
        <w:tc>
          <w:tcPr>
            <w:tcW w:w="552" w:type="pct"/>
            <w:tcBorders>
              <w:top w:val="single" w:color="000000" w:sz="8" w:space="0"/>
              <w:left w:val="nil"/>
              <w:bottom w:val="single" w:color="000000" w:sz="8" w:space="0"/>
              <w:right w:val="single" w:color="000000" w:sz="8" w:space="0"/>
            </w:tcBorders>
            <w:shd w:val="clear" w:color="auto" w:fill="auto"/>
            <w:noWrap/>
            <w:vAlign w:val="center"/>
          </w:tcPr>
          <w:p w14:paraId="7233812D">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Item No</w:t>
            </w:r>
          </w:p>
        </w:tc>
        <w:tc>
          <w:tcPr>
            <w:tcW w:w="2624" w:type="pct"/>
            <w:tcBorders>
              <w:top w:val="single" w:color="000000" w:sz="8" w:space="0"/>
              <w:left w:val="nil"/>
              <w:bottom w:val="single" w:color="000000" w:sz="8" w:space="0"/>
              <w:right w:val="single" w:color="000000" w:sz="8" w:space="0"/>
            </w:tcBorders>
            <w:shd w:val="clear" w:color="auto" w:fill="auto"/>
            <w:noWrap/>
            <w:vAlign w:val="center"/>
          </w:tcPr>
          <w:p w14:paraId="0478E347">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Recommendation</w:t>
            </w:r>
          </w:p>
        </w:tc>
        <w:tc>
          <w:tcPr>
            <w:tcW w:w="1029" w:type="pct"/>
            <w:tcBorders>
              <w:top w:val="single" w:color="000000" w:sz="8" w:space="0"/>
              <w:left w:val="nil"/>
              <w:bottom w:val="single" w:color="000000" w:sz="8" w:space="0"/>
              <w:right w:val="single" w:color="000000" w:sz="8" w:space="0"/>
            </w:tcBorders>
            <w:shd w:val="clear" w:color="auto" w:fill="auto"/>
            <w:noWrap/>
            <w:vAlign w:val="center"/>
          </w:tcPr>
          <w:p w14:paraId="3D8DA63E">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Reported on page</w:t>
            </w:r>
          </w:p>
        </w:tc>
      </w:tr>
      <w:tr w14:paraId="5CE8806C">
        <w:tblPrEx>
          <w:tblCellMar>
            <w:top w:w="0" w:type="dxa"/>
            <w:left w:w="108" w:type="dxa"/>
            <w:bottom w:w="0" w:type="dxa"/>
            <w:right w:w="108" w:type="dxa"/>
          </w:tblCellMar>
        </w:tblPrEx>
        <w:trPr>
          <w:trHeight w:val="290" w:hRule="atLeast"/>
        </w:trPr>
        <w:tc>
          <w:tcPr>
            <w:tcW w:w="5000" w:type="pct"/>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33253">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Title and Abstract</w:t>
            </w:r>
          </w:p>
        </w:tc>
      </w:tr>
      <w:tr w14:paraId="4EDD713A">
        <w:tblPrEx>
          <w:tblCellMar>
            <w:top w:w="0" w:type="dxa"/>
            <w:left w:w="108" w:type="dxa"/>
            <w:bottom w:w="0" w:type="dxa"/>
            <w:right w:w="108" w:type="dxa"/>
          </w:tblCellMar>
        </w:tblPrEx>
        <w:trPr>
          <w:trHeight w:val="105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4E675BC0">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Title</w:t>
            </w:r>
          </w:p>
        </w:tc>
        <w:tc>
          <w:tcPr>
            <w:tcW w:w="552" w:type="pct"/>
            <w:tcBorders>
              <w:top w:val="nil"/>
              <w:left w:val="nil"/>
              <w:bottom w:val="single" w:color="000000" w:sz="8" w:space="0"/>
              <w:right w:val="single" w:color="000000" w:sz="8" w:space="0"/>
            </w:tcBorders>
            <w:shd w:val="clear" w:color="auto" w:fill="auto"/>
            <w:noWrap/>
            <w:vAlign w:val="center"/>
          </w:tcPr>
          <w:p w14:paraId="1A847D19">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w:t>
            </w:r>
          </w:p>
        </w:tc>
        <w:tc>
          <w:tcPr>
            <w:tcW w:w="2624" w:type="pct"/>
            <w:tcBorders>
              <w:top w:val="nil"/>
              <w:left w:val="nil"/>
              <w:bottom w:val="single" w:color="000000" w:sz="8" w:space="0"/>
              <w:right w:val="single" w:color="000000" w:sz="8" w:space="0"/>
            </w:tcBorders>
            <w:shd w:val="clear" w:color="auto" w:fill="auto"/>
            <w:noWrap/>
            <w:vAlign w:val="center"/>
          </w:tcPr>
          <w:p w14:paraId="5E6DCDCE">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Identify the study as an economic evaluation or use more specific terms such as “cost-effectiveness analysis”, and describe the interventions compared.</w:t>
            </w:r>
          </w:p>
        </w:tc>
        <w:tc>
          <w:tcPr>
            <w:tcW w:w="1029" w:type="pct"/>
            <w:tcBorders>
              <w:top w:val="nil"/>
              <w:left w:val="nil"/>
              <w:bottom w:val="single" w:color="000000" w:sz="8" w:space="0"/>
              <w:right w:val="single" w:color="000000" w:sz="8" w:space="0"/>
            </w:tcBorders>
            <w:shd w:val="clear" w:color="auto" w:fill="auto"/>
            <w:noWrap/>
            <w:vAlign w:val="center"/>
          </w:tcPr>
          <w:p w14:paraId="79928560">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Page 1</w:t>
            </w:r>
          </w:p>
        </w:tc>
      </w:tr>
      <w:tr w14:paraId="0323F99C">
        <w:tblPrEx>
          <w:tblCellMar>
            <w:top w:w="0" w:type="dxa"/>
            <w:left w:w="108" w:type="dxa"/>
            <w:bottom w:w="0" w:type="dxa"/>
            <w:right w:w="108" w:type="dxa"/>
          </w:tblCellMar>
        </w:tblPrEx>
        <w:trPr>
          <w:trHeight w:val="131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5715F2FF">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Abstract</w:t>
            </w:r>
          </w:p>
        </w:tc>
        <w:tc>
          <w:tcPr>
            <w:tcW w:w="552" w:type="pct"/>
            <w:tcBorders>
              <w:top w:val="nil"/>
              <w:left w:val="nil"/>
              <w:bottom w:val="single" w:color="000000" w:sz="8" w:space="0"/>
              <w:right w:val="single" w:color="000000" w:sz="8" w:space="0"/>
            </w:tcBorders>
            <w:shd w:val="clear" w:color="auto" w:fill="auto"/>
            <w:noWrap/>
            <w:vAlign w:val="center"/>
          </w:tcPr>
          <w:p w14:paraId="2F3BD7C2">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w:t>
            </w:r>
          </w:p>
        </w:tc>
        <w:tc>
          <w:tcPr>
            <w:tcW w:w="2624" w:type="pct"/>
            <w:tcBorders>
              <w:top w:val="nil"/>
              <w:left w:val="nil"/>
              <w:bottom w:val="single" w:color="000000" w:sz="8" w:space="0"/>
              <w:right w:val="single" w:color="000000" w:sz="8" w:space="0"/>
            </w:tcBorders>
            <w:shd w:val="clear" w:color="auto" w:fill="auto"/>
            <w:noWrap/>
            <w:vAlign w:val="center"/>
          </w:tcPr>
          <w:p w14:paraId="7C6E7FC8">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Provide a structured summary of objectives, perspective, setting, methods (including study design and inputs), results (including base case and uncertainty analyses), and conclusions.</w:t>
            </w:r>
          </w:p>
        </w:tc>
        <w:tc>
          <w:tcPr>
            <w:tcW w:w="1029" w:type="pct"/>
            <w:tcBorders>
              <w:top w:val="nil"/>
              <w:left w:val="nil"/>
              <w:bottom w:val="single" w:color="000000" w:sz="8" w:space="0"/>
              <w:right w:val="single" w:color="000000" w:sz="8" w:space="0"/>
            </w:tcBorders>
            <w:shd w:val="clear" w:color="auto" w:fill="auto"/>
            <w:noWrap/>
            <w:vAlign w:val="center"/>
          </w:tcPr>
          <w:p w14:paraId="1036CD4C">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Page 1</w:t>
            </w:r>
            <w:r>
              <w:rPr>
                <w:rFonts w:hint="eastAsia" w:ascii="Times New Roman" w:hAnsi="Times New Roman" w:eastAsia="等线" w:cs="Times New Roman"/>
                <w:b/>
                <w:bCs/>
                <w:color w:val="000000"/>
                <w:kern w:val="0"/>
                <w:sz w:val="20"/>
                <w:szCs w:val="20"/>
                <w:lang w:val="en-US" w:eastAsia="zh-CN"/>
              </w:rPr>
              <w:t>-2</w:t>
            </w:r>
          </w:p>
        </w:tc>
      </w:tr>
      <w:tr w14:paraId="6386E8E0">
        <w:tblPrEx>
          <w:tblCellMar>
            <w:top w:w="0" w:type="dxa"/>
            <w:left w:w="108" w:type="dxa"/>
            <w:bottom w:w="0" w:type="dxa"/>
            <w:right w:w="108" w:type="dxa"/>
          </w:tblCellMar>
        </w:tblPrEx>
        <w:trPr>
          <w:trHeight w:val="290" w:hRule="atLeast"/>
        </w:trPr>
        <w:tc>
          <w:tcPr>
            <w:tcW w:w="5000" w:type="pct"/>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2F0AD7">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Introduction</w:t>
            </w:r>
          </w:p>
        </w:tc>
      </w:tr>
      <w:tr w14:paraId="2D1F886A">
        <w:tblPrEx>
          <w:tblCellMar>
            <w:top w:w="0" w:type="dxa"/>
            <w:left w:w="108" w:type="dxa"/>
            <w:bottom w:w="0" w:type="dxa"/>
            <w:right w:w="108" w:type="dxa"/>
          </w:tblCellMar>
        </w:tblPrEx>
        <w:trPr>
          <w:trHeight w:val="520" w:hRule="atLeast"/>
        </w:trPr>
        <w:tc>
          <w:tcPr>
            <w:tcW w:w="793" w:type="pct"/>
            <w:vMerge w:val="restart"/>
            <w:tcBorders>
              <w:top w:val="nil"/>
              <w:left w:val="single" w:color="000000" w:sz="8" w:space="0"/>
              <w:bottom w:val="single" w:color="000000" w:sz="8" w:space="0"/>
              <w:right w:val="single" w:color="000000" w:sz="8" w:space="0"/>
            </w:tcBorders>
            <w:shd w:val="clear" w:color="auto" w:fill="auto"/>
            <w:noWrap/>
            <w:vAlign w:val="center"/>
          </w:tcPr>
          <w:p w14:paraId="55982B97">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Background and objectives</w:t>
            </w:r>
          </w:p>
        </w:tc>
        <w:tc>
          <w:tcPr>
            <w:tcW w:w="552" w:type="pct"/>
            <w:vMerge w:val="restart"/>
            <w:tcBorders>
              <w:top w:val="nil"/>
              <w:left w:val="single" w:color="000000" w:sz="8" w:space="0"/>
              <w:bottom w:val="single" w:color="000000" w:sz="8" w:space="0"/>
              <w:right w:val="single" w:color="000000" w:sz="8" w:space="0"/>
            </w:tcBorders>
            <w:shd w:val="clear" w:color="auto" w:fill="auto"/>
            <w:noWrap/>
            <w:vAlign w:val="center"/>
          </w:tcPr>
          <w:p w14:paraId="7A83F995">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w:t>
            </w:r>
          </w:p>
        </w:tc>
        <w:tc>
          <w:tcPr>
            <w:tcW w:w="2624" w:type="pct"/>
            <w:tcBorders>
              <w:top w:val="nil"/>
              <w:left w:val="nil"/>
              <w:bottom w:val="nil"/>
              <w:right w:val="single" w:color="000000" w:sz="8" w:space="0"/>
            </w:tcBorders>
            <w:shd w:val="clear" w:color="auto" w:fill="auto"/>
            <w:noWrap/>
            <w:vAlign w:val="center"/>
          </w:tcPr>
          <w:p w14:paraId="060D4814">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Provide an explicit statement of the broader context for the study.</w:t>
            </w:r>
          </w:p>
        </w:tc>
        <w:tc>
          <w:tcPr>
            <w:tcW w:w="1029" w:type="pct"/>
            <w:vMerge w:val="restart"/>
            <w:tcBorders>
              <w:top w:val="nil"/>
              <w:left w:val="single" w:color="000000" w:sz="8" w:space="0"/>
              <w:bottom w:val="single" w:color="000000" w:sz="8" w:space="0"/>
              <w:right w:val="single" w:color="000000" w:sz="8" w:space="0"/>
            </w:tcBorders>
            <w:shd w:val="clear" w:color="auto" w:fill="auto"/>
            <w:noWrap/>
            <w:vAlign w:val="center"/>
          </w:tcPr>
          <w:p w14:paraId="660F8FA4">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2-5</w:t>
            </w:r>
          </w:p>
        </w:tc>
      </w:tr>
      <w:tr w14:paraId="4AAEEF6B">
        <w:tblPrEx>
          <w:tblCellMar>
            <w:top w:w="0" w:type="dxa"/>
            <w:left w:w="108" w:type="dxa"/>
            <w:bottom w:w="0" w:type="dxa"/>
            <w:right w:w="108" w:type="dxa"/>
          </w:tblCellMar>
        </w:tblPrEx>
        <w:trPr>
          <w:trHeight w:val="530" w:hRule="atLeast"/>
        </w:trPr>
        <w:tc>
          <w:tcPr>
            <w:tcW w:w="793" w:type="pct"/>
            <w:vMerge w:val="continue"/>
            <w:tcBorders>
              <w:top w:val="nil"/>
              <w:left w:val="single" w:color="000000" w:sz="8" w:space="0"/>
              <w:bottom w:val="single" w:color="000000" w:sz="8" w:space="0"/>
              <w:right w:val="single" w:color="000000" w:sz="8" w:space="0"/>
            </w:tcBorders>
            <w:vAlign w:val="center"/>
          </w:tcPr>
          <w:p w14:paraId="1D3DF0DC">
            <w:pPr>
              <w:widowControl/>
              <w:rPr>
                <w:rFonts w:ascii="Times New Roman" w:hAnsi="Times New Roman" w:eastAsia="等线" w:cs="Times New Roman"/>
                <w:color w:val="000000"/>
                <w:kern w:val="0"/>
                <w:sz w:val="20"/>
                <w:szCs w:val="20"/>
              </w:rPr>
            </w:pPr>
          </w:p>
        </w:tc>
        <w:tc>
          <w:tcPr>
            <w:tcW w:w="552" w:type="pct"/>
            <w:vMerge w:val="continue"/>
            <w:tcBorders>
              <w:top w:val="nil"/>
              <w:left w:val="single" w:color="000000" w:sz="8" w:space="0"/>
              <w:bottom w:val="single" w:color="000000" w:sz="8" w:space="0"/>
              <w:right w:val="single" w:color="000000" w:sz="8" w:space="0"/>
            </w:tcBorders>
            <w:vAlign w:val="center"/>
          </w:tcPr>
          <w:p w14:paraId="649DCBB8">
            <w:pPr>
              <w:widowControl/>
              <w:rPr>
                <w:rFonts w:ascii="Times New Roman" w:hAnsi="Times New Roman" w:eastAsia="等线" w:cs="Times New Roman"/>
                <w:color w:val="000000"/>
                <w:kern w:val="0"/>
                <w:sz w:val="20"/>
                <w:szCs w:val="20"/>
              </w:rPr>
            </w:pPr>
          </w:p>
        </w:tc>
        <w:tc>
          <w:tcPr>
            <w:tcW w:w="2624" w:type="pct"/>
            <w:tcBorders>
              <w:top w:val="nil"/>
              <w:left w:val="nil"/>
              <w:bottom w:val="single" w:color="000000" w:sz="8" w:space="0"/>
              <w:right w:val="single" w:color="000000" w:sz="8" w:space="0"/>
            </w:tcBorders>
            <w:shd w:val="clear" w:color="auto" w:fill="auto"/>
            <w:noWrap/>
            <w:vAlign w:val="center"/>
          </w:tcPr>
          <w:p w14:paraId="7FC15AE8">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Present the study question and its relevance for health policy or practice decisions.</w:t>
            </w:r>
          </w:p>
        </w:tc>
        <w:tc>
          <w:tcPr>
            <w:tcW w:w="1029" w:type="pct"/>
            <w:vMerge w:val="continue"/>
            <w:tcBorders>
              <w:top w:val="nil"/>
              <w:left w:val="single" w:color="000000" w:sz="8" w:space="0"/>
              <w:bottom w:val="single" w:color="000000" w:sz="8" w:space="0"/>
              <w:right w:val="single" w:color="000000" w:sz="8" w:space="0"/>
            </w:tcBorders>
            <w:vAlign w:val="center"/>
          </w:tcPr>
          <w:p w14:paraId="14369216">
            <w:pPr>
              <w:widowControl/>
              <w:rPr>
                <w:rFonts w:ascii="Times New Roman" w:hAnsi="Times New Roman" w:eastAsia="等线" w:cs="Times New Roman"/>
                <w:b/>
                <w:bCs/>
                <w:color w:val="000000"/>
                <w:kern w:val="0"/>
                <w:sz w:val="20"/>
                <w:szCs w:val="20"/>
              </w:rPr>
            </w:pPr>
          </w:p>
        </w:tc>
      </w:tr>
      <w:tr w14:paraId="7BE2C66B">
        <w:tblPrEx>
          <w:tblCellMar>
            <w:top w:w="0" w:type="dxa"/>
            <w:left w:w="108" w:type="dxa"/>
            <w:bottom w:w="0" w:type="dxa"/>
            <w:right w:w="108" w:type="dxa"/>
          </w:tblCellMar>
        </w:tblPrEx>
        <w:trPr>
          <w:trHeight w:val="290" w:hRule="atLeast"/>
        </w:trPr>
        <w:tc>
          <w:tcPr>
            <w:tcW w:w="5000" w:type="pct"/>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C375C3">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Methods</w:t>
            </w:r>
          </w:p>
        </w:tc>
      </w:tr>
      <w:tr w14:paraId="79F8D3F6">
        <w:tblPrEx>
          <w:tblCellMar>
            <w:top w:w="0" w:type="dxa"/>
            <w:left w:w="108" w:type="dxa"/>
            <w:bottom w:w="0" w:type="dxa"/>
            <w:right w:w="108" w:type="dxa"/>
          </w:tblCellMar>
        </w:tblPrEx>
        <w:trPr>
          <w:trHeight w:val="7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5CA4C60B">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Target population and subgroups</w:t>
            </w:r>
          </w:p>
        </w:tc>
        <w:tc>
          <w:tcPr>
            <w:tcW w:w="552" w:type="pct"/>
            <w:tcBorders>
              <w:top w:val="nil"/>
              <w:left w:val="nil"/>
              <w:bottom w:val="single" w:color="000000" w:sz="8" w:space="0"/>
              <w:right w:val="single" w:color="000000" w:sz="8" w:space="0"/>
            </w:tcBorders>
            <w:shd w:val="clear" w:color="auto" w:fill="auto"/>
            <w:noWrap/>
            <w:vAlign w:val="center"/>
          </w:tcPr>
          <w:p w14:paraId="0609911F">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w:t>
            </w:r>
          </w:p>
        </w:tc>
        <w:tc>
          <w:tcPr>
            <w:tcW w:w="2624" w:type="pct"/>
            <w:tcBorders>
              <w:top w:val="nil"/>
              <w:left w:val="nil"/>
              <w:bottom w:val="single" w:color="000000" w:sz="8" w:space="0"/>
              <w:right w:val="single" w:color="000000" w:sz="8" w:space="0"/>
            </w:tcBorders>
            <w:shd w:val="clear" w:color="auto" w:fill="auto"/>
            <w:noWrap/>
            <w:vAlign w:val="center"/>
          </w:tcPr>
          <w:p w14:paraId="4D04B977">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characteristics of the base case population and subgroups analyzed, including why they were chosen.</w:t>
            </w:r>
          </w:p>
        </w:tc>
        <w:tc>
          <w:tcPr>
            <w:tcW w:w="1029" w:type="pct"/>
            <w:tcBorders>
              <w:top w:val="nil"/>
              <w:left w:val="nil"/>
              <w:bottom w:val="single" w:color="000000" w:sz="8" w:space="0"/>
              <w:right w:val="single" w:color="000000" w:sz="8" w:space="0"/>
            </w:tcBorders>
            <w:shd w:val="clear" w:color="auto" w:fill="auto"/>
            <w:noWrap/>
            <w:vAlign w:val="center"/>
          </w:tcPr>
          <w:p w14:paraId="6DE06FD1">
            <w:pPr>
              <w:widowControl/>
              <w:rPr>
                <w:rFonts w:hint="eastAsia"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745628B6">
        <w:tblPrEx>
          <w:tblCellMar>
            <w:top w:w="0" w:type="dxa"/>
            <w:left w:w="108" w:type="dxa"/>
            <w:bottom w:w="0" w:type="dxa"/>
            <w:right w:w="108" w:type="dxa"/>
          </w:tblCellMar>
        </w:tblPrEx>
        <w:trPr>
          <w:trHeight w:val="53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3287BD6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Setting and location</w:t>
            </w:r>
          </w:p>
        </w:tc>
        <w:tc>
          <w:tcPr>
            <w:tcW w:w="552" w:type="pct"/>
            <w:tcBorders>
              <w:top w:val="nil"/>
              <w:left w:val="nil"/>
              <w:bottom w:val="single" w:color="000000" w:sz="8" w:space="0"/>
              <w:right w:val="single" w:color="000000" w:sz="8" w:space="0"/>
            </w:tcBorders>
            <w:shd w:val="clear" w:color="auto" w:fill="auto"/>
            <w:noWrap/>
            <w:vAlign w:val="center"/>
          </w:tcPr>
          <w:p w14:paraId="092ED9F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w:t>
            </w:r>
          </w:p>
        </w:tc>
        <w:tc>
          <w:tcPr>
            <w:tcW w:w="2624" w:type="pct"/>
            <w:tcBorders>
              <w:top w:val="nil"/>
              <w:left w:val="nil"/>
              <w:bottom w:val="single" w:color="000000" w:sz="8" w:space="0"/>
              <w:right w:val="single" w:color="000000" w:sz="8" w:space="0"/>
            </w:tcBorders>
            <w:shd w:val="clear" w:color="auto" w:fill="auto"/>
            <w:noWrap/>
            <w:vAlign w:val="center"/>
          </w:tcPr>
          <w:p w14:paraId="406A7035">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State relevant aspects of the system(s) in which the decision(s) need(s) to be made.</w:t>
            </w:r>
          </w:p>
        </w:tc>
        <w:tc>
          <w:tcPr>
            <w:tcW w:w="1029" w:type="pct"/>
            <w:tcBorders>
              <w:top w:val="nil"/>
              <w:left w:val="nil"/>
              <w:bottom w:val="single" w:color="000000" w:sz="8" w:space="0"/>
              <w:right w:val="single" w:color="000000" w:sz="8" w:space="0"/>
            </w:tcBorders>
            <w:shd w:val="clear" w:color="auto" w:fill="auto"/>
            <w:noWrap/>
            <w:vAlign w:val="center"/>
          </w:tcPr>
          <w:p w14:paraId="0D2F6C1F">
            <w:pPr>
              <w:widowControl/>
              <w:rPr>
                <w:rFonts w:hint="eastAsia"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508F9FB9">
        <w:tblPrEx>
          <w:tblCellMar>
            <w:top w:w="0" w:type="dxa"/>
            <w:left w:w="108" w:type="dxa"/>
            <w:bottom w:w="0" w:type="dxa"/>
            <w:right w:w="108" w:type="dxa"/>
          </w:tblCellMar>
        </w:tblPrEx>
        <w:trPr>
          <w:trHeight w:val="53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703D187E">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Study perspective</w:t>
            </w:r>
          </w:p>
        </w:tc>
        <w:tc>
          <w:tcPr>
            <w:tcW w:w="552" w:type="pct"/>
            <w:tcBorders>
              <w:top w:val="nil"/>
              <w:left w:val="nil"/>
              <w:bottom w:val="single" w:color="000000" w:sz="8" w:space="0"/>
              <w:right w:val="single" w:color="000000" w:sz="8" w:space="0"/>
            </w:tcBorders>
            <w:shd w:val="clear" w:color="auto" w:fill="auto"/>
            <w:noWrap/>
            <w:vAlign w:val="center"/>
          </w:tcPr>
          <w:p w14:paraId="7D7B0758">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w:t>
            </w:r>
          </w:p>
        </w:tc>
        <w:tc>
          <w:tcPr>
            <w:tcW w:w="2624" w:type="pct"/>
            <w:tcBorders>
              <w:top w:val="nil"/>
              <w:left w:val="nil"/>
              <w:bottom w:val="single" w:color="000000" w:sz="8" w:space="0"/>
              <w:right w:val="single" w:color="000000" w:sz="8" w:space="0"/>
            </w:tcBorders>
            <w:shd w:val="clear" w:color="auto" w:fill="auto"/>
            <w:noWrap/>
            <w:vAlign w:val="center"/>
          </w:tcPr>
          <w:p w14:paraId="6529D894">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the perspective of the study and relate this to the costs being evaluated.</w:t>
            </w:r>
          </w:p>
        </w:tc>
        <w:tc>
          <w:tcPr>
            <w:tcW w:w="1029" w:type="pct"/>
            <w:tcBorders>
              <w:top w:val="nil"/>
              <w:left w:val="nil"/>
              <w:bottom w:val="single" w:color="000000" w:sz="8" w:space="0"/>
              <w:right w:val="single" w:color="000000" w:sz="8" w:space="0"/>
            </w:tcBorders>
            <w:shd w:val="clear" w:color="auto" w:fill="auto"/>
            <w:noWrap/>
            <w:vAlign w:val="center"/>
          </w:tcPr>
          <w:p w14:paraId="00B5A2A0">
            <w:pPr>
              <w:widowControl/>
              <w:rPr>
                <w:rFonts w:hint="eastAsia"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61ED12AC">
        <w:tblPrEx>
          <w:tblCellMar>
            <w:top w:w="0" w:type="dxa"/>
            <w:left w:w="108" w:type="dxa"/>
            <w:bottom w:w="0" w:type="dxa"/>
            <w:right w:w="108" w:type="dxa"/>
          </w:tblCellMar>
        </w:tblPrEx>
        <w:trPr>
          <w:trHeight w:val="7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4D7559CF">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Comparators</w:t>
            </w:r>
          </w:p>
        </w:tc>
        <w:tc>
          <w:tcPr>
            <w:tcW w:w="552" w:type="pct"/>
            <w:tcBorders>
              <w:top w:val="nil"/>
              <w:left w:val="nil"/>
              <w:bottom w:val="single" w:color="000000" w:sz="8" w:space="0"/>
              <w:right w:val="single" w:color="000000" w:sz="8" w:space="0"/>
            </w:tcBorders>
            <w:shd w:val="clear" w:color="auto" w:fill="auto"/>
            <w:noWrap/>
            <w:vAlign w:val="center"/>
          </w:tcPr>
          <w:p w14:paraId="36C60D59">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w:t>
            </w:r>
          </w:p>
        </w:tc>
        <w:tc>
          <w:tcPr>
            <w:tcW w:w="2624" w:type="pct"/>
            <w:tcBorders>
              <w:top w:val="nil"/>
              <w:left w:val="nil"/>
              <w:bottom w:val="single" w:color="000000" w:sz="8" w:space="0"/>
              <w:right w:val="single" w:color="000000" w:sz="8" w:space="0"/>
            </w:tcBorders>
            <w:shd w:val="clear" w:color="auto" w:fill="auto"/>
            <w:noWrap/>
            <w:vAlign w:val="center"/>
          </w:tcPr>
          <w:p w14:paraId="5B740B2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the interventions or strategies being compared and state why they were chosen.</w:t>
            </w:r>
          </w:p>
        </w:tc>
        <w:tc>
          <w:tcPr>
            <w:tcW w:w="1029" w:type="pct"/>
            <w:tcBorders>
              <w:top w:val="nil"/>
              <w:left w:val="nil"/>
              <w:bottom w:val="single" w:color="000000" w:sz="8" w:space="0"/>
              <w:right w:val="single" w:color="000000" w:sz="8" w:space="0"/>
            </w:tcBorders>
            <w:shd w:val="clear" w:color="auto" w:fill="auto"/>
            <w:noWrap/>
            <w:vAlign w:val="center"/>
          </w:tcPr>
          <w:p w14:paraId="17467A00">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6ECE9B12">
        <w:tblPrEx>
          <w:tblCellMar>
            <w:top w:w="0" w:type="dxa"/>
            <w:left w:w="108" w:type="dxa"/>
            <w:bottom w:w="0" w:type="dxa"/>
            <w:right w:w="108" w:type="dxa"/>
          </w:tblCellMar>
        </w:tblPrEx>
        <w:trPr>
          <w:trHeight w:val="7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12F7F7F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Time horizon</w:t>
            </w:r>
          </w:p>
        </w:tc>
        <w:tc>
          <w:tcPr>
            <w:tcW w:w="552" w:type="pct"/>
            <w:tcBorders>
              <w:top w:val="nil"/>
              <w:left w:val="nil"/>
              <w:bottom w:val="single" w:color="000000" w:sz="8" w:space="0"/>
              <w:right w:val="single" w:color="000000" w:sz="8" w:space="0"/>
            </w:tcBorders>
            <w:shd w:val="clear" w:color="auto" w:fill="auto"/>
            <w:noWrap/>
            <w:vAlign w:val="center"/>
          </w:tcPr>
          <w:p w14:paraId="5E694DC2">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8</w:t>
            </w:r>
          </w:p>
        </w:tc>
        <w:tc>
          <w:tcPr>
            <w:tcW w:w="2624" w:type="pct"/>
            <w:tcBorders>
              <w:top w:val="nil"/>
              <w:left w:val="nil"/>
              <w:bottom w:val="single" w:color="000000" w:sz="8" w:space="0"/>
              <w:right w:val="single" w:color="000000" w:sz="8" w:space="0"/>
            </w:tcBorders>
            <w:shd w:val="clear" w:color="auto" w:fill="auto"/>
            <w:noWrap/>
            <w:vAlign w:val="center"/>
          </w:tcPr>
          <w:p w14:paraId="44EE239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State the time horizon(s) over which costs and consequences are being evaluated and say why appropriate.</w:t>
            </w:r>
          </w:p>
        </w:tc>
        <w:tc>
          <w:tcPr>
            <w:tcW w:w="1029" w:type="pct"/>
            <w:tcBorders>
              <w:top w:val="nil"/>
              <w:left w:val="nil"/>
              <w:bottom w:val="single" w:color="000000" w:sz="8" w:space="0"/>
              <w:right w:val="single" w:color="000000" w:sz="8" w:space="0"/>
            </w:tcBorders>
            <w:shd w:val="clear" w:color="auto" w:fill="auto"/>
            <w:noWrap/>
            <w:vAlign w:val="center"/>
          </w:tcPr>
          <w:p w14:paraId="2A0057B7">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70B38D86">
        <w:tblPrEx>
          <w:tblCellMar>
            <w:top w:w="0" w:type="dxa"/>
            <w:left w:w="108" w:type="dxa"/>
            <w:bottom w:w="0" w:type="dxa"/>
            <w:right w:w="108" w:type="dxa"/>
          </w:tblCellMar>
        </w:tblPrEx>
        <w:trPr>
          <w:trHeight w:val="7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45D1B5DB">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Discount rate</w:t>
            </w:r>
          </w:p>
        </w:tc>
        <w:tc>
          <w:tcPr>
            <w:tcW w:w="552" w:type="pct"/>
            <w:tcBorders>
              <w:top w:val="nil"/>
              <w:left w:val="nil"/>
              <w:bottom w:val="single" w:color="000000" w:sz="8" w:space="0"/>
              <w:right w:val="single" w:color="000000" w:sz="8" w:space="0"/>
            </w:tcBorders>
            <w:shd w:val="clear" w:color="auto" w:fill="auto"/>
            <w:noWrap/>
            <w:vAlign w:val="center"/>
          </w:tcPr>
          <w:p w14:paraId="426EBC7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w:t>
            </w:r>
          </w:p>
        </w:tc>
        <w:tc>
          <w:tcPr>
            <w:tcW w:w="2624" w:type="pct"/>
            <w:tcBorders>
              <w:top w:val="nil"/>
              <w:left w:val="nil"/>
              <w:bottom w:val="single" w:color="000000" w:sz="8" w:space="0"/>
              <w:right w:val="single" w:color="000000" w:sz="8" w:space="0"/>
            </w:tcBorders>
            <w:shd w:val="clear" w:color="auto" w:fill="auto"/>
            <w:noWrap/>
            <w:vAlign w:val="center"/>
          </w:tcPr>
          <w:p w14:paraId="3E0451A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Report the choice of discount rate(s) used for costs and outcomes and say why appropriate.</w:t>
            </w:r>
          </w:p>
        </w:tc>
        <w:tc>
          <w:tcPr>
            <w:tcW w:w="1029" w:type="pct"/>
            <w:tcBorders>
              <w:top w:val="nil"/>
              <w:left w:val="nil"/>
              <w:bottom w:val="single" w:color="000000" w:sz="8" w:space="0"/>
              <w:right w:val="single" w:color="000000" w:sz="8" w:space="0"/>
            </w:tcBorders>
            <w:shd w:val="clear" w:color="auto" w:fill="auto"/>
            <w:noWrap/>
            <w:vAlign w:val="center"/>
          </w:tcPr>
          <w:p w14:paraId="2DC61080">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0BEFBEA5">
        <w:tblPrEx>
          <w:tblCellMar>
            <w:top w:w="0" w:type="dxa"/>
            <w:left w:w="108" w:type="dxa"/>
            <w:bottom w:w="0" w:type="dxa"/>
            <w:right w:w="108" w:type="dxa"/>
          </w:tblCellMar>
        </w:tblPrEx>
        <w:trPr>
          <w:trHeight w:val="105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1F9FB65F">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Choice of health outcomes</w:t>
            </w:r>
          </w:p>
        </w:tc>
        <w:tc>
          <w:tcPr>
            <w:tcW w:w="552" w:type="pct"/>
            <w:tcBorders>
              <w:top w:val="nil"/>
              <w:left w:val="nil"/>
              <w:bottom w:val="single" w:color="000000" w:sz="8" w:space="0"/>
              <w:right w:val="single" w:color="000000" w:sz="8" w:space="0"/>
            </w:tcBorders>
            <w:shd w:val="clear" w:color="auto" w:fill="auto"/>
            <w:noWrap/>
            <w:vAlign w:val="center"/>
          </w:tcPr>
          <w:p w14:paraId="3B31834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w:t>
            </w:r>
          </w:p>
        </w:tc>
        <w:tc>
          <w:tcPr>
            <w:tcW w:w="2624" w:type="pct"/>
            <w:tcBorders>
              <w:top w:val="nil"/>
              <w:left w:val="nil"/>
              <w:bottom w:val="single" w:color="000000" w:sz="8" w:space="0"/>
              <w:right w:val="single" w:color="000000" w:sz="8" w:space="0"/>
            </w:tcBorders>
            <w:shd w:val="clear" w:color="auto" w:fill="auto"/>
            <w:noWrap/>
            <w:vAlign w:val="center"/>
          </w:tcPr>
          <w:p w14:paraId="6611DAE5">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what outcomes were used as the measure(s) of benefit in the evaluation and their relevance for the type of analysis performed.</w:t>
            </w:r>
          </w:p>
        </w:tc>
        <w:tc>
          <w:tcPr>
            <w:tcW w:w="1029" w:type="pct"/>
            <w:tcBorders>
              <w:top w:val="nil"/>
              <w:left w:val="nil"/>
              <w:bottom w:val="single" w:color="000000" w:sz="8" w:space="0"/>
              <w:right w:val="single" w:color="000000" w:sz="8" w:space="0"/>
            </w:tcBorders>
            <w:shd w:val="clear" w:color="auto" w:fill="auto"/>
            <w:noWrap/>
            <w:vAlign w:val="center"/>
          </w:tcPr>
          <w:p w14:paraId="0BD29A7E">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w:t>
            </w:r>
          </w:p>
        </w:tc>
      </w:tr>
      <w:tr w14:paraId="517245F1">
        <w:tblPrEx>
          <w:tblCellMar>
            <w:top w:w="0" w:type="dxa"/>
            <w:left w:w="108" w:type="dxa"/>
            <w:bottom w:w="0" w:type="dxa"/>
            <w:right w:w="108" w:type="dxa"/>
          </w:tblCellMar>
        </w:tblPrEx>
        <w:trPr>
          <w:trHeight w:val="131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2240592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Measurement of</w:t>
            </w:r>
            <w:r>
              <w:rPr>
                <w:rFonts w:hint="eastAsia" w:ascii="Times New Roman" w:hAnsi="Times New Roman" w:eastAsia="等线" w:cs="Times New Roman"/>
                <w:color w:val="000000"/>
                <w:kern w:val="0"/>
                <w:sz w:val="20"/>
                <w:szCs w:val="20"/>
                <w:lang w:val="en-US" w:eastAsia="zh-CN"/>
              </w:rPr>
              <w:t xml:space="preserve"> </w:t>
            </w:r>
            <w:r>
              <w:rPr>
                <w:rFonts w:ascii="Times New Roman" w:hAnsi="Times New Roman" w:eastAsia="等线" w:cs="Times New Roman"/>
                <w:color w:val="000000"/>
                <w:kern w:val="0"/>
                <w:sz w:val="20"/>
                <w:szCs w:val="20"/>
              </w:rPr>
              <w:t>effectiveness</w:t>
            </w:r>
          </w:p>
        </w:tc>
        <w:tc>
          <w:tcPr>
            <w:tcW w:w="552" w:type="pct"/>
            <w:tcBorders>
              <w:top w:val="nil"/>
              <w:left w:val="nil"/>
              <w:bottom w:val="single" w:color="000000" w:sz="8" w:space="0"/>
              <w:right w:val="single" w:color="000000" w:sz="8" w:space="0"/>
            </w:tcBorders>
            <w:shd w:val="clear" w:color="auto" w:fill="auto"/>
            <w:noWrap/>
            <w:vAlign w:val="center"/>
          </w:tcPr>
          <w:p w14:paraId="11417CBF">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11a</w:t>
            </w:r>
          </w:p>
        </w:tc>
        <w:tc>
          <w:tcPr>
            <w:tcW w:w="2624" w:type="pct"/>
            <w:tcBorders>
              <w:top w:val="nil"/>
              <w:left w:val="nil"/>
              <w:bottom w:val="single" w:color="000000" w:sz="8" w:space="0"/>
              <w:right w:val="single" w:color="000000" w:sz="8" w:space="0"/>
            </w:tcBorders>
            <w:shd w:val="clear" w:color="auto" w:fill="auto"/>
            <w:noWrap/>
            <w:vAlign w:val="center"/>
          </w:tcPr>
          <w:p w14:paraId="26F73FBA">
            <w:pPr>
              <w:widowControl/>
              <w:rPr>
                <w:rFonts w:ascii="Times New Roman" w:hAnsi="Times New Roman" w:eastAsia="等线" w:cs="Times New Roman"/>
                <w:i/>
                <w:iCs/>
                <w:color w:val="000000"/>
                <w:kern w:val="0"/>
                <w:sz w:val="20"/>
                <w:szCs w:val="20"/>
              </w:rPr>
            </w:pPr>
            <w:r>
              <w:rPr>
                <w:rFonts w:ascii="Times New Roman" w:hAnsi="Times New Roman" w:eastAsia="等线" w:cs="Times New Roman"/>
                <w:i/>
                <w:iCs/>
                <w:color w:val="000000"/>
                <w:kern w:val="0"/>
                <w:sz w:val="20"/>
                <w:szCs w:val="20"/>
              </w:rPr>
              <w:t>Single study-based estimates</w:t>
            </w:r>
            <w:r>
              <w:rPr>
                <w:rFonts w:ascii="Times New Roman" w:hAnsi="Times New Roman" w:eastAsia="等线" w:cs="Times New Roman"/>
                <w:color w:val="000000"/>
                <w:kern w:val="0"/>
                <w:sz w:val="20"/>
                <w:szCs w:val="20"/>
              </w:rPr>
              <w:t>: Describe fully the design features of the single effectiveness study and why the single study was a sufficient source of clinical effectiveness data.</w:t>
            </w:r>
          </w:p>
        </w:tc>
        <w:tc>
          <w:tcPr>
            <w:tcW w:w="1029" w:type="pct"/>
            <w:tcBorders>
              <w:top w:val="nil"/>
              <w:left w:val="nil"/>
              <w:bottom w:val="single" w:color="000000" w:sz="8" w:space="0"/>
              <w:right w:val="single" w:color="000000" w:sz="8" w:space="0"/>
            </w:tcBorders>
            <w:shd w:val="clear" w:color="auto" w:fill="auto"/>
            <w:noWrap/>
            <w:vAlign w:val="center"/>
          </w:tcPr>
          <w:p w14:paraId="394FC340">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6</w:t>
            </w:r>
          </w:p>
        </w:tc>
      </w:tr>
      <w:tr w14:paraId="18ABC812">
        <w:tblPrEx>
          <w:tblCellMar>
            <w:top w:w="0" w:type="dxa"/>
            <w:left w:w="108" w:type="dxa"/>
            <w:bottom w:w="0" w:type="dxa"/>
            <w:right w:w="108" w:type="dxa"/>
          </w:tblCellMar>
        </w:tblPrEx>
        <w:trPr>
          <w:trHeight w:val="105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4A8075C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552" w:type="pct"/>
            <w:tcBorders>
              <w:top w:val="nil"/>
              <w:left w:val="nil"/>
              <w:bottom w:val="single" w:color="000000" w:sz="8" w:space="0"/>
              <w:right w:val="single" w:color="000000" w:sz="8" w:space="0"/>
            </w:tcBorders>
            <w:shd w:val="clear" w:color="auto" w:fill="auto"/>
            <w:noWrap/>
            <w:vAlign w:val="center"/>
          </w:tcPr>
          <w:p w14:paraId="04425942">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11b</w:t>
            </w:r>
          </w:p>
        </w:tc>
        <w:tc>
          <w:tcPr>
            <w:tcW w:w="2624" w:type="pct"/>
            <w:tcBorders>
              <w:top w:val="nil"/>
              <w:left w:val="nil"/>
              <w:bottom w:val="single" w:color="000000" w:sz="8" w:space="0"/>
              <w:right w:val="single" w:color="000000" w:sz="8" w:space="0"/>
            </w:tcBorders>
            <w:shd w:val="clear" w:color="auto" w:fill="auto"/>
            <w:noWrap/>
            <w:vAlign w:val="center"/>
          </w:tcPr>
          <w:p w14:paraId="2672F863">
            <w:pPr>
              <w:widowControl/>
              <w:rPr>
                <w:rFonts w:ascii="Times New Roman" w:hAnsi="Times New Roman" w:eastAsia="等线" w:cs="Times New Roman"/>
                <w:i/>
                <w:iCs/>
                <w:color w:val="000000"/>
                <w:kern w:val="0"/>
                <w:sz w:val="20"/>
                <w:szCs w:val="20"/>
              </w:rPr>
            </w:pPr>
            <w:r>
              <w:rPr>
                <w:rFonts w:ascii="Times New Roman" w:hAnsi="Times New Roman" w:eastAsia="等线" w:cs="Times New Roman"/>
                <w:i/>
                <w:iCs/>
                <w:color w:val="000000"/>
                <w:kern w:val="0"/>
                <w:sz w:val="20"/>
                <w:szCs w:val="20"/>
              </w:rPr>
              <w:t>Synthesis-based estimates</w:t>
            </w:r>
            <w:r>
              <w:rPr>
                <w:rFonts w:ascii="Times New Roman" w:hAnsi="Times New Roman" w:eastAsia="等线" w:cs="Times New Roman"/>
                <w:color w:val="000000"/>
                <w:kern w:val="0"/>
                <w:sz w:val="20"/>
                <w:szCs w:val="20"/>
              </w:rPr>
              <w:t>: Describe fully the methods used for identification of included studies and synthesis of clinical effectiveness data.</w:t>
            </w:r>
          </w:p>
        </w:tc>
        <w:tc>
          <w:tcPr>
            <w:tcW w:w="1029" w:type="pct"/>
            <w:tcBorders>
              <w:top w:val="nil"/>
              <w:left w:val="nil"/>
              <w:bottom w:val="single" w:color="000000" w:sz="8" w:space="0"/>
              <w:right w:val="single" w:color="000000" w:sz="8" w:space="0"/>
            </w:tcBorders>
            <w:shd w:val="clear" w:color="auto" w:fill="auto"/>
            <w:noWrap/>
            <w:vAlign w:val="center"/>
          </w:tcPr>
          <w:p w14:paraId="7238AF49">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None defined</w:t>
            </w:r>
          </w:p>
        </w:tc>
      </w:tr>
      <w:tr w14:paraId="765CA3CD">
        <w:tblPrEx>
          <w:tblCellMar>
            <w:top w:w="0" w:type="dxa"/>
            <w:left w:w="108" w:type="dxa"/>
            <w:bottom w:w="0" w:type="dxa"/>
            <w:right w:w="108" w:type="dxa"/>
          </w:tblCellMar>
        </w:tblPrEx>
        <w:trPr>
          <w:trHeight w:val="7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140A29EB">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Measurement and valuation of preference based outcomes</w:t>
            </w:r>
          </w:p>
        </w:tc>
        <w:tc>
          <w:tcPr>
            <w:tcW w:w="552" w:type="pct"/>
            <w:tcBorders>
              <w:top w:val="nil"/>
              <w:left w:val="nil"/>
              <w:bottom w:val="single" w:color="000000" w:sz="8" w:space="0"/>
              <w:right w:val="single" w:color="000000" w:sz="8" w:space="0"/>
            </w:tcBorders>
            <w:shd w:val="clear" w:color="auto" w:fill="auto"/>
            <w:noWrap/>
            <w:vAlign w:val="center"/>
          </w:tcPr>
          <w:p w14:paraId="3017CB7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w:t>
            </w:r>
          </w:p>
        </w:tc>
        <w:tc>
          <w:tcPr>
            <w:tcW w:w="2624" w:type="pct"/>
            <w:tcBorders>
              <w:top w:val="nil"/>
              <w:left w:val="nil"/>
              <w:bottom w:val="single" w:color="000000" w:sz="8" w:space="0"/>
              <w:right w:val="single" w:color="000000" w:sz="8" w:space="0"/>
            </w:tcBorders>
            <w:shd w:val="clear" w:color="auto" w:fill="auto"/>
            <w:noWrap/>
            <w:vAlign w:val="center"/>
          </w:tcPr>
          <w:p w14:paraId="74747B02">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If applicable, describe the population and methods used to elicit preferences for outcomes.</w:t>
            </w:r>
          </w:p>
        </w:tc>
        <w:tc>
          <w:tcPr>
            <w:tcW w:w="1029" w:type="pct"/>
            <w:tcBorders>
              <w:top w:val="nil"/>
              <w:left w:val="nil"/>
              <w:bottom w:val="single" w:color="000000" w:sz="8" w:space="0"/>
              <w:right w:val="single" w:color="000000" w:sz="8" w:space="0"/>
            </w:tcBorders>
            <w:shd w:val="clear" w:color="auto" w:fill="auto"/>
            <w:noWrap/>
            <w:vAlign w:val="center"/>
          </w:tcPr>
          <w:p w14:paraId="028AE8D7">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6-7</w:t>
            </w:r>
          </w:p>
        </w:tc>
      </w:tr>
      <w:tr w14:paraId="016EDF7D">
        <w:tblPrEx>
          <w:tblCellMar>
            <w:top w:w="0" w:type="dxa"/>
            <w:left w:w="108" w:type="dxa"/>
            <w:bottom w:w="0" w:type="dxa"/>
            <w:right w:w="108" w:type="dxa"/>
          </w:tblCellMar>
        </w:tblPrEx>
        <w:trPr>
          <w:trHeight w:val="20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0F3B526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Estimating resources and costs</w:t>
            </w:r>
          </w:p>
        </w:tc>
        <w:tc>
          <w:tcPr>
            <w:tcW w:w="552" w:type="pct"/>
            <w:tcBorders>
              <w:top w:val="nil"/>
              <w:left w:val="nil"/>
              <w:bottom w:val="single" w:color="000000" w:sz="8" w:space="0"/>
              <w:right w:val="single" w:color="000000" w:sz="8" w:space="0"/>
            </w:tcBorders>
            <w:shd w:val="clear" w:color="auto" w:fill="auto"/>
            <w:noWrap/>
            <w:vAlign w:val="center"/>
          </w:tcPr>
          <w:p w14:paraId="11F69D3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13a</w:t>
            </w:r>
          </w:p>
        </w:tc>
        <w:tc>
          <w:tcPr>
            <w:tcW w:w="2624" w:type="pct"/>
            <w:tcBorders>
              <w:top w:val="nil"/>
              <w:left w:val="nil"/>
              <w:bottom w:val="single" w:color="000000" w:sz="8" w:space="0"/>
              <w:right w:val="single" w:color="000000" w:sz="8" w:space="0"/>
            </w:tcBorders>
            <w:shd w:val="clear" w:color="auto" w:fill="auto"/>
            <w:noWrap/>
            <w:vAlign w:val="center"/>
          </w:tcPr>
          <w:p w14:paraId="0DF26C98">
            <w:pPr>
              <w:widowControl/>
              <w:rPr>
                <w:rFonts w:ascii="Times New Roman" w:hAnsi="Times New Roman" w:eastAsia="等线" w:cs="Times New Roman"/>
                <w:i/>
                <w:iCs/>
                <w:color w:val="000000"/>
                <w:kern w:val="0"/>
                <w:sz w:val="20"/>
                <w:szCs w:val="20"/>
              </w:rPr>
            </w:pPr>
            <w:r>
              <w:rPr>
                <w:rFonts w:ascii="Times New Roman" w:hAnsi="Times New Roman" w:eastAsia="等线" w:cs="Times New Roman"/>
                <w:i/>
                <w:iCs/>
                <w:color w:val="000000"/>
                <w:kern w:val="0"/>
                <w:sz w:val="20"/>
                <w:szCs w:val="20"/>
              </w:rPr>
              <w:t>Single study-based economic evaluation</w:t>
            </w:r>
            <w:r>
              <w:rPr>
                <w:rFonts w:ascii="Times New Roman" w:hAnsi="Times New Roman" w:eastAsia="等线" w:cs="Times New Roman"/>
                <w:color w:val="000000"/>
                <w:kern w:val="0"/>
                <w:sz w:val="20"/>
                <w:szCs w:val="20"/>
              </w:rPr>
              <w:t>: Describe approaches used to estimate resource use associated with the alternative interventions. Describe primary or secondary re- search methods for valuing each resource item in terms of its unit cost. Describe any adjustments made to approximate to opportunity costs.</w:t>
            </w:r>
          </w:p>
        </w:tc>
        <w:tc>
          <w:tcPr>
            <w:tcW w:w="1029" w:type="pct"/>
            <w:tcBorders>
              <w:top w:val="nil"/>
              <w:left w:val="nil"/>
              <w:bottom w:val="single" w:color="000000" w:sz="8" w:space="0"/>
              <w:right w:val="single" w:color="000000" w:sz="8" w:space="0"/>
            </w:tcBorders>
            <w:shd w:val="clear" w:color="auto" w:fill="auto"/>
            <w:noWrap/>
            <w:vAlign w:val="center"/>
          </w:tcPr>
          <w:p w14:paraId="36A63EC6">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6-7</w:t>
            </w:r>
          </w:p>
        </w:tc>
      </w:tr>
      <w:tr w14:paraId="12DC8A9F">
        <w:tblPrEx>
          <w:tblCellMar>
            <w:top w:w="0" w:type="dxa"/>
            <w:left w:w="108" w:type="dxa"/>
            <w:bottom w:w="0" w:type="dxa"/>
            <w:right w:w="108" w:type="dxa"/>
          </w:tblCellMar>
        </w:tblPrEx>
        <w:trPr>
          <w:trHeight w:val="20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4D5DF6D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552" w:type="pct"/>
            <w:tcBorders>
              <w:top w:val="nil"/>
              <w:left w:val="nil"/>
              <w:bottom w:val="single" w:color="000000" w:sz="8" w:space="0"/>
              <w:right w:val="single" w:color="000000" w:sz="8" w:space="0"/>
            </w:tcBorders>
            <w:shd w:val="clear" w:color="auto" w:fill="auto"/>
            <w:noWrap/>
            <w:vAlign w:val="center"/>
          </w:tcPr>
          <w:p w14:paraId="53F2366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13b</w:t>
            </w:r>
          </w:p>
        </w:tc>
        <w:tc>
          <w:tcPr>
            <w:tcW w:w="2624" w:type="pct"/>
            <w:tcBorders>
              <w:top w:val="nil"/>
              <w:left w:val="nil"/>
              <w:bottom w:val="single" w:color="000000" w:sz="8" w:space="0"/>
              <w:right w:val="single" w:color="000000" w:sz="8" w:space="0"/>
            </w:tcBorders>
            <w:shd w:val="clear" w:color="auto" w:fill="auto"/>
            <w:noWrap/>
            <w:vAlign w:val="center"/>
          </w:tcPr>
          <w:p w14:paraId="3EC6BFB2">
            <w:pPr>
              <w:widowControl/>
              <w:rPr>
                <w:rFonts w:ascii="Times New Roman" w:hAnsi="Times New Roman" w:eastAsia="等线" w:cs="Times New Roman"/>
                <w:i/>
                <w:iCs/>
                <w:color w:val="000000"/>
                <w:kern w:val="0"/>
                <w:sz w:val="20"/>
                <w:szCs w:val="20"/>
              </w:rPr>
            </w:pPr>
            <w:r>
              <w:rPr>
                <w:rFonts w:ascii="Times New Roman" w:hAnsi="Times New Roman" w:eastAsia="等线" w:cs="Times New Roman"/>
                <w:i/>
                <w:iCs/>
                <w:color w:val="000000"/>
                <w:kern w:val="0"/>
                <w:sz w:val="20"/>
                <w:szCs w:val="20"/>
              </w:rPr>
              <w:t>Model-based economic evaluation</w:t>
            </w:r>
            <w:r>
              <w:rPr>
                <w:rFonts w:ascii="Times New Roman" w:hAnsi="Times New Roman" w:eastAsia="等线" w:cs="Times New Roman"/>
                <w:color w:val="000000"/>
                <w:kern w:val="0"/>
                <w:sz w:val="20"/>
                <w:szCs w:val="20"/>
              </w:rPr>
              <w:t>: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029" w:type="pct"/>
            <w:tcBorders>
              <w:top w:val="nil"/>
              <w:left w:val="nil"/>
              <w:bottom w:val="single" w:color="000000" w:sz="8" w:space="0"/>
              <w:right w:val="single" w:color="000000" w:sz="8" w:space="0"/>
            </w:tcBorders>
            <w:shd w:val="clear" w:color="auto" w:fill="auto"/>
            <w:noWrap/>
            <w:vAlign w:val="center"/>
          </w:tcPr>
          <w:p w14:paraId="3F0A6DEA">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6-7</w:t>
            </w:r>
          </w:p>
        </w:tc>
      </w:tr>
      <w:tr w14:paraId="495A1A8C">
        <w:tblPrEx>
          <w:tblCellMar>
            <w:top w:w="0" w:type="dxa"/>
            <w:left w:w="108" w:type="dxa"/>
            <w:bottom w:w="0" w:type="dxa"/>
            <w:right w:w="108" w:type="dxa"/>
          </w:tblCellMar>
        </w:tblPrEx>
        <w:trPr>
          <w:trHeight w:val="157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1E0DFE63">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Currency, price date, and conversion</w:t>
            </w:r>
          </w:p>
        </w:tc>
        <w:tc>
          <w:tcPr>
            <w:tcW w:w="552" w:type="pct"/>
            <w:tcBorders>
              <w:top w:val="nil"/>
              <w:left w:val="nil"/>
              <w:bottom w:val="single" w:color="000000" w:sz="8" w:space="0"/>
              <w:right w:val="single" w:color="000000" w:sz="8" w:space="0"/>
            </w:tcBorders>
            <w:shd w:val="clear" w:color="auto" w:fill="auto"/>
            <w:noWrap/>
            <w:vAlign w:val="center"/>
          </w:tcPr>
          <w:p w14:paraId="255E450C">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14</w:t>
            </w:r>
          </w:p>
        </w:tc>
        <w:tc>
          <w:tcPr>
            <w:tcW w:w="2624" w:type="pct"/>
            <w:tcBorders>
              <w:top w:val="nil"/>
              <w:left w:val="nil"/>
              <w:bottom w:val="single" w:color="000000" w:sz="8" w:space="0"/>
              <w:right w:val="single" w:color="000000" w:sz="8" w:space="0"/>
            </w:tcBorders>
            <w:shd w:val="clear" w:color="auto" w:fill="auto"/>
            <w:noWrap/>
            <w:vAlign w:val="center"/>
          </w:tcPr>
          <w:p w14:paraId="70A46109">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Report the dates of the estimated resource quantities and unit costs. Describe methods for adjusting estimated unit costs to the year of reported costs if necessary. Describe methods for converting costs into a common currency base and the ex- change rate.</w:t>
            </w:r>
          </w:p>
        </w:tc>
        <w:tc>
          <w:tcPr>
            <w:tcW w:w="1029" w:type="pct"/>
            <w:tcBorders>
              <w:top w:val="nil"/>
              <w:left w:val="nil"/>
              <w:bottom w:val="single" w:color="000000" w:sz="8" w:space="0"/>
              <w:right w:val="single" w:color="000000" w:sz="8" w:space="0"/>
            </w:tcBorders>
            <w:shd w:val="clear" w:color="auto" w:fill="auto"/>
            <w:noWrap/>
            <w:vAlign w:val="center"/>
          </w:tcPr>
          <w:p w14:paraId="00016284">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7</w:t>
            </w:r>
          </w:p>
        </w:tc>
      </w:tr>
      <w:tr w14:paraId="536417C3">
        <w:tblPrEx>
          <w:tblCellMar>
            <w:top w:w="0" w:type="dxa"/>
            <w:left w:w="108" w:type="dxa"/>
            <w:bottom w:w="0" w:type="dxa"/>
            <w:right w:w="108" w:type="dxa"/>
          </w:tblCellMar>
        </w:tblPrEx>
        <w:trPr>
          <w:trHeight w:val="3370" w:hRule="atLeast"/>
        </w:trPr>
        <w:tc>
          <w:tcPr>
            <w:tcW w:w="793" w:type="pct"/>
            <w:vMerge w:val="restart"/>
            <w:tcBorders>
              <w:top w:val="nil"/>
              <w:left w:val="single" w:color="000000" w:sz="8" w:space="0"/>
              <w:bottom w:val="single" w:color="000000" w:sz="8" w:space="0"/>
              <w:right w:val="single" w:color="000000" w:sz="8" w:space="0"/>
            </w:tcBorders>
            <w:shd w:val="clear" w:color="auto" w:fill="auto"/>
            <w:noWrap/>
            <w:vAlign w:val="center"/>
          </w:tcPr>
          <w:p w14:paraId="5BA78F13">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Choice of model</w:t>
            </w:r>
          </w:p>
        </w:tc>
        <w:tc>
          <w:tcPr>
            <w:tcW w:w="552" w:type="pct"/>
            <w:vMerge w:val="restart"/>
            <w:tcBorders>
              <w:top w:val="nil"/>
              <w:left w:val="single" w:color="000000" w:sz="8" w:space="0"/>
              <w:bottom w:val="single" w:color="000000" w:sz="8" w:space="0"/>
              <w:right w:val="single" w:color="000000" w:sz="8" w:space="0"/>
            </w:tcBorders>
            <w:shd w:val="clear" w:color="auto" w:fill="auto"/>
            <w:noWrap/>
            <w:vAlign w:val="center"/>
          </w:tcPr>
          <w:p w14:paraId="7FDD6FFC">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15</w:t>
            </w:r>
          </w:p>
        </w:tc>
        <w:tc>
          <w:tcPr>
            <w:tcW w:w="2624" w:type="pct"/>
            <w:vMerge w:val="restart"/>
            <w:tcBorders>
              <w:top w:val="nil"/>
              <w:left w:val="single" w:color="000000" w:sz="8" w:space="0"/>
              <w:bottom w:val="single" w:color="000000" w:sz="8" w:space="0"/>
              <w:right w:val="single" w:color="000000" w:sz="8" w:space="0"/>
            </w:tcBorders>
            <w:shd w:val="clear" w:color="auto" w:fill="auto"/>
            <w:noWrap/>
            <w:vAlign w:val="center"/>
          </w:tcPr>
          <w:p w14:paraId="7CF7563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and give reasons for the specific type of decision- analytical model used. Providing a figure to show model structure is strongly recommended.</w:t>
            </w:r>
          </w:p>
        </w:tc>
        <w:tc>
          <w:tcPr>
            <w:tcW w:w="1029" w:type="pct"/>
            <w:tcBorders>
              <w:top w:val="nil"/>
              <w:left w:val="nil"/>
              <w:bottom w:val="nil"/>
              <w:right w:val="single" w:color="000000" w:sz="8" w:space="0"/>
            </w:tcBorders>
            <w:shd w:val="clear" w:color="auto" w:fill="auto"/>
            <w:noWrap/>
            <w:vAlign w:val="center"/>
          </w:tcPr>
          <w:p w14:paraId="7A124B98">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5-6</w:t>
            </w:r>
          </w:p>
        </w:tc>
      </w:tr>
      <w:tr w14:paraId="7A33EB41">
        <w:tblPrEx>
          <w:tblCellMar>
            <w:top w:w="0" w:type="dxa"/>
            <w:left w:w="108" w:type="dxa"/>
            <w:bottom w:w="0" w:type="dxa"/>
            <w:right w:w="108" w:type="dxa"/>
          </w:tblCellMar>
        </w:tblPrEx>
        <w:trPr>
          <w:trHeight w:val="290" w:hRule="atLeast"/>
        </w:trPr>
        <w:tc>
          <w:tcPr>
            <w:tcW w:w="793" w:type="pct"/>
            <w:vMerge w:val="continue"/>
            <w:tcBorders>
              <w:top w:val="nil"/>
              <w:left w:val="single" w:color="000000" w:sz="8" w:space="0"/>
              <w:bottom w:val="single" w:color="000000" w:sz="8" w:space="0"/>
              <w:right w:val="single" w:color="000000" w:sz="8" w:space="0"/>
            </w:tcBorders>
            <w:vAlign w:val="center"/>
          </w:tcPr>
          <w:p w14:paraId="212995F9">
            <w:pPr>
              <w:widowControl/>
              <w:rPr>
                <w:rFonts w:ascii="Times New Roman" w:hAnsi="Times New Roman" w:eastAsia="等线" w:cs="Times New Roman"/>
                <w:color w:val="000000"/>
                <w:kern w:val="0"/>
                <w:sz w:val="20"/>
                <w:szCs w:val="20"/>
              </w:rPr>
            </w:pPr>
          </w:p>
        </w:tc>
        <w:tc>
          <w:tcPr>
            <w:tcW w:w="552" w:type="pct"/>
            <w:vMerge w:val="continue"/>
            <w:tcBorders>
              <w:top w:val="nil"/>
              <w:left w:val="single" w:color="000000" w:sz="8" w:space="0"/>
              <w:bottom w:val="single" w:color="000000" w:sz="8" w:space="0"/>
              <w:right w:val="single" w:color="000000" w:sz="8" w:space="0"/>
            </w:tcBorders>
            <w:vAlign w:val="center"/>
          </w:tcPr>
          <w:p w14:paraId="14CD4C3D">
            <w:pPr>
              <w:widowControl/>
              <w:rPr>
                <w:rFonts w:ascii="Times New Roman" w:hAnsi="Times New Roman" w:eastAsia="等线" w:cs="Times New Roman"/>
                <w:color w:val="000000"/>
                <w:kern w:val="0"/>
                <w:sz w:val="20"/>
                <w:szCs w:val="20"/>
              </w:rPr>
            </w:pPr>
          </w:p>
        </w:tc>
        <w:tc>
          <w:tcPr>
            <w:tcW w:w="2624" w:type="pct"/>
            <w:vMerge w:val="continue"/>
            <w:tcBorders>
              <w:top w:val="nil"/>
              <w:left w:val="single" w:color="000000" w:sz="8" w:space="0"/>
              <w:bottom w:val="single" w:color="000000" w:sz="8" w:space="0"/>
              <w:right w:val="single" w:color="000000" w:sz="8" w:space="0"/>
            </w:tcBorders>
            <w:vAlign w:val="center"/>
          </w:tcPr>
          <w:p w14:paraId="214AF8A7">
            <w:pPr>
              <w:widowControl/>
              <w:rPr>
                <w:rFonts w:ascii="Times New Roman" w:hAnsi="Times New Roman" w:eastAsia="等线" w:cs="Times New Roman"/>
                <w:color w:val="000000"/>
                <w:kern w:val="0"/>
                <w:sz w:val="20"/>
                <w:szCs w:val="20"/>
              </w:rPr>
            </w:pPr>
          </w:p>
        </w:tc>
        <w:tc>
          <w:tcPr>
            <w:tcW w:w="1029" w:type="pct"/>
            <w:tcBorders>
              <w:top w:val="nil"/>
              <w:left w:val="nil"/>
              <w:bottom w:val="single" w:color="000000" w:sz="8" w:space="0"/>
              <w:right w:val="single" w:color="000000" w:sz="8" w:space="0"/>
            </w:tcBorders>
            <w:shd w:val="clear" w:color="auto" w:fill="auto"/>
            <w:noWrap/>
            <w:vAlign w:val="center"/>
          </w:tcPr>
          <w:p w14:paraId="77579E47">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Figure 1</w:t>
            </w:r>
          </w:p>
        </w:tc>
      </w:tr>
      <w:tr w14:paraId="512A1861">
        <w:tblPrEx>
          <w:tblCellMar>
            <w:top w:w="0" w:type="dxa"/>
            <w:left w:w="108" w:type="dxa"/>
            <w:bottom w:w="0" w:type="dxa"/>
            <w:right w:w="108" w:type="dxa"/>
          </w:tblCellMar>
        </w:tblPrEx>
        <w:trPr>
          <w:trHeight w:val="2070" w:hRule="atLeast"/>
        </w:trPr>
        <w:tc>
          <w:tcPr>
            <w:tcW w:w="793" w:type="pct"/>
            <w:vMerge w:val="restart"/>
            <w:tcBorders>
              <w:top w:val="nil"/>
              <w:left w:val="single" w:color="000000" w:sz="8" w:space="0"/>
              <w:bottom w:val="single" w:color="000000" w:sz="8" w:space="0"/>
              <w:right w:val="single" w:color="000000" w:sz="8" w:space="0"/>
            </w:tcBorders>
            <w:shd w:val="clear" w:color="auto" w:fill="auto"/>
            <w:noWrap/>
            <w:vAlign w:val="center"/>
          </w:tcPr>
          <w:p w14:paraId="3B9B5FE7">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Assumptions</w:t>
            </w:r>
          </w:p>
        </w:tc>
        <w:tc>
          <w:tcPr>
            <w:tcW w:w="552" w:type="pct"/>
            <w:vMerge w:val="restart"/>
            <w:tcBorders>
              <w:top w:val="nil"/>
              <w:left w:val="single" w:color="000000" w:sz="8" w:space="0"/>
              <w:bottom w:val="single" w:color="000000" w:sz="8" w:space="0"/>
              <w:right w:val="single" w:color="000000" w:sz="8" w:space="0"/>
            </w:tcBorders>
            <w:shd w:val="clear" w:color="auto" w:fill="auto"/>
            <w:noWrap/>
            <w:vAlign w:val="center"/>
          </w:tcPr>
          <w:p w14:paraId="1B1244D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w:t>
            </w:r>
          </w:p>
        </w:tc>
        <w:tc>
          <w:tcPr>
            <w:tcW w:w="2624" w:type="pct"/>
            <w:vMerge w:val="restart"/>
            <w:tcBorders>
              <w:top w:val="nil"/>
              <w:left w:val="single" w:color="000000" w:sz="8" w:space="0"/>
              <w:bottom w:val="single" w:color="000000" w:sz="8" w:space="0"/>
              <w:right w:val="single" w:color="000000" w:sz="8" w:space="0"/>
            </w:tcBorders>
            <w:shd w:val="clear" w:color="auto" w:fill="auto"/>
            <w:noWrap/>
            <w:vAlign w:val="center"/>
          </w:tcPr>
          <w:p w14:paraId="2344ED1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all structural or other assumptions underpinning the decision-analytical model.</w:t>
            </w:r>
          </w:p>
        </w:tc>
        <w:tc>
          <w:tcPr>
            <w:tcW w:w="1029" w:type="pct"/>
            <w:tcBorders>
              <w:top w:val="nil"/>
              <w:left w:val="nil"/>
              <w:bottom w:val="nil"/>
              <w:right w:val="single" w:color="000000" w:sz="8" w:space="0"/>
            </w:tcBorders>
            <w:shd w:val="clear" w:color="auto" w:fill="auto"/>
            <w:noWrap/>
            <w:vAlign w:val="center"/>
          </w:tcPr>
          <w:p w14:paraId="3DCA17E0">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4</w:t>
            </w:r>
          </w:p>
        </w:tc>
      </w:tr>
      <w:tr w14:paraId="3CE2C47F">
        <w:tblPrEx>
          <w:tblCellMar>
            <w:top w:w="0" w:type="dxa"/>
            <w:left w:w="108" w:type="dxa"/>
            <w:bottom w:w="0" w:type="dxa"/>
            <w:right w:w="108" w:type="dxa"/>
          </w:tblCellMar>
        </w:tblPrEx>
        <w:trPr>
          <w:trHeight w:val="290" w:hRule="atLeast"/>
        </w:trPr>
        <w:tc>
          <w:tcPr>
            <w:tcW w:w="793" w:type="pct"/>
            <w:vMerge w:val="continue"/>
            <w:tcBorders>
              <w:top w:val="nil"/>
              <w:left w:val="single" w:color="000000" w:sz="8" w:space="0"/>
              <w:bottom w:val="single" w:color="000000" w:sz="8" w:space="0"/>
              <w:right w:val="single" w:color="000000" w:sz="8" w:space="0"/>
            </w:tcBorders>
            <w:vAlign w:val="center"/>
          </w:tcPr>
          <w:p w14:paraId="560852A3">
            <w:pPr>
              <w:widowControl/>
              <w:rPr>
                <w:rFonts w:ascii="Times New Roman" w:hAnsi="Times New Roman" w:eastAsia="等线" w:cs="Times New Roman"/>
                <w:color w:val="000000"/>
                <w:kern w:val="0"/>
                <w:sz w:val="20"/>
                <w:szCs w:val="20"/>
              </w:rPr>
            </w:pPr>
          </w:p>
        </w:tc>
        <w:tc>
          <w:tcPr>
            <w:tcW w:w="552" w:type="pct"/>
            <w:vMerge w:val="continue"/>
            <w:tcBorders>
              <w:top w:val="nil"/>
              <w:left w:val="single" w:color="000000" w:sz="8" w:space="0"/>
              <w:bottom w:val="single" w:color="000000" w:sz="8" w:space="0"/>
              <w:right w:val="single" w:color="000000" w:sz="8" w:space="0"/>
            </w:tcBorders>
            <w:vAlign w:val="center"/>
          </w:tcPr>
          <w:p w14:paraId="60956FFE">
            <w:pPr>
              <w:widowControl/>
              <w:rPr>
                <w:rFonts w:ascii="Times New Roman" w:hAnsi="Times New Roman" w:eastAsia="等线" w:cs="Times New Roman"/>
                <w:color w:val="000000"/>
                <w:kern w:val="0"/>
                <w:sz w:val="20"/>
                <w:szCs w:val="20"/>
              </w:rPr>
            </w:pPr>
          </w:p>
        </w:tc>
        <w:tc>
          <w:tcPr>
            <w:tcW w:w="2624" w:type="pct"/>
            <w:vMerge w:val="continue"/>
            <w:tcBorders>
              <w:top w:val="nil"/>
              <w:left w:val="single" w:color="000000" w:sz="8" w:space="0"/>
              <w:bottom w:val="single" w:color="000000" w:sz="8" w:space="0"/>
              <w:right w:val="single" w:color="000000" w:sz="8" w:space="0"/>
            </w:tcBorders>
            <w:vAlign w:val="center"/>
          </w:tcPr>
          <w:p w14:paraId="52AD72D5">
            <w:pPr>
              <w:widowControl/>
              <w:rPr>
                <w:rFonts w:ascii="Times New Roman" w:hAnsi="Times New Roman" w:eastAsia="等线" w:cs="Times New Roman"/>
                <w:color w:val="000000"/>
                <w:kern w:val="0"/>
                <w:sz w:val="20"/>
                <w:szCs w:val="20"/>
              </w:rPr>
            </w:pPr>
          </w:p>
        </w:tc>
        <w:tc>
          <w:tcPr>
            <w:tcW w:w="1029" w:type="pct"/>
            <w:tcBorders>
              <w:top w:val="nil"/>
              <w:left w:val="nil"/>
              <w:bottom w:val="single" w:color="000000" w:sz="8" w:space="0"/>
              <w:right w:val="single" w:color="000000" w:sz="8" w:space="0"/>
            </w:tcBorders>
            <w:shd w:val="clear" w:color="auto" w:fill="auto"/>
            <w:noWrap/>
            <w:vAlign w:val="center"/>
          </w:tcPr>
          <w:p w14:paraId="388FA9FF">
            <w:pPr>
              <w:widowControl/>
              <w:rPr>
                <w:rFonts w:ascii="Times New Roman" w:hAnsi="Times New Roman" w:eastAsia="等线" w:cs="Times New Roman"/>
                <w:b/>
                <w:bCs/>
                <w:color w:val="000000"/>
                <w:kern w:val="0"/>
                <w:sz w:val="20"/>
                <w:szCs w:val="20"/>
              </w:rPr>
            </w:pPr>
          </w:p>
        </w:tc>
      </w:tr>
      <w:tr w14:paraId="00134597">
        <w:tblPrEx>
          <w:tblCellMar>
            <w:top w:w="0" w:type="dxa"/>
            <w:left w:w="108" w:type="dxa"/>
            <w:bottom w:w="0" w:type="dxa"/>
            <w:right w:w="108" w:type="dxa"/>
          </w:tblCellMar>
        </w:tblPrEx>
        <w:trPr>
          <w:trHeight w:val="235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3BEA42D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Analytical methods</w:t>
            </w:r>
          </w:p>
        </w:tc>
        <w:tc>
          <w:tcPr>
            <w:tcW w:w="552" w:type="pct"/>
            <w:tcBorders>
              <w:top w:val="nil"/>
              <w:left w:val="nil"/>
              <w:bottom w:val="single" w:color="000000" w:sz="8" w:space="0"/>
              <w:right w:val="single" w:color="000000" w:sz="8" w:space="0"/>
            </w:tcBorders>
            <w:shd w:val="clear" w:color="auto" w:fill="auto"/>
            <w:noWrap/>
            <w:vAlign w:val="center"/>
          </w:tcPr>
          <w:p w14:paraId="5518D2FF">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w:t>
            </w:r>
          </w:p>
        </w:tc>
        <w:tc>
          <w:tcPr>
            <w:tcW w:w="2624" w:type="pct"/>
            <w:tcBorders>
              <w:top w:val="nil"/>
              <w:left w:val="nil"/>
              <w:bottom w:val="single" w:color="000000" w:sz="8" w:space="0"/>
              <w:right w:val="single" w:color="000000" w:sz="8" w:space="0"/>
            </w:tcBorders>
            <w:shd w:val="clear" w:color="auto" w:fill="auto"/>
            <w:noWrap/>
            <w:vAlign w:val="center"/>
          </w:tcPr>
          <w:p w14:paraId="655ED06E">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all analytical methods supporting the evaluation. This could include methods for dealing with skewed, missing, or censored data; extrapolation methods; methods for pooling data; approaches to validate or</w:t>
            </w:r>
            <w:bookmarkStart w:id="0" w:name="_GoBack"/>
            <w:bookmarkEnd w:id="0"/>
            <w:r>
              <w:rPr>
                <w:rFonts w:ascii="Times New Roman" w:hAnsi="Times New Roman" w:eastAsia="等线" w:cs="Times New Roman"/>
                <w:color w:val="000000"/>
                <w:kern w:val="0"/>
                <w:sz w:val="20"/>
                <w:szCs w:val="20"/>
              </w:rPr>
              <w:t xml:space="preserve"> make adjustments (such as half cycle corrections) to a model; and methods for handling population heterogeneity and uncertainty.</w:t>
            </w:r>
          </w:p>
        </w:tc>
        <w:tc>
          <w:tcPr>
            <w:tcW w:w="1029" w:type="pct"/>
            <w:tcBorders>
              <w:top w:val="nil"/>
              <w:left w:val="nil"/>
              <w:bottom w:val="single" w:color="000000" w:sz="8" w:space="0"/>
              <w:right w:val="single" w:color="000000" w:sz="8" w:space="0"/>
            </w:tcBorders>
            <w:shd w:val="clear" w:color="auto" w:fill="auto"/>
            <w:noWrap/>
            <w:vAlign w:val="center"/>
          </w:tcPr>
          <w:p w14:paraId="7CB2271A">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4-5</w:t>
            </w:r>
          </w:p>
        </w:tc>
      </w:tr>
      <w:tr w14:paraId="010F10E7">
        <w:tblPrEx>
          <w:tblCellMar>
            <w:top w:w="0" w:type="dxa"/>
            <w:left w:w="108" w:type="dxa"/>
            <w:bottom w:w="0" w:type="dxa"/>
            <w:right w:w="108" w:type="dxa"/>
          </w:tblCellMar>
        </w:tblPrEx>
        <w:trPr>
          <w:trHeight w:val="2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591F6D1B">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Results</w:t>
            </w:r>
          </w:p>
        </w:tc>
        <w:tc>
          <w:tcPr>
            <w:tcW w:w="552" w:type="pct"/>
            <w:tcBorders>
              <w:top w:val="nil"/>
              <w:left w:val="nil"/>
              <w:bottom w:val="single" w:color="000000" w:sz="8" w:space="0"/>
              <w:right w:val="single" w:color="000000" w:sz="8" w:space="0"/>
            </w:tcBorders>
            <w:shd w:val="clear" w:color="auto" w:fill="auto"/>
            <w:noWrap/>
            <w:vAlign w:val="center"/>
          </w:tcPr>
          <w:p w14:paraId="17A882F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2624" w:type="pct"/>
            <w:tcBorders>
              <w:top w:val="nil"/>
              <w:left w:val="nil"/>
              <w:bottom w:val="single" w:color="000000" w:sz="8" w:space="0"/>
              <w:right w:val="single" w:color="000000" w:sz="8" w:space="0"/>
            </w:tcBorders>
            <w:shd w:val="clear" w:color="auto" w:fill="auto"/>
            <w:noWrap/>
            <w:vAlign w:val="center"/>
          </w:tcPr>
          <w:p w14:paraId="1CBAC057">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1029" w:type="pct"/>
            <w:tcBorders>
              <w:top w:val="nil"/>
              <w:left w:val="nil"/>
              <w:bottom w:val="single" w:color="000000" w:sz="8" w:space="0"/>
              <w:right w:val="single" w:color="000000" w:sz="8" w:space="0"/>
            </w:tcBorders>
            <w:shd w:val="clear" w:color="auto" w:fill="auto"/>
            <w:noWrap/>
            <w:vAlign w:val="center"/>
          </w:tcPr>
          <w:p w14:paraId="3E1E01E6">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r>
      <w:tr w14:paraId="516E33DC">
        <w:tblPrEx>
          <w:tblCellMar>
            <w:top w:w="0" w:type="dxa"/>
            <w:left w:w="108" w:type="dxa"/>
            <w:bottom w:w="0" w:type="dxa"/>
            <w:right w:w="108" w:type="dxa"/>
          </w:tblCellMar>
        </w:tblPrEx>
        <w:trPr>
          <w:trHeight w:val="6666" w:hRule="atLeast"/>
        </w:trPr>
        <w:tc>
          <w:tcPr>
            <w:tcW w:w="793" w:type="pct"/>
            <w:vMerge w:val="restart"/>
            <w:tcBorders>
              <w:top w:val="nil"/>
              <w:left w:val="single" w:color="000000" w:sz="8" w:space="0"/>
              <w:bottom w:val="single" w:color="000000" w:sz="8" w:space="0"/>
              <w:right w:val="single" w:color="000000" w:sz="8" w:space="0"/>
            </w:tcBorders>
            <w:shd w:val="clear" w:color="auto" w:fill="auto"/>
            <w:noWrap/>
            <w:vAlign w:val="center"/>
          </w:tcPr>
          <w:p w14:paraId="51359305">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Study parameters</w:t>
            </w:r>
          </w:p>
        </w:tc>
        <w:tc>
          <w:tcPr>
            <w:tcW w:w="552" w:type="pct"/>
            <w:vMerge w:val="restart"/>
            <w:tcBorders>
              <w:top w:val="nil"/>
              <w:left w:val="single" w:color="000000" w:sz="8" w:space="0"/>
              <w:bottom w:val="single" w:color="000000" w:sz="8" w:space="0"/>
              <w:right w:val="single" w:color="000000" w:sz="8" w:space="0"/>
            </w:tcBorders>
            <w:shd w:val="clear" w:color="auto" w:fill="auto"/>
            <w:noWrap/>
            <w:vAlign w:val="center"/>
          </w:tcPr>
          <w:p w14:paraId="3CBE5758">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w:t>
            </w:r>
          </w:p>
        </w:tc>
        <w:tc>
          <w:tcPr>
            <w:tcW w:w="2624" w:type="pct"/>
            <w:vMerge w:val="restart"/>
            <w:tcBorders>
              <w:top w:val="nil"/>
              <w:left w:val="single" w:color="000000" w:sz="8" w:space="0"/>
              <w:bottom w:val="single" w:color="000000" w:sz="8" w:space="0"/>
              <w:right w:val="single" w:color="000000" w:sz="8" w:space="0"/>
            </w:tcBorders>
            <w:shd w:val="clear" w:color="auto" w:fill="auto"/>
            <w:noWrap/>
            <w:vAlign w:val="center"/>
          </w:tcPr>
          <w:p w14:paraId="52140826">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029" w:type="pct"/>
            <w:tcBorders>
              <w:top w:val="nil"/>
              <w:left w:val="single" w:color="000000" w:sz="8" w:space="0"/>
              <w:bottom w:val="single" w:color="000000" w:sz="8" w:space="0"/>
              <w:right w:val="single" w:color="000000" w:sz="8" w:space="0"/>
            </w:tcBorders>
            <w:shd w:val="clear" w:color="auto" w:fill="auto"/>
            <w:noWrap/>
            <w:vAlign w:val="center"/>
          </w:tcPr>
          <w:p w14:paraId="6F92740E">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Table </w:t>
            </w:r>
            <w:r>
              <w:rPr>
                <w:rFonts w:hint="eastAsia" w:ascii="Times New Roman" w:hAnsi="Times New Roman" w:eastAsia="等线" w:cs="Times New Roman"/>
                <w:b/>
                <w:bCs/>
                <w:color w:val="000000"/>
                <w:kern w:val="0"/>
                <w:sz w:val="20"/>
                <w:szCs w:val="20"/>
                <w:lang w:val="en-US" w:eastAsia="zh-CN"/>
              </w:rPr>
              <w:t>1</w:t>
            </w:r>
          </w:p>
        </w:tc>
      </w:tr>
      <w:tr w14:paraId="34FFA219">
        <w:tblPrEx>
          <w:tblCellMar>
            <w:top w:w="0" w:type="dxa"/>
            <w:left w:w="108" w:type="dxa"/>
            <w:bottom w:w="0" w:type="dxa"/>
            <w:right w:w="108" w:type="dxa"/>
          </w:tblCellMar>
        </w:tblPrEx>
        <w:trPr>
          <w:trHeight w:val="5762"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672E0490">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Incremental costs and outcomes</w:t>
            </w:r>
          </w:p>
        </w:tc>
        <w:tc>
          <w:tcPr>
            <w:tcW w:w="552" w:type="pct"/>
            <w:tcBorders>
              <w:top w:val="nil"/>
              <w:left w:val="single" w:color="000000" w:sz="8" w:space="0"/>
              <w:bottom w:val="single" w:color="000000" w:sz="8" w:space="0"/>
              <w:right w:val="single" w:color="000000" w:sz="8" w:space="0"/>
            </w:tcBorders>
            <w:shd w:val="clear" w:color="auto" w:fill="auto"/>
            <w:noWrap/>
            <w:vAlign w:val="center"/>
          </w:tcPr>
          <w:p w14:paraId="24AD490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19</w:t>
            </w:r>
          </w:p>
        </w:tc>
        <w:tc>
          <w:tcPr>
            <w:tcW w:w="2624" w:type="pct"/>
            <w:tcBorders>
              <w:top w:val="nil"/>
              <w:left w:val="single" w:color="000000" w:sz="8" w:space="0"/>
              <w:bottom w:val="single" w:color="000000" w:sz="8" w:space="0"/>
              <w:right w:val="single" w:color="000000" w:sz="8" w:space="0"/>
            </w:tcBorders>
            <w:shd w:val="clear" w:color="auto" w:fill="auto"/>
            <w:noWrap/>
            <w:vAlign w:val="center"/>
          </w:tcPr>
          <w:p w14:paraId="316FE30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For each intervention, report mean values for the main categories of estimated costs and outcomes of interest, as well as mean differences between the comparator groups. If applicable, report incremental cost-effectiveness ratios.</w:t>
            </w:r>
          </w:p>
        </w:tc>
        <w:tc>
          <w:tcPr>
            <w:tcW w:w="1029" w:type="pct"/>
            <w:tcBorders>
              <w:top w:val="nil"/>
              <w:left w:val="nil"/>
              <w:bottom w:val="single" w:color="000000" w:sz="8" w:space="0"/>
              <w:right w:val="single" w:color="000000" w:sz="8" w:space="0"/>
            </w:tcBorders>
            <w:shd w:val="clear" w:color="auto" w:fill="auto"/>
            <w:noWrap/>
            <w:vAlign w:val="center"/>
          </w:tcPr>
          <w:p w14:paraId="73177B5B">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8-9</w:t>
            </w:r>
          </w:p>
        </w:tc>
      </w:tr>
      <w:tr w14:paraId="2CFA6599">
        <w:tblPrEx>
          <w:tblCellMar>
            <w:top w:w="0" w:type="dxa"/>
            <w:left w:w="108" w:type="dxa"/>
            <w:bottom w:w="0" w:type="dxa"/>
            <w:right w:w="108" w:type="dxa"/>
          </w:tblCellMar>
        </w:tblPrEx>
        <w:trPr>
          <w:trHeight w:val="183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5F38C0A3">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Characterizing uncertainty</w:t>
            </w:r>
          </w:p>
        </w:tc>
        <w:tc>
          <w:tcPr>
            <w:tcW w:w="552" w:type="pct"/>
            <w:tcBorders>
              <w:top w:val="nil"/>
              <w:left w:val="nil"/>
              <w:bottom w:val="single" w:color="000000" w:sz="8" w:space="0"/>
              <w:right w:val="single" w:color="000000" w:sz="8" w:space="0"/>
            </w:tcBorders>
            <w:shd w:val="clear" w:color="auto" w:fill="auto"/>
            <w:noWrap/>
            <w:vAlign w:val="center"/>
          </w:tcPr>
          <w:p w14:paraId="242CE9E0">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20a</w:t>
            </w:r>
          </w:p>
        </w:tc>
        <w:tc>
          <w:tcPr>
            <w:tcW w:w="2624" w:type="pct"/>
            <w:tcBorders>
              <w:top w:val="nil"/>
              <w:left w:val="nil"/>
              <w:bottom w:val="single" w:color="000000" w:sz="8" w:space="0"/>
              <w:right w:val="single" w:color="000000" w:sz="8" w:space="0"/>
            </w:tcBorders>
            <w:shd w:val="clear" w:color="auto" w:fill="auto"/>
            <w:noWrap/>
            <w:vAlign w:val="center"/>
          </w:tcPr>
          <w:p w14:paraId="4D575A62">
            <w:pPr>
              <w:widowControl/>
              <w:rPr>
                <w:rFonts w:ascii="Times New Roman" w:hAnsi="Times New Roman" w:eastAsia="等线" w:cs="Times New Roman"/>
                <w:i/>
                <w:iCs/>
                <w:color w:val="000000"/>
                <w:kern w:val="0"/>
                <w:sz w:val="20"/>
                <w:szCs w:val="20"/>
              </w:rPr>
            </w:pPr>
            <w:r>
              <w:rPr>
                <w:rFonts w:ascii="Times New Roman" w:hAnsi="Times New Roman" w:eastAsia="等线" w:cs="Times New Roman"/>
                <w:i/>
                <w:iCs/>
                <w:color w:val="000000"/>
                <w:kern w:val="0"/>
                <w:sz w:val="20"/>
                <w:szCs w:val="20"/>
              </w:rPr>
              <w:t>Single study-based economic evaluation</w:t>
            </w:r>
            <w:r>
              <w:rPr>
                <w:rFonts w:ascii="Times New Roman" w:hAnsi="Times New Roman" w:eastAsia="等线" w:cs="Times New Roman"/>
                <w:color w:val="000000"/>
                <w:kern w:val="0"/>
                <w:sz w:val="20"/>
                <w:szCs w:val="20"/>
              </w:rPr>
              <w:t>: Describe the effects of sampling uncertainty for the estimated incremental cost and incremental effectiveness parameters, together with the impact of methodological assumptions (such as discount rate, study perspective).</w:t>
            </w:r>
          </w:p>
        </w:tc>
        <w:tc>
          <w:tcPr>
            <w:tcW w:w="1029" w:type="pct"/>
            <w:tcBorders>
              <w:top w:val="nil"/>
              <w:left w:val="nil"/>
              <w:bottom w:val="single" w:color="000000" w:sz="8" w:space="0"/>
              <w:right w:val="single" w:color="000000" w:sz="8" w:space="0"/>
            </w:tcBorders>
            <w:shd w:val="clear" w:color="auto" w:fill="auto"/>
            <w:noWrap/>
            <w:vAlign w:val="center"/>
          </w:tcPr>
          <w:p w14:paraId="6F78F665">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9-10</w:t>
            </w:r>
          </w:p>
        </w:tc>
      </w:tr>
      <w:tr w14:paraId="6A05D38C">
        <w:tblPrEx>
          <w:tblCellMar>
            <w:top w:w="0" w:type="dxa"/>
            <w:left w:w="108" w:type="dxa"/>
            <w:bottom w:w="0" w:type="dxa"/>
            <w:right w:w="108" w:type="dxa"/>
          </w:tblCellMar>
        </w:tblPrEx>
        <w:trPr>
          <w:trHeight w:val="4910" w:hRule="atLeast"/>
        </w:trPr>
        <w:tc>
          <w:tcPr>
            <w:tcW w:w="793" w:type="pct"/>
            <w:vMerge w:val="restart"/>
            <w:tcBorders>
              <w:top w:val="nil"/>
              <w:left w:val="single" w:color="000000" w:sz="8" w:space="0"/>
              <w:bottom w:val="single" w:color="000000" w:sz="8" w:space="0"/>
              <w:right w:val="single" w:color="000000" w:sz="8" w:space="0"/>
            </w:tcBorders>
            <w:shd w:val="clear" w:color="auto" w:fill="auto"/>
            <w:noWrap/>
            <w:vAlign w:val="center"/>
          </w:tcPr>
          <w:p w14:paraId="352437E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552" w:type="pct"/>
            <w:vMerge w:val="restart"/>
            <w:tcBorders>
              <w:top w:val="nil"/>
              <w:left w:val="single" w:color="000000" w:sz="8" w:space="0"/>
              <w:bottom w:val="single" w:color="000000" w:sz="8" w:space="0"/>
              <w:right w:val="single" w:color="000000" w:sz="8" w:space="0"/>
            </w:tcBorders>
            <w:shd w:val="clear" w:color="auto" w:fill="auto"/>
            <w:noWrap/>
            <w:vAlign w:val="center"/>
          </w:tcPr>
          <w:p w14:paraId="678177D2">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20b</w:t>
            </w:r>
          </w:p>
        </w:tc>
        <w:tc>
          <w:tcPr>
            <w:tcW w:w="2624" w:type="pct"/>
            <w:vMerge w:val="restart"/>
            <w:tcBorders>
              <w:top w:val="nil"/>
              <w:left w:val="single" w:color="000000" w:sz="8" w:space="0"/>
              <w:bottom w:val="single" w:color="000000" w:sz="8" w:space="0"/>
              <w:right w:val="single" w:color="000000" w:sz="8" w:space="0"/>
            </w:tcBorders>
            <w:shd w:val="clear" w:color="auto" w:fill="auto"/>
            <w:noWrap/>
            <w:vAlign w:val="center"/>
          </w:tcPr>
          <w:p w14:paraId="225065CC">
            <w:pPr>
              <w:widowControl/>
              <w:rPr>
                <w:rFonts w:ascii="Times New Roman" w:hAnsi="Times New Roman" w:eastAsia="等线" w:cs="Times New Roman"/>
                <w:i/>
                <w:iCs/>
                <w:color w:val="000000"/>
                <w:kern w:val="0"/>
                <w:sz w:val="20"/>
                <w:szCs w:val="20"/>
              </w:rPr>
            </w:pPr>
            <w:r>
              <w:rPr>
                <w:rFonts w:ascii="Times New Roman" w:hAnsi="Times New Roman" w:eastAsia="等线" w:cs="Times New Roman"/>
                <w:i/>
                <w:iCs/>
                <w:color w:val="000000"/>
                <w:kern w:val="0"/>
                <w:sz w:val="20"/>
                <w:szCs w:val="20"/>
              </w:rPr>
              <w:t>Model-based economic evaluation</w:t>
            </w:r>
            <w:r>
              <w:rPr>
                <w:rFonts w:ascii="Times New Roman" w:hAnsi="Times New Roman" w:eastAsia="等线" w:cs="Times New Roman"/>
                <w:color w:val="000000"/>
                <w:kern w:val="0"/>
                <w:sz w:val="20"/>
                <w:szCs w:val="20"/>
              </w:rPr>
              <w:t>: Describe the effects on the results of uncertainty for all input parameters, and uncertainty related to the structure of the model and assumptions.</w:t>
            </w:r>
          </w:p>
        </w:tc>
        <w:tc>
          <w:tcPr>
            <w:tcW w:w="1029" w:type="pct"/>
            <w:vMerge w:val="restart"/>
            <w:tcBorders>
              <w:top w:val="nil"/>
              <w:left w:val="single" w:color="000000" w:sz="8" w:space="0"/>
              <w:bottom w:val="single" w:color="000000" w:sz="8" w:space="0"/>
              <w:right w:val="single" w:color="000000" w:sz="8" w:space="0"/>
            </w:tcBorders>
            <w:shd w:val="clear" w:color="auto" w:fill="auto"/>
            <w:noWrap/>
            <w:vAlign w:val="center"/>
          </w:tcPr>
          <w:p w14:paraId="0740994C">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9-10</w:t>
            </w:r>
          </w:p>
        </w:tc>
      </w:tr>
      <w:tr w14:paraId="1174C47A">
        <w:tblPrEx>
          <w:tblCellMar>
            <w:top w:w="0" w:type="dxa"/>
            <w:left w:w="108" w:type="dxa"/>
            <w:bottom w:w="0" w:type="dxa"/>
            <w:right w:w="108" w:type="dxa"/>
          </w:tblCellMar>
        </w:tblPrEx>
        <w:trPr>
          <w:trHeight w:val="312" w:hRule="atLeast"/>
        </w:trPr>
        <w:tc>
          <w:tcPr>
            <w:tcW w:w="793" w:type="pct"/>
            <w:vMerge w:val="continue"/>
            <w:tcBorders>
              <w:top w:val="nil"/>
              <w:left w:val="single" w:color="000000" w:sz="8" w:space="0"/>
              <w:bottom w:val="single" w:color="000000" w:sz="8" w:space="0"/>
              <w:right w:val="single" w:color="000000" w:sz="8" w:space="0"/>
            </w:tcBorders>
            <w:vAlign w:val="center"/>
          </w:tcPr>
          <w:p w14:paraId="5BDAAB55">
            <w:pPr>
              <w:widowControl/>
              <w:rPr>
                <w:rFonts w:ascii="Times New Roman" w:hAnsi="Times New Roman" w:eastAsia="等线" w:cs="Times New Roman"/>
                <w:color w:val="000000"/>
                <w:kern w:val="0"/>
                <w:sz w:val="20"/>
                <w:szCs w:val="20"/>
              </w:rPr>
            </w:pPr>
          </w:p>
        </w:tc>
        <w:tc>
          <w:tcPr>
            <w:tcW w:w="552" w:type="pct"/>
            <w:vMerge w:val="continue"/>
            <w:tcBorders>
              <w:top w:val="nil"/>
              <w:left w:val="single" w:color="000000" w:sz="8" w:space="0"/>
              <w:bottom w:val="single" w:color="000000" w:sz="8" w:space="0"/>
              <w:right w:val="single" w:color="000000" w:sz="8" w:space="0"/>
            </w:tcBorders>
            <w:vAlign w:val="center"/>
          </w:tcPr>
          <w:p w14:paraId="2BEC1F12">
            <w:pPr>
              <w:widowControl/>
              <w:rPr>
                <w:rFonts w:ascii="Times New Roman" w:hAnsi="Times New Roman" w:eastAsia="等线" w:cs="Times New Roman"/>
                <w:color w:val="000000"/>
                <w:kern w:val="0"/>
                <w:sz w:val="20"/>
                <w:szCs w:val="20"/>
              </w:rPr>
            </w:pPr>
          </w:p>
        </w:tc>
        <w:tc>
          <w:tcPr>
            <w:tcW w:w="2624" w:type="pct"/>
            <w:vMerge w:val="continue"/>
            <w:tcBorders>
              <w:top w:val="nil"/>
              <w:left w:val="single" w:color="000000" w:sz="8" w:space="0"/>
              <w:bottom w:val="single" w:color="000000" w:sz="8" w:space="0"/>
              <w:right w:val="single" w:color="000000" w:sz="8" w:space="0"/>
            </w:tcBorders>
            <w:vAlign w:val="center"/>
          </w:tcPr>
          <w:p w14:paraId="17653F24">
            <w:pPr>
              <w:widowControl/>
              <w:rPr>
                <w:rFonts w:ascii="Times New Roman" w:hAnsi="Times New Roman" w:eastAsia="等线" w:cs="Times New Roman"/>
                <w:i/>
                <w:iCs/>
                <w:color w:val="000000"/>
                <w:kern w:val="0"/>
                <w:sz w:val="20"/>
                <w:szCs w:val="20"/>
              </w:rPr>
            </w:pPr>
          </w:p>
        </w:tc>
        <w:tc>
          <w:tcPr>
            <w:tcW w:w="1029" w:type="pct"/>
            <w:vMerge w:val="continue"/>
            <w:tcBorders>
              <w:top w:val="nil"/>
              <w:left w:val="single" w:color="000000" w:sz="8" w:space="0"/>
              <w:bottom w:val="single" w:color="000000" w:sz="8" w:space="0"/>
              <w:right w:val="single" w:color="000000" w:sz="8" w:space="0"/>
            </w:tcBorders>
            <w:vAlign w:val="center"/>
          </w:tcPr>
          <w:p w14:paraId="1BF2B949">
            <w:pPr>
              <w:widowControl/>
              <w:rPr>
                <w:rFonts w:ascii="Times New Roman" w:hAnsi="Times New Roman" w:eastAsia="等线" w:cs="Times New Roman"/>
                <w:b/>
                <w:bCs/>
                <w:color w:val="000000"/>
                <w:kern w:val="0"/>
                <w:sz w:val="20"/>
                <w:szCs w:val="20"/>
              </w:rPr>
            </w:pPr>
          </w:p>
        </w:tc>
      </w:tr>
      <w:tr w14:paraId="04CE131F">
        <w:tblPrEx>
          <w:tblCellMar>
            <w:top w:w="0" w:type="dxa"/>
            <w:left w:w="108" w:type="dxa"/>
            <w:bottom w:w="0" w:type="dxa"/>
            <w:right w:w="108" w:type="dxa"/>
          </w:tblCellMar>
        </w:tblPrEx>
        <w:trPr>
          <w:trHeight w:val="6874"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68A5597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Characterizing heterogeneity</w:t>
            </w:r>
          </w:p>
        </w:tc>
        <w:tc>
          <w:tcPr>
            <w:tcW w:w="552" w:type="pct"/>
            <w:tcBorders>
              <w:top w:val="nil"/>
              <w:left w:val="single" w:color="000000" w:sz="8" w:space="0"/>
              <w:bottom w:val="single" w:color="000000" w:sz="8" w:space="0"/>
              <w:right w:val="single" w:color="000000" w:sz="8" w:space="0"/>
            </w:tcBorders>
            <w:shd w:val="clear" w:color="auto" w:fill="auto"/>
            <w:noWrap/>
            <w:vAlign w:val="center"/>
          </w:tcPr>
          <w:p w14:paraId="7443AACE">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21</w:t>
            </w:r>
          </w:p>
        </w:tc>
        <w:tc>
          <w:tcPr>
            <w:tcW w:w="2624" w:type="pct"/>
            <w:tcBorders>
              <w:top w:val="nil"/>
              <w:left w:val="single" w:color="000000" w:sz="8" w:space="0"/>
              <w:bottom w:val="single" w:color="000000" w:sz="8" w:space="0"/>
              <w:right w:val="single" w:color="000000" w:sz="8" w:space="0"/>
            </w:tcBorders>
            <w:shd w:val="clear" w:color="auto" w:fill="auto"/>
            <w:noWrap/>
            <w:vAlign w:val="center"/>
          </w:tcPr>
          <w:p w14:paraId="7862B9E1">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If applicable, report differences in costs, outcomes, or cost- effectiveness that can be explained by variations between subgroups of patients with different baseline characteristics or other observed variability in effects that are not reducible by more information.</w:t>
            </w:r>
          </w:p>
        </w:tc>
        <w:tc>
          <w:tcPr>
            <w:tcW w:w="1029" w:type="pct"/>
            <w:tcBorders>
              <w:top w:val="nil"/>
              <w:left w:val="single" w:color="000000" w:sz="8" w:space="0"/>
              <w:bottom w:val="single" w:color="000000" w:sz="8" w:space="0"/>
              <w:right w:val="single" w:color="000000" w:sz="8" w:space="0"/>
            </w:tcBorders>
            <w:shd w:val="clear" w:color="auto" w:fill="auto"/>
            <w:noWrap/>
            <w:vAlign w:val="center"/>
          </w:tcPr>
          <w:p w14:paraId="6DD7B398">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11</w:t>
            </w:r>
          </w:p>
        </w:tc>
      </w:tr>
      <w:tr w14:paraId="2719ABC3">
        <w:tblPrEx>
          <w:tblCellMar>
            <w:top w:w="0" w:type="dxa"/>
            <w:left w:w="108" w:type="dxa"/>
            <w:bottom w:w="0" w:type="dxa"/>
            <w:right w:w="108" w:type="dxa"/>
          </w:tblCellMar>
        </w:tblPrEx>
        <w:trPr>
          <w:trHeight w:val="2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3B195161">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Discussion</w:t>
            </w:r>
          </w:p>
        </w:tc>
        <w:tc>
          <w:tcPr>
            <w:tcW w:w="552" w:type="pct"/>
            <w:tcBorders>
              <w:top w:val="nil"/>
              <w:left w:val="nil"/>
              <w:bottom w:val="single" w:color="000000" w:sz="8" w:space="0"/>
              <w:right w:val="single" w:color="000000" w:sz="8" w:space="0"/>
            </w:tcBorders>
            <w:shd w:val="clear" w:color="auto" w:fill="auto"/>
            <w:noWrap/>
            <w:vAlign w:val="center"/>
          </w:tcPr>
          <w:p w14:paraId="6D534ADE">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2624" w:type="pct"/>
            <w:tcBorders>
              <w:top w:val="nil"/>
              <w:left w:val="nil"/>
              <w:bottom w:val="single" w:color="000000" w:sz="8" w:space="0"/>
              <w:right w:val="single" w:color="000000" w:sz="8" w:space="0"/>
            </w:tcBorders>
            <w:shd w:val="clear" w:color="auto" w:fill="auto"/>
            <w:noWrap/>
            <w:vAlign w:val="center"/>
          </w:tcPr>
          <w:p w14:paraId="3829CAD9">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1029" w:type="pct"/>
            <w:tcBorders>
              <w:top w:val="nil"/>
              <w:left w:val="nil"/>
              <w:bottom w:val="single" w:color="000000" w:sz="8" w:space="0"/>
              <w:right w:val="single" w:color="000000" w:sz="8" w:space="0"/>
            </w:tcBorders>
            <w:shd w:val="clear" w:color="auto" w:fill="auto"/>
            <w:noWrap/>
            <w:vAlign w:val="center"/>
          </w:tcPr>
          <w:p w14:paraId="167D4528">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r>
      <w:tr w14:paraId="6BDE539A">
        <w:tblPrEx>
          <w:tblCellMar>
            <w:top w:w="0" w:type="dxa"/>
            <w:left w:w="108" w:type="dxa"/>
            <w:bottom w:w="0" w:type="dxa"/>
            <w:right w:w="108" w:type="dxa"/>
          </w:tblCellMar>
        </w:tblPrEx>
        <w:trPr>
          <w:trHeight w:val="131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6DF18CA7">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Study findings, limitations, generalizability, and current knowledge</w:t>
            </w:r>
          </w:p>
        </w:tc>
        <w:tc>
          <w:tcPr>
            <w:tcW w:w="552" w:type="pct"/>
            <w:tcBorders>
              <w:top w:val="nil"/>
              <w:left w:val="nil"/>
              <w:bottom w:val="single" w:color="000000" w:sz="8" w:space="0"/>
              <w:right w:val="single" w:color="000000" w:sz="8" w:space="0"/>
            </w:tcBorders>
            <w:shd w:val="clear" w:color="auto" w:fill="auto"/>
            <w:noWrap/>
            <w:vAlign w:val="center"/>
          </w:tcPr>
          <w:p w14:paraId="0656A810">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22</w:t>
            </w:r>
          </w:p>
        </w:tc>
        <w:tc>
          <w:tcPr>
            <w:tcW w:w="2624" w:type="pct"/>
            <w:tcBorders>
              <w:top w:val="nil"/>
              <w:left w:val="nil"/>
              <w:bottom w:val="single" w:color="000000" w:sz="8" w:space="0"/>
              <w:right w:val="single" w:color="000000" w:sz="8" w:space="0"/>
            </w:tcBorders>
            <w:shd w:val="clear" w:color="auto" w:fill="auto"/>
            <w:noWrap/>
            <w:vAlign w:val="center"/>
          </w:tcPr>
          <w:p w14:paraId="296A6E0D">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Summarize key study findings and describe how they support the conclusions reached. Discuss limitations and the generalizability of the findings and how the findings fit with current knowledge.</w:t>
            </w:r>
          </w:p>
        </w:tc>
        <w:tc>
          <w:tcPr>
            <w:tcW w:w="1029" w:type="pct"/>
            <w:tcBorders>
              <w:top w:val="nil"/>
              <w:left w:val="nil"/>
              <w:bottom w:val="single" w:color="000000" w:sz="8" w:space="0"/>
              <w:right w:val="single" w:color="000000" w:sz="8" w:space="0"/>
            </w:tcBorders>
            <w:shd w:val="clear" w:color="auto" w:fill="auto"/>
            <w:noWrap/>
            <w:vAlign w:val="center"/>
          </w:tcPr>
          <w:p w14:paraId="541F0D9E">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12-13</w:t>
            </w:r>
          </w:p>
        </w:tc>
      </w:tr>
      <w:tr w14:paraId="498B4946">
        <w:tblPrEx>
          <w:tblCellMar>
            <w:top w:w="0" w:type="dxa"/>
            <w:left w:w="108" w:type="dxa"/>
            <w:bottom w:w="0" w:type="dxa"/>
            <w:right w:w="108" w:type="dxa"/>
          </w:tblCellMar>
        </w:tblPrEx>
        <w:trPr>
          <w:trHeight w:val="29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0571B07B">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Other</w:t>
            </w:r>
          </w:p>
        </w:tc>
        <w:tc>
          <w:tcPr>
            <w:tcW w:w="552" w:type="pct"/>
            <w:tcBorders>
              <w:top w:val="nil"/>
              <w:left w:val="nil"/>
              <w:bottom w:val="single" w:color="000000" w:sz="8" w:space="0"/>
              <w:right w:val="single" w:color="000000" w:sz="8" w:space="0"/>
            </w:tcBorders>
            <w:shd w:val="clear" w:color="auto" w:fill="auto"/>
            <w:noWrap/>
            <w:vAlign w:val="center"/>
          </w:tcPr>
          <w:p w14:paraId="497466A2">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2624" w:type="pct"/>
            <w:tcBorders>
              <w:top w:val="nil"/>
              <w:left w:val="nil"/>
              <w:bottom w:val="single" w:color="000000" w:sz="8" w:space="0"/>
              <w:right w:val="single" w:color="000000" w:sz="8" w:space="0"/>
            </w:tcBorders>
            <w:shd w:val="clear" w:color="auto" w:fill="auto"/>
            <w:noWrap/>
            <w:vAlign w:val="center"/>
          </w:tcPr>
          <w:p w14:paraId="2FF4E554">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　</w:t>
            </w:r>
          </w:p>
        </w:tc>
        <w:tc>
          <w:tcPr>
            <w:tcW w:w="1029" w:type="pct"/>
            <w:tcBorders>
              <w:top w:val="nil"/>
              <w:left w:val="nil"/>
              <w:bottom w:val="single" w:color="000000" w:sz="8" w:space="0"/>
              <w:right w:val="single" w:color="000000" w:sz="8" w:space="0"/>
            </w:tcBorders>
            <w:shd w:val="clear" w:color="auto" w:fill="auto"/>
            <w:noWrap/>
            <w:vAlign w:val="center"/>
          </w:tcPr>
          <w:p w14:paraId="565EC8E8">
            <w:pPr>
              <w:widowControl/>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r>
      <w:tr w14:paraId="2CABDC20">
        <w:tblPrEx>
          <w:tblCellMar>
            <w:top w:w="0" w:type="dxa"/>
            <w:left w:w="108" w:type="dxa"/>
            <w:bottom w:w="0" w:type="dxa"/>
            <w:right w:w="108" w:type="dxa"/>
          </w:tblCellMar>
        </w:tblPrEx>
        <w:trPr>
          <w:trHeight w:val="131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665411D9">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Source of funding</w:t>
            </w:r>
          </w:p>
        </w:tc>
        <w:tc>
          <w:tcPr>
            <w:tcW w:w="552" w:type="pct"/>
            <w:tcBorders>
              <w:top w:val="nil"/>
              <w:left w:val="nil"/>
              <w:bottom w:val="single" w:color="000000" w:sz="8" w:space="0"/>
              <w:right w:val="single" w:color="000000" w:sz="8" w:space="0"/>
            </w:tcBorders>
            <w:shd w:val="clear" w:color="auto" w:fill="auto"/>
            <w:noWrap/>
            <w:vAlign w:val="center"/>
          </w:tcPr>
          <w:p w14:paraId="6F8DFD53">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23</w:t>
            </w:r>
          </w:p>
        </w:tc>
        <w:tc>
          <w:tcPr>
            <w:tcW w:w="2624" w:type="pct"/>
            <w:tcBorders>
              <w:top w:val="nil"/>
              <w:left w:val="nil"/>
              <w:bottom w:val="single" w:color="000000" w:sz="8" w:space="0"/>
              <w:right w:val="single" w:color="000000" w:sz="8" w:space="0"/>
            </w:tcBorders>
            <w:shd w:val="clear" w:color="auto" w:fill="auto"/>
            <w:noWrap/>
            <w:vAlign w:val="center"/>
          </w:tcPr>
          <w:p w14:paraId="0727BC3A">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how the study was funded and the role of the fun- der in the identification, design, conduct, and reporting of the analysis. Describe other non-monetary sources of support.</w:t>
            </w:r>
          </w:p>
        </w:tc>
        <w:tc>
          <w:tcPr>
            <w:tcW w:w="1029" w:type="pct"/>
            <w:tcBorders>
              <w:top w:val="nil"/>
              <w:left w:val="nil"/>
              <w:bottom w:val="single" w:color="000000" w:sz="8" w:space="0"/>
              <w:right w:val="single" w:color="000000" w:sz="8" w:space="0"/>
            </w:tcBorders>
            <w:shd w:val="clear" w:color="auto" w:fill="auto"/>
            <w:noWrap/>
            <w:vAlign w:val="center"/>
          </w:tcPr>
          <w:p w14:paraId="03A97389">
            <w:pPr>
              <w:widowControl/>
              <w:rPr>
                <w:rFonts w:hint="eastAsia" w:ascii="Times New Roman" w:hAnsi="Times New Roman" w:eastAsia="等线" w:cs="Times New Roman"/>
                <w:b/>
                <w:bCs/>
                <w:color w:val="000000"/>
                <w:kern w:val="0"/>
                <w:sz w:val="20"/>
                <w:szCs w:val="20"/>
                <w:lang w:eastAsia="zh-CN"/>
              </w:rPr>
            </w:pPr>
            <w:r>
              <w:rPr>
                <w:rFonts w:ascii="Times New Roman" w:hAnsi="Times New Roman" w:eastAsia="等线" w:cs="Times New Roman"/>
                <w:b/>
                <w:bCs/>
                <w:color w:val="000000"/>
                <w:kern w:val="0"/>
                <w:sz w:val="20"/>
                <w:szCs w:val="20"/>
              </w:rPr>
              <w:t>Page 1</w:t>
            </w:r>
            <w:r>
              <w:rPr>
                <w:rFonts w:hint="eastAsia" w:ascii="Times New Roman" w:hAnsi="Times New Roman" w:eastAsia="等线" w:cs="Times New Roman"/>
                <w:b/>
                <w:bCs/>
                <w:color w:val="000000"/>
                <w:kern w:val="0"/>
                <w:sz w:val="20"/>
                <w:szCs w:val="20"/>
                <w:lang w:val="en-US" w:eastAsia="zh-CN"/>
              </w:rPr>
              <w:t>4</w:t>
            </w:r>
          </w:p>
        </w:tc>
      </w:tr>
      <w:tr w14:paraId="54269CC6">
        <w:tblPrEx>
          <w:tblCellMar>
            <w:top w:w="0" w:type="dxa"/>
            <w:left w:w="108" w:type="dxa"/>
            <w:bottom w:w="0" w:type="dxa"/>
            <w:right w:w="108" w:type="dxa"/>
          </w:tblCellMar>
        </w:tblPrEx>
        <w:trPr>
          <w:trHeight w:val="1570" w:hRule="atLeast"/>
        </w:trPr>
        <w:tc>
          <w:tcPr>
            <w:tcW w:w="793" w:type="pct"/>
            <w:tcBorders>
              <w:top w:val="nil"/>
              <w:left w:val="single" w:color="000000" w:sz="8" w:space="0"/>
              <w:bottom w:val="single" w:color="000000" w:sz="8" w:space="0"/>
              <w:right w:val="single" w:color="000000" w:sz="8" w:space="0"/>
            </w:tcBorders>
            <w:shd w:val="clear" w:color="auto" w:fill="auto"/>
            <w:noWrap/>
            <w:vAlign w:val="center"/>
          </w:tcPr>
          <w:p w14:paraId="72051893">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Conflicts of interest</w:t>
            </w:r>
          </w:p>
        </w:tc>
        <w:tc>
          <w:tcPr>
            <w:tcW w:w="552" w:type="pct"/>
            <w:tcBorders>
              <w:top w:val="nil"/>
              <w:left w:val="nil"/>
              <w:bottom w:val="single" w:color="000000" w:sz="8" w:space="0"/>
              <w:right w:val="single" w:color="000000" w:sz="8" w:space="0"/>
            </w:tcBorders>
            <w:shd w:val="clear" w:color="auto" w:fill="auto"/>
            <w:noWrap/>
            <w:vAlign w:val="center"/>
          </w:tcPr>
          <w:p w14:paraId="68AD2ACC">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w:t>
            </w:r>
          </w:p>
        </w:tc>
        <w:tc>
          <w:tcPr>
            <w:tcW w:w="2624" w:type="pct"/>
            <w:tcBorders>
              <w:top w:val="nil"/>
              <w:left w:val="nil"/>
              <w:bottom w:val="single" w:color="000000" w:sz="8" w:space="0"/>
              <w:right w:val="single" w:color="000000" w:sz="8" w:space="0"/>
            </w:tcBorders>
            <w:shd w:val="clear" w:color="auto" w:fill="auto"/>
            <w:noWrap/>
            <w:vAlign w:val="center"/>
          </w:tcPr>
          <w:p w14:paraId="6F4D4A10">
            <w:pPr>
              <w:widowControl/>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Describe any potential for conflict of interest of study contributors in accordance with journal policy. In the absence of a journal policy, we recommend authors comply with International Committee of Medical Journal Editors recommendations.</w:t>
            </w:r>
          </w:p>
        </w:tc>
        <w:tc>
          <w:tcPr>
            <w:tcW w:w="1029" w:type="pct"/>
            <w:tcBorders>
              <w:top w:val="nil"/>
              <w:left w:val="nil"/>
              <w:bottom w:val="single" w:color="000000" w:sz="8" w:space="0"/>
              <w:right w:val="single" w:color="000000" w:sz="8" w:space="0"/>
            </w:tcBorders>
            <w:shd w:val="clear" w:color="auto" w:fill="auto"/>
            <w:noWrap/>
            <w:vAlign w:val="center"/>
          </w:tcPr>
          <w:p w14:paraId="49B58190">
            <w:pPr>
              <w:widowControl/>
              <w:rPr>
                <w:rFonts w:hint="default" w:ascii="Times New Roman" w:hAnsi="Times New Roman" w:eastAsia="等线" w:cs="Times New Roman"/>
                <w:b/>
                <w:bCs/>
                <w:color w:val="000000"/>
                <w:kern w:val="0"/>
                <w:sz w:val="20"/>
                <w:szCs w:val="20"/>
                <w:lang w:val="en-US" w:eastAsia="zh-CN"/>
              </w:rPr>
            </w:pPr>
            <w:r>
              <w:rPr>
                <w:rFonts w:ascii="Times New Roman" w:hAnsi="Times New Roman" w:eastAsia="等线" w:cs="Times New Roman"/>
                <w:b/>
                <w:bCs/>
                <w:color w:val="000000"/>
                <w:kern w:val="0"/>
                <w:sz w:val="20"/>
                <w:szCs w:val="20"/>
              </w:rPr>
              <w:t xml:space="preserve">Page </w:t>
            </w:r>
            <w:r>
              <w:rPr>
                <w:rFonts w:hint="eastAsia" w:ascii="Times New Roman" w:hAnsi="Times New Roman" w:eastAsia="等线" w:cs="Times New Roman"/>
                <w:b/>
                <w:bCs/>
                <w:color w:val="000000"/>
                <w:kern w:val="0"/>
                <w:sz w:val="20"/>
                <w:szCs w:val="20"/>
                <w:lang w:val="en-US" w:eastAsia="zh-CN"/>
              </w:rPr>
              <w:t>15</w:t>
            </w:r>
          </w:p>
        </w:tc>
      </w:tr>
    </w:tbl>
    <w:p w14:paraId="5A0AA1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YzUzMWQ4OWI0YzBkYjYzMDRhZTY5ZjZkYmFmYTgifQ=="/>
  </w:docVars>
  <w:rsids>
    <w:rsidRoot w:val="00000000"/>
    <w:rsid w:val="11585D0E"/>
    <w:rsid w:val="34C43332"/>
    <w:rsid w:val="71C9351C"/>
    <w:rsid w:val="74B02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874</Words>
  <Characters>5114</Characters>
  <Lines>0</Lines>
  <Paragraphs>0</Paragraphs>
  <TotalTime>2</TotalTime>
  <ScaleCrop>false</ScaleCrop>
  <LinksUpToDate>false</LinksUpToDate>
  <CharactersWithSpaces>5882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2023-12-26T04:22:00Z</dcterms:created>
  <dc:creator>87057</dc:creator>
  <cp:lastModifiedBy>hq</cp:lastModifiedBy>
  <dcterms:modified xsi:type="dcterms:W3CDTF">2024-08-22T12:38:09Z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504D4AA6086E4DCD9B3A2A807EE79B2D_12</vt:lpwstr>
  </property>
</Properties>
</file>