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p>
    <w:p>
      <w:pPr>
        <w:jc w:val="center"/>
        <w:rPr>
          <w:rFonts w:ascii="Times New Roman" w:hAnsi="Times New Roman" w:cs="Times New Roman" w:eastAsiaTheme="majorEastAsia"/>
          <w:b/>
          <w:bCs/>
          <w:color w:val="auto"/>
          <w:kern w:val="0"/>
          <w:sz w:val="32"/>
          <w:szCs w:val="32"/>
          <w:lang w:val="zh-CN" w:eastAsia="zh-CN" w:bidi="ar-SA"/>
        </w:rPr>
      </w:pPr>
      <w:r>
        <w:rPr>
          <w:rFonts w:hint="eastAsia" w:ascii="Times New Roman" w:hAnsi="Times New Roman" w:cs="Times New Roman" w:eastAsiaTheme="majorEastAsia"/>
          <w:b/>
          <w:bCs/>
          <w:color w:val="auto"/>
          <w:kern w:val="0"/>
          <w:sz w:val="32"/>
          <w:szCs w:val="32"/>
          <w:lang w:val="zh-CN" w:eastAsia="zh-CN" w:bidi="ar-SA"/>
        </w:rPr>
        <w:t>Supple</w:t>
      </w:r>
      <w:r>
        <w:rPr>
          <w:rFonts w:ascii="Times New Roman" w:hAnsi="Times New Roman" w:cs="Times New Roman" w:eastAsiaTheme="majorEastAsia"/>
          <w:b/>
          <w:bCs/>
          <w:color w:val="auto"/>
          <w:kern w:val="0"/>
          <w:sz w:val="32"/>
          <w:szCs w:val="32"/>
          <w:lang w:val="zh-CN" w:eastAsia="zh-CN" w:bidi="ar-SA"/>
        </w:rPr>
        <w:t>mentary materials</w:t>
      </w:r>
    </w:p>
    <w:p>
      <w:pPr>
        <w:jc w:val="center"/>
      </w:pPr>
    </w:p>
    <w:p>
      <w:pPr>
        <w:rPr>
          <w:rFonts w:hint="default"/>
          <w:b/>
          <w:bCs/>
          <w:sz w:val="18"/>
          <w:szCs w:val="18"/>
          <w:lang w:val="en-US"/>
        </w:rPr>
      </w:pPr>
      <w:r>
        <w:rPr>
          <w:rFonts w:hint="eastAsia"/>
          <w:b/>
          <w:bCs/>
          <w:sz w:val="18"/>
          <w:szCs w:val="18"/>
        </w:rPr>
        <w:t>Tsz-ngai MOK</w:t>
      </w:r>
      <w:r>
        <w:rPr>
          <w:rFonts w:hint="eastAsia"/>
          <w:b/>
          <w:bCs/>
          <w:sz w:val="18"/>
          <w:szCs w:val="18"/>
          <w:vertAlign w:val="superscript"/>
        </w:rPr>
        <w:t>1,2</w:t>
      </w:r>
      <w:r>
        <w:rPr>
          <w:rFonts w:hint="default" w:ascii="Times New Roman Regular" w:hAnsi="Times New Roman Regular" w:cs="Times New Roman Regular"/>
          <w:b/>
          <w:bCs/>
          <w:sz w:val="18"/>
          <w:szCs w:val="18"/>
          <w:vertAlign w:val="superscript"/>
        </w:rPr>
        <w:t>†</w:t>
      </w:r>
      <w:r>
        <w:rPr>
          <w:rFonts w:hint="default"/>
          <w:b/>
          <w:bCs/>
          <w:sz w:val="18"/>
          <w:szCs w:val="18"/>
          <w:lang w:val="en-US"/>
        </w:rPr>
        <w:t xml:space="preserve">, </w:t>
      </w:r>
      <w:r>
        <w:rPr>
          <w:rFonts w:hint="eastAsia"/>
          <w:b/>
          <w:bCs/>
          <w:sz w:val="18"/>
          <w:szCs w:val="18"/>
        </w:rPr>
        <w:t>Zhiguang HUANG</w:t>
      </w:r>
      <w:r>
        <w:rPr>
          <w:rFonts w:hint="eastAsia"/>
          <w:b/>
          <w:bCs/>
          <w:sz w:val="18"/>
          <w:szCs w:val="18"/>
          <w:vertAlign w:val="superscript"/>
        </w:rPr>
        <w:t>1</w:t>
      </w:r>
      <w:r>
        <w:rPr>
          <w:rFonts w:hint="default" w:ascii="Times New Roman Regular" w:hAnsi="Times New Roman Regular" w:cs="Times New Roman Regular"/>
          <w:b/>
          <w:bCs/>
          <w:sz w:val="18"/>
          <w:szCs w:val="18"/>
          <w:vertAlign w:val="superscript"/>
        </w:rPr>
        <w:t>†</w:t>
      </w:r>
      <w:r>
        <w:rPr>
          <w:rFonts w:hint="default"/>
          <w:b/>
          <w:bCs/>
          <w:sz w:val="18"/>
          <w:szCs w:val="18"/>
          <w:lang w:val="en-US"/>
        </w:rPr>
        <w:t xml:space="preserve">, </w:t>
      </w:r>
      <w:r>
        <w:rPr>
          <w:rFonts w:hint="eastAsia"/>
          <w:b/>
          <w:bCs/>
          <w:sz w:val="18"/>
          <w:szCs w:val="18"/>
        </w:rPr>
        <w:t>Huige HOU</w:t>
      </w:r>
      <w:r>
        <w:rPr>
          <w:rFonts w:hint="default"/>
          <w:b/>
          <w:bCs/>
          <w:sz w:val="18"/>
          <w:szCs w:val="18"/>
          <w:vertAlign w:val="superscript"/>
          <w:lang w:val="en-US"/>
        </w:rPr>
        <w:t>2</w:t>
      </w:r>
      <w:r>
        <w:rPr>
          <w:rFonts w:hint="default" w:ascii="Times New Roman Regular" w:hAnsi="Times New Roman Regular" w:cs="Times New Roman Regular"/>
          <w:b/>
          <w:bCs/>
          <w:sz w:val="18"/>
          <w:szCs w:val="18"/>
          <w:vertAlign w:val="superscript"/>
        </w:rPr>
        <w:t>†</w:t>
      </w:r>
      <w:r>
        <w:rPr>
          <w:rFonts w:hint="default"/>
          <w:b/>
          <w:bCs/>
          <w:sz w:val="18"/>
          <w:szCs w:val="18"/>
          <w:lang w:val="en-US"/>
        </w:rPr>
        <w:t>, J</w:t>
      </w:r>
      <w:r>
        <w:rPr>
          <w:rFonts w:hint="eastAsia"/>
          <w:b/>
          <w:bCs/>
          <w:sz w:val="18"/>
          <w:szCs w:val="18"/>
          <w:lang w:val="en-US" w:eastAsia="zh-CN"/>
        </w:rPr>
        <w:t xml:space="preserve">ing </w:t>
      </w:r>
      <w:r>
        <w:rPr>
          <w:rFonts w:hint="default"/>
          <w:b/>
          <w:bCs/>
          <w:sz w:val="18"/>
          <w:szCs w:val="18"/>
          <w:lang w:val="en-US" w:eastAsia="zh-CN"/>
        </w:rPr>
        <w:t>ZHAO</w:t>
      </w:r>
      <w:r>
        <w:rPr>
          <w:rFonts w:hint="default"/>
          <w:b/>
          <w:bCs/>
          <w:sz w:val="18"/>
          <w:szCs w:val="18"/>
          <w:vertAlign w:val="superscript"/>
          <w:lang w:val="en-US"/>
        </w:rPr>
        <w:t>3</w:t>
      </w:r>
      <w:r>
        <w:rPr>
          <w:rFonts w:hint="default"/>
          <w:b/>
          <w:bCs/>
          <w:sz w:val="18"/>
          <w:szCs w:val="18"/>
          <w:lang w:val="en-US"/>
        </w:rPr>
        <w:t>, Zihang CHEN</w:t>
      </w:r>
      <w:r>
        <w:rPr>
          <w:rFonts w:hint="default"/>
          <w:b/>
          <w:bCs/>
          <w:sz w:val="18"/>
          <w:szCs w:val="18"/>
          <w:vertAlign w:val="superscript"/>
          <w:lang w:val="en-US"/>
        </w:rPr>
        <w:t>4</w:t>
      </w:r>
      <w:r>
        <w:rPr>
          <w:rFonts w:hint="default"/>
          <w:b/>
          <w:bCs/>
          <w:sz w:val="18"/>
          <w:szCs w:val="18"/>
          <w:lang w:val="en-US"/>
        </w:rPr>
        <w:t xml:space="preserve">, </w:t>
      </w:r>
      <w:r>
        <w:rPr>
          <w:rFonts w:hint="eastAsia"/>
          <w:b/>
          <w:bCs/>
          <w:sz w:val="18"/>
          <w:szCs w:val="18"/>
        </w:rPr>
        <w:t>Lek-Hang</w:t>
      </w:r>
      <w:r>
        <w:rPr>
          <w:rFonts w:hint="default"/>
          <w:b/>
          <w:bCs/>
          <w:sz w:val="18"/>
          <w:szCs w:val="18"/>
          <w:lang w:val="en-US"/>
        </w:rPr>
        <w:t xml:space="preserve"> </w:t>
      </w:r>
      <w:r>
        <w:rPr>
          <w:rFonts w:hint="eastAsia"/>
          <w:b/>
          <w:bCs/>
          <w:sz w:val="18"/>
          <w:szCs w:val="18"/>
        </w:rPr>
        <w:t>Cheang</w:t>
      </w:r>
      <w:r>
        <w:rPr>
          <w:rFonts w:hint="default"/>
          <w:b/>
          <w:bCs/>
          <w:sz w:val="18"/>
          <w:szCs w:val="18"/>
          <w:vertAlign w:val="superscript"/>
          <w:lang w:val="en-US"/>
        </w:rPr>
        <w:t>5</w:t>
      </w:r>
      <w:r>
        <w:rPr>
          <w:rFonts w:hint="default"/>
          <w:b/>
          <w:bCs/>
          <w:sz w:val="18"/>
          <w:szCs w:val="18"/>
          <w:lang w:val="en-US"/>
        </w:rPr>
        <w:t xml:space="preserve">, </w:t>
      </w:r>
      <w:r>
        <w:rPr>
          <w:rFonts w:hint="eastAsia"/>
          <w:b/>
          <w:bCs/>
          <w:sz w:val="18"/>
          <w:szCs w:val="18"/>
        </w:rPr>
        <w:t>Man-seng</w:t>
      </w:r>
      <w:r>
        <w:rPr>
          <w:rFonts w:hint="default"/>
          <w:b/>
          <w:bCs/>
          <w:sz w:val="18"/>
          <w:szCs w:val="18"/>
          <w:lang w:val="en-US"/>
        </w:rPr>
        <w:t xml:space="preserve"> </w:t>
      </w:r>
      <w:r>
        <w:rPr>
          <w:rFonts w:hint="eastAsia"/>
          <w:b/>
          <w:bCs/>
          <w:sz w:val="18"/>
          <w:szCs w:val="18"/>
        </w:rPr>
        <w:t>Tam</w:t>
      </w:r>
      <w:r>
        <w:rPr>
          <w:rFonts w:hint="default"/>
          <w:b/>
          <w:bCs/>
          <w:sz w:val="18"/>
          <w:szCs w:val="18"/>
          <w:vertAlign w:val="superscript"/>
          <w:lang w:val="en-US"/>
        </w:rPr>
        <w:t>6</w:t>
      </w:r>
      <w:r>
        <w:rPr>
          <w:rFonts w:hint="default"/>
          <w:b/>
          <w:bCs/>
          <w:sz w:val="18"/>
          <w:szCs w:val="18"/>
          <w:lang w:val="en-US"/>
        </w:rPr>
        <w:t xml:space="preserve">, </w:t>
      </w:r>
      <w:r>
        <w:rPr>
          <w:rFonts w:hint="eastAsia"/>
          <w:b/>
          <w:bCs/>
          <w:sz w:val="18"/>
          <w:szCs w:val="18"/>
        </w:rPr>
        <w:t>Tien-cheng YEH</w:t>
      </w:r>
      <w:r>
        <w:rPr>
          <w:rFonts w:hint="default"/>
          <w:b/>
          <w:bCs/>
          <w:sz w:val="18"/>
          <w:szCs w:val="18"/>
          <w:vertAlign w:val="superscript"/>
          <w:lang w:val="en-US"/>
        </w:rPr>
        <w:t>2</w:t>
      </w:r>
      <w:r>
        <w:rPr>
          <w:rFonts w:hint="default"/>
          <w:b/>
          <w:bCs/>
          <w:sz w:val="18"/>
          <w:szCs w:val="18"/>
          <w:lang w:val="en-US"/>
        </w:rPr>
        <w:t xml:space="preserve">, </w:t>
      </w:r>
      <w:r>
        <w:rPr>
          <w:rFonts w:hint="eastAsia"/>
          <w:b/>
          <w:bCs/>
          <w:sz w:val="18"/>
          <w:szCs w:val="18"/>
        </w:rPr>
        <w:t>Dongyi FAN</w:t>
      </w:r>
      <w:r>
        <w:rPr>
          <w:rFonts w:hint="default"/>
          <w:b/>
          <w:bCs/>
          <w:sz w:val="18"/>
          <w:szCs w:val="18"/>
          <w:vertAlign w:val="superscript"/>
          <w:lang w:val="en-US"/>
        </w:rPr>
        <w:t>2</w:t>
      </w:r>
      <w:r>
        <w:rPr>
          <w:rFonts w:hint="default"/>
          <w:b/>
          <w:bCs/>
          <w:sz w:val="18"/>
          <w:szCs w:val="18"/>
          <w:lang w:val="en-US"/>
        </w:rPr>
        <w:t xml:space="preserve">, </w:t>
      </w:r>
      <w:r>
        <w:rPr>
          <w:rFonts w:hint="eastAsia"/>
          <w:b/>
          <w:bCs/>
          <w:sz w:val="18"/>
          <w:szCs w:val="18"/>
        </w:rPr>
        <w:t>Jung CHEN</w:t>
      </w:r>
      <w:r>
        <w:rPr>
          <w:rFonts w:hint="default"/>
          <w:b/>
          <w:bCs/>
          <w:sz w:val="18"/>
          <w:szCs w:val="18"/>
          <w:vertAlign w:val="superscript"/>
          <w:lang w:val="en-US"/>
        </w:rPr>
        <w:t>2</w:t>
      </w:r>
      <w:r>
        <w:rPr>
          <w:rFonts w:hint="default"/>
          <w:b/>
          <w:bCs/>
          <w:sz w:val="18"/>
          <w:szCs w:val="18"/>
          <w:lang w:val="en-US"/>
        </w:rPr>
        <w:t>, Huajun WANG</w:t>
      </w:r>
      <w:r>
        <w:rPr>
          <w:rFonts w:hint="default"/>
          <w:b/>
          <w:bCs/>
          <w:sz w:val="18"/>
          <w:szCs w:val="18"/>
          <w:vertAlign w:val="superscript"/>
          <w:lang w:val="en-US"/>
        </w:rPr>
        <w:t>2*</w:t>
      </w:r>
      <w:r>
        <w:rPr>
          <w:rFonts w:hint="default"/>
          <w:b/>
          <w:bCs/>
          <w:sz w:val="18"/>
          <w:szCs w:val="18"/>
          <w:lang w:val="en-US"/>
        </w:rPr>
        <w:t>, Xiaofei ZHENG</w:t>
      </w:r>
      <w:r>
        <w:rPr>
          <w:rFonts w:hint="default"/>
          <w:b/>
          <w:bCs/>
          <w:sz w:val="18"/>
          <w:szCs w:val="18"/>
          <w:vertAlign w:val="superscript"/>
          <w:lang w:val="en-US"/>
        </w:rPr>
        <w:t>2*</w:t>
      </w:r>
      <w:r>
        <w:rPr>
          <w:rFonts w:hint="default"/>
          <w:b/>
          <w:bCs/>
          <w:sz w:val="18"/>
          <w:szCs w:val="18"/>
          <w:lang w:val="en-US"/>
        </w:rPr>
        <w:t xml:space="preserve">, </w:t>
      </w:r>
      <w:r>
        <w:rPr>
          <w:rFonts w:hint="eastAsia"/>
          <w:b/>
          <w:bCs/>
          <w:sz w:val="18"/>
          <w:szCs w:val="18"/>
        </w:rPr>
        <w:t>Wai-kit MING</w:t>
      </w:r>
      <w:r>
        <w:rPr>
          <w:rFonts w:hint="default"/>
          <w:b/>
          <w:bCs/>
          <w:sz w:val="18"/>
          <w:szCs w:val="18"/>
          <w:vertAlign w:val="superscript"/>
          <w:lang w:val="en-US"/>
        </w:rPr>
        <w:t>1*</w:t>
      </w:r>
    </w:p>
    <w:p>
      <w:pPr>
        <w:rPr>
          <w:rFonts w:hint="eastAsia"/>
          <w:b w:val="0"/>
          <w:bCs w:val="0"/>
          <w:sz w:val="18"/>
          <w:szCs w:val="18"/>
        </w:rPr>
      </w:pPr>
      <w:r>
        <w:rPr>
          <w:rFonts w:hint="eastAsia"/>
          <w:b w:val="0"/>
          <w:bCs w:val="0"/>
          <w:sz w:val="18"/>
          <w:szCs w:val="18"/>
          <w:vertAlign w:val="superscript"/>
          <w:lang w:val="en-US" w:eastAsia="zh-CN"/>
        </w:rPr>
        <w:t>1</w:t>
      </w:r>
      <w:r>
        <w:rPr>
          <w:rFonts w:hint="eastAsia"/>
          <w:b w:val="0"/>
          <w:bCs w:val="0"/>
          <w:sz w:val="18"/>
          <w:szCs w:val="18"/>
        </w:rPr>
        <w:t>Department of Infectious Diseases and Public Health, City University of Hong Kong, Hong Kong SAR, China</w:t>
      </w:r>
    </w:p>
    <w:p>
      <w:pPr>
        <w:rPr>
          <w:rFonts w:hint="eastAsia"/>
          <w:b w:val="0"/>
          <w:bCs w:val="0"/>
          <w:sz w:val="18"/>
          <w:szCs w:val="18"/>
        </w:rPr>
      </w:pPr>
      <w:r>
        <w:rPr>
          <w:rFonts w:hint="default"/>
          <w:b w:val="0"/>
          <w:bCs w:val="0"/>
          <w:sz w:val="18"/>
          <w:szCs w:val="18"/>
          <w:vertAlign w:val="superscript"/>
          <w:lang w:val="en-US" w:eastAsia="zh-CN"/>
        </w:rPr>
        <w:t>2</w:t>
      </w:r>
      <w:r>
        <w:rPr>
          <w:rFonts w:hint="eastAsia"/>
          <w:b w:val="0"/>
          <w:bCs w:val="0"/>
          <w:sz w:val="18"/>
          <w:szCs w:val="18"/>
        </w:rPr>
        <w:t>Department of Sports Medicine, The First Affiliated Hospital, Guangdong Provincial Key Laboratory of Speed Capability, The Guangzhou Key Laboratory of Precision Orthopedics and Regenerative Medicine, Jinan University, Guangzhou, China.</w:t>
      </w:r>
    </w:p>
    <w:p>
      <w:pPr>
        <w:rPr>
          <w:rFonts w:hint="eastAsia"/>
          <w:b w:val="0"/>
          <w:bCs w:val="0"/>
          <w:sz w:val="18"/>
          <w:szCs w:val="18"/>
        </w:rPr>
      </w:pPr>
      <w:r>
        <w:rPr>
          <w:rFonts w:hint="default"/>
          <w:b w:val="0"/>
          <w:bCs w:val="0"/>
          <w:sz w:val="18"/>
          <w:szCs w:val="18"/>
          <w:vertAlign w:val="superscript"/>
          <w:lang w:val="en-US"/>
        </w:rPr>
        <w:t>3</w:t>
      </w:r>
      <w:r>
        <w:rPr>
          <w:rFonts w:hint="eastAsia"/>
          <w:b w:val="0"/>
          <w:bCs w:val="0"/>
          <w:sz w:val="18"/>
          <w:szCs w:val="18"/>
        </w:rPr>
        <w:t>State Key Laboratory of Quality Research in Chinese Medicine, Institute of Chinese Medical Sciences, Department of Pharmaceutical sciences, Faculty of Health Sciences, University of Macau, China</w:t>
      </w:r>
    </w:p>
    <w:p>
      <w:pPr>
        <w:rPr>
          <w:rFonts w:hint="eastAsia"/>
          <w:b w:val="0"/>
          <w:bCs w:val="0"/>
          <w:sz w:val="18"/>
          <w:szCs w:val="18"/>
        </w:rPr>
      </w:pPr>
      <w:r>
        <w:rPr>
          <w:rFonts w:hint="default"/>
          <w:b w:val="0"/>
          <w:bCs w:val="0"/>
          <w:sz w:val="18"/>
          <w:szCs w:val="18"/>
          <w:vertAlign w:val="superscript"/>
          <w:lang w:val="en-US"/>
        </w:rPr>
        <w:t>4</w:t>
      </w:r>
      <w:r>
        <w:rPr>
          <w:rFonts w:hint="eastAsia"/>
          <w:b w:val="0"/>
          <w:bCs w:val="0"/>
          <w:sz w:val="18"/>
          <w:szCs w:val="18"/>
        </w:rPr>
        <w:t>Department of psychology, Li Ka Shing Faculty of Medicine, State Key Laboratory of Brain and Cognitive Sciences, The University of Hong Kong, Hong Kong SAR, China</w:t>
      </w:r>
    </w:p>
    <w:p>
      <w:pPr>
        <w:rPr>
          <w:rFonts w:hint="eastAsia"/>
          <w:b w:val="0"/>
          <w:bCs w:val="0"/>
          <w:sz w:val="18"/>
          <w:szCs w:val="18"/>
        </w:rPr>
      </w:pPr>
      <w:r>
        <w:rPr>
          <w:rFonts w:hint="default"/>
          <w:b w:val="0"/>
          <w:bCs w:val="0"/>
          <w:sz w:val="18"/>
          <w:szCs w:val="18"/>
          <w:vertAlign w:val="superscript"/>
          <w:lang w:val="en-US"/>
        </w:rPr>
        <w:t>5</w:t>
      </w:r>
      <w:r>
        <w:rPr>
          <w:rFonts w:hint="eastAsia"/>
          <w:b w:val="0"/>
          <w:bCs w:val="0"/>
          <w:sz w:val="18"/>
          <w:szCs w:val="18"/>
        </w:rPr>
        <w:t>Department of Orthopedic Surgery, Centro Hospitalar Conde de Sao Januario, Macau, China</w:t>
      </w:r>
    </w:p>
    <w:p>
      <w:pPr>
        <w:rPr>
          <w:rFonts w:hint="eastAsia"/>
          <w:b w:val="0"/>
          <w:bCs w:val="0"/>
          <w:sz w:val="18"/>
          <w:szCs w:val="18"/>
        </w:rPr>
      </w:pPr>
      <w:r>
        <w:rPr>
          <w:rFonts w:hint="eastAsia"/>
          <w:b w:val="0"/>
          <w:bCs w:val="0"/>
          <w:sz w:val="18"/>
          <w:szCs w:val="18"/>
        </w:rPr>
        <w:t xml:space="preserve">IAN WO Medical Center, Macao </w:t>
      </w:r>
      <w:r>
        <w:rPr>
          <w:rFonts w:hint="default"/>
          <w:b w:val="0"/>
          <w:bCs w:val="0"/>
          <w:sz w:val="18"/>
          <w:szCs w:val="18"/>
          <w:lang w:val="en-US"/>
        </w:rPr>
        <w:t>SAR</w:t>
      </w:r>
      <w:r>
        <w:rPr>
          <w:rFonts w:hint="eastAsia"/>
          <w:b w:val="0"/>
          <w:bCs w:val="0"/>
          <w:sz w:val="18"/>
          <w:szCs w:val="18"/>
        </w:rPr>
        <w:t>, China</w:t>
      </w:r>
    </w:p>
    <w:p>
      <w:pPr>
        <w:rPr>
          <w:rFonts w:hint="default"/>
          <w:b w:val="0"/>
          <w:bCs w:val="0"/>
          <w:lang w:val="en-US"/>
        </w:rPr>
      </w:pPr>
      <w:r>
        <w:rPr>
          <w:rFonts w:hint="default"/>
          <w:b w:val="0"/>
          <w:bCs w:val="0"/>
          <w:sz w:val="18"/>
          <w:szCs w:val="18"/>
          <w:vertAlign w:val="superscript"/>
          <w:lang w:val="en-US"/>
        </w:rPr>
        <w:t>6</w:t>
      </w:r>
      <w:r>
        <w:rPr>
          <w:rFonts w:hint="eastAsia"/>
          <w:b w:val="0"/>
          <w:bCs w:val="0"/>
          <w:sz w:val="18"/>
          <w:szCs w:val="18"/>
        </w:rPr>
        <w:t>Department of Orthopedic Surgery, Third Hospital of Shijiazhuang, HeBei</w:t>
      </w:r>
      <w:r>
        <w:rPr>
          <w:rFonts w:hint="default"/>
          <w:b w:val="0"/>
          <w:bCs w:val="0"/>
          <w:sz w:val="18"/>
          <w:szCs w:val="18"/>
          <w:lang w:val="en-US"/>
        </w:rPr>
        <w:t xml:space="preserve">, </w:t>
      </w:r>
      <w:r>
        <w:rPr>
          <w:rFonts w:hint="eastAsia"/>
          <w:b w:val="0"/>
          <w:bCs w:val="0"/>
          <w:sz w:val="18"/>
          <w:szCs w:val="18"/>
        </w:rPr>
        <w:t>China</w:t>
      </w:r>
    </w:p>
    <w:p>
      <w:pPr>
        <w:rPr>
          <w:rFonts w:hint="eastAsia"/>
          <w:b w:val="0"/>
          <w:bCs w:val="0"/>
          <w:sz w:val="18"/>
          <w:szCs w:val="18"/>
        </w:rPr>
      </w:pPr>
      <w:r>
        <w:rPr>
          <w:rFonts w:hint="eastAsia"/>
          <w:b w:val="0"/>
          <w:bCs w:val="0"/>
          <w:sz w:val="18"/>
          <w:szCs w:val="18"/>
        </w:rPr>
        <w:t>†These authors have contributed equally to this work and share first authorship</w:t>
      </w:r>
    </w:p>
    <w:p>
      <w:pPr>
        <w:rPr>
          <w:rFonts w:hint="default"/>
          <w:b w:val="0"/>
          <w:bCs w:val="0"/>
          <w:sz w:val="18"/>
          <w:szCs w:val="18"/>
          <w:lang w:val="en-US"/>
        </w:rPr>
      </w:pPr>
      <w:r>
        <w:rPr>
          <w:rFonts w:hint="default"/>
          <w:b w:val="0"/>
          <w:bCs w:val="0"/>
          <w:sz w:val="18"/>
          <w:szCs w:val="18"/>
          <w:lang w:val="en-US"/>
        </w:rPr>
        <w:t>*Correspondence:</w:t>
      </w:r>
    </w:p>
    <w:p>
      <w:pPr>
        <w:rPr>
          <w:rFonts w:hint="default"/>
          <w:b w:val="0"/>
          <w:bCs w:val="0"/>
          <w:sz w:val="18"/>
          <w:szCs w:val="18"/>
          <w:lang w:val="en-US"/>
        </w:rPr>
      </w:pPr>
      <w:r>
        <w:rPr>
          <w:rFonts w:hint="default"/>
          <w:b w:val="0"/>
          <w:bCs w:val="0"/>
          <w:sz w:val="18"/>
          <w:szCs w:val="18"/>
          <w:lang w:val="en-US"/>
        </w:rPr>
        <w:t>Huajun Wang,  whj323@126.com</w:t>
      </w:r>
    </w:p>
    <w:p>
      <w:pPr>
        <w:rPr>
          <w:rFonts w:hint="default"/>
          <w:b w:val="0"/>
          <w:bCs w:val="0"/>
          <w:sz w:val="18"/>
          <w:szCs w:val="18"/>
          <w:lang w:val="en-US"/>
        </w:rPr>
      </w:pPr>
      <w:r>
        <w:rPr>
          <w:rFonts w:hint="default"/>
          <w:b w:val="0"/>
          <w:bCs w:val="0"/>
          <w:sz w:val="18"/>
          <w:szCs w:val="18"/>
          <w:lang w:val="en-US"/>
        </w:rPr>
        <w:t xml:space="preserve">Xiaofei Zheng,  zhengxiaofei12@163.com  </w:t>
      </w:r>
    </w:p>
    <w:p>
      <w:pPr>
        <w:rPr>
          <w:rFonts w:hint="default"/>
          <w:b w:val="0"/>
          <w:bCs w:val="0"/>
          <w:sz w:val="18"/>
          <w:szCs w:val="18"/>
          <w:lang w:val="en-US"/>
        </w:rPr>
      </w:pPr>
      <w:r>
        <w:rPr>
          <w:rFonts w:hint="default"/>
          <w:b w:val="0"/>
          <w:bCs w:val="0"/>
          <w:sz w:val="18"/>
          <w:szCs w:val="18"/>
          <w:lang w:val="en-US"/>
        </w:rPr>
        <w:t xml:space="preserve">Wai-kit MING,  </w:t>
      </w:r>
      <w:r>
        <w:rPr>
          <w:rFonts w:hint="default" w:eastAsia="SimSun"/>
          <w:b w:val="0"/>
          <w:bCs w:val="0"/>
          <w:sz w:val="18"/>
          <w:szCs w:val="18"/>
          <w:lang w:val="en-US"/>
        </w:rPr>
        <w:fldChar w:fldCharType="begin"/>
      </w:r>
      <w:r>
        <w:rPr>
          <w:rFonts w:hint="default" w:eastAsia="SimSun"/>
          <w:b w:val="0"/>
          <w:bCs w:val="0"/>
          <w:sz w:val="18"/>
          <w:szCs w:val="18"/>
          <w:lang w:val="en-US"/>
        </w:rPr>
        <w:instrText xml:space="preserve"> HYPERLINK "mailto:wkming2@cityu.edu.hk" </w:instrText>
      </w:r>
      <w:r>
        <w:rPr>
          <w:rFonts w:hint="default" w:eastAsia="SimSun"/>
          <w:b w:val="0"/>
          <w:bCs w:val="0"/>
          <w:sz w:val="18"/>
          <w:szCs w:val="18"/>
          <w:lang w:val="en-US"/>
        </w:rPr>
        <w:fldChar w:fldCharType="separate"/>
      </w:r>
      <w:r>
        <w:rPr>
          <w:rFonts w:hint="default" w:eastAsia="SimSun"/>
          <w:b w:val="0"/>
          <w:bCs w:val="0"/>
          <w:sz w:val="18"/>
          <w:szCs w:val="18"/>
          <w:lang w:val="en-US"/>
        </w:rPr>
        <w:t>wkming2@cityu.edu.hk</w:t>
      </w:r>
      <w:r>
        <w:rPr>
          <w:rFonts w:hint="default" w:eastAsia="SimSun"/>
          <w:b w:val="0"/>
          <w:bCs w:val="0"/>
          <w:sz w:val="18"/>
          <w:szCs w:val="18"/>
          <w:lang w:val="en-US"/>
        </w:rPr>
        <w:fldChar w:fldCharType="end"/>
      </w:r>
    </w:p>
    <w:p>
      <w:pPr>
        <w:rPr>
          <w:rFonts w:hint="default"/>
          <w:b w:val="0"/>
          <w:bCs w:val="0"/>
          <w:sz w:val="18"/>
          <w:szCs w:val="18"/>
          <w:lang w:val="en-US"/>
        </w:rPr>
      </w:pPr>
    </w:p>
    <w:p>
      <w:pPr>
        <w:pStyle w:val="12"/>
        <w:outlineLvl w:val="0"/>
        <w:rPr>
          <w:rFonts w:ascii="Times New Roman" w:hAnsi="Times New Roman" w:cs="Times New Roman"/>
          <w:b/>
          <w:bCs/>
          <w:color w:val="auto"/>
          <w:lang w:val="zh-CN"/>
        </w:rPr>
      </w:pPr>
      <w:bookmarkStart w:id="0" w:name="_Toc186775785"/>
      <w:bookmarkStart w:id="1" w:name="_Toc685662817"/>
      <w:r>
        <w:rPr>
          <w:rFonts w:ascii="Times New Roman" w:hAnsi="Times New Roman" w:cs="Times New Roman"/>
          <w:b/>
          <w:bCs/>
          <w:color w:val="auto"/>
          <w:lang w:val="zh-CN"/>
        </w:rPr>
        <w:t>Table of Contents</w:t>
      </w:r>
      <w:bookmarkEnd w:id="0"/>
      <w:bookmarkEnd w:id="1"/>
    </w:p>
    <w:sdt>
      <w:sdtPr>
        <w:rPr>
          <w:rFonts w:ascii="SimSun" w:hAnsi="SimSun"/>
          <w:sz w:val="21"/>
        </w:rPr>
        <w:id w:val="852449141"/>
        <w15:color w:val="DBDBDB"/>
        <w:docPartObj>
          <w:docPartGallery w:val="Table of Contents"/>
          <w:docPartUnique/>
        </w:docPartObj>
      </w:sdtPr>
      <w:sdtEndPr>
        <w:rPr>
          <w:rFonts w:ascii="Times New Roman" w:hAnsi="Times New Roman"/>
          <w:sz w:val="24"/>
          <w:lang w:val="zh-CN"/>
        </w:rPr>
      </w:sdtEndPr>
      <w:sdtContent>
        <w:p>
          <w:pPr>
            <w:spacing w:line="360" w:lineRule="auto"/>
            <w:jc w:val="center"/>
          </w:pPr>
          <w:r>
            <w:fldChar w:fldCharType="begin"/>
          </w:r>
          <w:r>
            <w:instrText xml:space="preserve">TOC \o "1-3" \h \u </w:instrText>
          </w:r>
          <w:r>
            <w:fldChar w:fldCharType="separate"/>
          </w:r>
        </w:p>
        <w:p>
          <w:pPr>
            <w:pStyle w:val="7"/>
            <w:tabs>
              <w:tab w:val="right" w:leader="dot" w:pos="9026"/>
            </w:tabs>
            <w:spacing w:line="360" w:lineRule="auto"/>
            <w:ind w:left="0" w:leftChars="0"/>
          </w:pPr>
          <w:r>
            <w:fldChar w:fldCharType="begin"/>
          </w:r>
          <w:r>
            <w:instrText xml:space="preserve"> HYPERLINK \l "_Toc537715517" </w:instrText>
          </w:r>
          <w:r>
            <w:fldChar w:fldCharType="separate"/>
          </w:r>
          <w:r>
            <w:rPr>
              <w:szCs w:val="22"/>
            </w:rPr>
            <w:t>Supplementary Figure 1. Flowchart of this study</w:t>
          </w:r>
          <w:r>
            <w:tab/>
          </w:r>
          <w:r>
            <w:fldChar w:fldCharType="begin"/>
          </w:r>
          <w:r>
            <w:instrText xml:space="preserve"> PAGEREF _Toc537715517 \h </w:instrText>
          </w:r>
          <w:r>
            <w:fldChar w:fldCharType="separate"/>
          </w:r>
          <w:r>
            <w:t>2</w:t>
          </w:r>
          <w:r>
            <w:fldChar w:fldCharType="end"/>
          </w:r>
          <w:r>
            <w:fldChar w:fldCharType="end"/>
          </w:r>
        </w:p>
        <w:p>
          <w:pPr>
            <w:pStyle w:val="7"/>
            <w:tabs>
              <w:tab w:val="right" w:leader="dot" w:pos="9026"/>
            </w:tabs>
            <w:spacing w:line="360" w:lineRule="auto"/>
            <w:ind w:left="0" w:leftChars="0"/>
          </w:pPr>
          <w:r>
            <w:fldChar w:fldCharType="begin"/>
          </w:r>
          <w:r>
            <w:instrText xml:space="preserve"> HYPERLINK \l "_Toc773507643" </w:instrText>
          </w:r>
          <w:r>
            <w:fldChar w:fldCharType="separate"/>
          </w:r>
          <w:r>
            <w:rPr>
              <w:szCs w:val="22"/>
            </w:rPr>
            <w:t>Supplementary Table 1. CHEERS 2022 Checklist</w:t>
          </w:r>
          <w:r>
            <w:tab/>
          </w:r>
          <w:r>
            <w:fldChar w:fldCharType="begin"/>
          </w:r>
          <w:r>
            <w:instrText xml:space="preserve"> PAGEREF _Toc773507643 \h </w:instrText>
          </w:r>
          <w:r>
            <w:fldChar w:fldCharType="separate"/>
          </w:r>
          <w:r>
            <w:t>2</w:t>
          </w:r>
          <w:r>
            <w:fldChar w:fldCharType="end"/>
          </w:r>
          <w:r>
            <w:fldChar w:fldCharType="end"/>
          </w:r>
        </w:p>
        <w:p>
          <w:pPr>
            <w:pStyle w:val="7"/>
            <w:tabs>
              <w:tab w:val="right" w:leader="dot" w:pos="9026"/>
            </w:tabs>
            <w:spacing w:line="360" w:lineRule="auto"/>
            <w:ind w:left="0" w:leftChars="0"/>
          </w:pPr>
          <w:r>
            <w:fldChar w:fldCharType="begin"/>
          </w:r>
          <w:r>
            <w:instrText xml:space="preserve"> HYPERLINK \l "_Toc1624440610" </w:instrText>
          </w:r>
          <w:r>
            <w:fldChar w:fldCharType="separate"/>
          </w:r>
          <w:r>
            <w:rPr>
              <w:szCs w:val="22"/>
            </w:rPr>
            <w:t xml:space="preserve">Supplementary Table </w:t>
          </w:r>
          <w:r>
            <w:rPr>
              <w:rFonts w:hint="eastAsia"/>
              <w:szCs w:val="22"/>
            </w:rPr>
            <w:t>2</w:t>
          </w:r>
          <w:r>
            <w:rPr>
              <w:szCs w:val="22"/>
            </w:rPr>
            <w:t>. Detailed explanation of each column</w:t>
          </w:r>
          <w:r>
            <w:tab/>
          </w:r>
          <w:r>
            <w:fldChar w:fldCharType="begin"/>
          </w:r>
          <w:r>
            <w:instrText xml:space="preserve"> PAGEREF _Toc1624440610 \h </w:instrText>
          </w:r>
          <w:r>
            <w:fldChar w:fldCharType="separate"/>
          </w:r>
          <w:r>
            <w:t>5</w:t>
          </w:r>
          <w:r>
            <w:fldChar w:fldCharType="end"/>
          </w:r>
          <w:r>
            <w:fldChar w:fldCharType="end"/>
          </w:r>
        </w:p>
        <w:p>
          <w:pPr>
            <w:pStyle w:val="7"/>
            <w:tabs>
              <w:tab w:val="right" w:leader="dot" w:pos="9026"/>
            </w:tabs>
            <w:spacing w:line="360" w:lineRule="auto"/>
            <w:ind w:left="0" w:leftChars="0"/>
          </w:pPr>
          <w:r>
            <w:fldChar w:fldCharType="begin"/>
          </w:r>
          <w:r>
            <w:instrText xml:space="preserve"> HYPERLINK \l "_Toc1013727959" </w:instrText>
          </w:r>
          <w:r>
            <w:fldChar w:fldCharType="separate"/>
          </w:r>
          <w:r>
            <w:rPr>
              <w:szCs w:val="22"/>
            </w:rPr>
            <w:t xml:space="preserve">Supplementary Table </w:t>
          </w:r>
          <w:r>
            <w:rPr>
              <w:rFonts w:hint="eastAsia"/>
              <w:szCs w:val="22"/>
            </w:rPr>
            <w:t>3</w:t>
          </w:r>
          <w:r>
            <w:rPr>
              <w:szCs w:val="22"/>
            </w:rPr>
            <w:t xml:space="preserve">. </w:t>
          </w:r>
          <w:r>
            <w:rPr>
              <w:rFonts w:hint="eastAsia"/>
              <w:szCs w:val="22"/>
            </w:rPr>
            <w:t>Baseline characteristics of included patients</w:t>
          </w:r>
          <w:r>
            <w:tab/>
          </w:r>
          <w:r>
            <w:fldChar w:fldCharType="begin"/>
          </w:r>
          <w:r>
            <w:instrText xml:space="preserve"> PAGEREF _Toc1013727959 \h </w:instrText>
          </w:r>
          <w:r>
            <w:fldChar w:fldCharType="separate"/>
          </w:r>
          <w:r>
            <w:t>6</w:t>
          </w:r>
          <w:r>
            <w:fldChar w:fldCharType="end"/>
          </w:r>
          <w:r>
            <w:fldChar w:fldCharType="end"/>
          </w:r>
        </w:p>
        <w:p>
          <w:pPr>
            <w:pStyle w:val="7"/>
            <w:tabs>
              <w:tab w:val="right" w:leader="dot" w:pos="9026"/>
            </w:tabs>
            <w:spacing w:line="360" w:lineRule="auto"/>
            <w:ind w:left="0" w:leftChars="0"/>
          </w:pPr>
          <w:r>
            <w:fldChar w:fldCharType="begin"/>
          </w:r>
          <w:r>
            <w:instrText xml:space="preserve"> HYPERLINK \l "_Toc1738035262" </w:instrText>
          </w:r>
          <w:r>
            <w:fldChar w:fldCharType="separate"/>
          </w:r>
          <w:r>
            <w:rPr>
              <w:szCs w:val="22"/>
            </w:rPr>
            <w:t xml:space="preserve">Supplementary Table </w:t>
          </w:r>
          <w:r>
            <w:rPr>
              <w:rFonts w:hint="eastAsia"/>
              <w:szCs w:val="22"/>
            </w:rPr>
            <w:t>4</w:t>
          </w:r>
          <w:r>
            <w:rPr>
              <w:szCs w:val="22"/>
            </w:rPr>
            <w:t xml:space="preserve">. </w:t>
          </w:r>
          <w:r>
            <w:rPr>
              <w:rFonts w:hint="eastAsia"/>
              <w:szCs w:val="22"/>
            </w:rPr>
            <w:t>Results of generalized linear model analysis</w:t>
          </w:r>
          <w:r>
            <w:tab/>
          </w:r>
          <w:r>
            <w:fldChar w:fldCharType="begin"/>
          </w:r>
          <w:r>
            <w:instrText xml:space="preserve"> PAGEREF _Toc1738035262 \h </w:instrText>
          </w:r>
          <w:r>
            <w:fldChar w:fldCharType="separate"/>
          </w:r>
          <w:r>
            <w:t>9</w:t>
          </w:r>
          <w:r>
            <w:fldChar w:fldCharType="end"/>
          </w:r>
          <w:r>
            <w:fldChar w:fldCharType="end"/>
          </w:r>
        </w:p>
        <w:p>
          <w:r>
            <w:fldChar w:fldCharType="end"/>
          </w:r>
        </w:p>
        <w:p>
          <w:pPr>
            <w:rPr>
              <w:lang w:val="zh-CN"/>
            </w:rPr>
          </w:pPr>
        </w:p>
      </w:sdtContent>
    </w:sdt>
    <w:p>
      <w:pPr>
        <w:rPr>
          <w:lang w:val="zh-CN"/>
        </w:rPr>
      </w:pPr>
    </w:p>
    <w:p>
      <w:pPr>
        <w:rPr>
          <w:lang w:val="zh-CN"/>
        </w:rPr>
      </w:pPr>
    </w:p>
    <w:p>
      <w:pPr>
        <w:rPr>
          <w:lang w:val="zh-CN"/>
        </w:rPr>
      </w:pPr>
    </w:p>
    <w:p>
      <w:pPr>
        <w:rPr>
          <w:lang w:val="zh-CN"/>
        </w:rPr>
      </w:pPr>
    </w:p>
    <w:p>
      <w:r>
        <w:rPr>
          <w:rFonts w:hint="eastAsia"/>
        </w:rPr>
        <w:drawing>
          <wp:inline distT="0" distB="0" distL="114300" distR="114300">
            <wp:extent cx="5723890" cy="4853940"/>
            <wp:effectExtent l="0" t="0" r="6350" b="7620"/>
            <wp:docPr id="1" name="图片 1" descr="S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P1"/>
                    <pic:cNvPicPr>
                      <a:picLocks noChangeAspect="1"/>
                    </pic:cNvPicPr>
                  </pic:nvPicPr>
                  <pic:blipFill>
                    <a:blip r:embed="rId4"/>
                    <a:stretch>
                      <a:fillRect/>
                    </a:stretch>
                  </pic:blipFill>
                  <pic:spPr>
                    <a:xfrm>
                      <a:off x="0" y="0"/>
                      <a:ext cx="5723890" cy="4853940"/>
                    </a:xfrm>
                    <a:prstGeom prst="rect">
                      <a:avLst/>
                    </a:prstGeom>
                  </pic:spPr>
                </pic:pic>
              </a:graphicData>
            </a:graphic>
          </wp:inline>
        </w:drawing>
      </w:r>
    </w:p>
    <w:p>
      <w:pPr>
        <w:pStyle w:val="3"/>
        <w:rPr>
          <w:rFonts w:ascii="Times New Roman" w:hAnsi="Times New Roman" w:cs="Times New Roman"/>
          <w:sz w:val="22"/>
          <w:szCs w:val="22"/>
        </w:rPr>
      </w:pPr>
      <w:bookmarkStart w:id="2" w:name="_Toc114156096"/>
      <w:bookmarkStart w:id="3" w:name="_Toc537715517"/>
      <w:r>
        <w:rPr>
          <w:rFonts w:ascii="Times New Roman" w:hAnsi="Times New Roman" w:cs="Times New Roman"/>
          <w:sz w:val="22"/>
          <w:szCs w:val="22"/>
        </w:rPr>
        <w:t>Supplementary Figure 1. Flowchart of this study</w:t>
      </w:r>
      <w:bookmarkEnd w:id="2"/>
      <w:bookmarkEnd w:id="3"/>
    </w:p>
    <w:p>
      <w:r>
        <w:rPr>
          <w:sz w:val="22"/>
        </w:rPr>
        <w:t xml:space="preserve">Abbreviations: ICF: </w:t>
      </w:r>
      <w:r>
        <w:rPr>
          <w:rFonts w:hint="eastAsia"/>
        </w:rPr>
        <w:t xml:space="preserve">International Classification of Functioning, Disability, and Health </w:t>
      </w:r>
    </w:p>
    <w:p/>
    <w:p/>
    <w:p/>
    <w:p/>
    <w:p/>
    <w:p/>
    <w:p/>
    <w:p/>
    <w:p/>
    <w:p/>
    <w:p/>
    <w:p/>
    <w:p>
      <w:pPr>
        <w:pStyle w:val="3"/>
        <w:rPr>
          <w:rFonts w:ascii="Times New Roman" w:hAnsi="Times New Roman" w:cs="Times New Roman"/>
          <w:sz w:val="22"/>
          <w:szCs w:val="22"/>
        </w:rPr>
      </w:pPr>
      <w:bookmarkStart w:id="4" w:name="_Toc113974490"/>
      <w:bookmarkStart w:id="5" w:name="_Toc773507643"/>
      <w:bookmarkStart w:id="6" w:name="_Toc114156099"/>
      <w:r>
        <w:rPr>
          <w:rFonts w:ascii="Times New Roman" w:hAnsi="Times New Roman" w:cs="Times New Roman"/>
          <w:sz w:val="22"/>
          <w:szCs w:val="22"/>
        </w:rPr>
        <w:t xml:space="preserve">Supplementary Table </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SEQ Supplementary_Table \* ARABIC </w:instrText>
      </w:r>
      <w:r>
        <w:rPr>
          <w:rFonts w:ascii="Times New Roman" w:hAnsi="Times New Roman" w:cs="Times New Roman"/>
          <w:sz w:val="22"/>
          <w:szCs w:val="22"/>
        </w:rPr>
        <w:fldChar w:fldCharType="separate"/>
      </w:r>
      <w:r>
        <w:rPr>
          <w:rFonts w:ascii="Times New Roman" w:hAnsi="Times New Roman" w:cs="Times New Roman"/>
          <w:sz w:val="22"/>
          <w:szCs w:val="22"/>
        </w:rPr>
        <w:t>1</w:t>
      </w:r>
      <w:r>
        <w:rPr>
          <w:rFonts w:ascii="Times New Roman" w:hAnsi="Times New Roman" w:cs="Times New Roman"/>
          <w:sz w:val="22"/>
          <w:szCs w:val="22"/>
        </w:rPr>
        <w:fldChar w:fldCharType="end"/>
      </w:r>
      <w:r>
        <w:rPr>
          <w:rFonts w:ascii="Times New Roman" w:hAnsi="Times New Roman" w:cs="Times New Roman"/>
          <w:sz w:val="22"/>
          <w:szCs w:val="22"/>
        </w:rPr>
        <w:t>. CHEERS 2022 Checklist</w:t>
      </w:r>
      <w:bookmarkEnd w:id="4"/>
      <w:bookmarkEnd w:id="5"/>
      <w:bookmarkEnd w:id="6"/>
    </w:p>
    <w:tbl>
      <w:tblPr>
        <w:tblStyle w:val="13"/>
        <w:tblW w:w="9242" w:type="dxa"/>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5"/>
        <w:gridCol w:w="566"/>
        <w:gridCol w:w="5388"/>
        <w:gridCol w:w="1443"/>
      </w:tblGrid>
      <w:tr>
        <w:trPr>
          <w:trHeight w:val="350" w:hRule="atLeast"/>
        </w:trPr>
        <w:tc>
          <w:tcPr>
            <w:tcW w:w="1845" w:type="dxa"/>
          </w:tcPr>
          <w:p>
            <w:pPr>
              <w:autoSpaceDE w:val="0"/>
              <w:autoSpaceDN w:val="0"/>
              <w:rPr>
                <w:rFonts w:hint="default" w:ascii="Times New Roman Regular" w:hAnsi="Times New Roman Regular" w:cs="Times New Roman Regular" w:eastAsiaTheme="minorEastAsia"/>
                <w:b/>
                <w:bCs/>
                <w:lang w:eastAsia="en-US"/>
              </w:rPr>
            </w:pPr>
          </w:p>
        </w:tc>
        <w:tc>
          <w:tcPr>
            <w:tcW w:w="566" w:type="dxa"/>
          </w:tcPr>
          <w:p>
            <w:pPr>
              <w:autoSpaceDE w:val="0"/>
              <w:autoSpaceDN w:val="0"/>
              <w:rPr>
                <w:rFonts w:hint="default" w:ascii="Times New Roman Regular" w:hAnsi="Times New Roman Regular" w:cs="Times New Roman Regular" w:eastAsiaTheme="minorEastAsia"/>
                <w:b/>
                <w:bCs/>
                <w:lang w:eastAsia="en-US"/>
              </w:rPr>
            </w:pPr>
            <w:r>
              <w:rPr>
                <w:rFonts w:hint="default" w:ascii="Times New Roman Regular" w:hAnsi="Times New Roman Regular" w:cs="Times New Roman Regular" w:eastAsiaTheme="minorEastAsia"/>
                <w:b/>
                <w:bCs/>
                <w:lang w:eastAsia="en-US"/>
              </w:rPr>
              <w:t>Item</w:t>
            </w:r>
          </w:p>
        </w:tc>
        <w:tc>
          <w:tcPr>
            <w:tcW w:w="5388" w:type="dxa"/>
          </w:tcPr>
          <w:p>
            <w:pPr>
              <w:autoSpaceDE w:val="0"/>
              <w:autoSpaceDN w:val="0"/>
              <w:rPr>
                <w:rFonts w:hint="default" w:ascii="Times New Roman Regular" w:hAnsi="Times New Roman Regular" w:cs="Times New Roman Regular" w:eastAsiaTheme="minorEastAsia"/>
                <w:b/>
                <w:bCs/>
                <w:lang w:eastAsia="en-US"/>
              </w:rPr>
            </w:pPr>
            <w:r>
              <w:rPr>
                <w:rFonts w:hint="default" w:ascii="Times New Roman Regular" w:hAnsi="Times New Roman Regular" w:cs="Times New Roman Regular" w:eastAsiaTheme="minorEastAsia"/>
                <w:b/>
                <w:bCs/>
                <w:lang w:eastAsia="en-US"/>
              </w:rPr>
              <w:t>Guidance for Reporting</w:t>
            </w:r>
          </w:p>
        </w:tc>
        <w:tc>
          <w:tcPr>
            <w:tcW w:w="1443" w:type="dxa"/>
          </w:tcPr>
          <w:p>
            <w:pPr>
              <w:autoSpaceDE w:val="0"/>
              <w:autoSpaceDN w:val="0"/>
              <w:rPr>
                <w:rFonts w:hint="default" w:ascii="Times New Roman Regular" w:hAnsi="Times New Roman Regular" w:cs="Times New Roman Regular" w:eastAsiaTheme="minorEastAsia"/>
                <w:b/>
                <w:bCs/>
                <w:lang w:eastAsia="en-US"/>
              </w:rPr>
            </w:pPr>
            <w:r>
              <w:rPr>
                <w:rFonts w:hint="default" w:ascii="Times New Roman Regular" w:hAnsi="Times New Roman Regular" w:cs="Times New Roman Regular" w:eastAsiaTheme="minorEastAsia"/>
                <w:b/>
                <w:bCs/>
                <w:lang w:eastAsia="en-US"/>
              </w:rPr>
              <w:t>Reported in section</w:t>
            </w:r>
          </w:p>
        </w:tc>
      </w:tr>
      <w:tr>
        <w:trPr>
          <w:trHeight w:val="171" w:hRule="atLeast"/>
        </w:trPr>
        <w:tc>
          <w:tcPr>
            <w:tcW w:w="7799" w:type="dxa"/>
            <w:gridSpan w:val="3"/>
          </w:tcPr>
          <w:p>
            <w:pPr>
              <w:autoSpaceDE w:val="0"/>
              <w:autoSpaceDN w:val="0"/>
              <w:rPr>
                <w:rFonts w:hint="default" w:ascii="Times New Roman Regular" w:hAnsi="Times New Roman Regular" w:cs="Times New Roman Regular" w:eastAsiaTheme="minorEastAsia"/>
                <w:b/>
                <w:bCs/>
                <w:lang w:eastAsia="en-US"/>
              </w:rPr>
            </w:pPr>
            <w:r>
              <w:rPr>
                <w:rFonts w:hint="default" w:ascii="Times New Roman Regular" w:hAnsi="Times New Roman Regular" w:cs="Times New Roman Regular" w:eastAsiaTheme="minorEastAsia"/>
                <w:b/>
                <w:bCs/>
                <w:lang w:eastAsia="en-US"/>
              </w:rPr>
              <w:t>TITLE</w:t>
            </w:r>
          </w:p>
        </w:tc>
        <w:tc>
          <w:tcPr>
            <w:tcW w:w="1443" w:type="dxa"/>
          </w:tcPr>
          <w:p>
            <w:pPr>
              <w:autoSpaceDE w:val="0"/>
              <w:autoSpaceDN w:val="0"/>
              <w:rPr>
                <w:rFonts w:hint="default" w:ascii="Times New Roman Regular" w:hAnsi="Times New Roman Regular" w:cs="Times New Roman Regular" w:eastAsiaTheme="minorEastAsia"/>
                <w:b/>
                <w:bCs/>
                <w:lang w:eastAsia="en-US"/>
              </w:rPr>
            </w:pP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Title</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Identify the study as an economic evaluation and specify the interventions being compared.</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Title</w:t>
            </w:r>
          </w:p>
        </w:tc>
      </w:tr>
      <w:tr>
        <w:trPr>
          <w:trHeight w:val="172" w:hRule="atLeast"/>
        </w:trPr>
        <w:tc>
          <w:tcPr>
            <w:tcW w:w="7799" w:type="dxa"/>
            <w:gridSpan w:val="3"/>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b/>
                <w:bCs/>
                <w:lang w:eastAsia="en-US"/>
              </w:rPr>
              <w:t>ABSTRACT</w:t>
            </w:r>
          </w:p>
        </w:tc>
        <w:tc>
          <w:tcPr>
            <w:tcW w:w="1443" w:type="dxa"/>
          </w:tcPr>
          <w:p>
            <w:pPr>
              <w:autoSpaceDE w:val="0"/>
              <w:autoSpaceDN w:val="0"/>
              <w:rPr>
                <w:rFonts w:hint="default" w:ascii="Times New Roman Regular" w:hAnsi="Times New Roman Regular" w:cs="Times New Roman Regular" w:eastAsiaTheme="minorEastAsia"/>
                <w:lang w:eastAsia="en-US"/>
              </w:rPr>
            </w:pPr>
          </w:p>
        </w:tc>
      </w:tr>
      <w:tr>
        <w:trPr>
          <w:trHeight w:val="342"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Abstract</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2</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Provide a structured summary that highlights context, key methods, results and alternative analyses.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Abstract</w:t>
            </w:r>
          </w:p>
        </w:tc>
      </w:tr>
      <w:tr>
        <w:trPr>
          <w:trHeight w:val="170" w:hRule="atLeast"/>
        </w:trPr>
        <w:tc>
          <w:tcPr>
            <w:tcW w:w="7799" w:type="dxa"/>
            <w:gridSpan w:val="3"/>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b/>
                <w:bCs/>
                <w:lang w:eastAsia="en-US"/>
              </w:rPr>
              <w:t>INTRODUCTION</w:t>
            </w:r>
          </w:p>
        </w:tc>
        <w:tc>
          <w:tcPr>
            <w:tcW w:w="1443" w:type="dxa"/>
          </w:tcPr>
          <w:p>
            <w:pPr>
              <w:autoSpaceDE w:val="0"/>
              <w:autoSpaceDN w:val="0"/>
              <w:rPr>
                <w:rFonts w:hint="default" w:ascii="Times New Roman Regular" w:hAnsi="Times New Roman Regular" w:cs="Times New Roman Regular" w:eastAsiaTheme="minorEastAsia"/>
                <w:lang w:eastAsia="en-US"/>
              </w:rPr>
            </w:pPr>
          </w:p>
        </w:tc>
      </w:tr>
      <w:tr>
        <w:trPr>
          <w:trHeight w:val="540"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Background and objectives</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3</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Give the context for the study, the study question and its practical relevance for decision making in policy or practice.</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Introduction, all paragraphs</w:t>
            </w:r>
          </w:p>
        </w:tc>
      </w:tr>
      <w:tr>
        <w:trPr>
          <w:trHeight w:val="172" w:hRule="atLeast"/>
        </w:trPr>
        <w:tc>
          <w:tcPr>
            <w:tcW w:w="7799" w:type="dxa"/>
            <w:gridSpan w:val="3"/>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b/>
                <w:bCs/>
                <w:lang w:eastAsia="en-US"/>
              </w:rPr>
              <w:t>METHODS</w:t>
            </w:r>
          </w:p>
        </w:tc>
        <w:tc>
          <w:tcPr>
            <w:tcW w:w="1443" w:type="dxa"/>
          </w:tcPr>
          <w:p>
            <w:pPr>
              <w:autoSpaceDE w:val="0"/>
              <w:autoSpaceDN w:val="0"/>
              <w:rPr>
                <w:rFonts w:hint="default" w:ascii="Times New Roman Regular" w:hAnsi="Times New Roman Regular" w:cs="Times New Roman Regular" w:eastAsiaTheme="minorEastAsia"/>
                <w:lang w:eastAsia="en-US"/>
              </w:rPr>
            </w:pP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Health economic</w:t>
            </w: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analysis plan</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4</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Indicate whether a health economic analysis plan was developed and where available.</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all paragraphs, and Supplementary Figure 1</w:t>
            </w: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Study population</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5</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characteristics of the study population (such as age range, demographics, socioeconomic, or clinical characteristics).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paragraph 3</w:t>
            </w:r>
          </w:p>
        </w:tc>
      </w:tr>
      <w:tr>
        <w:trPr>
          <w:trHeight w:val="170"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Setting and location</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6</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Provide relevant contextual information that may influence findings.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Discussion, paragraph 7</w:t>
            </w:r>
          </w:p>
        </w:tc>
      </w:tr>
      <w:tr>
        <w:trPr>
          <w:trHeight w:val="172"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Comparators</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7</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the interventions or strategies being compared and why chosen.</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paragraph 4</w:t>
            </w:r>
          </w:p>
        </w:tc>
      </w:tr>
      <w:tr>
        <w:trPr>
          <w:trHeight w:val="172"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Perspective</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8</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State the perspective(s) adopted by the study and why chosen.</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paragraph 1</w:t>
            </w:r>
          </w:p>
        </w:tc>
      </w:tr>
      <w:tr>
        <w:trPr>
          <w:trHeight w:val="206"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Time horizon</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9</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State the time horizon for the study and why appropriate.</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paragraph 3</w:t>
            </w:r>
          </w:p>
        </w:tc>
      </w:tr>
      <w:tr>
        <w:trPr>
          <w:trHeight w:val="172"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Discount rate</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10</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Report the discount rate(s) and reason chosen.</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Not applicable</w:t>
            </w:r>
          </w:p>
        </w:tc>
      </w:tr>
      <w:tr>
        <w:trPr>
          <w:trHeight w:val="43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Selection of outcomes</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11</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what outcomes were used as the measure(s) of benefit(s) and harm(s).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 xml:space="preserve">Not applicable </w:t>
            </w:r>
          </w:p>
        </w:tc>
      </w:tr>
      <w:tr>
        <w:trPr>
          <w:trHeight w:val="4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Measurement of outcomes</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12</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how outcomes used to capture benefit(s) and harm(s) were measured.</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 xml:space="preserve">Not applicable </w:t>
            </w:r>
          </w:p>
        </w:tc>
      </w:tr>
      <w:tr>
        <w:trPr>
          <w:trHeight w:val="170"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Valuation of outcomes</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13</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the population and methods used to measure and value outcomes.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paragraph 1-4</w:t>
            </w:r>
          </w:p>
        </w:tc>
      </w:tr>
      <w:tr>
        <w:trPr>
          <w:trHeight w:val="513"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Measurement and valuation of resources</w:t>
            </w: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and costs</w:t>
            </w:r>
          </w:p>
        </w:tc>
        <w:tc>
          <w:tcPr>
            <w:tcW w:w="566" w:type="dxa"/>
          </w:tcPr>
          <w:p>
            <w:pPr>
              <w:autoSpaceDE w:val="0"/>
              <w:autoSpaceDN w:val="0"/>
              <w:rPr>
                <w:rFonts w:hint="default" w:ascii="Times New Roman Regular" w:hAnsi="Times New Roman Regular" w:cs="Times New Roman Regular" w:eastAsiaTheme="minorEastAsia"/>
                <w:lang w:eastAsia="en-US"/>
              </w:rPr>
            </w:pP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14</w:t>
            </w:r>
          </w:p>
        </w:tc>
        <w:tc>
          <w:tcPr>
            <w:tcW w:w="5388" w:type="dxa"/>
          </w:tcPr>
          <w:p>
            <w:pPr>
              <w:autoSpaceDE w:val="0"/>
              <w:autoSpaceDN w:val="0"/>
              <w:rPr>
                <w:rFonts w:hint="default" w:ascii="Times New Roman Regular" w:hAnsi="Times New Roman Regular" w:cs="Times New Roman Regular" w:eastAsiaTheme="minorEastAsia"/>
                <w:lang w:eastAsia="en-US"/>
              </w:rPr>
            </w:pP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how costs were valued.</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paragraph 5-6</w:t>
            </w: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Currency, price date, and conversion</w:t>
            </w:r>
          </w:p>
        </w:tc>
        <w:tc>
          <w:tcPr>
            <w:tcW w:w="566" w:type="dxa"/>
          </w:tcPr>
          <w:p>
            <w:pPr>
              <w:autoSpaceDE w:val="0"/>
              <w:autoSpaceDN w:val="0"/>
              <w:rPr>
                <w:rFonts w:hint="default" w:ascii="Times New Roman Regular" w:hAnsi="Times New Roman Regular" w:cs="Times New Roman Regular" w:eastAsiaTheme="minorEastAsia"/>
                <w:lang w:eastAsia="en-US"/>
              </w:rPr>
            </w:pP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15</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Report the dates of the estimated resource quantities and unit costs, plus the currency and year of conversion.</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paragraph 5-6</w:t>
            </w: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Rationale and</w:t>
            </w: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description of model</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16</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If modelling is used, describe in detail and why used. Report if the model is publicly available and where it can be accessed.</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paragraph 7</w:t>
            </w:r>
          </w:p>
        </w:tc>
      </w:tr>
      <w:tr>
        <w:trPr>
          <w:trHeight w:val="343"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Analytics and assumptions</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17</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any methods for analysing or statistically transforming data, any extrapolation methods, and approaches for validating any model used.</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paragraph 7</w:t>
            </w: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Characterizing heterogeneity</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18</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any methods used for estimating how the results of the study vary for sub-groups.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section, paragraph 4</w:t>
            </w: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Characterizing</w:t>
            </w: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distributional effects</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19</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how impacts are distributed across different individuals or adjustments made to reflect priority populations.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Not applicable</w:t>
            </w: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Characterizing uncertainty</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20</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methods to characterize any sources of uncertainty in the analysis.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Not reported</w:t>
            </w:r>
          </w:p>
        </w:tc>
      </w:tr>
      <w:tr>
        <w:trPr>
          <w:trHeight w:val="687"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Approach to engagement with patients and others affected by the study</w:t>
            </w:r>
          </w:p>
        </w:tc>
        <w:tc>
          <w:tcPr>
            <w:tcW w:w="566" w:type="dxa"/>
          </w:tcPr>
          <w:p>
            <w:pPr>
              <w:autoSpaceDE w:val="0"/>
              <w:autoSpaceDN w:val="0"/>
              <w:rPr>
                <w:rFonts w:hint="default" w:ascii="Times New Roman Regular" w:hAnsi="Times New Roman Regular" w:cs="Times New Roman Regular" w:eastAsiaTheme="minorEastAsia"/>
                <w:lang w:eastAsia="en-US"/>
              </w:rPr>
            </w:pP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21</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any approaches to engage patients or service recipients, the general public, communities, or stakeholders (e.g., clinicians or payers) in the design of the study.</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Not applicable</w:t>
            </w:r>
          </w:p>
        </w:tc>
      </w:tr>
      <w:tr>
        <w:trPr>
          <w:trHeight w:val="171" w:hRule="atLeast"/>
        </w:trPr>
        <w:tc>
          <w:tcPr>
            <w:tcW w:w="7799" w:type="dxa"/>
            <w:gridSpan w:val="3"/>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b/>
                <w:bCs/>
                <w:lang w:eastAsia="en-US"/>
              </w:rPr>
              <w:t>RESULTS</w:t>
            </w:r>
          </w:p>
        </w:tc>
        <w:tc>
          <w:tcPr>
            <w:tcW w:w="1443" w:type="dxa"/>
          </w:tcPr>
          <w:p>
            <w:pPr>
              <w:autoSpaceDE w:val="0"/>
              <w:autoSpaceDN w:val="0"/>
              <w:rPr>
                <w:rFonts w:hint="default" w:ascii="Times New Roman Regular" w:hAnsi="Times New Roman Regular" w:cs="Times New Roman Regular" w:eastAsiaTheme="minorEastAsia"/>
                <w:lang w:eastAsia="en-US"/>
              </w:rPr>
            </w:pP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Study parameters</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22</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Report all analytic inputs (e.g., values, ranges, references) including uncertainty or distributional assumptions.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Method, paragraph 3 and results, all paragraphs</w:t>
            </w: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Summary of main results</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23</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Report the mean values for the main categories of costs and outcomes of interest and summarise them in the most appropriate overall measure.</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Results, all paragraphs</w:t>
            </w:r>
          </w:p>
        </w:tc>
      </w:tr>
      <w:tr>
        <w:trPr>
          <w:trHeight w:val="517" w:hRule="atLeast"/>
        </w:trPr>
        <w:tc>
          <w:tcPr>
            <w:tcW w:w="1845" w:type="dxa"/>
          </w:tcPr>
          <w:p>
            <w:pPr>
              <w:autoSpaceDE w:val="0"/>
              <w:autoSpaceDN w:val="0"/>
              <w:rPr>
                <w:rFonts w:hint="default" w:ascii="Times New Roman Regular" w:hAnsi="Times New Roman Regular" w:cs="Times New Roman Regular" w:eastAsiaTheme="minorEastAsia"/>
                <w:lang w:eastAsia="en-US"/>
              </w:rPr>
            </w:pP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Effect of uncertainty</w:t>
            </w:r>
          </w:p>
        </w:tc>
        <w:tc>
          <w:tcPr>
            <w:tcW w:w="566" w:type="dxa"/>
          </w:tcPr>
          <w:p>
            <w:pPr>
              <w:autoSpaceDE w:val="0"/>
              <w:autoSpaceDN w:val="0"/>
              <w:rPr>
                <w:rFonts w:hint="default" w:ascii="Times New Roman Regular" w:hAnsi="Times New Roman Regular" w:cs="Times New Roman Regular" w:eastAsiaTheme="minorEastAsia"/>
                <w:lang w:eastAsia="en-US"/>
              </w:rPr>
            </w:pP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24</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how uncertainty about analytic judgments, inputs, or projections</w:t>
            </w: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affect findings. Report the effect of choice of discount rate and time horizon, if applicable.</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Discussion, paragraph 9</w:t>
            </w:r>
          </w:p>
        </w:tc>
      </w:tr>
      <w:tr>
        <w:trPr>
          <w:trHeight w:val="51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Effect of engagement with patients and others affected by the study</w:t>
            </w:r>
          </w:p>
        </w:tc>
        <w:tc>
          <w:tcPr>
            <w:tcW w:w="566" w:type="dxa"/>
          </w:tcPr>
          <w:p>
            <w:pPr>
              <w:autoSpaceDE w:val="0"/>
              <w:autoSpaceDN w:val="0"/>
              <w:rPr>
                <w:rFonts w:hint="default" w:ascii="Times New Roman Regular" w:hAnsi="Times New Roman Regular" w:cs="Times New Roman Regular" w:eastAsiaTheme="minorEastAsia"/>
                <w:lang w:eastAsia="en-US"/>
              </w:rPr>
            </w:pP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25</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Report on any difference patient/service recipient, general public, community, or stakeholder involvement made to the approach or findings of the study</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Not applicable</w:t>
            </w:r>
          </w:p>
        </w:tc>
      </w:tr>
      <w:tr>
        <w:trPr>
          <w:trHeight w:val="172" w:hRule="atLeast"/>
        </w:trPr>
        <w:tc>
          <w:tcPr>
            <w:tcW w:w="7799" w:type="dxa"/>
            <w:gridSpan w:val="3"/>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b/>
                <w:bCs/>
                <w:lang w:eastAsia="en-US"/>
              </w:rPr>
              <w:t>DISCUSSION</w:t>
            </w:r>
          </w:p>
        </w:tc>
        <w:tc>
          <w:tcPr>
            <w:tcW w:w="1443" w:type="dxa"/>
          </w:tcPr>
          <w:p>
            <w:pPr>
              <w:autoSpaceDE w:val="0"/>
              <w:autoSpaceDN w:val="0"/>
              <w:rPr>
                <w:rFonts w:hint="default" w:ascii="Times New Roman Regular" w:hAnsi="Times New Roman Regular" w:cs="Times New Roman Regular" w:eastAsiaTheme="minorEastAsia"/>
                <w:lang w:eastAsia="en-US"/>
              </w:rPr>
            </w:pPr>
          </w:p>
        </w:tc>
      </w:tr>
      <w:tr>
        <w:trPr>
          <w:trHeight w:val="782"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Study findings, limitations, generalizability, and current knowledge</w:t>
            </w:r>
          </w:p>
        </w:tc>
        <w:tc>
          <w:tcPr>
            <w:tcW w:w="566" w:type="dxa"/>
          </w:tcPr>
          <w:p>
            <w:pPr>
              <w:autoSpaceDE w:val="0"/>
              <w:autoSpaceDN w:val="0"/>
              <w:rPr>
                <w:rFonts w:hint="default" w:ascii="Times New Roman Regular" w:hAnsi="Times New Roman Regular" w:cs="Times New Roman Regular" w:eastAsiaTheme="minorEastAsia"/>
                <w:lang w:eastAsia="en-US"/>
              </w:rPr>
            </w:pP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26</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Report key findings, limitations, ethical or equity considerations not captured, and how these could impact patients, policy, or practice.</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Discussion</w:t>
            </w:r>
          </w:p>
        </w:tc>
      </w:tr>
      <w:tr>
        <w:trPr>
          <w:trHeight w:val="172" w:hRule="atLeast"/>
        </w:trPr>
        <w:tc>
          <w:tcPr>
            <w:tcW w:w="9242" w:type="dxa"/>
            <w:gridSpan w:val="4"/>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b/>
                <w:bCs/>
                <w:lang w:eastAsia="en-US"/>
              </w:rPr>
              <w:t>OTHER RELEVANT INFORMATION</w:t>
            </w:r>
          </w:p>
        </w:tc>
      </w:tr>
      <w:tr>
        <w:trPr>
          <w:trHeight w:val="345"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Source of funding</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27</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Describe how the study was funded and any role of the funder in the identification, design, conduct, and reporting of the analysis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Abstract, paragraph 5</w:t>
            </w:r>
          </w:p>
        </w:tc>
      </w:tr>
      <w:tr>
        <w:trPr>
          <w:trHeight w:val="347" w:hRule="atLeast"/>
        </w:trPr>
        <w:tc>
          <w:tcPr>
            <w:tcW w:w="1845"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Conflicts of interest</w:t>
            </w:r>
          </w:p>
        </w:tc>
        <w:tc>
          <w:tcPr>
            <w:tcW w:w="566"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28</w:t>
            </w:r>
          </w:p>
        </w:tc>
        <w:tc>
          <w:tcPr>
            <w:tcW w:w="5388"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Report authors conflicts of interest according to journal or</w:t>
            </w:r>
          </w:p>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International Committee of Medical Journal Editors requirements.</w:t>
            </w:r>
          </w:p>
        </w:tc>
        <w:tc>
          <w:tcPr>
            <w:tcW w:w="1443" w:type="dxa"/>
          </w:tcPr>
          <w:p>
            <w:pPr>
              <w:autoSpaceDE w:val="0"/>
              <w:autoSpaceDN w:val="0"/>
              <w:rPr>
                <w:rFonts w:hint="default" w:ascii="Times New Roman Regular" w:hAnsi="Times New Roman Regular" w:cs="Times New Roman Regular" w:eastAsiaTheme="minorEastAsia"/>
                <w:lang w:eastAsia="en-US"/>
              </w:rPr>
            </w:pPr>
            <w:r>
              <w:rPr>
                <w:rFonts w:hint="default" w:ascii="Times New Roman Regular" w:hAnsi="Times New Roman Regular" w:cs="Times New Roman Regular" w:eastAsiaTheme="minorEastAsia"/>
                <w:lang w:eastAsia="en-US"/>
              </w:rPr>
              <w:t>Declaration of interests</w:t>
            </w:r>
          </w:p>
        </w:tc>
      </w:tr>
    </w:tbl>
    <w:p>
      <w:pPr>
        <w:pStyle w:val="5"/>
        <w:ind w:left="104" w:right="160"/>
        <w:rPr>
          <w:sz w:val="22"/>
          <w:szCs w:val="22"/>
        </w:rPr>
      </w:pPr>
      <w:r>
        <w:rPr>
          <w:sz w:val="22"/>
          <w:szCs w:val="22"/>
        </w:rPr>
        <w:t>Husereau D, Drummond M, Augustovski F, de Bekker-Grob E, Briggs AH, Carswell C, Caulley L, Chaiyakunapruk N, Greenberg D, Loder E, Mauskopf J, Mullins CD, Petrou S, Pwu RF, Staniszewska S; CHEERS 2022 ISPOR Good Research Practices Task Force. Consolidated Health Economic Evaluation Reporting Standards 2022 (CHEERS 2022) Statement: Updated Reporting Guidance for Health Economic Evaluations. BMJ. 2022;376:e067975.</w:t>
      </w:r>
    </w:p>
    <w:p>
      <w:pPr>
        <w:pStyle w:val="5"/>
        <w:ind w:left="104" w:right="288"/>
        <w:jc w:val="both"/>
        <w:rPr>
          <w:rFonts w:eastAsiaTheme="minorEastAsia"/>
          <w:b/>
          <w:bCs/>
          <w:sz w:val="22"/>
          <w:szCs w:val="22"/>
        </w:rPr>
        <w:sectPr>
          <w:pgSz w:w="11906" w:h="16838"/>
          <w:pgMar w:top="1440" w:right="1440" w:bottom="1440" w:left="1440" w:header="851" w:footer="992" w:gutter="0"/>
          <w:cols w:space="425" w:num="1"/>
          <w:docGrid w:type="lines" w:linePitch="326" w:charSpace="0"/>
        </w:sectPr>
      </w:pPr>
      <w:r>
        <w:rPr>
          <w:sz w:val="22"/>
          <w:szCs w:val="22"/>
        </w:rPr>
        <w:t>The checklist is Open Access distributed in accordance with the terms of the Creative Commons Attribution (CC BY 4.0) license, which permits others to distribute, remix, adapt and build upon this work, for commercial use, provided the original work is properly cited. See:</w:t>
      </w:r>
      <w:r>
        <w:fldChar w:fldCharType="begin"/>
      </w:r>
      <w:r>
        <w:instrText xml:space="preserve"> HYPERLINK "http://creativecommons.org/licenses/by/4.0/" \h </w:instrText>
      </w:r>
      <w:r>
        <w:fldChar w:fldCharType="separate"/>
      </w:r>
      <w:r>
        <w:rPr>
          <w:sz w:val="22"/>
          <w:szCs w:val="22"/>
        </w:rPr>
        <w:t xml:space="preserve"> http://creativecommons.org/licenses/by/4.0/.</w:t>
      </w:r>
      <w:r>
        <w:rPr>
          <w:sz w:val="22"/>
          <w:szCs w:val="22"/>
        </w:rPr>
        <w:fldChar w:fldCharType="end"/>
      </w:r>
    </w:p>
    <w:p>
      <w:pPr>
        <w:pStyle w:val="3"/>
      </w:pPr>
      <w:bookmarkStart w:id="7" w:name="_Toc1624440610"/>
      <w:bookmarkStart w:id="8" w:name="_Toc114156100"/>
      <w:bookmarkStart w:id="9" w:name="_Toc113974491"/>
      <w:r>
        <w:rPr>
          <w:rFonts w:ascii="Times New Roman" w:hAnsi="Times New Roman" w:cs="Times New Roman"/>
          <w:sz w:val="22"/>
          <w:szCs w:val="22"/>
        </w:rPr>
        <w:t xml:space="preserve">Supplementary Table </w:t>
      </w:r>
      <w:r>
        <w:rPr>
          <w:rFonts w:hint="eastAsia" w:ascii="Times New Roman" w:hAnsi="Times New Roman" w:cs="Times New Roman"/>
          <w:sz w:val="22"/>
          <w:szCs w:val="22"/>
        </w:rPr>
        <w:t>2</w:t>
      </w:r>
      <w:r>
        <w:rPr>
          <w:rFonts w:ascii="Times New Roman" w:hAnsi="Times New Roman" w:cs="Times New Roman"/>
          <w:sz w:val="22"/>
          <w:szCs w:val="22"/>
        </w:rPr>
        <w:t>. Detailed explanation of each column</w:t>
      </w:r>
      <w:bookmarkEnd w:id="7"/>
      <w:bookmarkEnd w:id="8"/>
      <w:bookmarkEnd w:id="9"/>
    </w:p>
    <w:tbl>
      <w:tblPr>
        <w:tblStyle w:val="8"/>
        <w:tblpPr w:leftFromText="180" w:rightFromText="180" w:vertAnchor="text" w:horzAnchor="page" w:tblpX="1512" w:tblpY="640"/>
        <w:tblOverlap w:val="never"/>
        <w:tblW w:w="9242" w:type="dxa"/>
        <w:tblInd w:w="0" w:type="dxa"/>
        <w:tblLayout w:type="fixed"/>
        <w:tblCellMar>
          <w:top w:w="0" w:type="dxa"/>
          <w:left w:w="108" w:type="dxa"/>
          <w:bottom w:w="0" w:type="dxa"/>
          <w:right w:w="108" w:type="dxa"/>
        </w:tblCellMar>
      </w:tblPr>
      <w:tblGrid>
        <w:gridCol w:w="2748"/>
        <w:gridCol w:w="6494"/>
      </w:tblGrid>
      <w:tr>
        <w:trPr>
          <w:trHeight w:val="336" w:hRule="atLeast"/>
        </w:trPr>
        <w:tc>
          <w:tcPr>
            <w:tcW w:w="2748" w:type="dxa"/>
            <w:tcBorders>
              <w:top w:val="single" w:color="000000" w:sz="12" w:space="0"/>
              <w:left w:val="nil"/>
              <w:bottom w:val="single" w:color="000000" w:sz="4" w:space="0"/>
              <w:right w:val="nil"/>
              <w:tl2br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Columns</w:t>
            </w:r>
          </w:p>
        </w:tc>
        <w:tc>
          <w:tcPr>
            <w:tcW w:w="6494"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Explanation</w:t>
            </w:r>
          </w:p>
        </w:tc>
      </w:tr>
      <w:tr>
        <w:trPr>
          <w:trHeight w:val="336" w:hRule="atLeast"/>
        </w:trPr>
        <w:tc>
          <w:tcPr>
            <w:tcW w:w="2748"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General medical service</w:t>
            </w:r>
          </w:p>
        </w:tc>
        <w:tc>
          <w:tcPr>
            <w:tcW w:w="6494"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Fees incurred by doctors during diagnosis, including registration fees, consultation fees, etc.</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General treatment operation </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Doctors or nurses charge fees for general treatment operations, such as injection of drugs, infusion, removal of stitches, change of medication, and other routine medical operations.</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hint="eastAsia" w:ascii="Times New Roman Regular" w:hAnsi="Times New Roman Regular" w:cs="Times New Roman Regular"/>
                <w:color w:val="000000"/>
                <w:kern w:val="0"/>
                <w:sz w:val="21"/>
                <w:szCs w:val="21"/>
                <w:lang w:bidi="ar"/>
              </w:rPr>
              <w:t>Nursing service</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The cost incurred by the medical care services provided by nursing staff. The nursing staff is responsible for the patient's daily care, including temperature measurement, blood pressure monitoring, condition observation, and assisting the patient in activities. Fees are billed according to the level of care and the duration of care.</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Other </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Other related fees that do not fall into the above fee categories.</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Pathological diagnosis </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Fees incurred by the hospital for pathological histologic examination of the patient are used to clarify the nature of the disease and the extent of the lesion.</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hint="eastAsia" w:ascii="Times New Roman Regular" w:hAnsi="Times New Roman Regular" w:cs="Times New Roman Regular"/>
                <w:color w:val="000000"/>
                <w:kern w:val="0"/>
                <w:sz w:val="21"/>
                <w:szCs w:val="21"/>
                <w:lang w:bidi="ar"/>
              </w:rPr>
              <w:t>Laboratory examination</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Fees incurred by hospitals or clinics for various laboratory tests performed on patients to help doctors understand the patient's health condition. These tests include blood tests, urinalysis, etc.</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Imaging</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Fees incurred for various imaging tests (e.g., X-rays, CT, MRI, etc.) performed by the hospital to assist the doctor in making a diagnosis.</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Clinical diagnosis</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Doctors prescribe fees for clinical diagnostic programs, such as electrocardiograms, ultrasound examinations, etc., based on patients' symptoms and signs.</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Non-surgical treatment </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Fees incurred for treatment programs that are not performed through surgery.</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Surgical treatment </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Fees incurred for treatment items performed through surgery.</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Rehabilitation </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Fees incurred when the patient undergoes rehabilitation.</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Total cost of medicine</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Costs incurred for medications used by the patient.</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hint="eastAsia" w:ascii="Times New Roman Regular" w:hAnsi="Times New Roman Regular" w:cs="Times New Roman Regular"/>
                <w:color w:val="000000"/>
                <w:kern w:val="0"/>
                <w:sz w:val="21"/>
                <w:szCs w:val="21"/>
                <w:lang w:bidi="ar"/>
              </w:rPr>
              <w:t xml:space="preserve">Blood transfusion </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Costs incurred for blood products given to the patient for transfusion as needed.</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Travel expenses</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Expenses incurred for transportation due to doctor's visits or home visits, etc.</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Revenue deduction</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This refers to a decrease in income due to unavoidable circumstances, such as a decrease in salary during sick leave.</w:t>
            </w: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kern w:val="0"/>
                <w:sz w:val="21"/>
                <w:szCs w:val="21"/>
                <w:lang w:bidi="ar"/>
              </w:rPr>
            </w:pPr>
            <w:bookmarkStart w:id="10" w:name="_Toc1013727959"/>
            <w:r>
              <w:rPr>
                <w:rFonts w:hint="eastAsia" w:ascii="Times New Roman Regular" w:hAnsi="Times New Roman Regular" w:cs="Times New Roman Regular"/>
                <w:color w:val="000000"/>
                <w:kern w:val="0"/>
                <w:sz w:val="21"/>
                <w:szCs w:val="21"/>
                <w:lang w:bidi="ar"/>
              </w:rPr>
              <w:t>Consumable medical items for examination</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kern w:val="0"/>
                <w:sz w:val="21"/>
                <w:szCs w:val="21"/>
                <w:lang w:bidi="ar"/>
              </w:rPr>
            </w:pPr>
            <w:r>
              <w:rPr>
                <w:rFonts w:ascii="Times New Roman Regular" w:hAnsi="Times New Roman Regular" w:cs="Times New Roman Regular"/>
                <w:color w:val="000000"/>
                <w:kern w:val="0"/>
                <w:sz w:val="21"/>
                <w:szCs w:val="21"/>
                <w:lang w:bidi="ar"/>
              </w:rPr>
              <w:t>These expenses typically refer to the items consumed during medical examinations, such as disposable gloves, cotton swabs, medications, disinfectants, etc.</w:t>
            </w:r>
          </w:p>
          <w:p>
            <w:pPr>
              <w:widowControl/>
              <w:jc w:val="left"/>
              <w:textAlignment w:val="center"/>
              <w:rPr>
                <w:rFonts w:ascii="Times New Roman Regular" w:hAnsi="Times New Roman Regular" w:cs="Times New Roman Regular"/>
                <w:color w:val="000000"/>
                <w:kern w:val="0"/>
                <w:sz w:val="21"/>
                <w:szCs w:val="21"/>
                <w:lang w:bidi="ar"/>
              </w:rPr>
            </w:pPr>
          </w:p>
        </w:tc>
      </w:tr>
      <w:tr>
        <w:trPr>
          <w:trHeight w:val="336" w:hRule="atLeast"/>
        </w:trPr>
        <w:tc>
          <w:tcPr>
            <w:tcW w:w="27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kern w:val="0"/>
                <w:sz w:val="21"/>
                <w:szCs w:val="21"/>
                <w:lang w:bidi="ar"/>
              </w:rPr>
            </w:pPr>
            <w:r>
              <w:rPr>
                <w:rFonts w:ascii="Times New Roman Regular" w:hAnsi="Times New Roman Regular" w:cs="Times New Roman Regular"/>
                <w:color w:val="000000"/>
                <w:kern w:val="0"/>
                <w:sz w:val="21"/>
                <w:szCs w:val="21"/>
                <w:lang w:bidi="ar"/>
              </w:rPr>
              <w:t>D</w:t>
            </w:r>
            <w:r>
              <w:rPr>
                <w:rFonts w:hint="eastAsia" w:ascii="Times New Roman Regular" w:hAnsi="Times New Roman Regular" w:cs="Times New Roman Regular"/>
                <w:color w:val="000000"/>
                <w:kern w:val="0"/>
                <w:sz w:val="21"/>
                <w:szCs w:val="21"/>
                <w:lang w:bidi="ar"/>
              </w:rPr>
              <w:t>isposable medical materials for treatment</w:t>
            </w:r>
          </w:p>
        </w:tc>
        <w:tc>
          <w:tcPr>
            <w:tcW w:w="649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kern w:val="0"/>
                <w:sz w:val="21"/>
                <w:szCs w:val="21"/>
                <w:lang w:bidi="ar"/>
              </w:rPr>
            </w:pPr>
            <w:r>
              <w:rPr>
                <w:rFonts w:hint="eastAsia" w:ascii="Times New Roman Regular" w:hAnsi="Times New Roman Regular" w:cs="Times New Roman Regular"/>
                <w:color w:val="000000"/>
                <w:kern w:val="0"/>
                <w:sz w:val="21"/>
                <w:szCs w:val="21"/>
                <w:lang w:bidi="ar"/>
              </w:rPr>
              <w:t>These expenses refer to the disposable medical materials used during treatment, such as dressings, catheters, syringes, IV tubing, etc.</w:t>
            </w:r>
          </w:p>
        </w:tc>
      </w:tr>
      <w:tr>
        <w:trPr>
          <w:trHeight w:val="336" w:hRule="atLeast"/>
        </w:trPr>
        <w:tc>
          <w:tcPr>
            <w:tcW w:w="2748"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kern w:val="0"/>
                <w:sz w:val="21"/>
                <w:szCs w:val="21"/>
                <w:lang w:bidi="ar"/>
              </w:rPr>
            </w:pPr>
            <w:r>
              <w:rPr>
                <w:rFonts w:ascii="Times New Roman Regular" w:hAnsi="Times New Roman Regular" w:cs="Times New Roman Regular"/>
                <w:color w:val="000000"/>
                <w:kern w:val="0"/>
                <w:sz w:val="21"/>
                <w:szCs w:val="21"/>
                <w:lang w:bidi="ar"/>
              </w:rPr>
              <w:t>D</w:t>
            </w:r>
            <w:r>
              <w:rPr>
                <w:rFonts w:hint="eastAsia" w:ascii="Times New Roman Regular" w:hAnsi="Times New Roman Regular" w:cs="Times New Roman Regular"/>
                <w:color w:val="000000"/>
                <w:kern w:val="0"/>
                <w:sz w:val="21"/>
                <w:szCs w:val="21"/>
                <w:lang w:bidi="ar"/>
              </w:rPr>
              <w:t>isposable medical materials for surgery</w:t>
            </w:r>
          </w:p>
        </w:tc>
        <w:tc>
          <w:tcPr>
            <w:tcW w:w="6494"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kern w:val="0"/>
                <w:sz w:val="21"/>
                <w:szCs w:val="21"/>
                <w:lang w:bidi="ar"/>
              </w:rPr>
            </w:pPr>
            <w:r>
              <w:rPr>
                <w:rFonts w:hint="eastAsia" w:ascii="Times New Roman Regular" w:hAnsi="Times New Roman Regular" w:cs="Times New Roman Regular"/>
                <w:color w:val="000000"/>
                <w:kern w:val="0"/>
                <w:sz w:val="21"/>
                <w:szCs w:val="21"/>
                <w:lang w:bidi="ar"/>
              </w:rPr>
              <w:t xml:space="preserve">These expenses refer to the disposable medical materials used during surgery, such as surgical drapes, scalpel blades, sutures, hemostatic agents, </w:t>
            </w:r>
            <w:r>
              <w:rPr>
                <w:rFonts w:ascii="Times New Roman Regular" w:hAnsi="Times New Roman Regular" w:cs="Times New Roman Regular"/>
                <w:color w:val="000000"/>
                <w:kern w:val="0"/>
                <w:sz w:val="21"/>
                <w:szCs w:val="21"/>
                <w:lang w:bidi="ar"/>
              </w:rPr>
              <w:t>etc</w:t>
            </w:r>
            <w:r>
              <w:rPr>
                <w:rFonts w:hint="eastAsia" w:ascii="Times New Roman Regular" w:hAnsi="Times New Roman Regular" w:cs="Times New Roman Regular"/>
                <w:color w:val="000000"/>
                <w:kern w:val="0"/>
                <w:sz w:val="21"/>
                <w:szCs w:val="21"/>
                <w:lang w:bidi="ar"/>
              </w:rPr>
              <w:t>.</w:t>
            </w:r>
          </w:p>
        </w:tc>
      </w:tr>
    </w:tbl>
    <w:p>
      <w:pPr>
        <w:pStyle w:val="3"/>
        <w:rPr>
          <w:rFonts w:ascii="Times New Roman" w:hAnsi="Times New Roman" w:cs="Times New Roman"/>
          <w:sz w:val="21"/>
          <w:szCs w:val="21"/>
        </w:rPr>
      </w:pPr>
      <w:r>
        <w:rPr>
          <w:rFonts w:ascii="Times New Roman" w:hAnsi="Times New Roman" w:cs="Times New Roman"/>
          <w:sz w:val="22"/>
          <w:szCs w:val="22"/>
        </w:rPr>
        <w:t xml:space="preserve">Supplementary Table </w:t>
      </w:r>
      <w:r>
        <w:rPr>
          <w:rFonts w:hint="eastAsia" w:ascii="Times New Roman" w:hAnsi="Times New Roman" w:cs="Times New Roman"/>
          <w:sz w:val="22"/>
          <w:szCs w:val="22"/>
        </w:rPr>
        <w:t>3</w:t>
      </w:r>
      <w:r>
        <w:rPr>
          <w:rFonts w:ascii="Times New Roman" w:hAnsi="Times New Roman" w:cs="Times New Roman"/>
          <w:sz w:val="22"/>
          <w:szCs w:val="22"/>
        </w:rPr>
        <w:t xml:space="preserve">. </w:t>
      </w:r>
      <w:r>
        <w:rPr>
          <w:rFonts w:hint="eastAsia" w:ascii="Times New Roman" w:hAnsi="Times New Roman" w:cs="Times New Roman"/>
          <w:sz w:val="22"/>
          <w:szCs w:val="22"/>
        </w:rPr>
        <w:t>Baseline characteristics of included patients</w:t>
      </w:r>
      <w:bookmarkEnd w:id="10"/>
    </w:p>
    <w:tbl>
      <w:tblPr>
        <w:tblStyle w:val="8"/>
        <w:tblpPr w:leftFromText="180" w:rightFromText="180" w:vertAnchor="text" w:horzAnchor="page" w:tblpX="1886" w:tblpY="311"/>
        <w:tblOverlap w:val="never"/>
        <w:tblW w:w="8287" w:type="dxa"/>
        <w:tblInd w:w="0" w:type="dxa"/>
        <w:tblLayout w:type="fixed"/>
        <w:tblCellMar>
          <w:top w:w="0" w:type="dxa"/>
          <w:left w:w="108" w:type="dxa"/>
          <w:bottom w:w="0" w:type="dxa"/>
          <w:right w:w="108" w:type="dxa"/>
        </w:tblCellMar>
      </w:tblPr>
      <w:tblGrid>
        <w:gridCol w:w="2140"/>
        <w:gridCol w:w="1547"/>
        <w:gridCol w:w="1148"/>
        <w:gridCol w:w="1174"/>
        <w:gridCol w:w="1148"/>
        <w:gridCol w:w="1130"/>
      </w:tblGrid>
      <w:tr>
        <w:trPr>
          <w:trHeight w:val="336" w:hRule="atLeast"/>
        </w:trPr>
        <w:tc>
          <w:tcPr>
            <w:tcW w:w="2140" w:type="dxa"/>
            <w:tcBorders>
              <w:top w:val="single" w:color="000000" w:sz="12" w:space="0"/>
              <w:left w:val="nil"/>
              <w:bottom w:val="single" w:color="000000" w:sz="4" w:space="0"/>
              <w:right w:val="nil"/>
              <w:tl2br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Variables</w:t>
            </w:r>
          </w:p>
        </w:tc>
        <w:tc>
          <w:tcPr>
            <w:tcW w:w="1547"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Whole cohort (n = 8804)</w:t>
            </w:r>
          </w:p>
        </w:tc>
        <w:tc>
          <w:tcPr>
            <w:tcW w:w="1148"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2015-2016(n = 1379)</w:t>
            </w:r>
          </w:p>
        </w:tc>
        <w:tc>
          <w:tcPr>
            <w:tcW w:w="1174"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2017-2018(n = 2123)</w:t>
            </w:r>
          </w:p>
        </w:tc>
        <w:tc>
          <w:tcPr>
            <w:tcW w:w="1148"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2019-2020(n = 2348)</w:t>
            </w:r>
          </w:p>
        </w:tc>
        <w:tc>
          <w:tcPr>
            <w:tcW w:w="1130"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2021-2022(n = 2954)</w:t>
            </w:r>
          </w:p>
        </w:tc>
      </w:tr>
      <w:tr>
        <w:trPr>
          <w:trHeight w:val="336" w:hRule="atLeast"/>
        </w:trPr>
        <w:tc>
          <w:tcPr>
            <w:tcW w:w="2140"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Bold" w:hAnsi="Times New Roman Bold" w:cs="Times New Roman Bold"/>
                <w:b/>
                <w:bCs/>
                <w:color w:val="000000"/>
                <w:sz w:val="21"/>
                <w:szCs w:val="21"/>
              </w:rPr>
            </w:pPr>
            <w:r>
              <w:rPr>
                <w:rFonts w:ascii="Times New Roman Bold" w:hAnsi="Times New Roman Bold" w:cs="Times New Roman Bold"/>
                <w:b/>
                <w:bCs/>
                <w:color w:val="000000"/>
                <w:kern w:val="0"/>
                <w:sz w:val="21"/>
                <w:szCs w:val="21"/>
                <w:lang w:bidi="ar"/>
              </w:rPr>
              <w:t>Age</w:t>
            </w:r>
          </w:p>
        </w:tc>
        <w:tc>
          <w:tcPr>
            <w:tcW w:w="1547"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46.82 (20.49)</w:t>
            </w:r>
          </w:p>
        </w:tc>
        <w:tc>
          <w:tcPr>
            <w:tcW w:w="1148"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45.72 (21.47)</w:t>
            </w:r>
          </w:p>
        </w:tc>
        <w:tc>
          <w:tcPr>
            <w:tcW w:w="1174"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46.71 (20.61)</w:t>
            </w:r>
          </w:p>
        </w:tc>
        <w:tc>
          <w:tcPr>
            <w:tcW w:w="1148"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46.75 (19.73)</w:t>
            </w:r>
          </w:p>
        </w:tc>
        <w:tc>
          <w:tcPr>
            <w:tcW w:w="1130"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47.46 (20.51)</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Bold" w:hAnsi="Times New Roman Bold" w:cs="Times New Roman Bold"/>
                <w:b/>
                <w:bCs/>
                <w:color w:val="000000"/>
                <w:sz w:val="21"/>
                <w:szCs w:val="21"/>
              </w:rPr>
            </w:pPr>
            <w:r>
              <w:rPr>
                <w:rFonts w:ascii="Times New Roman Bold" w:hAnsi="Times New Roman Bold" w:cs="Times New Roman Bold"/>
                <w:b/>
                <w:bCs/>
                <w:color w:val="000000"/>
                <w:kern w:val="0"/>
                <w:sz w:val="21"/>
                <w:szCs w:val="21"/>
                <w:lang w:bidi="ar"/>
              </w:rPr>
              <w:t>gender</w:t>
            </w:r>
          </w:p>
        </w:tc>
        <w:tc>
          <w:tcPr>
            <w:tcW w:w="154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48"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7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48"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30"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   male</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4992 (56.7%)</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808 (58.59%)</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1209 (56.95%)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1317 (56.09%)</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1658 (56.13%)</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  female</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3812 (43.3%)</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571 (41.41%)</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914 (43.05%)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1031 (43.91%)</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1296 (43.87%)</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Bold" w:hAnsi="Times New Roman Bold" w:cs="Times New Roman Bold"/>
                <w:b/>
                <w:bCs/>
                <w:color w:val="000000"/>
                <w:kern w:val="0"/>
                <w:sz w:val="21"/>
                <w:szCs w:val="21"/>
                <w:lang w:bidi="ar"/>
              </w:rPr>
              <w:t>ICF</w:t>
            </w:r>
          </w:p>
        </w:tc>
        <w:tc>
          <w:tcPr>
            <w:tcW w:w="154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48"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7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48"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30"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   S710</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57 (0.65%)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7 (0.51%)</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12 (0.57%)</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18 (0.77%)</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 (0.68%)</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   S720</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987 (11.21%)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28 (2.03%)</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224 (10.55%)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364 (15.5%)</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371 (12.56%)</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   S730</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2216 (25.17%)</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518 (37.56%)</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626 (29.49%)</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509 (21.68%)</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563 (19.06%)</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   S740</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24 (0.27%)</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 (0.36%)</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6 (0.28%)</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 (0.09%)</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 (0.37%)</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   S750</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4496 (51.07%)</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596 (43.22%)</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1014 (47.76%)</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1269 (54.05%)</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1617 (54.74%)</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   S760</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1024 (11.63%)</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225 (16.32%)</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241 (11.35%)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186 (7.92%)</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372 (12.59%)</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Bold" w:hAnsi="Times New Roman Bold" w:cs="Times New Roman Bold"/>
                <w:b/>
                <w:bCs/>
                <w:color w:val="000000"/>
                <w:kern w:val="0"/>
                <w:sz w:val="21"/>
                <w:szCs w:val="21"/>
                <w:lang w:bidi="ar"/>
              </w:rPr>
              <w:t>level of surgery</w:t>
            </w:r>
          </w:p>
        </w:tc>
        <w:tc>
          <w:tcPr>
            <w:tcW w:w="154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48"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7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48"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30"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2140" w:type="dxa"/>
            <w:tcBorders>
              <w:top w:val="nil"/>
              <w:left w:val="nil"/>
              <w:bottom w:val="nil"/>
              <w:right w:val="nil"/>
            </w:tcBorders>
            <w:shd w:val="clear" w:color="auto" w:fill="FFFFFF"/>
            <w:noWrap/>
            <w:vAlign w:val="center"/>
          </w:tcPr>
          <w:p>
            <w:pPr>
              <w:widowControl/>
              <w:ind w:firstLine="105" w:firstLineChars="50"/>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level One</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301 (3.42%)</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82 (5.95%)</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72 (3.39%)</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68 (2.9%)</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79 (2.67%)</w:t>
            </w:r>
          </w:p>
        </w:tc>
      </w:tr>
      <w:tr>
        <w:trPr>
          <w:trHeight w:val="336" w:hRule="atLeast"/>
        </w:trPr>
        <w:tc>
          <w:tcPr>
            <w:tcW w:w="2140" w:type="dxa"/>
            <w:tcBorders>
              <w:top w:val="nil"/>
              <w:left w:val="nil"/>
              <w:bottom w:val="nil"/>
              <w:right w:val="nil"/>
            </w:tcBorders>
            <w:shd w:val="clear" w:color="auto" w:fill="FFFFFF"/>
            <w:noWrap/>
            <w:vAlign w:val="center"/>
          </w:tcPr>
          <w:p>
            <w:pPr>
              <w:widowControl/>
              <w:ind w:firstLine="105" w:firstLineChars="50"/>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level Two</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1242 (14.11%)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378 (27.41%)</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290 (13.66%)</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270 (11.5%)</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304 (10.29%)</w:t>
            </w:r>
          </w:p>
        </w:tc>
      </w:tr>
      <w:tr>
        <w:trPr>
          <w:trHeight w:val="336" w:hRule="atLeast"/>
        </w:trPr>
        <w:tc>
          <w:tcPr>
            <w:tcW w:w="2140" w:type="dxa"/>
            <w:tcBorders>
              <w:top w:val="nil"/>
              <w:left w:val="nil"/>
              <w:bottom w:val="nil"/>
              <w:right w:val="nil"/>
            </w:tcBorders>
            <w:shd w:val="clear" w:color="auto" w:fill="FFFFFF"/>
            <w:noWrap/>
            <w:vAlign w:val="center"/>
          </w:tcPr>
          <w:p>
            <w:pPr>
              <w:widowControl/>
              <w:ind w:firstLine="105" w:firstLineChars="50"/>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level Three</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5273 (59.89%)</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799 (57.94%)</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1334 (62.84%)</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1135 (48.34%)</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2005 (67.87%)</w:t>
            </w:r>
          </w:p>
        </w:tc>
      </w:tr>
      <w:tr>
        <w:trPr>
          <w:trHeight w:val="336" w:hRule="atLeast"/>
        </w:trPr>
        <w:tc>
          <w:tcPr>
            <w:tcW w:w="2140" w:type="dxa"/>
            <w:tcBorders>
              <w:top w:val="nil"/>
              <w:left w:val="nil"/>
              <w:bottom w:val="nil"/>
              <w:right w:val="nil"/>
            </w:tcBorders>
            <w:shd w:val="clear" w:color="auto" w:fill="FFFFFF"/>
            <w:noWrap/>
            <w:vAlign w:val="center"/>
          </w:tcPr>
          <w:p>
            <w:pPr>
              <w:widowControl/>
              <w:ind w:firstLine="105" w:firstLineChars="50"/>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level Four</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1988 (22.58%)</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120 (8.7%)</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427 (20.11%)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875 (37.27%)</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566 (19.16%)</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Bold" w:hAnsi="Times New Roman Bold" w:cs="Times New Roman Bold"/>
                <w:b/>
                <w:bCs/>
                <w:color w:val="000000"/>
                <w:kern w:val="0"/>
                <w:sz w:val="21"/>
                <w:szCs w:val="21"/>
                <w:lang w:bidi="ar"/>
              </w:rPr>
              <w:t>Profession</w:t>
            </w:r>
          </w:p>
        </w:tc>
        <w:tc>
          <w:tcPr>
            <w:tcW w:w="154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48"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7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48"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30"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Professional skill worker</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330 (3.75%)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44 (3.19%)</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72 (3.39%)</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112 (4.77%)</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102 (3.45%)</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Self-employed persons</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155 (1.76%)</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28 (2.03%)</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32 (1.51%)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39 (1.66%)</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56 (1.9%)</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civil servant</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120 (1.36%)</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14 (1.02%)</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24 (1.13%)</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32 (1.36%)</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50 (1.69%)</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other</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4419 (50.19%)</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684 (49.6%)</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1000 (47.1%)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1070 (45.57%)</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1665 (56.36%)</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military</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7 (0.08%)</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 (0.15%)</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 (0.09%)</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 (0.09%)</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(0.03%)</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farmer</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476 (5.41%)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58 (4.21%)</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128 (6.03%)</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132 (5.62%)</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158 (5.35%)</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medical staff</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(0.07%)</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student</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876 (9.95%)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113 (8.19%)</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193 (9.09%)</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235 (10.01%)</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335 (11.34%)</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education staff</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9 (0.1%)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9 (0.65%)</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Unemployed</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58 (0.66%)</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54 (3.92%)</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 (0.14%)</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(0.04%)</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service staff</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(0.07%)</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manager</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23 (0.26%)</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 (0.15%)</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8 (0.38%)</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 (0.21%)</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8 (0.27%)</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worker</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1086 (12.34%)</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190 (13.78%)</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395 (18.61%)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385 (16.4%)</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116 (3.93%)</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transport worker</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 (0.03%)</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 (0.22%)</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retirees</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1240 (14.08%)</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176 (12.76%)</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266 (12.53%)</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335 (14.27%)</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463 (15.67%)</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Bold" w:hAnsi="Times New Roman Bold" w:cs="Times New Roman Bold"/>
                <w:b/>
                <w:bCs/>
                <w:color w:val="000000"/>
                <w:kern w:val="0"/>
                <w:sz w:val="21"/>
                <w:szCs w:val="21"/>
                <w:lang w:bidi="ar"/>
              </w:rPr>
              <w:t>medical insurance</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full public expense</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141 (1.6%)</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26 (1.89%)</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44 (2.07%)</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43 (1.83%)</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28 (0.95%)</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Full self-pay</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5186 (58.91%)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1115 (80.86%)</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1591 (74.94%)</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1340 (57.07%)</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1140 (38.59%)</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other</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157 (1.78%)</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 (1.45%)</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71 (3.34%)</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66 (2.81%)</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other social insurance</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684 (7.77%)</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144 (6.13%)</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540 (18.28%)</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Urban Residents Basic Medical Insurance</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1439 (16.34%)</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214 (15.52%)</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416 (19.59%)</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505 (21.51%)</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304 (10.29%)</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Basic medical insurance for urban employees</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1196 (13.58%)</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 (0.22%)</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250 (10.65%)</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942 (31.89%)</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New rural cooperative medical care</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(0.01%)</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(0.07%)</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Bold" w:hAnsi="Times New Roman Bold" w:cs="Times New Roman Bold"/>
                <w:b/>
                <w:bCs/>
                <w:color w:val="000000"/>
                <w:kern w:val="0"/>
                <w:sz w:val="21"/>
                <w:szCs w:val="21"/>
                <w:lang w:bidi="ar"/>
              </w:rPr>
              <w:t>patient origin</w:t>
            </w:r>
          </w:p>
        </w:tc>
        <w:tc>
          <w:tcPr>
            <w:tcW w:w="154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48"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7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48"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130"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District where the hospital is located</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2999 (34.06%)</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544 (39.45%)</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678 (31.94%)</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630 (26.83%)</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1147 (38.83%)</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The outer district (county) of the city where the hospital is located</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2182 (24.78%)</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247 (17.91%)</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470 (22.14%)</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596 (25.38%)</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869 (29.42%)</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foreign country</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 (0.06%)</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 (0.22%)</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(0.04%)</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Other provinces and cities</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 (0.05%)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(0.04%)</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 (0.07%)</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Other provinces (municipalities directly under the Central Government)</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1514 (17.2%)</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282 (20.45%)</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449 (21.15%)</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478 (20.36%)</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305 (10.32%)</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Other districts and counties of this city</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15 (0.17%)</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(0%)</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 (0.09%)</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(0.04%)</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12 (0.41%)</w:t>
            </w:r>
          </w:p>
        </w:tc>
      </w:tr>
      <w:tr>
        <w:trPr>
          <w:trHeight w:val="336" w:hRule="atLeast"/>
        </w:trPr>
        <w:tc>
          <w:tcPr>
            <w:tcW w:w="214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Other cities in this province</w:t>
            </w:r>
          </w:p>
        </w:tc>
        <w:tc>
          <w:tcPr>
            <w:tcW w:w="154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2067 (23.48%)</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298 (21.61%)</w:t>
            </w:r>
          </w:p>
        </w:tc>
        <w:tc>
          <w:tcPr>
            <w:tcW w:w="117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521 (24.54%)</w:t>
            </w:r>
          </w:p>
        </w:tc>
        <w:tc>
          <w:tcPr>
            <w:tcW w:w="1148"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639 (27.21%)</w:t>
            </w:r>
          </w:p>
        </w:tc>
        <w:tc>
          <w:tcPr>
            <w:tcW w:w="1130"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609 (20.62%)</w:t>
            </w:r>
          </w:p>
        </w:tc>
      </w:tr>
      <w:tr>
        <w:trPr>
          <w:trHeight w:val="336" w:hRule="atLeast"/>
        </w:trPr>
        <w:tc>
          <w:tcPr>
            <w:tcW w:w="2140"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Hong Kong, Macau, Taiwan</w:t>
            </w:r>
          </w:p>
        </w:tc>
        <w:tc>
          <w:tcPr>
            <w:tcW w:w="1547"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18 (0.2%)</w:t>
            </w:r>
          </w:p>
        </w:tc>
        <w:tc>
          <w:tcPr>
            <w:tcW w:w="1148"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5 (0.36%)</w:t>
            </w:r>
          </w:p>
        </w:tc>
        <w:tc>
          <w:tcPr>
            <w:tcW w:w="1174"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 (0.05%)</w:t>
            </w:r>
          </w:p>
        </w:tc>
        <w:tc>
          <w:tcPr>
            <w:tcW w:w="1148"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 (0.09%)</w:t>
            </w:r>
          </w:p>
        </w:tc>
        <w:tc>
          <w:tcPr>
            <w:tcW w:w="1130"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10 (0.34%)</w:t>
            </w:r>
          </w:p>
        </w:tc>
      </w:tr>
    </w:tbl>
    <w:p>
      <w:pPr>
        <w:rPr>
          <w:sz w:val="21"/>
          <w:szCs w:val="21"/>
        </w:rPr>
      </w:pPr>
    </w:p>
    <w:p>
      <w:pPr>
        <w:rPr>
          <w:sz w:val="21"/>
          <w:szCs w:val="21"/>
        </w:rPr>
      </w:pPr>
      <w:r>
        <w:rPr>
          <w:rFonts w:hint="eastAsia"/>
          <w:sz w:val="21"/>
          <w:szCs w:val="21"/>
        </w:rPr>
        <w:t>Values are presented with Mean (SD) or counts (percentage).</w:t>
      </w: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rPr>
          <w:sz w:val="21"/>
          <w:szCs w:val="21"/>
        </w:rPr>
      </w:pPr>
    </w:p>
    <w:p>
      <w:pPr>
        <w:pStyle w:val="3"/>
        <w:rPr>
          <w:rFonts w:ascii="Times New Roman" w:hAnsi="Times New Roman" w:cs="Times New Roman"/>
          <w:sz w:val="22"/>
          <w:szCs w:val="22"/>
        </w:rPr>
      </w:pPr>
      <w:bookmarkStart w:id="12" w:name="_GoBack"/>
      <w:bookmarkEnd w:id="12"/>
      <w:bookmarkStart w:id="11" w:name="_Toc1738035262"/>
      <w:r>
        <w:rPr>
          <w:rFonts w:ascii="Times New Roman" w:hAnsi="Times New Roman" w:cs="Times New Roman"/>
          <w:sz w:val="22"/>
          <w:szCs w:val="22"/>
        </w:rPr>
        <w:t xml:space="preserve">Supplementary Table </w:t>
      </w:r>
      <w:r>
        <w:rPr>
          <w:rFonts w:hint="eastAsia" w:ascii="Times New Roman" w:hAnsi="Times New Roman" w:cs="Times New Roman"/>
          <w:sz w:val="22"/>
          <w:szCs w:val="22"/>
        </w:rPr>
        <w:t>4</w:t>
      </w:r>
      <w:r>
        <w:rPr>
          <w:rFonts w:ascii="Times New Roman" w:hAnsi="Times New Roman" w:cs="Times New Roman"/>
          <w:sz w:val="22"/>
          <w:szCs w:val="22"/>
        </w:rPr>
        <w:t xml:space="preserve">. </w:t>
      </w:r>
      <w:r>
        <w:rPr>
          <w:rFonts w:hint="eastAsia" w:ascii="Times New Roman" w:hAnsi="Times New Roman" w:cs="Times New Roman"/>
          <w:sz w:val="22"/>
          <w:szCs w:val="22"/>
        </w:rPr>
        <w:t>Results of generalized linear model analysis</w:t>
      </w:r>
      <w:bookmarkEnd w:id="11"/>
    </w:p>
    <w:p>
      <w:pPr>
        <w:rPr>
          <w:sz w:val="21"/>
          <w:szCs w:val="21"/>
        </w:rPr>
      </w:pPr>
    </w:p>
    <w:tbl>
      <w:tblPr>
        <w:tblStyle w:val="8"/>
        <w:tblW w:w="8693" w:type="dxa"/>
        <w:tblInd w:w="88" w:type="dxa"/>
        <w:tblLayout w:type="fixed"/>
        <w:tblCellMar>
          <w:top w:w="0" w:type="dxa"/>
          <w:left w:w="108" w:type="dxa"/>
          <w:bottom w:w="0" w:type="dxa"/>
          <w:right w:w="108" w:type="dxa"/>
        </w:tblCellMar>
      </w:tblPr>
      <w:tblGrid>
        <w:gridCol w:w="1737"/>
        <w:gridCol w:w="1243"/>
        <w:gridCol w:w="1026"/>
        <w:gridCol w:w="1304"/>
        <w:gridCol w:w="867"/>
        <w:gridCol w:w="1553"/>
        <w:gridCol w:w="963"/>
      </w:tblGrid>
      <w:tr>
        <w:trPr>
          <w:trHeight w:val="336" w:hRule="atLeast"/>
        </w:trPr>
        <w:tc>
          <w:tcPr>
            <w:tcW w:w="1737" w:type="dxa"/>
            <w:tcBorders>
              <w:top w:val="single" w:color="000000" w:sz="12" w:space="0"/>
              <w:left w:val="nil"/>
              <w:bottom w:val="single" w:color="000000" w:sz="4" w:space="0"/>
              <w:right w:val="nil"/>
              <w:tl2br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Variables</w:t>
            </w:r>
          </w:p>
        </w:tc>
        <w:tc>
          <w:tcPr>
            <w:tcW w:w="1243"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Estimate</w:t>
            </w:r>
          </w:p>
        </w:tc>
        <w:tc>
          <w:tcPr>
            <w:tcW w:w="1026"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standard error</w:t>
            </w:r>
          </w:p>
        </w:tc>
        <w:tc>
          <w:tcPr>
            <w:tcW w:w="1304"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95% CI of estimate</w:t>
            </w:r>
          </w:p>
        </w:tc>
        <w:tc>
          <w:tcPr>
            <w:tcW w:w="867"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Percent change</w:t>
            </w:r>
          </w:p>
        </w:tc>
        <w:tc>
          <w:tcPr>
            <w:tcW w:w="1553"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95% CI of percent change</w:t>
            </w:r>
          </w:p>
        </w:tc>
        <w:tc>
          <w:tcPr>
            <w:tcW w:w="963" w:type="dxa"/>
            <w:tcBorders>
              <w:top w:val="single" w:color="000000" w:sz="12" w:space="0"/>
              <w:left w:val="nil"/>
              <w:bottom w:val="single" w:color="000000" w:sz="4"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P</w:t>
            </w:r>
          </w:p>
        </w:tc>
      </w:tr>
      <w:tr>
        <w:trPr>
          <w:trHeight w:val="336" w:hRule="atLeast"/>
        </w:trPr>
        <w:tc>
          <w:tcPr>
            <w:tcW w:w="1737"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Intercept</w:t>
            </w:r>
          </w:p>
        </w:tc>
        <w:tc>
          <w:tcPr>
            <w:tcW w:w="1243" w:type="dxa"/>
            <w:tcBorders>
              <w:top w:val="single" w:color="000000" w:sz="4" w:space="0"/>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9.561</w:t>
            </w:r>
          </w:p>
        </w:tc>
        <w:tc>
          <w:tcPr>
            <w:tcW w:w="1026" w:type="dxa"/>
            <w:tcBorders>
              <w:top w:val="single" w:color="000000" w:sz="4" w:space="0"/>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0.0638</w:t>
            </w:r>
          </w:p>
        </w:tc>
        <w:tc>
          <w:tcPr>
            <w:tcW w:w="1304"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9.44 to 9.69</w:t>
            </w:r>
          </w:p>
        </w:tc>
        <w:tc>
          <w:tcPr>
            <w:tcW w:w="867" w:type="dxa"/>
            <w:tcBorders>
              <w:top w:val="single" w:color="000000" w:sz="4" w:space="0"/>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553" w:type="dxa"/>
            <w:tcBorders>
              <w:top w:val="single" w:color="000000" w:sz="4" w:space="0"/>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963" w:type="dxa"/>
            <w:tcBorders>
              <w:top w:val="single" w:color="000000" w:sz="4" w:space="0"/>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Year(2021-2022 as reference)</w:t>
            </w:r>
          </w:p>
        </w:tc>
        <w:tc>
          <w:tcPr>
            <w:tcW w:w="124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026"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30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86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55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96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2015-2016</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-0.106</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0.0217</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-0.15 to -0.06</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-10.06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-13.88% to -6.23%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2017-2018</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-0.015</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0.0188</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-0.05 to 0.02</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-1.49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-5.12% to 2.14% </w:t>
            </w:r>
          </w:p>
        </w:tc>
        <w:tc>
          <w:tcPr>
            <w:tcW w:w="96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0.409</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2019-2020</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0.014</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0.0189</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-0.02 to 0.05</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1.41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-2.35% to 5.17% </w:t>
            </w:r>
          </w:p>
        </w:tc>
        <w:tc>
          <w:tcPr>
            <w:tcW w:w="96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0.452</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ICF category (s760 as reference)</w:t>
            </w:r>
          </w:p>
        </w:tc>
        <w:tc>
          <w:tcPr>
            <w:tcW w:w="124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026"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30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86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55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96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s710(n = 57)</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0.275</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0.0844</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0.11 to 0.44</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31.65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9.87% to 53.43%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s720(n = 987)</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0.071</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0.0318</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0.01 to 0.13</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7.36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0.67% to 14.05%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0.027*</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s730(n = 2216)</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-0.395</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0.0255</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-0.45 to -0.35</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-32.63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-36% to -29.26%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s740(n = 24)</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-0.006</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0.128</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-0.26 to 0.25</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-0.60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-25.54% to 24.34% </w:t>
            </w:r>
          </w:p>
        </w:tc>
        <w:tc>
          <w:tcPr>
            <w:tcW w:w="96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0.962</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s750(n = 4496)</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0.194</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0.0239</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0.15 to 0.24</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21.41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15.72% to 27.1%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Sex (Women as reference)</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0.115</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0.0147</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0.09 to 0.14</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12.19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8.96% to 15.42%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Surgical grading(level Four as reference)</w:t>
            </w:r>
          </w:p>
        </w:tc>
        <w:tc>
          <w:tcPr>
            <w:tcW w:w="124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026"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30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86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55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96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level One</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0.0404</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-0.08 to 0.08</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0.00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-7.92% to 7.92% </w:t>
            </w:r>
          </w:p>
        </w:tc>
        <w:tc>
          <w:tcPr>
            <w:tcW w:w="96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0.991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level Two</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0.621</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0.0373</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0.55 to 0.69</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86.08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72.47% to 99.68%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level Three</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0.813</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0.041</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0.73 to 0.89</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125.47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107.35% to 143.58%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Occupation category(Professional skill worker as reference)</w:t>
            </w:r>
          </w:p>
        </w:tc>
        <w:tc>
          <w:tcPr>
            <w:tcW w:w="124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026"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30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86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55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96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service</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1.583</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0.6197</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0.37 to 2.8</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386.95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-204.51% to 978.41%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0.011*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Self-employed</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0.274</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0.0603</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0.16 to 0.39</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31.52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15.98% to 47.07%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civil servant</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0.214</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0.066</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0.08 to 0.34</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23.86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7.84% to 39.89%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manager</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0.105</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0.1335</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-0.16 to 0.37</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11.07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-17.99% to 40.13% </w:t>
            </w:r>
          </w:p>
        </w:tc>
        <w:tc>
          <w:tcPr>
            <w:tcW w:w="96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0.431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education staff</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-0.004</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0.2099</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-0.42 to 0.41</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-0.40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-41.38% to 40.58% </w:t>
            </w:r>
          </w:p>
        </w:tc>
        <w:tc>
          <w:tcPr>
            <w:tcW w:w="96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0.985</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military</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1.117</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0.2368</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0.65 to 1.58</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205.57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63.74% to 347.39%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farmer</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0.258</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0.0454</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0.17 to 0.35</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29.43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17.92% to 40.95%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other</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0.104</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0.0355</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0.03 to 0.17</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10.96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3.24% to 18.68%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0.004*</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retirees</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0.121</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0.0409</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0.04 to 0.2</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12.86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3.81% to 21.91%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0.003*</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Unemployed</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0.289</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0.0902</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0.11 to 0.47</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33.51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9.91% to 57.11%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student</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0.088</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0.0461</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 to 0.18</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9.20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-0.67% to 19.07% </w:t>
            </w:r>
          </w:p>
        </w:tc>
        <w:tc>
          <w:tcPr>
            <w:tcW w:w="96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0.058</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medical staff</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0.177</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0.6199</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-1.04 to 1.39</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19.36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-125.66% to 164.39% </w:t>
            </w:r>
          </w:p>
        </w:tc>
        <w:tc>
          <w:tcPr>
            <w:tcW w:w="96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0.776</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transport worker</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-0.828</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0.3593</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-1.53 to -0.12</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-56.31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-87.08% to -25.54%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0.021*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worker</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0.119</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0.0392</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0.04 to 0.2</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12.64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3.98% to 21.29%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0.002*</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arthroscopy category(Ankle arthroscopy as reference)</w:t>
            </w:r>
          </w:p>
        </w:tc>
        <w:tc>
          <w:tcPr>
            <w:tcW w:w="124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026"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30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86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55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96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other(n = 7147)</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0.097</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0.0624</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-0.03 to 0.22</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10.19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-3.29% to 23.66% </w:t>
            </w:r>
          </w:p>
        </w:tc>
        <w:tc>
          <w:tcPr>
            <w:tcW w:w="96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0.12</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Shoulder Arthroscopy(n = 1241)</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0.364</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0.0487</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0.27 to 0.46</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43.91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30.17% to 57.64%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Knee arthroscopy(n = 304)</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0.384</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0.0232</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0.34 to 0.43</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46.81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40.14% to 53.49%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Age(&gt;65 years as reference)</w:t>
            </w:r>
          </w:p>
        </w:tc>
        <w:tc>
          <w:tcPr>
            <w:tcW w:w="124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026"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304"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867"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155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c>
          <w:tcPr>
            <w:tcW w:w="963" w:type="dxa"/>
            <w:tcBorders>
              <w:top w:val="nil"/>
              <w:left w:val="nil"/>
              <w:bottom w:val="nil"/>
              <w:right w:val="nil"/>
            </w:tcBorders>
            <w:shd w:val="clear" w:color="auto" w:fill="FFFFFF"/>
            <w:noWrap/>
            <w:vAlign w:val="center"/>
          </w:tcPr>
          <w:p>
            <w:pPr>
              <w:rPr>
                <w:rFonts w:ascii="Times New Roman Regular" w:hAnsi="Times New Roman Regular" w:cs="Times New Roman Regular"/>
                <w:color w:val="000000"/>
                <w:sz w:val="21"/>
                <w:szCs w:val="21"/>
              </w:rPr>
            </w:pP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1-12 years</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-0.872</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0.0478</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-0.97 to -0.78</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-58.19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-62.11% to -54.27%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13-18 years</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-0.157</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0.0473</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-0.25 to -0.07</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-14.53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-22.45% to -6.61%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0.001*</w:t>
            </w:r>
          </w:p>
        </w:tc>
      </w:tr>
      <w:tr>
        <w:trPr>
          <w:trHeight w:val="336" w:hRule="atLeast"/>
        </w:trPr>
        <w:tc>
          <w:tcPr>
            <w:tcW w:w="1737"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19-45 years</w:t>
            </w:r>
          </w:p>
        </w:tc>
        <w:tc>
          <w:tcPr>
            <w:tcW w:w="1243"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-0.151</w:t>
            </w:r>
          </w:p>
        </w:tc>
        <w:tc>
          <w:tcPr>
            <w:tcW w:w="1026"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0.0234</w:t>
            </w:r>
          </w:p>
        </w:tc>
        <w:tc>
          <w:tcPr>
            <w:tcW w:w="1304"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-0.2 to -0.11</w:t>
            </w:r>
          </w:p>
        </w:tc>
        <w:tc>
          <w:tcPr>
            <w:tcW w:w="867" w:type="dxa"/>
            <w:tcBorders>
              <w:top w:val="nil"/>
              <w:left w:val="nil"/>
              <w:bottom w:val="nil"/>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-14.02 </w:t>
            </w:r>
          </w:p>
        </w:tc>
        <w:tc>
          <w:tcPr>
            <w:tcW w:w="155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-17.96% to -10.07% </w:t>
            </w:r>
          </w:p>
        </w:tc>
        <w:tc>
          <w:tcPr>
            <w:tcW w:w="963" w:type="dxa"/>
            <w:tcBorders>
              <w:top w:val="nil"/>
              <w:left w:val="nil"/>
              <w:bottom w:val="nil"/>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r>
        <w:trPr>
          <w:trHeight w:val="336" w:hRule="atLeast"/>
        </w:trPr>
        <w:tc>
          <w:tcPr>
            <w:tcW w:w="1737"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46-65 years</w:t>
            </w:r>
          </w:p>
        </w:tc>
        <w:tc>
          <w:tcPr>
            <w:tcW w:w="1243" w:type="dxa"/>
            <w:tcBorders>
              <w:top w:val="nil"/>
              <w:left w:val="nil"/>
              <w:bottom w:val="single" w:color="000000" w:sz="12" w:space="0"/>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-0.11</w:t>
            </w:r>
          </w:p>
        </w:tc>
        <w:tc>
          <w:tcPr>
            <w:tcW w:w="1026" w:type="dxa"/>
            <w:tcBorders>
              <w:top w:val="nil"/>
              <w:left w:val="nil"/>
              <w:bottom w:val="single" w:color="000000" w:sz="12" w:space="0"/>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0.021</w:t>
            </w:r>
          </w:p>
        </w:tc>
        <w:tc>
          <w:tcPr>
            <w:tcW w:w="1304"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-0.15 to -0.07</w:t>
            </w:r>
          </w:p>
        </w:tc>
        <w:tc>
          <w:tcPr>
            <w:tcW w:w="867" w:type="dxa"/>
            <w:tcBorders>
              <w:top w:val="nil"/>
              <w:left w:val="nil"/>
              <w:bottom w:val="single" w:color="000000" w:sz="12" w:space="0"/>
              <w:right w:val="nil"/>
            </w:tcBorders>
            <w:shd w:val="clear" w:color="auto" w:fill="FFFFFF"/>
            <w:noWrap/>
            <w:vAlign w:val="center"/>
          </w:tcPr>
          <w:p>
            <w:pPr>
              <w:widowControl/>
              <w:jc w:val="righ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-10.42 </w:t>
            </w:r>
          </w:p>
        </w:tc>
        <w:tc>
          <w:tcPr>
            <w:tcW w:w="1553"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 xml:space="preserve">-14.1% to -6.73% </w:t>
            </w:r>
          </w:p>
        </w:tc>
        <w:tc>
          <w:tcPr>
            <w:tcW w:w="963" w:type="dxa"/>
            <w:tcBorders>
              <w:top w:val="nil"/>
              <w:left w:val="nil"/>
              <w:bottom w:val="single" w:color="000000" w:sz="12" w:space="0"/>
              <w:right w:val="nil"/>
            </w:tcBorders>
            <w:shd w:val="clear" w:color="auto" w:fill="FFFFFF"/>
            <w:noWrap/>
            <w:vAlign w:val="center"/>
          </w:tcPr>
          <w:p>
            <w:pPr>
              <w:widowControl/>
              <w:jc w:val="left"/>
              <w:textAlignment w:val="center"/>
              <w:rPr>
                <w:rFonts w:ascii="Times New Roman Regular" w:hAnsi="Times New Roman Regular" w:cs="Times New Roman Regular"/>
                <w:color w:val="000000"/>
                <w:sz w:val="21"/>
                <w:szCs w:val="21"/>
              </w:rPr>
            </w:pPr>
            <w:r>
              <w:rPr>
                <w:rFonts w:ascii="Times New Roman Regular" w:hAnsi="Times New Roman Regular" w:cs="Times New Roman Regular"/>
                <w:color w:val="000000"/>
                <w:kern w:val="0"/>
                <w:sz w:val="21"/>
                <w:szCs w:val="21"/>
                <w:lang w:bidi="ar"/>
              </w:rPr>
              <w:t>&lt;0.001∗</w:t>
            </w:r>
          </w:p>
        </w:tc>
      </w:tr>
    </w:tbl>
    <w:p>
      <w:pPr>
        <w:rPr>
          <w:sz w:val="21"/>
          <w:szCs w:val="21"/>
        </w:rPr>
      </w:pPr>
    </w:p>
    <w:p>
      <w:pPr>
        <w:rPr>
          <w:sz w:val="22"/>
        </w:rPr>
      </w:pPr>
      <w:r>
        <w:rPr>
          <w:rFonts w:hint="eastAsia"/>
          <w:sz w:val="22"/>
        </w:rPr>
        <w:t>*</w:t>
      </w:r>
      <w:r>
        <w:rPr>
          <w:sz w:val="22"/>
        </w:rPr>
        <w:t>indicates statistical significance.</w:t>
      </w:r>
    </w:p>
    <w:p>
      <w:pPr>
        <w:rPr>
          <w:sz w:val="22"/>
        </w:rPr>
      </w:pPr>
      <w:r>
        <w:rPr>
          <w:rFonts w:hint="eastAsia"/>
          <w:sz w:val="22"/>
        </w:rPr>
        <w:t>A</w:t>
      </w:r>
      <w:r>
        <w:rPr>
          <w:sz w:val="22"/>
        </w:rPr>
        <w:t>bbreviations: CI, confidence interval; ICF:</w:t>
      </w:r>
      <w:r>
        <w:rPr>
          <w:rFonts w:hint="eastAsia"/>
          <w:sz w:val="22"/>
        </w:rPr>
        <w:t>International Classification of Functioning, Disability, and Health</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SimSun">
    <w:altName w:val="汉仪书宋二KW"/>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libri Light">
    <w:altName w:val="Helvetica Neue"/>
    <w:panose1 w:val="020F0302020204030204"/>
    <w:charset w:val="00"/>
    <w:family w:val="swiss"/>
    <w:pitch w:val="default"/>
    <w:sig w:usb0="00000000" w:usb1="00000000" w:usb2="00000009" w:usb3="00000000" w:csb0="000001FF" w:csb1="00000000"/>
  </w:font>
  <w:font w:name="Times New Roman Regular">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TA1NbQwtTQ0sDA0MjRS0lEKTi0uzszPAykwrAUAr378qCwAAAA="/>
    <w:docVar w:name="commondata" w:val="eyJoZGlkIjoiZDIzNzdlMmYyZTdhMmM3MjNiMmI0Y2ZhN2Q5YzhjNTkifQ=="/>
  </w:docVars>
  <w:rsids>
    <w:rsidRoot w:val="0003671A"/>
    <w:rsid w:val="0003671A"/>
    <w:rsid w:val="000F3C8A"/>
    <w:rsid w:val="001B7048"/>
    <w:rsid w:val="004865F6"/>
    <w:rsid w:val="00530D18"/>
    <w:rsid w:val="00CF39B8"/>
    <w:rsid w:val="00D46B97"/>
    <w:rsid w:val="06D3561E"/>
    <w:rsid w:val="0D927FE1"/>
    <w:rsid w:val="0FC65D20"/>
    <w:rsid w:val="17CB667B"/>
    <w:rsid w:val="1B9B4505"/>
    <w:rsid w:val="1BDFAAB8"/>
    <w:rsid w:val="1C8975D6"/>
    <w:rsid w:val="1E033DED"/>
    <w:rsid w:val="1F686DF4"/>
    <w:rsid w:val="1F8B4890"/>
    <w:rsid w:val="28123DA1"/>
    <w:rsid w:val="282933E2"/>
    <w:rsid w:val="2C2714D8"/>
    <w:rsid w:val="2CD6B148"/>
    <w:rsid w:val="2DA76D39"/>
    <w:rsid w:val="385961AB"/>
    <w:rsid w:val="3A287454"/>
    <w:rsid w:val="47F63057"/>
    <w:rsid w:val="4A02381D"/>
    <w:rsid w:val="4B8269FB"/>
    <w:rsid w:val="4F0B0812"/>
    <w:rsid w:val="51D04201"/>
    <w:rsid w:val="576B60D9"/>
    <w:rsid w:val="5CB22CE1"/>
    <w:rsid w:val="5D7B804D"/>
    <w:rsid w:val="5FA10F8B"/>
    <w:rsid w:val="63C4349A"/>
    <w:rsid w:val="6B6BE037"/>
    <w:rsid w:val="6BF35182"/>
    <w:rsid w:val="6DDB6C31"/>
    <w:rsid w:val="71562C1B"/>
    <w:rsid w:val="73FF358A"/>
    <w:rsid w:val="77784870"/>
    <w:rsid w:val="7B2A8636"/>
    <w:rsid w:val="7D9DAE36"/>
    <w:rsid w:val="7DBE2385"/>
    <w:rsid w:val="7DDF6E64"/>
    <w:rsid w:val="7FBEDEFF"/>
    <w:rsid w:val="7FFFC558"/>
    <w:rsid w:val="A2ED9CF9"/>
    <w:rsid w:val="B5EF5912"/>
    <w:rsid w:val="B73EEF9E"/>
    <w:rsid w:val="BA9FD578"/>
    <w:rsid w:val="BDFCE771"/>
    <w:rsid w:val="BF5EB087"/>
    <w:rsid w:val="CE8F0C7F"/>
    <w:rsid w:val="DF67B2A5"/>
    <w:rsid w:val="DFCFF87F"/>
    <w:rsid w:val="E7BF1463"/>
    <w:rsid w:val="EAF824B7"/>
    <w:rsid w:val="EDFF4349"/>
    <w:rsid w:val="EF8F6DD5"/>
    <w:rsid w:val="FBB761B5"/>
    <w:rsid w:val="FD7CDEC6"/>
    <w:rsid w:val="FF77B5D2"/>
    <w:rsid w:val="FF7EB8BA"/>
    <w:rsid w:val="FFF04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SimSun" w:cs="Times New Roman"/>
      <w:kern w:val="2"/>
      <w:sz w:val="24"/>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caption"/>
    <w:basedOn w:val="1"/>
    <w:next w:val="1"/>
    <w:unhideWhenUsed/>
    <w:qFormat/>
    <w:uiPriority w:val="35"/>
    <w:rPr>
      <w:rFonts w:eastAsia="黑体" w:asciiTheme="majorHAnsi" w:hAnsiTheme="majorHAnsi" w:cstheme="majorBidi"/>
      <w:sz w:val="20"/>
      <w:szCs w:val="20"/>
    </w:rPr>
  </w:style>
  <w:style w:type="paragraph" w:styleId="5">
    <w:name w:val="Body Text"/>
    <w:basedOn w:val="1"/>
    <w:qFormat/>
    <w:uiPriority w:val="1"/>
    <w:pPr>
      <w:autoSpaceDE w:val="0"/>
      <w:autoSpaceDN w:val="0"/>
      <w:jc w:val="left"/>
    </w:pPr>
    <w:rPr>
      <w:rFonts w:eastAsia="Times New Roman"/>
      <w:kern w:val="0"/>
      <w:sz w:val="16"/>
      <w:szCs w:val="16"/>
      <w:lang w:eastAsia="en-US" w:bidi="en-US"/>
    </w:rPr>
  </w:style>
  <w:style w:type="paragraph" w:styleId="6">
    <w:name w:val="toc 1"/>
    <w:basedOn w:val="1"/>
    <w:next w:val="1"/>
    <w:uiPriority w:val="0"/>
  </w:style>
  <w:style w:type="paragraph" w:styleId="7">
    <w:name w:val="toc 2"/>
    <w:basedOn w:val="1"/>
    <w:next w:val="1"/>
    <w:uiPriority w:val="0"/>
    <w:pPr>
      <w:ind w:left="420" w:leftChars="200"/>
    </w:pPr>
  </w:style>
  <w:style w:type="table" w:styleId="9">
    <w:name w:val="Table Grid"/>
    <w:basedOn w:val="8"/>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iPriority w:val="0"/>
    <w:rPr>
      <w:color w:val="0000FF"/>
      <w:u w:val="single"/>
    </w:rPr>
  </w:style>
  <w:style w:type="paragraph" w:customStyle="1" w:styleId="12">
    <w:name w:val="目錄標題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table" w:customStyle="1" w:styleId="13">
    <w:name w:val="Table Normal"/>
    <w:semiHidden/>
    <w:unhideWhenUsed/>
    <w:qFormat/>
    <w:uiPriority w:val="2"/>
    <w:pPr>
      <w:widowControl w:val="0"/>
      <w:autoSpaceDE w:val="0"/>
      <w:autoSpaceDN w:val="0"/>
    </w:pPr>
    <w:rPr>
      <w:rFonts w:asciiTheme="minorHAnsi" w:hAnsiTheme="minorHAnsi" w:eastAsiaTheme="minorEastAsia"/>
      <w:sz w:val="22"/>
      <w:lang w:eastAsia="en-US"/>
    </w:rPr>
    <w:tblPr>
      <w:tblCellMar>
        <w:top w:w="0" w:type="dxa"/>
        <w:left w:w="0" w:type="dxa"/>
        <w:bottom w:w="0" w:type="dxa"/>
        <w:right w:w="0" w:type="dxa"/>
      </w:tblCellMar>
    </w:tblPr>
  </w:style>
  <w:style w:type="paragraph" w:customStyle="1" w:styleId="14">
    <w:name w:val="WPSOffice手动目录 1"/>
    <w:uiPriority w:val="0"/>
    <w:rPr>
      <w:rFonts w:ascii="Times New Roman" w:hAnsi="Times New Roman" w:eastAsia="SimSun" w:cs="Times New Roman"/>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2368</Words>
  <Characters>13498</Characters>
  <Lines>112</Lines>
  <Paragraphs>31</Paragraphs>
  <TotalTime>4</TotalTime>
  <ScaleCrop>false</ScaleCrop>
  <LinksUpToDate>false</LinksUpToDate>
  <CharactersWithSpaces>15835</CharactersWithSpaces>
  <Application>WPS Office_6.3.0.8471_F1E327BC-269C-435d-A152-05C5408002CA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2024-01-02T11:35:00Z</dcterms:created>
  <dc:creator>Lenovo</dc:creator>
  <cp:lastModifiedBy>随遇而安</cp:lastModifiedBy>
  <dcterms:modified xsi:type="dcterms:W3CDTF">2024-03-13T18:26:05Z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2052-6.3.0.8471</vt:lpwstr>
  </property>
  <property fmtid="{D5CDD505-2E9C-101B-9397-08002B2CF9AE}" pid="3" name="ICV">
    <vt:lpwstr>FE9FE24969CB47B2A0E348F4DC7E04AF_13</vt:lpwstr>
  </property>
</Properties>
</file>