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B6EFE" w14:textId="0A0D6A7E" w:rsidR="001428E0" w:rsidRPr="001428E0" w:rsidRDefault="00AE623A" w:rsidP="001428E0">
      <w:pPr>
        <w:spacing w:line="240" w:lineRule="auto"/>
        <w:jc w:val="center"/>
        <w:rPr>
          <w:rFonts w:ascii="Times New Roman" w:eastAsia="Times New Roman" w:hAnsi="Times New Roman" w:cs="Times New Roman"/>
          <w:b/>
          <w:bCs/>
          <w:lang w:val="en-US"/>
        </w:rPr>
      </w:pPr>
      <w:r w:rsidRPr="00AE623A">
        <w:rPr>
          <w:rFonts w:ascii="Times New Roman" w:eastAsia="Times New Roman" w:hAnsi="Times New Roman" w:cs="Times New Roman"/>
          <w:b/>
          <w:bCs/>
          <w:lang w:val="en-US"/>
        </w:rPr>
        <w:t xml:space="preserve">Supplementary </w:t>
      </w:r>
      <w:r w:rsidR="0093087E">
        <w:rPr>
          <w:rFonts w:ascii="Times New Roman" w:eastAsia="Times New Roman" w:hAnsi="Times New Roman" w:cs="Times New Roman"/>
          <w:b/>
          <w:bCs/>
          <w:lang w:val="en-US"/>
        </w:rPr>
        <w:t>material</w:t>
      </w:r>
      <w:r>
        <w:rPr>
          <w:rFonts w:ascii="Times New Roman" w:eastAsia="Times New Roman" w:hAnsi="Times New Roman" w:cs="Times New Roman"/>
          <w:b/>
          <w:bCs/>
          <w:lang w:val="en-US"/>
        </w:rPr>
        <w:t xml:space="preserve">: </w:t>
      </w:r>
      <w:r w:rsidR="001428E0" w:rsidRPr="001428E0">
        <w:rPr>
          <w:rFonts w:ascii="Times New Roman" w:eastAsia="Times New Roman" w:hAnsi="Times New Roman" w:cs="Times New Roman"/>
          <w:b/>
          <w:bCs/>
          <w:lang w:val="en-US"/>
        </w:rPr>
        <w:t>Summary of methodological approaches and outcomes across included studies</w:t>
      </w:r>
    </w:p>
    <w:p w14:paraId="58849807" w14:textId="77777777" w:rsidR="001428E0" w:rsidRPr="00E70B1B" w:rsidRDefault="001428E0" w:rsidP="001428E0">
      <w:pPr>
        <w:spacing w:line="240" w:lineRule="auto"/>
        <w:jc w:val="center"/>
        <w:rPr>
          <w:rFonts w:ascii="Times New Roman" w:eastAsia="Times New Roman" w:hAnsi="Times New Roman" w:cs="Times New Roman"/>
          <w:lang w:val="en-US"/>
        </w:rPr>
      </w:pPr>
    </w:p>
    <w:p w14:paraId="0C7DE549" w14:textId="5315A5C0" w:rsidR="001428E0" w:rsidRDefault="001428E0" w:rsidP="001428E0">
      <w:pPr>
        <w:spacing w:line="240" w:lineRule="auto"/>
        <w:rPr>
          <w:rFonts w:ascii="Times New Roman" w:eastAsia="Times New Roman" w:hAnsi="Times New Roman" w:cs="Times New Roman"/>
          <w:lang w:val="en-US"/>
        </w:rPr>
      </w:pPr>
      <w:r w:rsidRPr="00B17F67">
        <w:rPr>
          <w:rFonts w:ascii="Times New Roman" w:eastAsia="Times New Roman" w:hAnsi="Times New Roman" w:cs="Times New Roman"/>
          <w:lang w:val="en-US"/>
        </w:rPr>
        <w:t>Summary of methods and results of outcomes</w:t>
      </w:r>
    </w:p>
    <w:tbl>
      <w:tblPr>
        <w:tblW w:w="11398" w:type="dxa"/>
        <w:tblCellMar>
          <w:left w:w="0" w:type="dxa"/>
          <w:right w:w="0" w:type="dxa"/>
        </w:tblCellMar>
        <w:tblLook w:val="04A0" w:firstRow="1" w:lastRow="0" w:firstColumn="1" w:lastColumn="0" w:noHBand="0" w:noVBand="1"/>
      </w:tblPr>
      <w:tblGrid>
        <w:gridCol w:w="1677"/>
        <w:gridCol w:w="2650"/>
        <w:gridCol w:w="2006"/>
        <w:gridCol w:w="1739"/>
        <w:gridCol w:w="3326"/>
      </w:tblGrid>
      <w:tr w:rsidR="006151E5" w:rsidRPr="00B17F67" w14:paraId="5B74B79C" w14:textId="77777777" w:rsidTr="00B878B9">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6E65A6" w14:textId="77777777" w:rsidR="006151E5" w:rsidRPr="00B17F67" w:rsidRDefault="006151E5" w:rsidP="00B878B9">
            <w:pPr>
              <w:spacing w:line="240" w:lineRule="auto"/>
              <w:jc w:val="center"/>
              <w:rPr>
                <w:rFonts w:ascii="Times New Roman" w:eastAsia="Times New Roman" w:hAnsi="Times New Roman" w:cs="Times New Roman"/>
                <w:b/>
                <w:bCs/>
                <w:sz w:val="18"/>
                <w:szCs w:val="18"/>
                <w:lang w:val="es-CO"/>
              </w:rPr>
            </w:pPr>
            <w:r w:rsidRPr="00B17F67">
              <w:rPr>
                <w:rFonts w:ascii="Times New Roman" w:eastAsia="Times New Roman" w:hAnsi="Times New Roman" w:cs="Times New Roman"/>
                <w:b/>
                <w:bCs/>
                <w:sz w:val="18"/>
                <w:szCs w:val="18"/>
                <w:lang w:val="es-CO"/>
              </w:rPr>
              <w:t>Study</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3E7509" w14:textId="77777777" w:rsidR="006151E5" w:rsidRPr="00B17F67" w:rsidRDefault="006151E5" w:rsidP="00B878B9">
            <w:pPr>
              <w:spacing w:line="240" w:lineRule="auto"/>
              <w:jc w:val="center"/>
              <w:rPr>
                <w:rFonts w:ascii="Times New Roman" w:eastAsia="Times New Roman" w:hAnsi="Times New Roman" w:cs="Times New Roman"/>
                <w:b/>
                <w:bCs/>
                <w:sz w:val="18"/>
                <w:szCs w:val="18"/>
                <w:lang w:val="es-CO"/>
              </w:rPr>
            </w:pPr>
            <w:r w:rsidRPr="00B17F67">
              <w:rPr>
                <w:rFonts w:ascii="Times New Roman" w:eastAsia="Times New Roman" w:hAnsi="Times New Roman" w:cs="Times New Roman"/>
                <w:b/>
                <w:bCs/>
                <w:sz w:val="18"/>
                <w:szCs w:val="18"/>
                <w:lang w:val="es-CO"/>
              </w:rPr>
              <w:t>Study variables</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1CAB0C" w14:textId="77777777" w:rsidR="006151E5" w:rsidRPr="00B17F67" w:rsidRDefault="006151E5" w:rsidP="00B878B9">
            <w:pPr>
              <w:spacing w:line="240" w:lineRule="auto"/>
              <w:jc w:val="center"/>
              <w:rPr>
                <w:rFonts w:ascii="Times New Roman" w:eastAsia="Times New Roman" w:hAnsi="Times New Roman" w:cs="Times New Roman"/>
                <w:b/>
                <w:bCs/>
                <w:sz w:val="18"/>
                <w:szCs w:val="18"/>
                <w:lang w:val="es-CO"/>
              </w:rPr>
            </w:pPr>
            <w:r w:rsidRPr="00B17F67">
              <w:rPr>
                <w:rFonts w:ascii="Times New Roman" w:eastAsia="Times New Roman" w:hAnsi="Times New Roman" w:cs="Times New Roman"/>
                <w:b/>
                <w:bCs/>
                <w:sz w:val="18"/>
                <w:szCs w:val="18"/>
                <w:lang w:val="es-CO"/>
              </w:rPr>
              <w:t>Analytical methods</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A977E" w14:textId="77777777" w:rsidR="006151E5" w:rsidRPr="00B17F67" w:rsidRDefault="006151E5" w:rsidP="00B878B9">
            <w:pPr>
              <w:spacing w:line="240" w:lineRule="auto"/>
              <w:jc w:val="center"/>
              <w:rPr>
                <w:rFonts w:ascii="Times New Roman" w:eastAsia="Times New Roman" w:hAnsi="Times New Roman" w:cs="Times New Roman"/>
                <w:b/>
                <w:bCs/>
                <w:sz w:val="18"/>
                <w:szCs w:val="18"/>
                <w:lang w:val="es-CO"/>
              </w:rPr>
            </w:pPr>
            <w:r w:rsidRPr="00B17F67">
              <w:rPr>
                <w:rFonts w:ascii="Times New Roman" w:eastAsia="Times New Roman" w:hAnsi="Times New Roman" w:cs="Times New Roman"/>
                <w:b/>
                <w:bCs/>
                <w:sz w:val="18"/>
                <w:szCs w:val="18"/>
                <w:lang w:val="es-CO"/>
              </w:rPr>
              <w:t>Outcomes</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F29617" w14:textId="77777777" w:rsidR="006151E5" w:rsidRPr="00B17F67" w:rsidRDefault="006151E5" w:rsidP="00B878B9">
            <w:pPr>
              <w:spacing w:line="240" w:lineRule="auto"/>
              <w:jc w:val="center"/>
              <w:rPr>
                <w:rFonts w:ascii="Times New Roman" w:eastAsia="Times New Roman" w:hAnsi="Times New Roman" w:cs="Times New Roman"/>
                <w:b/>
                <w:bCs/>
                <w:sz w:val="18"/>
                <w:szCs w:val="18"/>
                <w:lang w:val="es-CO"/>
              </w:rPr>
            </w:pPr>
            <w:r w:rsidRPr="00B17F67">
              <w:rPr>
                <w:rFonts w:ascii="Times New Roman" w:eastAsia="Times New Roman" w:hAnsi="Times New Roman" w:cs="Times New Roman"/>
                <w:b/>
                <w:bCs/>
                <w:sz w:val="18"/>
                <w:szCs w:val="18"/>
                <w:lang w:val="es-CO"/>
              </w:rPr>
              <w:t>Results</w:t>
            </w:r>
          </w:p>
        </w:tc>
      </w:tr>
      <w:tr w:rsidR="006151E5" w:rsidRPr="00D25C5E" w14:paraId="21D9DBE6"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B4D1E9" w14:textId="77777777" w:rsidR="006151E5" w:rsidRPr="00B17F67" w:rsidRDefault="006151E5" w:rsidP="00B878B9">
            <w:pPr>
              <w:spacing w:line="240" w:lineRule="auto"/>
              <w:rPr>
                <w:rFonts w:ascii="Times New Roman" w:eastAsia="Times New Roman" w:hAnsi="Times New Roman" w:cs="Times New Roman"/>
                <w:sz w:val="18"/>
                <w:szCs w:val="18"/>
                <w:lang w:val="es-CO"/>
              </w:rPr>
            </w:pPr>
            <w:r w:rsidRPr="0097002A">
              <w:rPr>
                <w:rFonts w:ascii="Times New Roman" w:eastAsia="Times New Roman" w:hAnsi="Times New Roman" w:cs="Times New Roman"/>
                <w:sz w:val="18"/>
                <w:szCs w:val="18"/>
                <w:lang w:val="es-CO"/>
              </w:rPr>
              <w:t>Desai (2024)</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dEOHDLgP","properties":{"formattedCitation":"[14]","plainCitation":"[14]","noteIndex":0},"citationItems":[{"id":12230,"uris":["http://zotero.org/users/981792/items/ILFJEGHP","http://zotero.org/users/981792/items/Z4SH44NA"],"itemData":{"id":12230,"type":"article-journal","abstract":"BACKGROUND: High financial burden for patients has been reported for multiple types of cancer, but there are limited data in those with HCC. We aimed to  describe the financial burden for patients diagnosed with HCC and identify  correlates of high financial burden. METHODS: We used the IQVIA PharMetrics Plus  for Academics database to identify commercially insured patients diagnosed with  HCC between 2006 and 2021. Patient financial liability was defined as the  difference between allowed and paid amounts from adjudicated insurance claims. We  reported total and HCC-related financial liabilities (i.e., cost for HCC-related  claims), with high total financial liability defined as ≥$3000 annually and high  HCC-related financial liability as ≥$1000 annually. We used multivariable  logistic regression modeling to identify factors associated with high total and  HCC-related financial liability. RESULTS: Among 11,609 patients with HCC, the  median total financial liability during the year after HCC diagnosis was $2955  (Q1-Q3: $972-$6293). Nearly half (45%) of patients experienced high total  financial liability, with the greatest liability incurred in the 3-month period  immediately following HCC diagnosis. Older age, increased comorbidity, and  cirrhosis-related complications were associated with higher total patient  liability. Patient liability also varied by type of HCC treatment, with systemic  therapy and liver transplantation having the highest financial liability in  multivariable analysis. However, only 66.7% of the patients experienced  HCC-related liability. CONCLUSIONS: Patients with HCC experience significant  financial liability underscoring a need for price transparency as well as  financial counseling in this population.","container-title":"Hepatology communications","DOI":"10.1097/HC9.0000000000000453","ISSN":"2471-254X","issue":"6","language":"eng","title":"Financial burden in a US cohort of patients with HCC.","volume":"8","author":[{"family":"Desai","given":"Ruchi"},{"family":"Jiang","given":"Yue"},{"family":"VanWagner","given":"Lisa B."},{"family":"Singal","given":"Amit G."},{"family":"Lieber","given":"Sarah R."}],"issued":{"date-parts":[["2024",6,1]]}}}],"schema":"https://github.com/citation-style-language/schema/raw/master/csl-citation.json"}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s-CO"/>
              </w:rPr>
              <w:t>[14]</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E5A33F"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Sociodemographic (age, sex, type of insurance, and US region).</w:t>
            </w:r>
          </w:p>
          <w:p w14:paraId="2AB48C4B"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Clinical (liver disease etiology, hepatic decompensation including ascites or HE, medical comorbidities, and HCC treatment modality)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76DC01"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Chi-square and Kruskal-Wallis tests were used for categorical and continuous variables</w:t>
            </w:r>
            <w:r>
              <w:rPr>
                <w:rFonts w:ascii="Times New Roman" w:eastAsia="Times New Roman" w:hAnsi="Times New Roman" w:cs="Times New Roman"/>
                <w:sz w:val="18"/>
                <w:szCs w:val="18"/>
                <w:lang w:val="en-US"/>
              </w:rPr>
              <w:t>.</w:t>
            </w:r>
          </w:p>
          <w:p w14:paraId="49E30C7F"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 xml:space="preserve">Multivariable logistic regression modeling was used to identify factors associated with high total and HCC-related financial liability after HCC diagnosis adjusting for covariates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6340D3"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Patient financial liability (i.e., what the patient owes for services rendered) before and after HCC diagnosis</w:t>
            </w:r>
          </w:p>
          <w:p w14:paraId="48BAAC94"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HCC-related</w:t>
            </w:r>
            <w:r w:rsidRPr="00CE6546">
              <w:rPr>
                <w:rFonts w:ascii="Times New Roman" w:eastAsia="Times New Roman" w:hAnsi="Times New Roman" w:cs="Times New Roman"/>
                <w:sz w:val="18"/>
                <w:szCs w:val="18"/>
                <w:lang w:val="en-US"/>
              </w:rPr>
              <w:t xml:space="preserve"> financial liability (i.e., cost for HCC-related claims)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7B8002"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The median total financial liability during the year after HCC diagnosis was $2955 (Q1–Q3: $972–$6293). The median inpatient $0 (Q1–Q3: $0–$307) and the median outpatient $2392 (Q1–Q3: $793–$5148).</w:t>
            </w:r>
          </w:p>
          <w:p w14:paraId="68EAA930"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Median liability for curative HCC therapies included $5586 (Q1–Q3: $2992–$10,194) for liver transplantation, and $4073 (Q1–Q3: $1949–$7326) for surgical resection, as compared to $4750 (Q1–Q3: $2002–$8776) for TACE/TARE/external beam radiation and $6007 (Q1–Q3: $3025–$9002) for systemic therapy.</w:t>
            </w:r>
          </w:p>
          <w:p w14:paraId="0D6975D3"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 xml:space="preserve">The median total financial liability in the 6 months before diagnosis was $1090 (Q1–Q3: $291–$2817). Among the high total financial liability group, the 6-month period preceding HCC diagnosis accounted for 23.8% of the total liability incurred, with </w:t>
            </w:r>
            <w:r>
              <w:rPr>
                <w:rFonts w:ascii="Times New Roman" w:eastAsia="Times New Roman" w:hAnsi="Times New Roman" w:cs="Times New Roman"/>
                <w:sz w:val="18"/>
                <w:szCs w:val="18"/>
                <w:lang w:val="en-US"/>
              </w:rPr>
              <w:t xml:space="preserve">the </w:t>
            </w:r>
            <w:r w:rsidRPr="00CE6546">
              <w:rPr>
                <w:rFonts w:ascii="Times New Roman" w:eastAsia="Times New Roman" w:hAnsi="Times New Roman" w:cs="Times New Roman"/>
                <w:sz w:val="18"/>
                <w:szCs w:val="18"/>
                <w:lang w:val="en-US"/>
              </w:rPr>
              <w:t>median liability of $2100 (Q1–Q3: $922– $4218) during that time.</w:t>
            </w:r>
          </w:p>
        </w:tc>
      </w:tr>
      <w:tr w:rsidR="006151E5" w:rsidRPr="0093087E" w14:paraId="7860D469"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D5BB88" w14:textId="77777777" w:rsidR="006151E5" w:rsidRPr="00B17F67" w:rsidRDefault="006151E5" w:rsidP="00B878B9">
            <w:pPr>
              <w:spacing w:line="240" w:lineRule="auto"/>
              <w:rPr>
                <w:rFonts w:ascii="Times New Roman" w:eastAsia="Times New Roman" w:hAnsi="Times New Roman" w:cs="Times New Roman"/>
                <w:sz w:val="18"/>
                <w:szCs w:val="18"/>
                <w:lang w:val="es-CO"/>
              </w:rPr>
            </w:pPr>
            <w:r w:rsidRPr="0097002A">
              <w:rPr>
                <w:rFonts w:ascii="Times New Roman" w:eastAsia="Times New Roman" w:hAnsi="Times New Roman" w:cs="Times New Roman"/>
                <w:sz w:val="18"/>
                <w:szCs w:val="18"/>
                <w:lang w:val="es-CO"/>
              </w:rPr>
              <w:t>Gidwani</w:t>
            </w:r>
            <w:r w:rsidRPr="0097002A">
              <w:rPr>
                <w:rFonts w:ascii="Times New Roman" w:eastAsia="Times New Roman" w:hAnsi="Times New Roman" w:cs="Times New Roman"/>
                <w:sz w:val="18"/>
                <w:szCs w:val="18"/>
                <w:lang w:val="es-CO"/>
              </w:rPr>
              <w:noBreakHyphen/>
              <w:t>Marszowski (2019)</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LeGP6Cea","properties":{"formattedCitation":"[15]","plainCitation":"[15]","noteIndex":0},"citationItems":[{"id":12116,"uris":["http://zotero.org/users/981792/items/D8HGN9J6","http://zotero.org/users/981792/items/6T3N4Z6X"],"itemData":{"id":12116,"type":"article-journal","abstract":"Background: The release of highly effective but costly medications for the treatment of hepatitis C virus combined with a doubling in the incidence of hepatitis C virus have posed substantial financial challenges for many healthcare systems. We provide estimates of the cost of treating patients with hepatitis C virus that can inform the triage of pharmaceutical care in systems with limited healthcare resources. Methods: We conducted an observational study using a national US cohort of 206,090 veterans with laboratory-identified hepatitis C virus followed from Fiscal Year 2010 to 2014. We estimated the cost of: non-advanced Fibrosis-4; advanced Fibrosis-4; hepatocellular carcinoma; liver transplant; and post-liver transplant. The former two stages were ascertained using laboratory result data; the latter stages were ascertained using administrative data. Costs were obtained from the Veterans Health Administration’s activity-based cost accounting system and more closely represent the actual costs of providing care, an improvement on the charge data that generally characterizes the hepatitis C virus cost literature. Generalized estimating equations were used to estimate and predict costs per liver disease stage. Missing data were multiply imputed. Results: Annual costs of care increased as patients progressed from non-advanced Fibrosis-4 to advanced Fibrosis-4, hepatocellular carcinoma, and liver transplant (all p &lt; 0.001). Post-liver transplant, costs decreased significantly (p &lt; 0.001). In simulations, patients were estimated to incur the following annual costs: US $17,556 for non-advanced Fibrosis-4; US $20,791 for advanced Fibrosis-4; US $46,089 for liver cancer; US $261,959 in the year of the liver transplant; and US $18,643 per year after the liver transplant. Conclusions: Cost differences of treating non-advanced and advanced Fibrosis-4 are relatively small. The greatest cost savings would be realized from avoiding progression to liver cancer and transplant.","archive":"Medline","container-title":"Applied Health Economics and Health Policy","DOI":"10.1007/s40258-019-00468-5","ISSN":"1175-5652","issue":"4","language":"English","title":"The Costs of Hepatitis C by Liver Disease Stage: Estimates from the Veterans Health Administration","URL":"https://www.embase.com/search/results?subaction=viewrecord&amp;id=L627428090&amp;from=export","volume":"17","author":[{"family":"Gidwani-Marszowski","given":"R."},{"family":"Owens","given":"D.K."},{"family":"Lo","given":"J."},{"family":"Goldhaber-Fiebert","given":"J.D."},{"family":"Asch","given":"S.M."},{"family":"Barnett","given":"P.G."}],"issued":{"date-parts":[["2019"]]}}}],"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s-CO"/>
              </w:rPr>
              <w:t>[15]</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8813FE"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Sociodemographics (sex, age, race/ethnicity, comorbidities, liver disease stage)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73CAF8"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 xml:space="preserve">Generalized estimating equations. </w:t>
            </w:r>
          </w:p>
          <w:p w14:paraId="7B3E61CF"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Gamma distribution, and a Box-Cox regression determined that a log link function was appropriate due to the skewness of the cost data.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3B3A9C"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 xml:space="preserve">Costs of </w:t>
            </w:r>
          </w:p>
          <w:p w14:paraId="3244489E"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non-advanced Fibrosis-4; advanced Fibrosis-4; hepatocellular carcinoma; liver transplant; and post-liver transplant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A295FE" w14:textId="77777777" w:rsidR="006151E5" w:rsidRPr="009B277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B2775">
              <w:rPr>
                <w:rFonts w:ascii="Times New Roman" w:eastAsia="Times New Roman" w:hAnsi="Times New Roman" w:cs="Times New Roman"/>
                <w:sz w:val="18"/>
                <w:szCs w:val="18"/>
                <w:lang w:val="en-US"/>
              </w:rPr>
              <w:t>In simulations, patients were estimated to incur the following annual costs: US $17,556 for non-advanced Fibrosis-4; US $20,791 for advanced Fibrosis-4; US $46,089 for liver cancer</w:t>
            </w:r>
            <w:r>
              <w:rPr>
                <w:rFonts w:ascii="Times New Roman" w:eastAsia="Times New Roman" w:hAnsi="Times New Roman" w:cs="Times New Roman"/>
                <w:sz w:val="18"/>
                <w:szCs w:val="18"/>
                <w:lang w:val="en-US"/>
              </w:rPr>
              <w:t>, those</w:t>
            </w:r>
            <w:r w:rsidRPr="00F722F0">
              <w:rPr>
                <w:rFonts w:ascii="Times New Roman" w:eastAsia="Times New Roman" w:hAnsi="Times New Roman" w:cs="Times New Roman"/>
                <w:sz w:val="18"/>
                <w:szCs w:val="18"/>
                <w:lang w:val="en-US"/>
              </w:rPr>
              <w:t xml:space="preserve"> undergoing liver transplants</w:t>
            </w:r>
            <w:r>
              <w:rPr>
                <w:rFonts w:ascii="Times New Roman" w:eastAsia="Times New Roman" w:hAnsi="Times New Roman" w:cs="Times New Roman"/>
                <w:sz w:val="18"/>
                <w:szCs w:val="18"/>
                <w:lang w:val="en-US"/>
              </w:rPr>
              <w:t xml:space="preserve"> US </w:t>
            </w:r>
            <w:r w:rsidRPr="009B2775">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lang w:val="en-US"/>
              </w:rPr>
              <w:t>261,959</w:t>
            </w:r>
            <w:r w:rsidRPr="009B2775">
              <w:rPr>
                <w:rFonts w:ascii="Times New Roman" w:eastAsia="Times New Roman" w:hAnsi="Times New Roman" w:cs="Times New Roman"/>
                <w:sz w:val="18"/>
                <w:szCs w:val="18"/>
                <w:lang w:val="en-US"/>
              </w:rPr>
              <w:t>; and US $18,643 per year after the liver transplant</w:t>
            </w:r>
            <w:r>
              <w:rPr>
                <w:rFonts w:ascii="Times New Roman" w:eastAsia="Times New Roman" w:hAnsi="Times New Roman" w:cs="Times New Roman"/>
                <w:sz w:val="18"/>
                <w:szCs w:val="18"/>
                <w:lang w:val="en-US"/>
              </w:rPr>
              <w:t xml:space="preserve"> procedure</w:t>
            </w:r>
          </w:p>
        </w:tc>
      </w:tr>
      <w:tr w:rsidR="006151E5" w:rsidRPr="00D25C5E" w14:paraId="0E65C795"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C1C79E" w14:textId="77777777" w:rsidR="006151E5" w:rsidRPr="00890901" w:rsidRDefault="006151E5" w:rsidP="00B878B9">
            <w:pPr>
              <w:spacing w:line="240" w:lineRule="auto"/>
              <w:rPr>
                <w:rFonts w:ascii="Times New Roman" w:eastAsia="Times New Roman" w:hAnsi="Times New Roman" w:cs="Times New Roman"/>
                <w:sz w:val="18"/>
                <w:szCs w:val="18"/>
                <w:lang w:val="en-US"/>
              </w:rPr>
            </w:pPr>
            <w:r w:rsidRPr="0097002A">
              <w:rPr>
                <w:rFonts w:ascii="Times New Roman" w:eastAsia="Times New Roman" w:hAnsi="Times New Roman" w:cs="Times New Roman"/>
                <w:sz w:val="18"/>
                <w:szCs w:val="18"/>
                <w:lang w:val="es-CO"/>
              </w:rPr>
              <w:lastRenderedPageBreak/>
              <w:t>Gundlach (2022)</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sSwm72G0","properties":{"formattedCitation":"[16]","plainCitation":"[16]","noteIndex":0},"citationItems":[{"id":12068,"uris":["http://zotero.org/users/981792/items/AJ4JZEPD","http://zotero.org/users/981792/items/EBR5GIRC"],"itemData":{"id":12068,"type":"article-journal","abstract":"Liver transplantation (LT) is the only definitive treatment to cure hepatocellular carcinoma (HCC) in cirrhosis. Waiting-list candidates are selected by the model for end-stage liver disease (MELD). However, many indications are not sufficiently represented by labMELD. For HCC, patients are selected by Milan-criteria: Milan-in qualifies for standard exception (SE) and better organ access on the waiting list; while Milan-out patients are restricted to labMELD and might benefit from extended criteria donor (ECD)-grafts. We analyzed a cohort of 102 patients (2011–2020). Patients with labMELD (no SE, Milan-out, n = 56) and matchMELD (SE-HCC, Milan-in, n = 46) were compared. The median overall survival was not significantly different (p = 0.759). No difference was found in time on the waiting list (p = 0.881), donor risk index (p = 0.697) or median costs (p = 0.204, EUR 43,500 (EUR 17,800–185,000) for labMELD and EUR 30,300 (EUR 17,200–395,900) for match-MELD). Costs were triggered by a cut-off labMELD of 12 points. Overall, the deficit increased by EUR 580 per labMELD point. Cost drivers were re-operation (p &lt; 0.001), infection with multiresistant germs (p = 0.020), dialysis (p = 0.017), operation time (p = 0.012) and transfusions (p &lt; 0.001). In conclusion, this study demonstrates that LT for HCC is successful and cost-effective in low lab-MELD patients independent of Milan-criteria. Therefore, ECD-grafts are favorized in Milan-out HCC patients with low labMELD.","archive":"Embase","container-title":"Cancers","DOI":"10.3390/cancers14051136","ISSN":"2072-6694","issue":"5","language":"English","title":"Patients Benefit from Liver Transplantation for Hepatocellular Carcinoma beyond Milan Criteria without Harming the Health Care System","URL":"https://www.embase.com/search/results?subaction=viewrecord&amp;id=L2015765201&amp;from=export","volume":"14","author":[{"family":"Gundlach","given":"J.-P."},{"family":"Linecker","given":"M."},{"family":"Dobbermann","given":"H."},{"family":"Wadle","given":"F."},{"family":"Becker","given":"T."},{"family":"Braun","given":"F."}],"issued":{"date-parts":[["2022"]]}}}],"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n-US"/>
              </w:rPr>
              <w:t>[16]</w:t>
            </w:r>
            <w:r>
              <w:rPr>
                <w:rFonts w:ascii="Times New Roman" w:eastAsia="Times New Roman" w:hAnsi="Times New Roman" w:cs="Times New Roman"/>
                <w:sz w:val="18"/>
                <w:szCs w:val="18"/>
                <w:lang w:val="es-CO"/>
              </w:rPr>
              <w:fldChar w:fldCharType="end"/>
            </w:r>
            <w:r w:rsidRPr="00890901">
              <w:rPr>
                <w:rFonts w:ascii="Times New Roman" w:eastAsia="Times New Roman" w:hAnsi="Times New Roman" w:cs="Times New Roman"/>
                <w:sz w:val="18"/>
                <w:szCs w:val="18"/>
                <w:lang w:val="en-US"/>
              </w:rPr>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13C6FF" w14:textId="77777777" w:rsidR="006151E5" w:rsidRPr="0089090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 xml:space="preserve">Demographic data (age, sex). </w:t>
            </w:r>
            <w:r w:rsidRPr="00890901">
              <w:rPr>
                <w:rFonts w:ascii="Times New Roman" w:eastAsia="Times New Roman" w:hAnsi="Times New Roman" w:cs="Times New Roman"/>
                <w:sz w:val="18"/>
                <w:szCs w:val="18"/>
                <w:lang w:val="en-US"/>
              </w:rPr>
              <w:br/>
              <w:t xml:space="preserve">Biometric data (height, weight, BMI) </w:t>
            </w:r>
          </w:p>
          <w:p w14:paraId="1FC6133C" w14:textId="77777777" w:rsidR="006151E5" w:rsidRPr="0089090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Diagnosis (cirrhosis, alcoholic cirrhosis, NASH, any hepatitis virus).</w:t>
            </w:r>
          </w:p>
          <w:p w14:paraId="0CDC9C2C" w14:textId="77777777" w:rsidR="006151E5" w:rsidRPr="008E348D"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Symptoms (ascites, TIPS, hyponatremia, hepatic encephalopathy, hepato-renal syndrome, portal hypertension).</w:t>
            </w:r>
            <w:r w:rsidRPr="00890901">
              <w:rPr>
                <w:rFonts w:ascii="Times New Roman" w:eastAsia="Times New Roman" w:hAnsi="Times New Roman" w:cs="Times New Roman"/>
                <w:sz w:val="18"/>
                <w:szCs w:val="18"/>
                <w:lang w:val="en-US"/>
              </w:rPr>
              <w:br/>
            </w:r>
            <w:r w:rsidRPr="008E348D">
              <w:rPr>
                <w:rFonts w:ascii="Times New Roman" w:eastAsia="Times New Roman" w:hAnsi="Times New Roman" w:cs="Times New Roman"/>
                <w:sz w:val="18"/>
                <w:szCs w:val="18"/>
                <w:lang w:val="en-US"/>
              </w:rPr>
              <w:t xml:space="preserve">Transplant criteria and MELD score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600061" w14:textId="77777777" w:rsidR="006151E5" w:rsidRPr="0089090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 xml:space="preserve">Patient survival was evaluated using a Kaplan–Meier analysis followed by a log-rank test. </w:t>
            </w:r>
          </w:p>
          <w:p w14:paraId="2BFB4C27" w14:textId="77777777" w:rsidR="006151E5" w:rsidRPr="0089090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Linear regression analysis and logistic regression analysis were carried out as further statistical methods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52F82" w14:textId="77777777" w:rsidR="006151E5" w:rsidRPr="008E348D"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E348D">
              <w:rPr>
                <w:rFonts w:ascii="Times New Roman" w:eastAsia="Times New Roman" w:hAnsi="Times New Roman" w:cs="Times New Roman"/>
                <w:sz w:val="18"/>
                <w:szCs w:val="18"/>
                <w:lang w:val="en-US"/>
              </w:rPr>
              <w:t>Survival and cost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1C8908" w14:textId="77777777" w:rsidR="006151E5" w:rsidRPr="0089090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The median follow-up of the patients was 3.25 years (0–10.00 years)</w:t>
            </w:r>
            <w:r w:rsidRPr="00890901">
              <w:rPr>
                <w:rStyle w:val="Refdecomentario"/>
                <w:lang w:val="en-US"/>
              </w:rPr>
              <w:t xml:space="preserve">, overall survival by preoperative tumor criteria was </w:t>
            </w:r>
            <w:r w:rsidRPr="00890901">
              <w:rPr>
                <w:rFonts w:ascii="Times New Roman" w:eastAsia="Times New Roman" w:hAnsi="Times New Roman" w:cs="Times New Roman"/>
                <w:sz w:val="18"/>
                <w:szCs w:val="18"/>
                <w:lang w:val="en-US"/>
              </w:rPr>
              <w:t>not significantly different (p= 0.1936) and also by  labMELD and matchMELD listing (p = 0.759)</w:t>
            </w:r>
          </w:p>
          <w:p w14:paraId="3FC1ECF2" w14:textId="77777777" w:rsidR="006151E5" w:rsidRPr="0089090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No difference was found in time on the waiting list (p = 0.881), donor risk index (p = 0.697) or median costs (p = 0.204)</w:t>
            </w:r>
          </w:p>
          <w:p w14:paraId="0DABCF1E" w14:textId="77777777" w:rsidR="006151E5" w:rsidRPr="0089090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 xml:space="preserve">Costs were EUR 43,500 (EUR 17,800–185,000) for labMELD and EUR 30,300 (EUR 17,200–395,900) for match_MELD. </w:t>
            </w:r>
          </w:p>
          <w:p w14:paraId="13356527" w14:textId="77777777" w:rsidR="006151E5" w:rsidRPr="0089090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 xml:space="preserve">Costs were triggered by a cut-off labMELD of 12 points. Overall, the deficit increased by EUR 580 per labMELD point. </w:t>
            </w:r>
          </w:p>
          <w:p w14:paraId="027645F0" w14:textId="77777777" w:rsidR="006151E5" w:rsidRPr="0089090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90901">
              <w:rPr>
                <w:rFonts w:ascii="Times New Roman" w:eastAsia="Times New Roman" w:hAnsi="Times New Roman" w:cs="Times New Roman"/>
                <w:sz w:val="18"/>
                <w:szCs w:val="18"/>
                <w:lang w:val="en-US"/>
              </w:rPr>
              <w:t>Cost drivers were re-operation (p &lt; 0.001), infection with multiresistant germs (p = 0.020), dialysis (p = 0.017), operation time (p = 0.012) and transfusions (p &lt; 0.001).</w:t>
            </w:r>
          </w:p>
        </w:tc>
      </w:tr>
      <w:tr w:rsidR="006151E5" w:rsidRPr="00D25C5E" w14:paraId="66361573"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A645DE" w14:textId="466A0AB7" w:rsidR="006151E5" w:rsidRPr="00B17F67" w:rsidRDefault="006151E5" w:rsidP="00B878B9">
            <w:pPr>
              <w:spacing w:line="240" w:lineRule="auto"/>
              <w:rPr>
                <w:rFonts w:ascii="Times New Roman" w:eastAsia="Times New Roman" w:hAnsi="Times New Roman" w:cs="Times New Roman"/>
                <w:sz w:val="18"/>
                <w:szCs w:val="18"/>
                <w:lang w:val="es-CO"/>
              </w:rPr>
            </w:pPr>
            <w:r w:rsidRPr="008E348D">
              <w:rPr>
                <w:rFonts w:ascii="Times New Roman" w:eastAsia="Times New Roman" w:hAnsi="Times New Roman" w:cs="Times New Roman"/>
                <w:sz w:val="18"/>
                <w:szCs w:val="18"/>
                <w:lang w:val="en-US"/>
              </w:rPr>
              <w:t>Harries (201</w:t>
            </w:r>
            <w:r w:rsidR="00D25C5E">
              <w:rPr>
                <w:rFonts w:ascii="Times New Roman" w:eastAsia="Times New Roman" w:hAnsi="Times New Roman" w:cs="Times New Roman"/>
                <w:sz w:val="18"/>
                <w:szCs w:val="18"/>
                <w:lang w:val="en-US"/>
              </w:rPr>
              <w:t>9</w:t>
            </w:r>
            <w:r w:rsidRPr="008E348D">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n-US"/>
              </w:rPr>
              <w:instrText xml:space="preserve"> ADDIN ZOTERO_ITEM CSL_CITATION {"citationID":"1ydOBpYZ","properties":{"formattedCitation":"[17]","plainCitation":"[17]","noteIndex":0},"citationItems":[{"id":12124,"uris":["http://zotero.org/users/981792/items/I6RKGSPF","http://zotero.org/users/981792/items/6VYNHW3K"],"itemData":{"id":12124,"type":"article-journal","abstract":"Introduction: Identification of cost-driving factors in patients undergoing liver transplantation is essential to target reallocation of resources and potential savings. Aim: The aim of this study is to identify main cost-driving factors in liver transplantation from the perspective of the Statutory Health Insurance. Methods: Variables were analyzed with multivariable logistic regression to determine their influence on high cost cases (fourth quartile) in the outpatient, inpatient and rehabilitative healthcare sectors as well as for medications. Results: Significant cost-driving factors for the inpatient sector of care were a high labMELD-score (OR 1.042), subsequent re-transplantations (OR 7.159) and patient mortality (OR 3.555). Expenditures for rehabilitative care were significantly higher in patients with a lower adjusted Charlson comorbidity index (OR 0.601). The indication of viral cirrhosis and hepatocellular carcinoma resulted in significantly higher costs for medications (OR 21.618 and 7.429). For all sectors of care and medications each waiting day had a significant impact on high treatment costs (OR 1.001). Overall, cost-driving factors resulted in higher median treatment costs of 211,435 €. Conclusions: Treatment costs in liver transplantation were significantly influenced by identified factors. Long pre-transplant waiting times that increase overall treatment costs need to be alleviated by a substantial increase in donor organs to enable transplantation with lower labMELD-scores. Disease management programs, the implementation of a case management for vulnerable patients, medication plans and patient tracking in a transplant registry may enable cost savings, e.g., by the avoidance of otherwise necessary re-transplants or incorrect medication.","archive":"Medline","container-title":"European Journal of Health Economics","DOI":"10.1007/s10198-018-0994-y","ISSN":"1618-7598","issue":"2","language":"English","title":"Potential savings in the treatment pathway of liver transplantation: an inter-sectorial analysis of cost-rising factors","URL":"https://www.embase.com/search/results?subaction=viewrecord&amp;id=L623293856&amp;from=export","volume":"20","author":[{"family":"Harries","given":"L."},{"family":"Gwiasda","given":"J."},{"family":"Qu","given":"Z."},{"family":"Schrem","given":"H."},{"family":"Krauth","given":"C."},{"family":"Amelung","given":"V.E."}],"issued":{"date-parts":[["2019"]]}}}],"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s-CO"/>
              </w:rPr>
              <w:t>[17]</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D342F9"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Pre-transplantation (age, waiting time, full-size organ, sex, adjusted CCI pre-listing).</w:t>
            </w:r>
          </w:p>
          <w:p w14:paraId="4DBCFE88"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At transplantation (LabMeld, receiver BMI, indication for transplantation, donor BMI, donor age, cold ischemic time).</w:t>
            </w:r>
          </w:p>
          <w:p w14:paraId="667D8A76" w14:textId="77777777" w:rsidR="006151E5" w:rsidRPr="00CE6546"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E6546">
              <w:rPr>
                <w:rFonts w:ascii="Times New Roman" w:eastAsia="Times New Roman" w:hAnsi="Times New Roman" w:cs="Times New Roman"/>
                <w:sz w:val="18"/>
                <w:szCs w:val="18"/>
                <w:lang w:val="en-US"/>
              </w:rPr>
              <w:t>Post-transplantation (observational time, re-transplantation, mortality, survival days, adjusted CCI 1 and 3 years after transplantation and for the observational period)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5AFA6"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B2FED">
              <w:rPr>
                <w:rFonts w:ascii="Times New Roman" w:eastAsia="Times New Roman" w:hAnsi="Times New Roman" w:cs="Times New Roman"/>
                <w:sz w:val="18"/>
                <w:szCs w:val="18"/>
                <w:lang w:val="en-US"/>
              </w:rPr>
              <w:t>The distribution of variables between the first and third quartile versus the fourth quartile were compared with the Wilcoxon test for continuous</w:t>
            </w:r>
            <w:r>
              <w:rPr>
                <w:rFonts w:ascii="Times New Roman" w:eastAsia="Times New Roman" w:hAnsi="Times New Roman" w:cs="Times New Roman"/>
                <w:sz w:val="18"/>
                <w:szCs w:val="18"/>
                <w:lang w:val="en-US"/>
              </w:rPr>
              <w:t>.</w:t>
            </w:r>
          </w:p>
          <w:p w14:paraId="1BA06AE5"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B2FED">
              <w:rPr>
                <w:rFonts w:ascii="Times New Roman" w:eastAsia="Times New Roman" w:hAnsi="Times New Roman" w:cs="Times New Roman"/>
                <w:sz w:val="18"/>
                <w:szCs w:val="18"/>
                <w:lang w:val="en-US"/>
              </w:rPr>
              <w:t>Chi2-test for binary variables</w:t>
            </w:r>
            <w:r>
              <w:rPr>
                <w:rFonts w:ascii="Times New Roman" w:eastAsia="Times New Roman" w:hAnsi="Times New Roman" w:cs="Times New Roman"/>
                <w:sz w:val="18"/>
                <w:szCs w:val="18"/>
                <w:lang w:val="en-US"/>
              </w:rPr>
              <w:t>.</w:t>
            </w:r>
          </w:p>
          <w:p w14:paraId="743182C5" w14:textId="77777777" w:rsidR="006151E5" w:rsidRPr="008B2FED"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M</w:t>
            </w:r>
            <w:r w:rsidRPr="008B2FED">
              <w:rPr>
                <w:rFonts w:ascii="Times New Roman" w:eastAsia="Times New Roman" w:hAnsi="Times New Roman" w:cs="Times New Roman"/>
                <w:sz w:val="18"/>
                <w:szCs w:val="18"/>
                <w:lang w:val="en-US"/>
              </w:rPr>
              <w:t xml:space="preserve">ultivariable logistic regression to determine their influence on high cost cases (fourth quartile) in the outpatient, inpatient and rehabilitative healthcare sectors as </w:t>
            </w:r>
            <w:r w:rsidRPr="008B2FED">
              <w:rPr>
                <w:rFonts w:ascii="Times New Roman" w:eastAsia="Times New Roman" w:hAnsi="Times New Roman" w:cs="Times New Roman"/>
                <w:sz w:val="18"/>
                <w:szCs w:val="18"/>
                <w:lang w:val="en-US"/>
              </w:rPr>
              <w:lastRenderedPageBreak/>
              <w:t>well as for medications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72A685" w14:textId="77777777" w:rsidR="006151E5" w:rsidRPr="00B17F67" w:rsidRDefault="006151E5" w:rsidP="00B878B9">
            <w:p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lastRenderedPageBreak/>
              <w:t>Cost and cost-driving factors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6B05D3" w14:textId="77777777" w:rsidR="006151E5" w:rsidRPr="008B2FED"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8B2FED">
              <w:rPr>
                <w:rFonts w:ascii="Times New Roman" w:eastAsia="Times New Roman" w:hAnsi="Times New Roman" w:cs="Times New Roman"/>
                <w:sz w:val="18"/>
                <w:szCs w:val="18"/>
                <w:lang w:val="en-US"/>
              </w:rPr>
              <w:t xml:space="preserve">Median total costs in the study population were 144,424 € (range 16,162–887,418 €). 75% of the patients had treatment costs of 242,157 €, which is the threshold for high-cost cases. </w:t>
            </w:r>
          </w:p>
          <w:p w14:paraId="23CB2A66"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85CCE">
              <w:rPr>
                <w:rFonts w:ascii="Times New Roman" w:eastAsia="Times New Roman" w:hAnsi="Times New Roman" w:cs="Times New Roman"/>
                <w:sz w:val="18"/>
                <w:szCs w:val="18"/>
                <w:lang w:val="en-US"/>
              </w:rPr>
              <w:t>For the inpatient care a median of 94,902 € (range 12,486–616,857 €) was accrued.</w:t>
            </w:r>
          </w:p>
          <w:p w14:paraId="44264E1E"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85CCE">
              <w:rPr>
                <w:rFonts w:ascii="Times New Roman" w:eastAsia="Times New Roman" w:hAnsi="Times New Roman" w:cs="Times New Roman"/>
                <w:sz w:val="18"/>
                <w:szCs w:val="18"/>
                <w:lang w:val="en-US"/>
              </w:rPr>
              <w:t xml:space="preserve">Significant cost-driving factors for the inpatient sector of care were a high labMELD-score (OR 1.042), subsequent re-transplantations (OR 7.159) and patient mortality (OR 3.555). </w:t>
            </w:r>
          </w:p>
          <w:p w14:paraId="0C8F9E2F"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85CCE">
              <w:rPr>
                <w:rFonts w:ascii="Times New Roman" w:eastAsia="Times New Roman" w:hAnsi="Times New Roman" w:cs="Times New Roman"/>
                <w:sz w:val="18"/>
                <w:szCs w:val="18"/>
                <w:lang w:val="en-US"/>
              </w:rPr>
              <w:t xml:space="preserve">Expenditures for rehabilitative care were significantly higher in patients with a lower adjusted Charlson comorbidity index (OR 0.601). </w:t>
            </w:r>
          </w:p>
          <w:p w14:paraId="7CB416E9"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85CCE">
              <w:rPr>
                <w:rFonts w:ascii="Times New Roman" w:eastAsia="Times New Roman" w:hAnsi="Times New Roman" w:cs="Times New Roman"/>
                <w:sz w:val="18"/>
                <w:szCs w:val="18"/>
                <w:lang w:val="en-US"/>
              </w:rPr>
              <w:lastRenderedPageBreak/>
              <w:t xml:space="preserve">The indication of viral cirrhosis and hepatocellular carcinoma resulted in significantly higher costs for medications (OR 21.618 and 7.429). </w:t>
            </w:r>
          </w:p>
          <w:p w14:paraId="23DFDE6F"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For all sectors of care and medications each waiting day had a significant impact on high treatment costs (OR 1.001).</w:t>
            </w:r>
          </w:p>
          <w:p w14:paraId="5E65107B"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C</w:t>
            </w:r>
            <w:r w:rsidRPr="00CA74F2">
              <w:rPr>
                <w:rFonts w:ascii="Times New Roman" w:eastAsia="Times New Roman" w:hAnsi="Times New Roman" w:cs="Times New Roman"/>
                <w:sz w:val="18"/>
                <w:szCs w:val="18"/>
                <w:lang w:val="en-US"/>
              </w:rPr>
              <w:t>ost-driving factors resulted in higher median treatment costs of 211,435 €</w:t>
            </w:r>
          </w:p>
        </w:tc>
      </w:tr>
      <w:tr w:rsidR="006151E5" w:rsidRPr="0093087E" w14:paraId="347672FD"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E1C3A7" w14:textId="77777777" w:rsidR="006151E5" w:rsidRPr="00C53344" w:rsidRDefault="006151E5" w:rsidP="00B878B9">
            <w:pPr>
              <w:spacing w:line="240" w:lineRule="auto"/>
              <w:rPr>
                <w:rFonts w:ascii="Times New Roman" w:eastAsia="Times New Roman" w:hAnsi="Times New Roman" w:cs="Times New Roman"/>
                <w:sz w:val="18"/>
                <w:szCs w:val="18"/>
                <w:lang w:val="en-US"/>
              </w:rPr>
            </w:pPr>
            <w:r w:rsidRPr="009A5F92">
              <w:rPr>
                <w:rFonts w:ascii="Times New Roman" w:eastAsia="Times New Roman" w:hAnsi="Times New Roman" w:cs="Times New Roman"/>
                <w:sz w:val="18"/>
                <w:szCs w:val="18"/>
                <w:lang w:val="en-US"/>
              </w:rPr>
              <w:lastRenderedPageBreak/>
              <w:t>Pollock (2020)</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n-US"/>
              </w:rPr>
              <w:instrText xml:space="preserve"> ADDIN ZOTERO_ITEM CSL_CITATION {"citationID":"iEXteww2","properties":{"formattedCitation":"[21]","plainCitation":"[21]","noteIndex":0},"citationItems":[{"id":17721,"uris":["http://zotero.org/users/981792/items/HCB4XK4S"],"itemData":{"id":17721,"type":"article-journal","container-title":"Journal of Medical Economics","DOI":"10.1080/13696998.2020.1731213","ISSN":"1369-6998, 1941-837X","issue":"6","journalAbbreviation":"Journal of Medical Economics","language":"en","page":"593-602","source":"DOI.org (Crossref)","title":"A cost analysis of SIR-Spheres yttrium-90 resin microspheres versus tyrosine kinase inhibitors in the treatment of unresectable hepatocellular carcinoma in France, Italy, Spain and the UK","volume":"23","author":[{"family":"Pollock","given":"Richard F."},{"family":"Colaone","given":"Fabien"},{"family":"Guardiola","given":"Laura"},{"family":"Shergill","given":"Suki"},{"family":"Brennan","given":"Victoria K."}],"issued":{"date-parts":[["2020",6,2]]}}}],"schema":"https://github.com/citation-style-language/schema/raw/master/csl-citation.json"}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n-US"/>
              </w:rPr>
              <w:t>[21]</w:t>
            </w:r>
            <w:r>
              <w:rPr>
                <w:rFonts w:ascii="Times New Roman" w:eastAsia="Times New Roman" w:hAnsi="Times New Roman" w:cs="Times New Roman"/>
                <w:sz w:val="18"/>
                <w:szCs w:val="18"/>
                <w:lang w:val="es-CO"/>
              </w:rPr>
              <w:fldChar w:fldCharType="end"/>
            </w:r>
            <w:r w:rsidRPr="00C53344">
              <w:rPr>
                <w:rFonts w:ascii="Times New Roman" w:eastAsia="Times New Roman" w:hAnsi="Times New Roman" w:cs="Times New Roman"/>
                <w:sz w:val="18"/>
                <w:szCs w:val="18"/>
                <w:lang w:val="en-US"/>
              </w:rPr>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1BC691" w14:textId="77777777" w:rsidR="006151E5" w:rsidRPr="000C747A"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Costs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D8DE8" w14:textId="77777777" w:rsidR="006151E5" w:rsidRPr="002D1C2A"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2D1C2A">
              <w:rPr>
                <w:rFonts w:ascii="Times New Roman" w:eastAsia="Times New Roman" w:hAnsi="Times New Roman" w:cs="Times New Roman"/>
                <w:sz w:val="18"/>
                <w:szCs w:val="18"/>
                <w:lang w:val="en-US"/>
              </w:rPr>
              <w:t>Markov model</w:t>
            </w:r>
            <w:r>
              <w:rPr>
                <w:rFonts w:ascii="Times New Roman" w:eastAsia="Times New Roman" w:hAnsi="Times New Roman" w:cs="Times New Roman"/>
                <w:sz w:val="18"/>
                <w:szCs w:val="18"/>
                <w:lang w:val="en-US"/>
              </w:rPr>
              <w:t>.</w:t>
            </w:r>
          </w:p>
          <w:p w14:paraId="2A59BFF8"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Probabilistic sensitivity analysis</w:t>
            </w:r>
            <w:r>
              <w:rPr>
                <w:rFonts w:ascii="Times New Roman" w:eastAsia="Times New Roman" w:hAnsi="Times New Roman" w:cs="Times New Roman"/>
                <w:sz w:val="18"/>
                <w:szCs w:val="18"/>
                <w:lang w:val="en-US"/>
              </w:rPr>
              <w:t>.</w:t>
            </w:r>
          </w:p>
          <w:p w14:paraId="502659E5"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 xml:space="preserve">Exponential, generalized gamma, Gompertz, log logistic, lognormal and Weibull fits to the PFS and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5386FF" w14:textId="77777777" w:rsidR="006151E5" w:rsidRPr="00C53344"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53344">
              <w:rPr>
                <w:rFonts w:ascii="Times New Roman" w:eastAsia="Times New Roman" w:hAnsi="Times New Roman" w:cs="Times New Roman"/>
                <w:sz w:val="18"/>
                <w:szCs w:val="18"/>
                <w:lang w:val="en-US"/>
              </w:rPr>
              <w:t>Cost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6ED88E" w14:textId="77777777" w:rsidR="006151E5" w:rsidRPr="00535F69"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35F69">
              <w:rPr>
                <w:rFonts w:ascii="Times New Roman" w:eastAsia="Times New Roman" w:hAnsi="Times New Roman" w:cs="Times New Roman"/>
                <w:sz w:val="18"/>
                <w:szCs w:val="18"/>
                <w:lang w:val="en-US"/>
              </w:rPr>
              <w:t>Total base case cost analyses of SIRT with SIR-Spheres Y-90 resin microspheres versus tyrosine kinase inhibitors in France (euro): 23,234,726 vs 26,314,378; Italy (euro): 21,323,136 vs 22,531,440; Spain (euro): 18,905,157 vs 25,172,537; UK (GBP): 15,746,274 vs 14,054,914</w:t>
            </w:r>
          </w:p>
        </w:tc>
      </w:tr>
      <w:tr w:rsidR="006151E5" w:rsidRPr="0093087E" w14:paraId="52B22AD2"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261E9D" w14:textId="77777777" w:rsidR="006151E5" w:rsidRPr="00C53344" w:rsidRDefault="006151E5" w:rsidP="00B878B9">
            <w:pPr>
              <w:spacing w:line="240" w:lineRule="auto"/>
              <w:rPr>
                <w:rFonts w:ascii="Times New Roman" w:eastAsia="Times New Roman" w:hAnsi="Times New Roman" w:cs="Times New Roman"/>
                <w:sz w:val="18"/>
                <w:szCs w:val="18"/>
                <w:lang w:val="en-US"/>
              </w:rPr>
            </w:pPr>
            <w:r w:rsidRPr="0097002A">
              <w:rPr>
                <w:rFonts w:ascii="Times New Roman" w:eastAsia="Times New Roman" w:hAnsi="Times New Roman" w:cs="Times New Roman"/>
                <w:sz w:val="18"/>
                <w:szCs w:val="18"/>
                <w:lang w:val="es-CO"/>
              </w:rPr>
              <w:t>Skill (2019)</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{"citationID":"dbdWbcqc","properties":{"formattedCitation":"[18]","plainCitation":"[18]","noteIndex":0},"citationItems":[{"id":17723,"uris":["http://zotero.org/users/981792/items/SX872UJR"],"itemData":{"id":17723,"type":"article-journal","abstract":"Background\nLiver transplant and liver resection are surgical treatments for hepatocellular carcinoma (HCC) performed with curative intent. While liver transplant provides longer survival when compared to resection, the financial burden on patients and payors is significantly greater. With the increase in health care costs and the emergence of high deductible insurance policies that increase out of pocket deductibles for patients, assessment of value-based treatment is warranted.\nMethods\nWe compiled total billable events from diagnosis of HCC through resection (N = 20) or transplant (N = 24) to death or last reported encounter from January 2011 to December 2012.\nResults\nPatients with HCC receiving resection had a model of end stage liver disease of 10.2 ± 1.2, survival 652 days (3–1, 167 days), and billable encounters of $316,873 ($2904/day). HCC patients receiving a liver transplant had a greater liver injury (model of end stage liver disease of 19.2 ± 3.7), longer survival (1579 days), and higher billable encounters, $740,714 ($2889/day). The surgical procedure represented the largest cost category (28% and 26% resection vs transplant, respectively). The cost effectiveness of treatment was directly proportional to length of survival. In resection, patients who survived &gt;30 days (85%) cost per day dropped to $432. Transplant patients who survived &gt;2 years (75%) saw the cost per day drop to $462.\nConclusion\nThe relative financial burdens of liver resection vs liver transplant for treating HCC are comparable in patients who survive beyond a certain threshold. Transplant patients survived longer, and survival beyond 2 years makes this approach cost effective. In a health care climate aiming to contain costs and evaluate value-based treatment paradigms, expected survival and financial burden should be included in the treatment decision analysis.","container-title":"Transplantation Proceedings","DOI":"10.1016/j.transproceed.2019.04.026","ISSN":"0041-1345","issue":"6","journalAbbreviation":"Transplantation Proceedings","page":"1907-1912","source":"ScienceDirect","title":"Financial Burden of Liver Transplant vs Resection for Hepatocellular Carcinoma","volume":"51","author":[{"family":"Skill","given":"Nicholas J."},{"family":"Butler","given":"James"},{"family":"O’Brien","given":"Daniel C."},{"family":"Kays","given":"Joshua K."},{"family":"Kubal","given":"Chandrasekhar Avinash"},{"family":"Liangpunsakul","given":"Suthat"},{"family":"Ninad","given":"Nehal"},{"family":"Maluccio","given":"Mary A."}],"issued":{"date-parts":[["2019",7,1]]}}}],"schema":"https://github.com/citation-style-language/schema/raw/master/csl-citation.json"}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s-CO"/>
              </w:rPr>
              <w:t>[18]</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14A8C"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2D1C2A">
              <w:rPr>
                <w:rFonts w:ascii="Times New Roman" w:eastAsia="Times New Roman" w:hAnsi="Times New Roman" w:cs="Times New Roman"/>
                <w:sz w:val="18"/>
                <w:szCs w:val="18"/>
                <w:lang w:val="en-US"/>
              </w:rPr>
              <w:t>Demographics (age)</w:t>
            </w:r>
            <w:r>
              <w:rPr>
                <w:rFonts w:ascii="Times New Roman" w:eastAsia="Times New Roman" w:hAnsi="Times New Roman" w:cs="Times New Roman"/>
                <w:sz w:val="18"/>
                <w:szCs w:val="18"/>
                <w:lang w:val="en-US"/>
              </w:rPr>
              <w:t>.</w:t>
            </w:r>
          </w:p>
          <w:p w14:paraId="7945AAB5" w14:textId="77777777" w:rsidR="006151E5" w:rsidRPr="002D1C2A"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2D1C2A">
              <w:rPr>
                <w:rFonts w:ascii="Times New Roman" w:eastAsia="Times New Roman" w:hAnsi="Times New Roman" w:cs="Times New Roman"/>
                <w:sz w:val="18"/>
                <w:szCs w:val="18"/>
                <w:lang w:val="en-US"/>
              </w:rPr>
              <w:t xml:space="preserve">Clinical (MELD, average survival, total billable encounters, Billable encounters for the treatment of HCC with LT or LR including radiography, surgery, interventional radiology, drugs, immunosuppression, admission, other, total charges)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B2D765" w14:textId="77777777" w:rsidR="006151E5" w:rsidRPr="00630773" w:rsidRDefault="006151E5" w:rsidP="00B878B9">
            <w:pPr>
              <w:spacing w:line="240" w:lineRule="auto"/>
              <w:rPr>
                <w:rFonts w:ascii="Times New Roman" w:eastAsia="Times New Roman" w:hAnsi="Times New Roman" w:cs="Times New Roman"/>
                <w:sz w:val="18"/>
                <w:szCs w:val="18"/>
                <w:lang w:val="en-US"/>
              </w:rPr>
            </w:pPr>
            <w:r w:rsidRPr="00630773">
              <w:rPr>
                <w:rFonts w:ascii="Times New Roman" w:eastAsia="Times New Roman" w:hAnsi="Times New Roman" w:cs="Times New Roman"/>
                <w:sz w:val="18"/>
                <w:szCs w:val="18"/>
                <w:lang w:val="en-US"/>
              </w:rPr>
              <w:t>Not mentioned Compilation of total billable events from diagnosis of HCC through resection (N=20) or transplant (N=24) to death or last reported encounter from January 2011 to December 2012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FDF7E9" w14:textId="77777777" w:rsidR="006151E5" w:rsidRPr="002D1C2A"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2D1C2A">
              <w:rPr>
                <w:rFonts w:ascii="Times New Roman" w:eastAsia="Times New Roman" w:hAnsi="Times New Roman" w:cs="Times New Roman"/>
                <w:sz w:val="18"/>
                <w:szCs w:val="18"/>
                <w:lang w:val="en-US"/>
              </w:rPr>
              <w:t>Overall survival</w:t>
            </w:r>
          </w:p>
          <w:p w14:paraId="151C84A8" w14:textId="77777777" w:rsidR="006151E5" w:rsidRPr="002D1C2A"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2D1C2A">
              <w:rPr>
                <w:rFonts w:ascii="Times New Roman" w:eastAsia="Times New Roman" w:hAnsi="Times New Roman" w:cs="Times New Roman"/>
                <w:sz w:val="18"/>
                <w:szCs w:val="18"/>
                <w:lang w:val="en-US"/>
              </w:rPr>
              <w:t>Average survival post resection.</w:t>
            </w:r>
          </w:p>
          <w:p w14:paraId="0219EC43"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2D1C2A">
              <w:rPr>
                <w:rFonts w:ascii="Times New Roman" w:eastAsia="Times New Roman" w:hAnsi="Times New Roman" w:cs="Times New Roman"/>
                <w:sz w:val="18"/>
                <w:szCs w:val="18"/>
                <w:lang w:val="en-US"/>
              </w:rPr>
              <w:t>HCC recurrence frequency.</w:t>
            </w:r>
          </w:p>
          <w:p w14:paraId="378987E7"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Costs for each type of treatment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F804A" w14:textId="77777777" w:rsidR="006151E5" w:rsidRPr="00106473"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106473">
              <w:rPr>
                <w:rFonts w:ascii="Times New Roman" w:eastAsia="Times New Roman" w:hAnsi="Times New Roman" w:cs="Times New Roman"/>
                <w:sz w:val="18"/>
                <w:szCs w:val="18"/>
                <w:lang w:val="en-US"/>
              </w:rPr>
              <w:t>Average survival post-surgery resection: 652, SD 125 days, range (3-1167 days), transplant: 524, SD 125 days (7-1076 days)</w:t>
            </w:r>
            <w:r w:rsidRPr="00106473">
              <w:rPr>
                <w:rFonts w:ascii="Times New Roman" w:eastAsia="Times New Roman" w:hAnsi="Times New Roman" w:cs="Times New Roman"/>
                <w:sz w:val="18"/>
                <w:szCs w:val="18"/>
                <w:lang w:val="en-US"/>
              </w:rPr>
              <w:br/>
            </w:r>
          </w:p>
          <w:p w14:paraId="6359596B" w14:textId="77777777" w:rsidR="006151E5" w:rsidRPr="00106473"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C</w:t>
            </w:r>
            <w:r w:rsidRPr="00106473">
              <w:rPr>
                <w:rFonts w:ascii="Times New Roman" w:eastAsia="Times New Roman" w:hAnsi="Times New Roman" w:cs="Times New Roman"/>
                <w:sz w:val="18"/>
                <w:szCs w:val="18"/>
                <w:lang w:val="en-US"/>
              </w:rPr>
              <w:t xml:space="preserve">osts: The average cost of surgical treatment for HCC was significantly higher with transplant ($740,714 [$556,745-$1,589,312]) when compared to treatment with resection ($316,873 [$45,108-$634,875]) (Student t test P &lt; .001). </w:t>
            </w:r>
          </w:p>
          <w:p w14:paraId="75C84319" w14:textId="77777777" w:rsidR="006151E5" w:rsidRDefault="006151E5" w:rsidP="00B878B9">
            <w:pPr>
              <w:spacing w:line="240" w:lineRule="auto"/>
              <w:rPr>
                <w:rFonts w:ascii="Times New Roman" w:eastAsia="Times New Roman" w:hAnsi="Times New Roman" w:cs="Times New Roman"/>
                <w:sz w:val="18"/>
                <w:szCs w:val="18"/>
                <w:lang w:val="en-US"/>
              </w:rPr>
            </w:pPr>
          </w:p>
          <w:p w14:paraId="1EC2FF22" w14:textId="77777777" w:rsidR="006151E5" w:rsidRPr="00106473"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106473">
              <w:rPr>
                <w:rFonts w:ascii="Times New Roman" w:eastAsia="Times New Roman" w:hAnsi="Times New Roman" w:cs="Times New Roman"/>
                <w:sz w:val="18"/>
                <w:szCs w:val="18"/>
                <w:lang w:val="en-US"/>
              </w:rPr>
              <w:t xml:space="preserve">The surgical procedure was the most significant cost associated with both modalities: resection: $88,020 - $16,481 or 27.7% of total cost and transplant: $175,457 - $15,681 or 23% of total cost. </w:t>
            </w:r>
          </w:p>
          <w:p w14:paraId="39C28827" w14:textId="77777777" w:rsidR="006151E5" w:rsidRDefault="006151E5" w:rsidP="00B878B9">
            <w:pPr>
              <w:spacing w:line="240" w:lineRule="auto"/>
              <w:rPr>
                <w:rFonts w:ascii="Times New Roman" w:eastAsia="Times New Roman" w:hAnsi="Times New Roman" w:cs="Times New Roman"/>
                <w:sz w:val="18"/>
                <w:szCs w:val="18"/>
                <w:lang w:val="en-US"/>
              </w:rPr>
            </w:pPr>
          </w:p>
          <w:p w14:paraId="76EE20F9"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106473">
              <w:rPr>
                <w:rFonts w:ascii="Times New Roman" w:eastAsia="Times New Roman" w:hAnsi="Times New Roman" w:cs="Times New Roman"/>
                <w:sz w:val="18"/>
                <w:szCs w:val="18"/>
                <w:lang w:val="en-US"/>
              </w:rPr>
              <w:t xml:space="preserve">Transplant vs Resection Charges Per Day: For resected patients, the charge </w:t>
            </w:r>
            <w:r w:rsidRPr="00106473">
              <w:rPr>
                <w:rFonts w:ascii="Times New Roman" w:eastAsia="Times New Roman" w:hAnsi="Times New Roman" w:cs="Times New Roman"/>
                <w:sz w:val="18"/>
                <w:szCs w:val="18"/>
                <w:lang w:val="en-US"/>
              </w:rPr>
              <w:lastRenderedPageBreak/>
              <w:t xml:space="preserve">per day was $2904 ($109-$15,036). For transplanted patients, the charge per day was $2889 ($68-$50,867). </w:t>
            </w:r>
          </w:p>
          <w:p w14:paraId="2873E45F" w14:textId="77777777" w:rsidR="006151E5" w:rsidRPr="00106473" w:rsidRDefault="006151E5" w:rsidP="00B878B9">
            <w:pPr>
              <w:pStyle w:val="Prrafodelista"/>
              <w:rPr>
                <w:rFonts w:ascii="Times New Roman" w:eastAsia="Times New Roman" w:hAnsi="Times New Roman" w:cs="Times New Roman"/>
                <w:sz w:val="18"/>
                <w:szCs w:val="18"/>
                <w:lang w:val="en-US"/>
              </w:rPr>
            </w:pPr>
          </w:p>
          <w:p w14:paraId="010CEA5B"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In transplant patients who survived &gt;5 years the total costs were $543,994 +/- $30,047, $627,986 +/- $30,401, and $793,887 +/- $32,608 at 1 year, 2 years, and 5 years, respectively. This translates into a cost per year of life of $123,047 +/- $11,670.</w:t>
            </w:r>
            <w:r>
              <w:rPr>
                <w:rFonts w:ascii="Times New Roman" w:eastAsia="Times New Roman" w:hAnsi="Times New Roman" w:cs="Times New Roman"/>
                <w:sz w:val="18"/>
                <w:szCs w:val="18"/>
                <w:lang w:val="en-US"/>
              </w:rPr>
              <w:t xml:space="preserve"> </w:t>
            </w:r>
          </w:p>
          <w:p w14:paraId="6787505D" w14:textId="77777777" w:rsidR="006151E5" w:rsidRPr="00106473" w:rsidRDefault="006151E5" w:rsidP="00B878B9">
            <w:pPr>
              <w:pStyle w:val="Prrafodelista"/>
              <w:rPr>
                <w:rFonts w:ascii="Times New Roman" w:eastAsia="Times New Roman" w:hAnsi="Times New Roman" w:cs="Times New Roman"/>
                <w:sz w:val="18"/>
                <w:szCs w:val="18"/>
                <w:lang w:val="en-US"/>
              </w:rPr>
            </w:pPr>
          </w:p>
          <w:p w14:paraId="4D22FF8A"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In comparison, patients who received resection and survived &gt;2 years, the cost per year was $198,185 +/- 87,642.</w:t>
            </w:r>
          </w:p>
        </w:tc>
      </w:tr>
      <w:tr w:rsidR="006151E5" w:rsidRPr="0093087E" w14:paraId="2B31176E"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21A464" w14:textId="77777777" w:rsidR="006151E5" w:rsidRPr="00370941" w:rsidRDefault="006151E5" w:rsidP="00B878B9">
            <w:pPr>
              <w:spacing w:line="240" w:lineRule="auto"/>
              <w:rPr>
                <w:rFonts w:ascii="Times New Roman" w:eastAsia="Times New Roman" w:hAnsi="Times New Roman" w:cs="Times New Roman"/>
                <w:sz w:val="18"/>
                <w:szCs w:val="18"/>
                <w:lang w:val="en-US"/>
              </w:rPr>
            </w:pPr>
            <w:r w:rsidRPr="0097002A">
              <w:rPr>
                <w:rFonts w:ascii="Times New Roman" w:eastAsia="Times New Roman" w:hAnsi="Times New Roman" w:cs="Times New Roman"/>
                <w:sz w:val="18"/>
                <w:szCs w:val="18"/>
                <w:lang w:val="es-CO"/>
              </w:rPr>
              <w:lastRenderedPageBreak/>
              <w:t>Souza (2019)</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ULn6CdiN","properties":{"formattedCitation":"[19]","plainCitation":"[19]","noteIndex":0},"citationItems":[{"id":12120,"uris":["http://zotero.org/users/981792/items/P5YXCZ62","http://zotero.org/users/981792/items/FHZSIYNT"],"itemData":{"id":12120,"type":"article-journal","abstract":"Background – Liver transplantation (LTx) is the primary and definitive treatment of acute or chronic cases of advanced or end-stage liver disease. Few studies have assessed the actual cost of LTx categorized by hospital unit. Objective – To evaluate the cost of LTx categorized by unit specialty within a referral center in southern Brazil. Methods – We retrospectively reviewed the medical records of 109 patients undergoing LTx between April 2013 and December 2014. Data were collected on demographic characteristics, etiology of liver disease, and severity of liver disease according to the Child-Turcotte-Pugh (CTP) and Model for End-stage Liver Disease (MELD) scores at the time of LTx. The hospital bill was transformed into cost using the full absorption costing method, and the costs were grouped into five categories: Immediate Pretransplant Kit; Specialized Units; Surgical Unit; Intensive Care Unit; and Inpatient Unit. Results – The mean total LTx cost was US$ 17,367. Surgical Unit, Specialized Units, and Intensive Care Unit accounted for 31.9%, 26.4% and 25.3% of the costs, respectively. Multivariate analysis showed that total LTx cost was significantly associated with CTP class C (P=0.001) and occurrence of complications (P=0.002). The following complications contributed to significantly increase the total LTx cost: septic shock (P=0.006), massive blood transfusion (P=0.007), and acute renal failure associated with renal replacement therapy (dialysis) (P=0.005). Conclusion – Our results demonstrated that the total cost of LTx is closely related to liver disease severity scores and the development of complications.","archive":"Medline","container-title":"O custo do transplante hepático adulto em um centro de referência na região sul do Brasil","DOI":"10.1590/s0004-2803.201900000-33","ISSN":"0004-2803","issue":"2","language":"English","title":"The cost of adult liver transplantation in a referral center in Southern Brazil","URL":"https://www.embase.com/search/results?subaction=viewrecord&amp;id=L2002583274&amp;from=export","volume":"56","author":[{"family":"SOUZA","given":"A.B.","non-dropping-particle":"de"},{"family":"Rodriguez","given":"S."},{"family":"MOTTA","given":"F.L.","non-dropping-particle":"da"},{"family":"Brandão","given":"A.B.M."},{"family":"Marroni","given":"C.A."}],"issued":{"date-parts":[["2019"]]}}}],"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n-US"/>
              </w:rPr>
              <w:t>[19]</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AC4B98" w14:textId="77777777" w:rsidR="006151E5" w:rsidRPr="0037094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370941">
              <w:rPr>
                <w:rFonts w:ascii="Times New Roman" w:eastAsia="Times New Roman" w:hAnsi="Times New Roman" w:cs="Times New Roman"/>
                <w:sz w:val="18"/>
                <w:szCs w:val="18"/>
                <w:lang w:val="en-US"/>
              </w:rPr>
              <w:t>Demographic variables (age, sex, etiology).</w:t>
            </w:r>
          </w:p>
          <w:p w14:paraId="35DCFA0F" w14:textId="77777777" w:rsidR="006151E5" w:rsidRPr="0037094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370941">
              <w:rPr>
                <w:rFonts w:ascii="Times New Roman" w:eastAsia="Times New Roman" w:hAnsi="Times New Roman" w:cs="Times New Roman"/>
                <w:sz w:val="18"/>
                <w:szCs w:val="18"/>
                <w:lang w:val="en-US"/>
              </w:rPr>
              <w:t xml:space="preserve">Clinical variables of deceased donor liver transplant recipients (CTP, MELD, re-LT, complications during hospitalization (ARF, nosocomial infections, massive blood transfusion, laparotomy, refractory shock, primary graft dysfunction, septic shock, hemorrhagic shock, acute coronary syndrome, cholestatic disorder)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71E43E" w14:textId="77777777" w:rsidR="006151E5" w:rsidRPr="0037094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370941">
              <w:rPr>
                <w:rFonts w:ascii="Times New Roman" w:eastAsia="Times New Roman" w:hAnsi="Times New Roman" w:cs="Times New Roman"/>
                <w:sz w:val="18"/>
                <w:szCs w:val="18"/>
                <w:lang w:val="en-US"/>
              </w:rPr>
              <w:t>Multivariate linear regression analysis for factors independently associated with total costs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4E13B7" w14:textId="77777777" w:rsidR="006151E5" w:rsidRPr="00370941" w:rsidRDefault="006151E5" w:rsidP="00B878B9">
            <w:pPr>
              <w:spacing w:line="240" w:lineRule="auto"/>
              <w:rPr>
                <w:rFonts w:ascii="Times New Roman" w:eastAsia="Times New Roman" w:hAnsi="Times New Roman" w:cs="Times New Roman"/>
                <w:sz w:val="18"/>
                <w:szCs w:val="18"/>
                <w:lang w:val="en-US"/>
              </w:rPr>
            </w:pPr>
            <w:r w:rsidRPr="00370941">
              <w:rPr>
                <w:rFonts w:ascii="Times New Roman" w:eastAsia="Times New Roman" w:hAnsi="Times New Roman" w:cs="Times New Roman"/>
                <w:sz w:val="18"/>
                <w:szCs w:val="18"/>
                <w:lang w:val="en-US"/>
              </w:rPr>
              <w:t>Cost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70A41"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757DC3">
              <w:rPr>
                <w:rFonts w:ascii="Times New Roman" w:eastAsia="Times New Roman" w:hAnsi="Times New Roman" w:cs="Times New Roman"/>
                <w:sz w:val="18"/>
                <w:szCs w:val="18"/>
                <w:lang w:val="en-US"/>
              </w:rPr>
              <w:t>The mean cost of liver transplant was US$ 17,367±</w:t>
            </w:r>
            <w:r w:rsidRPr="00A70EED">
              <w:rPr>
                <w:rFonts w:ascii="Times New Roman" w:eastAsia="Times New Roman" w:hAnsi="Times New Roman" w:cs="Times New Roman"/>
                <w:sz w:val="18"/>
                <w:szCs w:val="18"/>
                <w:lang w:val="en-US"/>
              </w:rPr>
              <w:t xml:space="preserve">9,935. </w:t>
            </w:r>
          </w:p>
          <w:p w14:paraId="653130FC" w14:textId="77777777" w:rsidR="006151E5" w:rsidRPr="00A70EED"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A70EED">
              <w:rPr>
                <w:rFonts w:ascii="Times New Roman" w:eastAsia="Times New Roman" w:hAnsi="Times New Roman" w:cs="Times New Roman"/>
                <w:sz w:val="18"/>
                <w:szCs w:val="18"/>
                <w:lang w:val="en-US"/>
              </w:rPr>
              <w:t>When categorized by unit specialty: Surgical Unit and Specialized Units accounted for 31.9% (US$ 4,609) and 26.4% (US$ 4,296) of the total LTx cost, respectively, then 25,3% costs for ICU, 15% for inpatient unit and rest 1.4% for pretransplant kit.</w:t>
            </w:r>
          </w:p>
        </w:tc>
      </w:tr>
      <w:tr w:rsidR="006151E5" w:rsidRPr="0093087E" w14:paraId="5CB35667"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5C8F4F" w14:textId="77777777" w:rsidR="006151E5" w:rsidRPr="00590AB1" w:rsidRDefault="006151E5" w:rsidP="00B878B9">
            <w:pPr>
              <w:spacing w:line="240" w:lineRule="auto"/>
              <w:rPr>
                <w:rFonts w:ascii="Times New Roman" w:eastAsia="Times New Roman" w:hAnsi="Times New Roman" w:cs="Times New Roman"/>
                <w:sz w:val="18"/>
                <w:szCs w:val="18"/>
                <w:lang w:val="es-CO"/>
              </w:rPr>
            </w:pPr>
            <w:r w:rsidRPr="00590AB1">
              <w:rPr>
                <w:rFonts w:ascii="Times New Roman" w:eastAsia="Times New Roman" w:hAnsi="Times New Roman" w:cs="Times New Roman"/>
                <w:sz w:val="18"/>
                <w:szCs w:val="18"/>
                <w:lang w:val="en-US"/>
              </w:rPr>
              <w:t>Wong (2021)</w:t>
            </w:r>
            <w:r w:rsidRPr="00590AB1">
              <w:rPr>
                <w:rFonts w:ascii="Times New Roman" w:eastAsia="Times New Roman" w:hAnsi="Times New Roman" w:cs="Times New Roman"/>
                <w:sz w:val="18"/>
                <w:szCs w:val="18"/>
                <w:lang w:val="en-US"/>
              </w:rPr>
              <w:fldChar w:fldCharType="begin"/>
            </w:r>
            <w:r>
              <w:rPr>
                <w:rFonts w:ascii="Times New Roman" w:eastAsia="Times New Roman" w:hAnsi="Times New Roman" w:cs="Times New Roman"/>
                <w:sz w:val="18"/>
                <w:szCs w:val="18"/>
                <w:lang w:val="en-US"/>
              </w:rPr>
              <w:instrText xml:space="preserve"> ADDIN ZOTERO_ITEM CSL_CITATION {"citationID":"FqHBXbW4","properties":{"formattedCitation":"[20]","plainCitation":"[20]","noteIndex":0},"citationItems":[{"id":17725,"uris":["http://zotero.org/users/981792/items/FL3HF3EP"],"itemData":{"id":17725,"type":"article-journal","abstract":"Supplemental Digital Content is available in the text., This study evaluates the real-world comorbidity burden, health care resource utilization (HRU), and costs among nonalcoholic fatty liver disease/nonalcoholic steatohepatitis (NAFLD/NASH) patients with advanced liver diseases [compensated cirrhosis (CC), decompensated cirrhosis (DCC), liver transplantation (LT), hepatocellular carcinoma (HCC)].","container-title":"Journal of Clinical Gastroenterology","DOI":"10.1097/MCG.0000000000001409","ISSN":"0192-0790","issue":"10","journalAbbreviation":"J Clin Gastroenterol","note":"PMID: 32815873\nPMCID: PMC8500367","page":"891-902","source":"PubMed Central","title":"Real-world Comorbidity Burden, Health Care Utilization, and Costs of Nonalcoholic Steatohepatitis Patients With Advanced Liver Diseases","volume":"55","author":[{"family":"Wong","given":"Robert J."},{"family":"Kachru","given":"Nandita"},{"family":"Martinez","given":"Diane J."},{"family":"Moynihan","given":"Meghan"},{"family":"Ozbay","given":"A. Burak"},{"family":"Gordon","given":"Stuart C."}],"issued":{"date-parts":[["2021"]]}}}],"schema":"https://github.com/citation-style-language/schema/raw/master/csl-citation.json"} </w:instrText>
            </w:r>
            <w:r w:rsidRPr="00590AB1">
              <w:rPr>
                <w:rFonts w:ascii="Times New Roman" w:eastAsia="Times New Roman" w:hAnsi="Times New Roman" w:cs="Times New Roman"/>
                <w:sz w:val="18"/>
                <w:szCs w:val="18"/>
                <w:lang w:val="en-US"/>
              </w:rPr>
              <w:fldChar w:fldCharType="separate"/>
            </w:r>
            <w:r>
              <w:rPr>
                <w:rFonts w:ascii="Times New Roman" w:eastAsia="Times New Roman" w:hAnsi="Times New Roman" w:cs="Times New Roman"/>
                <w:noProof/>
                <w:sz w:val="18"/>
                <w:szCs w:val="18"/>
                <w:lang w:val="en-US"/>
              </w:rPr>
              <w:t>[20]</w:t>
            </w:r>
            <w:r w:rsidRPr="00590AB1">
              <w:rPr>
                <w:rFonts w:ascii="Times New Roman" w:eastAsia="Times New Roman" w:hAnsi="Times New Roman" w:cs="Times New Roman"/>
                <w:sz w:val="18"/>
                <w:szCs w:val="18"/>
                <w:lang w:val="en-US"/>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F293F5" w14:textId="77777777" w:rsidR="006151E5" w:rsidRPr="00590AB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90AB1">
              <w:rPr>
                <w:rFonts w:ascii="Times New Roman" w:eastAsia="Times New Roman" w:hAnsi="Times New Roman" w:cs="Times New Roman"/>
                <w:sz w:val="18"/>
                <w:szCs w:val="18"/>
                <w:lang w:val="en-US"/>
              </w:rPr>
              <w:t xml:space="preserve">Sociodemographic (age, gender, geographic region, and insurance plan type). </w:t>
            </w:r>
          </w:p>
          <w:p w14:paraId="6722D1B4" w14:textId="77777777" w:rsidR="006151E5" w:rsidRPr="00590AB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90AB1">
              <w:rPr>
                <w:rFonts w:ascii="Times New Roman" w:eastAsia="Times New Roman" w:hAnsi="Times New Roman" w:cs="Times New Roman"/>
                <w:sz w:val="18"/>
                <w:szCs w:val="18"/>
                <w:lang w:val="en-US"/>
              </w:rPr>
              <w:t xml:space="preserve">Clinical (abdominal pain, anemia, CVD, Fatigue/insomnia, HTN, Hyperlipidemia, Obesity, PUD, dyspepsia, GERD, esophagitis, RI, Sleep apnea, Smoking, T2DM, Thyroid </w:t>
            </w:r>
            <w:r w:rsidRPr="00590AB1">
              <w:rPr>
                <w:rFonts w:ascii="Times New Roman" w:eastAsia="Times New Roman" w:hAnsi="Times New Roman" w:cs="Times New Roman"/>
                <w:sz w:val="18"/>
                <w:szCs w:val="18"/>
                <w:lang w:val="en-US"/>
              </w:rPr>
              <w:lastRenderedPageBreak/>
              <w:t xml:space="preserve">disease, vitamin D deficiency, Charlson Comorbidity Index)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D3CCF8" w14:textId="77777777" w:rsidR="006151E5" w:rsidRPr="00590AB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90AB1">
              <w:rPr>
                <w:rFonts w:ascii="Times New Roman" w:eastAsia="Times New Roman" w:hAnsi="Times New Roman" w:cs="Times New Roman"/>
                <w:sz w:val="18"/>
                <w:szCs w:val="18"/>
                <w:lang w:val="en-US"/>
              </w:rPr>
              <w:lastRenderedPageBreak/>
              <w:t>Generalized linear model among patients with NAFLD/NASH by liver disease severity stage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6B1320" w14:textId="77777777" w:rsidR="006151E5" w:rsidRPr="00590AB1" w:rsidRDefault="006151E5" w:rsidP="00B878B9">
            <w:pPr>
              <w:spacing w:line="240" w:lineRule="auto"/>
              <w:rPr>
                <w:rFonts w:ascii="Times New Roman" w:eastAsia="Times New Roman" w:hAnsi="Times New Roman" w:cs="Times New Roman"/>
                <w:sz w:val="18"/>
                <w:szCs w:val="18"/>
                <w:lang w:val="en-US"/>
              </w:rPr>
            </w:pPr>
            <w:r w:rsidRPr="00590AB1">
              <w:rPr>
                <w:rFonts w:ascii="Times New Roman" w:eastAsia="Times New Roman" w:hAnsi="Times New Roman" w:cs="Times New Roman"/>
                <w:sz w:val="18"/>
                <w:szCs w:val="18"/>
                <w:lang w:val="en-US"/>
              </w:rPr>
              <w:t>Annual All-cause Health Care Resource Utilization Among Patients With NAFLD/NASH by Liver Disease Severity Stage and Cost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C95B9D" w14:textId="77777777" w:rsidR="006151E5" w:rsidRPr="00590AB1" w:rsidRDefault="006151E5" w:rsidP="00B878B9">
            <w:pPr>
              <w:rPr>
                <w:rFonts w:ascii="Times New Roman" w:eastAsia="Times New Roman" w:hAnsi="Times New Roman" w:cs="Times New Roman"/>
                <w:sz w:val="18"/>
                <w:szCs w:val="18"/>
                <w:lang w:val="en-US"/>
              </w:rPr>
            </w:pPr>
            <w:r w:rsidRPr="00590AB1">
              <w:rPr>
                <w:rFonts w:ascii="Times New Roman" w:eastAsia="Times New Roman" w:hAnsi="Times New Roman" w:cs="Times New Roman"/>
                <w:sz w:val="18"/>
                <w:szCs w:val="18"/>
                <w:lang w:val="en-US"/>
              </w:rPr>
              <w:t>Annual all-cause health care costs (inpatient, outpatient, pharmacy) among patients with NAFLD/NASH by liver disease severity stage compared pre-index with post-index:</w:t>
            </w:r>
          </w:p>
          <w:p w14:paraId="5ECC5739"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90AB1">
              <w:rPr>
                <w:rFonts w:ascii="Times New Roman" w:eastAsia="Times New Roman" w:hAnsi="Times New Roman" w:cs="Times New Roman"/>
                <w:sz w:val="18"/>
                <w:szCs w:val="18"/>
                <w:lang w:val="en-US"/>
              </w:rPr>
              <w:t>Patients with NAFLD/NASH without advanced liver disease: pre-index $13,617 and post-index $22,953 percentage increase in total cost was 69%</w:t>
            </w:r>
            <w:r>
              <w:rPr>
                <w:rFonts w:ascii="Times New Roman" w:eastAsia="Times New Roman" w:hAnsi="Times New Roman" w:cs="Times New Roman"/>
                <w:sz w:val="18"/>
                <w:szCs w:val="18"/>
                <w:lang w:val="en-US"/>
              </w:rPr>
              <w:t>.</w:t>
            </w:r>
          </w:p>
          <w:p w14:paraId="603B0C18"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90AB1">
              <w:rPr>
                <w:rFonts w:ascii="Times New Roman" w:eastAsia="Times New Roman" w:hAnsi="Times New Roman" w:cs="Times New Roman"/>
                <w:sz w:val="18"/>
                <w:szCs w:val="18"/>
                <w:lang w:val="en-US"/>
              </w:rPr>
              <w:lastRenderedPageBreak/>
              <w:t>Patients with NAFLD/NASH until progression: pre-index $14,191 and post-index $23,787 percentage increase in total cost was 68%</w:t>
            </w:r>
            <w:r>
              <w:rPr>
                <w:rFonts w:ascii="Times New Roman" w:eastAsia="Times New Roman" w:hAnsi="Times New Roman" w:cs="Times New Roman"/>
                <w:sz w:val="18"/>
                <w:szCs w:val="18"/>
                <w:lang w:val="en-US"/>
              </w:rPr>
              <w:t>.</w:t>
            </w:r>
            <w:r w:rsidRPr="00590AB1">
              <w:rPr>
                <w:rFonts w:ascii="Times New Roman" w:eastAsia="Times New Roman" w:hAnsi="Times New Roman" w:cs="Times New Roman"/>
                <w:sz w:val="18"/>
                <w:szCs w:val="18"/>
                <w:lang w:val="en-US"/>
              </w:rPr>
              <w:t xml:space="preserve"> </w:t>
            </w:r>
          </w:p>
          <w:p w14:paraId="544BE9E8"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90AB1">
              <w:rPr>
                <w:rFonts w:ascii="Times New Roman" w:eastAsia="Times New Roman" w:hAnsi="Times New Roman" w:cs="Times New Roman"/>
                <w:sz w:val="18"/>
                <w:szCs w:val="18"/>
                <w:lang w:val="en-US"/>
              </w:rPr>
              <w:t>Patients with compensated cirrhosis: pre-index $25,720 and post-index $35,715 percentage increase in total cost was 39%</w:t>
            </w:r>
            <w:r>
              <w:rPr>
                <w:rFonts w:ascii="Times New Roman" w:eastAsia="Times New Roman" w:hAnsi="Times New Roman" w:cs="Times New Roman"/>
                <w:sz w:val="18"/>
                <w:szCs w:val="18"/>
                <w:lang w:val="en-US"/>
              </w:rPr>
              <w:t>.</w:t>
            </w:r>
          </w:p>
          <w:p w14:paraId="7F59466A" w14:textId="77777777" w:rsidR="006151E5" w:rsidRPr="00590AB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90AB1">
              <w:rPr>
                <w:rFonts w:ascii="Times New Roman" w:eastAsia="Times New Roman" w:hAnsi="Times New Roman" w:cs="Times New Roman"/>
                <w:sz w:val="18"/>
                <w:szCs w:val="18"/>
                <w:lang w:val="en-US"/>
              </w:rPr>
              <w:t>Patients with decompensated cirrhosis:</w:t>
            </w:r>
            <w:r>
              <w:rPr>
                <w:rFonts w:ascii="Times New Roman" w:eastAsia="Times New Roman" w:hAnsi="Times New Roman" w:cs="Times New Roman"/>
                <w:sz w:val="18"/>
                <w:szCs w:val="18"/>
                <w:lang w:val="en-US"/>
              </w:rPr>
              <w:t xml:space="preserve"> </w:t>
            </w:r>
            <w:r w:rsidRPr="00590AB1">
              <w:rPr>
                <w:rFonts w:ascii="Times New Roman" w:eastAsia="Times New Roman" w:hAnsi="Times New Roman" w:cs="Times New Roman"/>
                <w:sz w:val="18"/>
                <w:szCs w:val="18"/>
                <w:lang w:val="en-US"/>
              </w:rPr>
              <w:t xml:space="preserve">Pre-index $70,030 and post-index $181,134 percentage increase in total cost was 159% -patients with liver transplantation: pre-index $110,494 and post-index $300,408 percentage increase in total cost was 172% </w:t>
            </w:r>
          </w:p>
          <w:p w14:paraId="1EEF483F" w14:textId="77777777" w:rsidR="006151E5" w:rsidRPr="00802752"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P</w:t>
            </w:r>
            <w:r w:rsidRPr="00590AB1">
              <w:rPr>
                <w:rFonts w:ascii="Times New Roman" w:eastAsia="Times New Roman" w:hAnsi="Times New Roman" w:cs="Times New Roman"/>
                <w:sz w:val="18"/>
                <w:szCs w:val="18"/>
                <w:lang w:val="en-US"/>
              </w:rPr>
              <w:t>atients with hepatocellular carcinoma: pre-index $60,223 and post-index $147,401 percentage increase in total cost was 145%</w:t>
            </w:r>
            <w:r>
              <w:rPr>
                <w:rFonts w:ascii="Times New Roman" w:eastAsia="Times New Roman" w:hAnsi="Times New Roman" w:cs="Times New Roman"/>
                <w:sz w:val="18"/>
                <w:szCs w:val="18"/>
                <w:lang w:val="en-US"/>
              </w:rPr>
              <w:t>.</w:t>
            </w:r>
          </w:p>
        </w:tc>
      </w:tr>
      <w:tr w:rsidR="006151E5" w:rsidRPr="0093087E" w14:paraId="585F5083"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068C20" w14:textId="77777777" w:rsidR="006151E5" w:rsidRPr="00B17F67" w:rsidRDefault="006151E5" w:rsidP="00B878B9">
            <w:pPr>
              <w:spacing w:line="240" w:lineRule="auto"/>
              <w:rPr>
                <w:rFonts w:ascii="Times New Roman" w:eastAsia="Times New Roman" w:hAnsi="Times New Roman" w:cs="Times New Roman"/>
                <w:sz w:val="18"/>
                <w:szCs w:val="18"/>
                <w:lang w:val="es-CO"/>
              </w:rPr>
            </w:pPr>
            <w:r w:rsidRPr="0097002A">
              <w:rPr>
                <w:rFonts w:ascii="Times New Roman" w:eastAsia="Times New Roman" w:hAnsi="Times New Roman" w:cs="Times New Roman"/>
                <w:sz w:val="18"/>
                <w:szCs w:val="18"/>
                <w:lang w:val="es-CO"/>
              </w:rPr>
              <w:lastRenderedPageBreak/>
              <w:t>Hessheimer (2023)</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pEmPSiKd","properties":{"formattedCitation":"[23]","plainCitation":"[23]","noteIndex":0},"citationItems":[{"id":12182,"uris":["http://zotero.org/users/981792/items/IR822WSC","http://zotero.org/users/981792/items/9GQ38GTE"],"itemData":{"id":12182,"type":"article-journal","abstract":"OBJECTIVE: Assess cost-effectiveness and -utility associated with posttransplant HCC surveillance compared to standard follow-up. SUMMARY OF BACKGROUND DATA:  Despite lack of prospective clinical data, expert consensus recommends  posttransplant surveillance to detect HCC recurrence in a latent phase, while it  might be amenable to curative-intent therapy. METHODS: A Markov-based transition  model was created to estimate life expectancy and quality-of-life among liver  transplant patients undergoing HCC surveillance. Models were built for 2 cohorts:  1 undergoing HCC surveillance with contrast-enhanced computed tomography of chest  and abdomen and serum alpha-fetoprotein analysis and the other receiving standard  posttransplant follow-up. Primary model outputs included LY and QALY gains,  incremental cost-effectiveness ratio, and incremental cost-utility ratio.  Willingness-to-pay for a QALY gain (cost-effectiveness threshold) was used to  estimate efficiency. RESULTS: Surveillance was marginally more effective versus  no surveillance, resulting in means of 0.069 LYs and 0.026 QALYs gained. Costs  for surveillance were increased by an average of 988.32€, resulting in  incremental cost-effectiveness ratio 14,410.15€/LY and incremental cost-utility  ratio 37,547.97€/QALY. Surveillance did not seem cost-effective in our setting,  considering willingness-to-pay threshold of 25,000€/QALY. Probabilistic  sensitivity analysis indicated surveillance might be cost-effective in 42% of  cases, but degree of uncertainty in the analysis was high. CONCLUSIONS:  Performing posttransplant HCC surveillance offers marginal clinical benefits and  increases costs. Although expert consensus supports surveillance, results of this  decision analysis raise doubt regarding the utility of such recommendations and  support ongoing need for prospective clinical trials.","container-title":"Annals of surgery","DOI":"10.1097/SLA.0000000000005295","ISSN":"1528-1140 0003-4932","issue":"2","language":"eng","title":"Posttransplant Hepatocellular Carcinoma Surveillance: A Cost-effectiveness and Cost-utility Analysis.","volume":"277","author":[{"family":"Hessheimer","given":"Amelia J."},{"family":"Vargas-Martínez","given":"Ana Magdalena"},{"family":"Trapero-Bertrán","given":"Marta"},{"family":"Navasa","given":"Miquel"},{"family":"Fondevila","given":"Constantino"}],"issued":{"date-parts":[["2023",2,1]]}}}],"schema":"https://github.com/citation-style-language/schema/raw/master/csl-citation.json"}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s-CO"/>
              </w:rPr>
              <w:t>[23]</w:t>
            </w:r>
            <w:r>
              <w:rPr>
                <w:rFonts w:ascii="Times New Roman" w:eastAsia="Times New Roman" w:hAnsi="Times New Roman" w:cs="Times New Roman"/>
                <w:sz w:val="18"/>
                <w:szCs w:val="18"/>
                <w:lang w:val="es-CO"/>
              </w:rPr>
              <w:fldChar w:fldCharType="end"/>
            </w:r>
            <w:r w:rsidRPr="00B17F67">
              <w:rPr>
                <w:rFonts w:ascii="Times New Roman" w:eastAsia="Times New Roman" w:hAnsi="Times New Roman" w:cs="Times New Roman"/>
                <w:sz w:val="18"/>
                <w:szCs w:val="18"/>
                <w:lang w:val="es-CO"/>
              </w:rPr>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A983F" w14:textId="77777777" w:rsidR="006151E5" w:rsidRPr="00B17F67" w:rsidRDefault="006151E5" w:rsidP="00B878B9">
            <w:p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Costs of HCC (surveillance, outpatient clinic visits including laboratory analysis, immunosuppression therapies, prophylactic medication, surgical resection of lung, liver, and adrenal gland, radiofrequency ablation of lung and liver, TACE, chemotherapy, sorafenib, regorafenib, best supportive care, state costs)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EF5C96"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Markov model </w:t>
            </w:r>
          </w:p>
          <w:p w14:paraId="5CBFCD12"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Probabilistic sensitivity </w:t>
            </w:r>
            <w:r>
              <w:rPr>
                <w:rFonts w:ascii="Times New Roman" w:eastAsia="Times New Roman" w:hAnsi="Times New Roman" w:cs="Times New Roman"/>
                <w:sz w:val="18"/>
                <w:szCs w:val="18"/>
                <w:lang w:val="en-US"/>
              </w:rPr>
              <w:t>analysis</w:t>
            </w:r>
          </w:p>
          <w:p w14:paraId="452B0408"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Monte Carlo simulations</w:t>
            </w:r>
            <w:r>
              <w:rPr>
                <w:rFonts w:ascii="Times New Roman" w:eastAsia="Times New Roman" w:hAnsi="Times New Roman" w:cs="Times New Roman"/>
                <w:sz w:val="18"/>
                <w:szCs w:val="18"/>
                <w:lang w:val="en-US"/>
              </w:rPr>
              <w:t>.</w:t>
            </w:r>
          </w:p>
          <w:p w14:paraId="1E466E3E"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Transition probabilities were characterized by beta distributions.</w:t>
            </w:r>
          </w:p>
          <w:p w14:paraId="0EFFF101"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Utility decrements associated with surveillance by normal</w:t>
            </w:r>
            <w:r>
              <w:rPr>
                <w:rFonts w:ascii="Times New Roman" w:eastAsia="Times New Roman" w:hAnsi="Times New Roman" w:cs="Times New Roman"/>
                <w:sz w:val="18"/>
                <w:szCs w:val="18"/>
                <w:lang w:val="en-US"/>
              </w:rPr>
              <w:t>.</w:t>
            </w:r>
            <w:r w:rsidRPr="00C4393C">
              <w:rPr>
                <w:rFonts w:ascii="Times New Roman" w:eastAsia="Times New Roman" w:hAnsi="Times New Roman" w:cs="Times New Roman"/>
                <w:sz w:val="18"/>
                <w:szCs w:val="18"/>
                <w:lang w:val="en-US"/>
              </w:rPr>
              <w:t xml:space="preserve"> distributions.</w:t>
            </w:r>
          </w:p>
          <w:p w14:paraId="0BCD7AD9"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Cost by gamma distributions.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EE953F"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Life expectancy and quality-of-life gains</w:t>
            </w:r>
            <w:r>
              <w:rPr>
                <w:rFonts w:ascii="Times New Roman" w:eastAsia="Times New Roman" w:hAnsi="Times New Roman" w:cs="Times New Roman"/>
                <w:sz w:val="18"/>
                <w:szCs w:val="18"/>
                <w:lang w:val="en-US"/>
              </w:rPr>
              <w:t>.</w:t>
            </w:r>
          </w:p>
          <w:p w14:paraId="2FE0777E"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I</w:t>
            </w:r>
            <w:r w:rsidRPr="00C4393C">
              <w:rPr>
                <w:rFonts w:ascii="Times New Roman" w:eastAsia="Times New Roman" w:hAnsi="Times New Roman" w:cs="Times New Roman"/>
                <w:sz w:val="18"/>
                <w:szCs w:val="18"/>
                <w:lang w:val="en-US"/>
              </w:rPr>
              <w:t>ncremental cost-effectiveness ratio</w:t>
            </w:r>
            <w:r>
              <w:rPr>
                <w:rFonts w:ascii="Times New Roman" w:eastAsia="Times New Roman" w:hAnsi="Times New Roman" w:cs="Times New Roman"/>
                <w:sz w:val="18"/>
                <w:szCs w:val="18"/>
                <w:lang w:val="en-US"/>
              </w:rPr>
              <w:t>.</w:t>
            </w:r>
          </w:p>
          <w:p w14:paraId="5154DBF0"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I</w:t>
            </w:r>
            <w:r w:rsidRPr="00C4393C">
              <w:rPr>
                <w:rFonts w:ascii="Times New Roman" w:eastAsia="Times New Roman" w:hAnsi="Times New Roman" w:cs="Times New Roman"/>
                <w:sz w:val="18"/>
                <w:szCs w:val="18"/>
                <w:lang w:val="en-US"/>
              </w:rPr>
              <w:t>ncremental cost-utility ratio.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8664BF"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Surveillance was marginally more effective versus no surveillance, resulting in means of 0.069 LYs and 0.026 QALYs gained. </w:t>
            </w:r>
          </w:p>
          <w:p w14:paraId="21D3D612"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Costs for surveillance were increased by an average of 988.32€, resulting in incremental cost-effectiveness ratio 14,410.15€/LY and incremental cost-utility ratio 37,547.97€/QALY. </w:t>
            </w:r>
          </w:p>
          <w:p w14:paraId="56C82C7B" w14:textId="77777777" w:rsidR="006151E5" w:rsidRPr="00590AB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Surveillance did not seem cost-effective in our setting, considering willingness-to-pay threshold of 25,000€/QALY. </w:t>
            </w:r>
          </w:p>
        </w:tc>
      </w:tr>
      <w:tr w:rsidR="006151E5" w:rsidRPr="0093087E" w14:paraId="63138AE8"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A085A8" w14:textId="77777777" w:rsidR="006151E5" w:rsidRPr="00B17F67" w:rsidRDefault="006151E5" w:rsidP="00B878B9">
            <w:pPr>
              <w:spacing w:line="240" w:lineRule="auto"/>
              <w:rPr>
                <w:rFonts w:ascii="Times New Roman" w:eastAsia="Times New Roman" w:hAnsi="Times New Roman" w:cs="Times New Roman"/>
                <w:sz w:val="18"/>
                <w:szCs w:val="18"/>
                <w:lang w:val="es-CO"/>
              </w:rPr>
            </w:pPr>
            <w:r w:rsidRPr="0097002A">
              <w:rPr>
                <w:rFonts w:ascii="Times New Roman" w:eastAsia="Times New Roman" w:hAnsi="Times New Roman" w:cs="Times New Roman"/>
                <w:sz w:val="18"/>
                <w:szCs w:val="18"/>
                <w:lang w:val="es-CO"/>
              </w:rPr>
              <w:t>Kim</w:t>
            </w:r>
            <w:r>
              <w:rPr>
                <w:rFonts w:ascii="Times New Roman" w:eastAsia="Times New Roman" w:hAnsi="Times New Roman" w:cs="Times New Roman"/>
                <w:sz w:val="18"/>
                <w:szCs w:val="18"/>
                <w:lang w:val="es-CO"/>
              </w:rPr>
              <w:t xml:space="preserve"> H</w:t>
            </w:r>
            <w:r w:rsidRPr="0097002A">
              <w:rPr>
                <w:rFonts w:ascii="Times New Roman" w:eastAsia="Times New Roman" w:hAnsi="Times New Roman" w:cs="Times New Roman"/>
                <w:sz w:val="18"/>
                <w:szCs w:val="18"/>
                <w:lang w:val="es-CO"/>
              </w:rPr>
              <w:t xml:space="preserve"> (2019)</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{"citationID":"BKvrqgBj","properties":{"formattedCitation":"[24]","plainCitation":"[24]","noteIndex":0},"citationItems":[{"id":17728,"uris":["http://zotero.org/users/981792/items/JK6B8RSB"],"itemData":{"id":17728,"type":"article-journal","abstract":"Ultrasonography (US) is generally recommended for the surveillance of hepatocellular carcinoma (HCC) in patients at risk. However, in patients with cirrhosis who have sufficiently high HCC incidence, surveillance using magnetic resonance imaging (MRI) with liver‐specific contrast showed markedly higher sensitivity in detecting early‐stage HCC than US. This study aimed to compare the cost‐effectiveness of semiannual surveillance using MRI versus US in patients with compensated cirrhosis and to identify the population that would gain optimal cost‐effectiveness through MRI surveillance. We designed a Markov model to compare the expected costs and quality‐adjusted life‐years (QALYs), between MRI and US, with a 20‐year time horizon, from the health care system perspective. The starting age of the cohort was 50 years, and 71% had hepatitis B virus–associated cirrhosis. The cycle length was 6 months. Transition probabilities and costs were obtained mainly from a prospective cohort study (the PRIUS study, NCT01446666). Cost and effectiveness were discounted at 5%. An incremental cost‐effectiveness ratio (ICER) was calculated and tested using sensitivity analyses. The cost‐effectiveness analysis indicated that the use of MRI incurred $5,562 incremental costs, 0.384 incremental life‐years (LYs), and 0.221 incremental QALYs compared to US. The annual HCC incidence was the most influential factor on the ICER. The ICERs were $14,474/LY and $25,202/QALY at an annual HCC incidence of 3%. When the HCC incidence rate was &gt;1.81%, the ICER was below $50,000/QALY. With increased HCC incidence, MRI surveillance was acceptable as a cost‐effective option, even with an increased MRI/US cost ratio. Conclusion: Semiannual surveillance using MRI with liver‐specific contrast may be more cost‐effective than US in patients with virus‐associated compensated cirrhosis at sufficiently high HCC risk despite the higher test cost of MRI.","container-title":"Hepatology","DOI":"10.1002/hep.30330","ISSN":"0270-9139","issue":"4","language":"en-US","page":"1599","source":"journals.lww.com","title":"Magnetic Resonance Imaging Is Cost‐Effective for Hepatocellular Carcinoma Surveillance in High‐Risk Patients With Cirrhosis","volume":"69","author":[{"family":"Kim","given":"Hye-Lin"},{"family":"An","given":"Jihyun"},{"family":"Park","given":"Jae-A."},{"family":"Park","given":"Seung-Hoo"},{"family":"Lim","given":"Young-Suk"},{"family":"Lee","given":"Eui-Kyung"}],"issued":{"date-parts":[["2019",4]]}}}],"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s-CO"/>
              </w:rPr>
              <w:t>[24]</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347697"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Age at start of surveillance</w:t>
            </w:r>
          </w:p>
          <w:p w14:paraId="4FB662A9"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Annual HCC incidence rat</w:t>
            </w:r>
            <w:r>
              <w:rPr>
                <w:rFonts w:ascii="Times New Roman" w:eastAsia="Times New Roman" w:hAnsi="Times New Roman" w:cs="Times New Roman"/>
                <w:sz w:val="18"/>
                <w:szCs w:val="18"/>
                <w:lang w:val="en-US"/>
              </w:rPr>
              <w:t>e</w:t>
            </w:r>
          </w:p>
          <w:p w14:paraId="22F3C523"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Surveillance characteristics</w:t>
            </w:r>
          </w:p>
          <w:p w14:paraId="7CDE9E16"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 xml:space="preserve">Post-treatment </w:t>
            </w:r>
          </w:p>
          <w:p w14:paraId="0363B20C"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Treatment costs</w:t>
            </w:r>
          </w:p>
          <w:p w14:paraId="22B23A2C" w14:textId="77777777" w:rsidR="006151E5" w:rsidRPr="000C747A"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 xml:space="preserve">Liver transplantation (resection, ablation, TACE)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6E6C39"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Markov model </w:t>
            </w:r>
          </w:p>
          <w:p w14:paraId="693A900F"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Probabilistic sensitivity analysis</w:t>
            </w:r>
          </w:p>
          <w:p w14:paraId="06B588FD"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 xml:space="preserve">Monte Carlo simulation. </w:t>
            </w:r>
          </w:p>
          <w:p w14:paraId="7D54F6D9"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lastRenderedPageBreak/>
              <w:t>B</w:t>
            </w:r>
            <w:r w:rsidRPr="00B17F67">
              <w:rPr>
                <w:rFonts w:ascii="Times New Roman" w:eastAsia="Times New Roman" w:hAnsi="Times New Roman" w:cs="Times New Roman"/>
                <w:sz w:val="18"/>
                <w:szCs w:val="18"/>
                <w:lang w:val="en-US"/>
              </w:rPr>
              <w:t>eta distribution for transition probabilities</w:t>
            </w:r>
          </w:p>
          <w:p w14:paraId="3F8ED1BA"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G</w:t>
            </w:r>
            <w:r w:rsidRPr="00B17F67">
              <w:rPr>
                <w:rFonts w:ascii="Times New Roman" w:eastAsia="Times New Roman" w:hAnsi="Times New Roman" w:cs="Times New Roman"/>
                <w:sz w:val="18"/>
                <w:szCs w:val="18"/>
                <w:lang w:val="en-US"/>
              </w:rPr>
              <w:t>amma distribution for costs and utility weights.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109FD0"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lastRenderedPageBreak/>
              <w:t>Expected costs.</w:t>
            </w:r>
          </w:p>
          <w:p w14:paraId="49CFE732"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Life-years (LY). Quality-adjusted life years (QALYs). </w:t>
            </w:r>
          </w:p>
          <w:p w14:paraId="47E553F0"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lastRenderedPageBreak/>
              <w:t>Incremental cost-effectiveness ratio (ICER)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D1F1CF"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lastRenderedPageBreak/>
              <w:t xml:space="preserve">The cost-effectiveness analysis indicated that the use of MRI incurred $5,562 incremental costs, 0.384 incremental life-years (LY), and 0.221 incremental QALY compared to US. </w:t>
            </w:r>
          </w:p>
          <w:p w14:paraId="683660F2"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The annual HCC incidence was the most influential factor on the ICER. </w:t>
            </w:r>
            <w:r w:rsidRPr="00C4393C">
              <w:rPr>
                <w:rFonts w:ascii="Times New Roman" w:eastAsia="Times New Roman" w:hAnsi="Times New Roman" w:cs="Times New Roman"/>
                <w:sz w:val="18"/>
                <w:szCs w:val="18"/>
                <w:lang w:val="en-US"/>
              </w:rPr>
              <w:lastRenderedPageBreak/>
              <w:t xml:space="preserve">The ICERs were $14,474/LY and $25,202/QALY at an annual HCC incidence of 3%. </w:t>
            </w:r>
          </w:p>
          <w:p w14:paraId="09322073"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When the HCC incidence rate was</w:t>
            </w:r>
            <w:r>
              <w:rPr>
                <w:rFonts w:ascii="Times New Roman" w:eastAsia="Times New Roman" w:hAnsi="Times New Roman" w:cs="Times New Roman"/>
                <w:sz w:val="18"/>
                <w:szCs w:val="18"/>
                <w:lang w:val="en-US"/>
              </w:rPr>
              <w:t xml:space="preserve"> </w:t>
            </w:r>
            <w:r w:rsidRPr="00C4393C">
              <w:rPr>
                <w:rFonts w:ascii="Times New Roman" w:eastAsia="Times New Roman" w:hAnsi="Times New Roman" w:cs="Times New Roman"/>
                <w:sz w:val="18"/>
                <w:szCs w:val="18"/>
                <w:lang w:val="en-US"/>
              </w:rPr>
              <w:t>&gt;1.81%, the ICER was below $50,000/QALY. With increased HCC incidence, MRI surveillance was acceptable as a cost-effective option, even with increased MRI/US cost ratio</w:t>
            </w:r>
          </w:p>
        </w:tc>
      </w:tr>
      <w:tr w:rsidR="006151E5" w:rsidRPr="0093087E" w14:paraId="761E0FA4"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C4C9C8" w14:textId="77777777" w:rsidR="006151E5" w:rsidRPr="00B17F67" w:rsidRDefault="006151E5" w:rsidP="00B878B9">
            <w:pPr>
              <w:spacing w:line="240" w:lineRule="auto"/>
              <w:rPr>
                <w:rFonts w:ascii="Times New Roman" w:eastAsia="Times New Roman" w:hAnsi="Times New Roman" w:cs="Times New Roman"/>
                <w:sz w:val="18"/>
                <w:szCs w:val="18"/>
                <w:lang w:val="es-CO"/>
              </w:rPr>
            </w:pPr>
            <w:r w:rsidRPr="0097002A">
              <w:rPr>
                <w:rFonts w:ascii="Times New Roman" w:eastAsia="Times New Roman" w:hAnsi="Times New Roman" w:cs="Times New Roman"/>
                <w:sz w:val="18"/>
                <w:szCs w:val="18"/>
                <w:lang w:val="es-CO"/>
              </w:rPr>
              <w:lastRenderedPageBreak/>
              <w:t>Kim</w:t>
            </w:r>
            <w:r>
              <w:rPr>
                <w:rFonts w:ascii="Times New Roman" w:eastAsia="Times New Roman" w:hAnsi="Times New Roman" w:cs="Times New Roman"/>
                <w:sz w:val="18"/>
                <w:szCs w:val="18"/>
                <w:lang w:val="es-CO"/>
              </w:rPr>
              <w:t xml:space="preserve"> KD</w:t>
            </w:r>
            <w:r w:rsidRPr="0097002A">
              <w:rPr>
                <w:rFonts w:ascii="Times New Roman" w:eastAsia="Times New Roman" w:hAnsi="Times New Roman" w:cs="Times New Roman"/>
                <w:sz w:val="18"/>
                <w:szCs w:val="18"/>
                <w:lang w:val="es-CO"/>
              </w:rPr>
              <w:t xml:space="preserve"> (2021)</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{"citationID":"3Q7F1eXa","properties":{"formattedCitation":"[25]","plainCitation":"[25]","noteIndex":0},"citationItems":[{"id":17729,"uris":["http://zotero.org/users/981792/items/IIUMDE7G"],"itemData":{"id":17729,"type":"article-journal","abstract":"Background/Aims\nHepatitis B core antibody (anti-HBc)-positive donors are used as an extended donor pool, and current guidelines recommend the usage of nucleos(t)ide analogues (NAs) as prophylaxis for preventing de novo hepatitis B virus infection (DNH). We analyzed the long-term outcomes of a large cohort of liver transplantation (LT) patients receiving anti-HBc-positive grafts and evaluated the risk of DNH when hepatitis B immunoglobulin (HBIG) monotherapy was used as prophylaxis. We also compared the cost-effectiveness of HBIG and NAs.\n\nMethods\nWe retrospectively reviewed 457 patients with anti-HBc-positive grafts and 898 patients with anti-HBc-negative grafts who underwent LT between January 2001 and December 2018. We compared recipient characteristics according to the anti-HBc status of the donor, and compared the costs of using NAs for the rest of the patient’s life and using HBIG to maintain hepatitis B surface antibody titers above 200 IU/L.\n\nResults\nThe 1-, 5-, and 10-year patient survival rates were 87.7%, 73.5%, and 67.7%, respectively, in patients with anti-HBc-positive grafts, and 88.5%, 77.4%, and 70.3%, respectively, in patients with anti-HBc-negative grafts (P=0.113). Among 457 recipients with anti-HBc-positive grafts, 117 (25.6%) were non-HBV recipients. The overall incidence of DNH was 0.9%. When using HBIG under insurance coverage, the cumulative cost was lower compared with using NA continuously without insurance coverage in Korea.\n\nConclusions\nAnti-HBc-positive grafts alone do not affect patient survival or graft survival. HBIG monoprophylaxis has good outcomes for preventing DNH, and the patient’s long-term cost burden is low in Korea because of the national insurance system in this cohort.","container-title":"Clinical and Molecular Hepatology","DOI":"10.3350/cmh.2021.0137","ISSN":"2287-2728","issue":"4","journalAbbreviation":"Clin Mol Hepatol","note":"PMID: 34492755\nPMCID: PMC8524070","page":"603-615","source":"PubMed Central","title":"Cost-effectiveness and long-term outcomes of liver transplantation using hepatitis B core antibody-positive grafts with hepatitis B immunoglobulin prophylaxis in Korea","volume":"27","author":[{"family":"Kim","given":"Kyeong Deok"},{"family":"Lee","given":"Ji Eun"},{"family":"Kim","given":"Jong Man"},{"family":"Lee","given":"Okjoo"},{"family":"Hwang","given":"Na Young"},{"family":"Rhu","given":"Jinsoo"},{"family":"Choi","given":"Gyu-Seong"},{"family":"Kim","given":"Kyunga"},{"family":"Joh","given":"Jae-Won"}],"issued":{"date-parts":[["2021",10]]}}}],"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s-CO"/>
              </w:rPr>
              <w:t>[25]</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7E0640"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D32EF3">
              <w:rPr>
                <w:rFonts w:ascii="Times New Roman" w:eastAsia="Times New Roman" w:hAnsi="Times New Roman" w:cs="Times New Roman"/>
                <w:sz w:val="18"/>
                <w:szCs w:val="18"/>
                <w:lang w:val="en-US"/>
              </w:rPr>
              <w:t>Variables for donors (age, sex, BMI, type of donor, warm and cold ischemic time, and day 0 graft biopsy according to anti-HBc status).</w:t>
            </w:r>
          </w:p>
          <w:p w14:paraId="6CC2A42F" w14:textId="77777777" w:rsidR="006151E5" w:rsidRPr="00D32EF3"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D32EF3">
              <w:rPr>
                <w:rFonts w:ascii="Times New Roman" w:eastAsia="Times New Roman" w:hAnsi="Times New Roman" w:cs="Times New Roman"/>
                <w:sz w:val="18"/>
                <w:szCs w:val="18"/>
                <w:lang w:val="en-US"/>
              </w:rPr>
              <w:t xml:space="preserve">Variables for the recipient (age, sex, BMI, MELD score, HBV, HCV, and HCC according to the MC, operation time, postoperative ICU, stay period, hospitalization period, complication rate, severe complication rate, and mortality within 30 days, DNH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217E3D"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D32EF3">
              <w:rPr>
                <w:rFonts w:ascii="Times New Roman" w:eastAsia="Times New Roman" w:hAnsi="Times New Roman" w:cs="Times New Roman"/>
                <w:sz w:val="18"/>
                <w:szCs w:val="18"/>
                <w:lang w:val="en-US"/>
              </w:rPr>
              <w:t xml:space="preserve">Continuous variables were compared using the Mann-Whitney U test. </w:t>
            </w:r>
          </w:p>
          <w:p w14:paraId="59F4917F"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D32EF3">
              <w:rPr>
                <w:rFonts w:ascii="Times New Roman" w:eastAsia="Times New Roman" w:hAnsi="Times New Roman" w:cs="Times New Roman"/>
                <w:sz w:val="18"/>
                <w:szCs w:val="18"/>
                <w:lang w:val="en-US"/>
              </w:rPr>
              <w:t xml:space="preserve">Categorical variables are presented as numbers with percentages and were compared by chi-square tests. </w:t>
            </w:r>
          </w:p>
          <w:p w14:paraId="167E9CD8"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Kaplan-Meier method and compared using log-rank tests. Cox proportional hazards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3BD93" w14:textId="77777777" w:rsidR="006151E5" w:rsidRPr="00F27DE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F27DEE">
              <w:rPr>
                <w:rFonts w:ascii="Times New Roman" w:eastAsia="Times New Roman" w:hAnsi="Times New Roman" w:cs="Times New Roman"/>
                <w:sz w:val="18"/>
                <w:szCs w:val="18"/>
                <w:lang w:val="en-US"/>
              </w:rPr>
              <w:t>Patient and graft survival.</w:t>
            </w:r>
          </w:p>
          <w:p w14:paraId="319C5F3C" w14:textId="77777777" w:rsidR="006151E5" w:rsidRPr="00F27DE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F27DEE">
              <w:rPr>
                <w:rFonts w:ascii="Times New Roman" w:eastAsia="Times New Roman" w:hAnsi="Times New Roman" w:cs="Times New Roman"/>
                <w:sz w:val="18"/>
                <w:szCs w:val="18"/>
                <w:lang w:val="en-US"/>
              </w:rPr>
              <w:t>Disease-free survival rates of patients with HCC.</w:t>
            </w:r>
          </w:p>
          <w:p w14:paraId="56FE486D"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F27DEE">
              <w:rPr>
                <w:rFonts w:ascii="Times New Roman" w:eastAsia="Times New Roman" w:hAnsi="Times New Roman" w:cs="Times New Roman"/>
                <w:sz w:val="18"/>
                <w:szCs w:val="18"/>
                <w:lang w:val="en-US"/>
              </w:rPr>
              <w:t>Donor anti-HBc status patient survival rates.</w:t>
            </w:r>
          </w:p>
          <w:p w14:paraId="742D704F"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C</w:t>
            </w:r>
            <w:r w:rsidRPr="00B17F67">
              <w:rPr>
                <w:rFonts w:ascii="Times New Roman" w:eastAsia="Times New Roman" w:hAnsi="Times New Roman" w:cs="Times New Roman"/>
                <w:sz w:val="18"/>
                <w:szCs w:val="18"/>
                <w:lang w:val="en-US"/>
              </w:rPr>
              <w:t>umulative costs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3A8A6D"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3903A1">
              <w:rPr>
                <w:rFonts w:ascii="Times New Roman" w:eastAsia="Times New Roman" w:hAnsi="Times New Roman" w:cs="Times New Roman"/>
                <w:sz w:val="18"/>
                <w:szCs w:val="18"/>
                <w:lang w:val="en-US"/>
              </w:rPr>
              <w:t xml:space="preserve">Patient and graft survival: Anti-HBc status of the donor did not affect patient survival. The 1-, 5-, and 10-year patient survival rates were 87.7%, 73.5%, and 67.7%, respectively, in the anti-HBc-positive group and 88.5%, 77.4%, and 70.3%, respectively, in the anti-HBc-negative group (P=0.113). </w:t>
            </w:r>
          </w:p>
          <w:p w14:paraId="76DD3782"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3903A1">
              <w:rPr>
                <w:rFonts w:ascii="Times New Roman" w:eastAsia="Times New Roman" w:hAnsi="Times New Roman" w:cs="Times New Roman"/>
                <w:sz w:val="18"/>
                <w:szCs w:val="18"/>
                <w:lang w:val="en-US"/>
              </w:rPr>
              <w:t>Outcomes of LT in HBV recipients with HCC according to donor anti-HBc status: In recipients with HCC, the 1-, 5-, and 10-year patient survival rates were 88.8%, 70.8%, and 63.8%, respectively in those with anti-HBc-positive grafts, and 89.8%, 75.1%, and 68.9%, respectively for those with anti-HBc-negative grafts (P=0.141). The 1-, 5-, and 10-year disease-free survival rates of patients with HCC were 87.3%, 78.3% and 75.1%, respectively, in the antiHBc-positive group and 89.2%, 78.8% and 78.2%, respectively, in the anti-HBc-negative group (P=0.686)</w:t>
            </w:r>
            <w:r>
              <w:rPr>
                <w:rFonts w:ascii="Times New Roman" w:eastAsia="Times New Roman" w:hAnsi="Times New Roman" w:cs="Times New Roman"/>
                <w:sz w:val="18"/>
                <w:szCs w:val="18"/>
                <w:lang w:val="en-US"/>
              </w:rPr>
              <w:t>.</w:t>
            </w:r>
          </w:p>
          <w:p w14:paraId="1FA7741C" w14:textId="77777777" w:rsidR="006151E5" w:rsidRPr="003903A1"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3903A1">
              <w:rPr>
                <w:rFonts w:ascii="Times New Roman" w:eastAsia="Times New Roman" w:hAnsi="Times New Roman" w:cs="Times New Roman"/>
                <w:sz w:val="18"/>
                <w:szCs w:val="18"/>
                <w:lang w:val="en-US"/>
              </w:rPr>
              <w:t>When using HBIG under insurance coverage, the cumulative cost was lower compared with using NA continuously without insurance coverage in Korea</w:t>
            </w:r>
          </w:p>
        </w:tc>
      </w:tr>
      <w:tr w:rsidR="006151E5" w:rsidRPr="00A332EC" w14:paraId="731A2334"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4AECA1" w14:textId="77777777" w:rsidR="006151E5" w:rsidRPr="00B17F67" w:rsidRDefault="006151E5" w:rsidP="00B878B9">
            <w:pPr>
              <w:spacing w:line="240" w:lineRule="auto"/>
              <w:rPr>
                <w:rFonts w:ascii="Times New Roman" w:eastAsia="Times New Roman" w:hAnsi="Times New Roman" w:cs="Times New Roman"/>
                <w:sz w:val="18"/>
                <w:szCs w:val="18"/>
                <w:lang w:val="es-CO"/>
              </w:rPr>
            </w:pPr>
            <w:r w:rsidRPr="0097002A">
              <w:rPr>
                <w:rFonts w:ascii="Times New Roman" w:eastAsia="Times New Roman" w:hAnsi="Times New Roman" w:cs="Times New Roman"/>
                <w:sz w:val="18"/>
                <w:szCs w:val="18"/>
                <w:lang w:val="es-CO"/>
              </w:rPr>
              <w:t>Li (2021)</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{"citationID":"n2MzD2GM","properties":{"formattedCitation":"[26]","plainCitation":"[26]","noteIndex":0},"citationItems":[{"id":17730,"uris":["http://zotero.org/users/981792/items/QVCRADLE"],"itemData":{"id":17730,"type":"article-journal","abstract":"Background\nHepatic arterial infusion (HAI) of oxaliplatin, leucovorin, and fluorouracil (FOLFOX) plus sorafenib has a more desirable effect versus sorafenib for hepatocellular carcinoma (HCC) patients with portal vein invasion. However, considering the high cost of hepatic arterial infusion of chemotherapy (HAIC), this study evaluated the cost-effectiveness of HAIC plus sorafenib (SoraHAIC) versus standard care for HCC patients from the Chinese health system perspective.\n\nMethods\nA Markov multi-state model was constructed to simulate the disease course and source consumption of SoraHAIC. Costs of primary therapeutic drugs were calculated based on the national bid price, and hepatic artery catheterization fee was collected from the Fujian Provincial Price Bureau. Clinical data, other costs, and utility values were extracted from references. Primary outcomes included life-years (LYs), quality-adjusted life years (QALYs) and incremental cost-effectiveness ratio (ICER). The robustness of model was verified by uncertainty sensitivity analyses.\n\nResults\nSoraHAIC gained 1.18 QALYs (1.68 LYs) at a cost of $65,254, while the effectiveness and cost of sorafenib were 0.52 QALYs (0.79 LYs) and $14,280, respectively. The ICER of SoraHAIC vs sorafenib was $77,132/QALY ($57,153/LY). Parameter that most influenced the ICER was utility of PFS state. The probabilistic sensitivity analysis (PSA) showed that SoraHAIC was not cost-effective in the WTP threshold of 3*Gross Domestic Product (GDP) per capita of China ($30,492/QALY). But about 38.8% of the simulations were favorable to SoraHAIC at the WTP threshold of 3*GDP per capita of Beijing ($72,000/QALY). When 3*GDP per capita of Fujian ($47,285/QALY) and Gansu Province ($14,595/QALY) were used as WTP threshold, the acceptability of SoraHAIC was 0.3% and 0%, respectively.\n\nConclusions\nThe study results indicated that SoraHAIC was not cost-effective in medium-, and low-income regions of China. In developed areas of China (Beijing), there was a 38.8% probability that the SoraHAIC regimen would be cost-effective.","container-title":"Frontiers in Oncology","DOI":"10.3389/fonc.2021.562135","ISSN":"2234-943X","journalAbbreviation":"Front Oncol","note":"PMID: 33767976\nPMCID: PMC7985441","page":"562135","source":"PubMed Central","title":"Cost-Effectiveness Analysis of Hepatic Arterial Infusion of FOLFOX Combined Sorafenib for Advanced Hepatocellular Carcinoma With Portal Vein Invasion","volume":"11","author":[{"family":"Li","given":"Meiyue"},{"family":"Lin","given":"Shen"},{"family":"Wilson","given":"Leslie"},{"family":"Huang","given":"Pinfang"},{"family":"Wang","given":"Hang"},{"family":"Lai","given":"Shubin"},{"family":"Dong","given":"Liangliang"},{"family":"Xu","given":"Xiongwei"},{"family":"Weng","given":"Xiuhua"}],"issued":{"date-parts":[["2021",3,9]]}}}],"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s-CO"/>
              </w:rPr>
              <w:t>[26]</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64C577" w14:textId="77777777" w:rsidR="006151E5" w:rsidRPr="000C747A"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Clinical variables and incidence of adverse events)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F82C23"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Markov model </w:t>
            </w:r>
          </w:p>
          <w:p w14:paraId="4EC2269C"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Probabilistic sensitivity analysis</w:t>
            </w:r>
          </w:p>
          <w:p w14:paraId="09501E18"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lastRenderedPageBreak/>
              <w:t xml:space="preserve">Monte Carlo simulation. </w:t>
            </w:r>
          </w:p>
          <w:p w14:paraId="619F3604"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W</w:t>
            </w:r>
            <w:r w:rsidRPr="00B17F67">
              <w:rPr>
                <w:rFonts w:ascii="Times New Roman" w:eastAsia="Times New Roman" w:hAnsi="Times New Roman" w:cs="Times New Roman"/>
                <w:sz w:val="18"/>
                <w:szCs w:val="18"/>
                <w:lang w:val="en-US"/>
              </w:rPr>
              <w:t>eibull survival model of PFS and OS</w:t>
            </w:r>
          </w:p>
          <w:p w14:paraId="33E8133E"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C</w:t>
            </w:r>
            <w:r w:rsidRPr="00B17F67">
              <w:rPr>
                <w:rFonts w:ascii="Times New Roman" w:eastAsia="Times New Roman" w:hAnsi="Times New Roman" w:cs="Times New Roman"/>
                <w:sz w:val="18"/>
                <w:szCs w:val="18"/>
                <w:lang w:val="en-US"/>
              </w:rPr>
              <w:t xml:space="preserve">ost analysis: gamma distribution. </w:t>
            </w:r>
          </w:p>
          <w:p w14:paraId="6936F88E"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I</w:t>
            </w:r>
            <w:r w:rsidRPr="00B17F67">
              <w:rPr>
                <w:rFonts w:ascii="Times New Roman" w:eastAsia="Times New Roman" w:hAnsi="Times New Roman" w:cs="Times New Roman"/>
                <w:sz w:val="18"/>
                <w:szCs w:val="18"/>
                <w:lang w:val="en-US"/>
              </w:rPr>
              <w:t>ncidence, utility, disutility and proportion: beta distribution.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EA40EA"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EE0A20">
              <w:rPr>
                <w:rFonts w:ascii="Times New Roman" w:eastAsia="Times New Roman" w:hAnsi="Times New Roman" w:cs="Times New Roman"/>
                <w:sz w:val="18"/>
                <w:szCs w:val="18"/>
                <w:lang w:val="en-US"/>
              </w:rPr>
              <w:lastRenderedPageBreak/>
              <w:t>Life expectancy.</w:t>
            </w:r>
          </w:p>
          <w:p w14:paraId="41C94F56"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EE0A20">
              <w:rPr>
                <w:rFonts w:ascii="Times New Roman" w:eastAsia="Times New Roman" w:hAnsi="Times New Roman" w:cs="Times New Roman"/>
                <w:sz w:val="18"/>
                <w:szCs w:val="18"/>
                <w:lang w:val="en-US"/>
              </w:rPr>
              <w:t>Quality of life</w:t>
            </w:r>
            <w:r>
              <w:rPr>
                <w:rFonts w:ascii="Times New Roman" w:eastAsia="Times New Roman" w:hAnsi="Times New Roman" w:cs="Times New Roman"/>
                <w:sz w:val="18"/>
                <w:szCs w:val="18"/>
                <w:lang w:val="en-US"/>
              </w:rPr>
              <w:t>.</w:t>
            </w:r>
          </w:p>
          <w:p w14:paraId="62F57985"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ICER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43D701"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EE0A20">
              <w:rPr>
                <w:rFonts w:ascii="Times New Roman" w:eastAsia="Times New Roman" w:hAnsi="Times New Roman" w:cs="Times New Roman"/>
                <w:sz w:val="18"/>
                <w:szCs w:val="18"/>
                <w:lang w:val="en-US"/>
              </w:rPr>
              <w:t>Life expectancy: was simulated over 8 years</w:t>
            </w:r>
            <w:r>
              <w:rPr>
                <w:rFonts w:ascii="Times New Roman" w:eastAsia="Times New Roman" w:hAnsi="Times New Roman" w:cs="Times New Roman"/>
                <w:sz w:val="18"/>
                <w:szCs w:val="18"/>
                <w:lang w:val="en-US"/>
              </w:rPr>
              <w:t>.</w:t>
            </w:r>
            <w:r w:rsidRPr="00EE0A20">
              <w:rPr>
                <w:rFonts w:ascii="Times New Roman" w:eastAsia="Times New Roman" w:hAnsi="Times New Roman" w:cs="Times New Roman"/>
                <w:sz w:val="18"/>
                <w:szCs w:val="18"/>
                <w:lang w:val="en-US"/>
              </w:rPr>
              <w:t xml:space="preserve"> SoraHAIC group achieved a 1.68 L</w:t>
            </w:r>
            <w:r>
              <w:rPr>
                <w:rFonts w:ascii="Times New Roman" w:eastAsia="Times New Roman" w:hAnsi="Times New Roman" w:cs="Times New Roman"/>
                <w:sz w:val="18"/>
                <w:szCs w:val="18"/>
                <w:lang w:val="en-US"/>
              </w:rPr>
              <w:t>Y</w:t>
            </w:r>
            <w:r w:rsidRPr="00EE0A20">
              <w:rPr>
                <w:rFonts w:ascii="Times New Roman" w:eastAsia="Times New Roman" w:hAnsi="Times New Roman" w:cs="Times New Roman"/>
                <w:sz w:val="18"/>
                <w:szCs w:val="18"/>
                <w:lang w:val="en-US"/>
              </w:rPr>
              <w:t xml:space="preserve">s (life years) with 0.89 LYs more than standard treatment alone, </w:t>
            </w:r>
          </w:p>
          <w:p w14:paraId="0B9C2C97"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lastRenderedPageBreak/>
              <w:t>Q</w:t>
            </w:r>
            <w:r w:rsidRPr="00EE0A20">
              <w:rPr>
                <w:rFonts w:ascii="Times New Roman" w:eastAsia="Times New Roman" w:hAnsi="Times New Roman" w:cs="Times New Roman"/>
                <w:sz w:val="18"/>
                <w:szCs w:val="18"/>
                <w:lang w:val="en-US"/>
              </w:rPr>
              <w:t xml:space="preserve">uality of life: SoraHAIC gained 1.18 QALYs with an additional 0.66 QALYs survival benefit for patients receiving sorafenib and </w:t>
            </w:r>
            <w:r>
              <w:rPr>
                <w:rFonts w:ascii="Times New Roman" w:eastAsia="Times New Roman" w:hAnsi="Times New Roman" w:cs="Times New Roman"/>
                <w:sz w:val="18"/>
                <w:szCs w:val="18"/>
                <w:lang w:val="en-US"/>
              </w:rPr>
              <w:t>a</w:t>
            </w:r>
            <w:r w:rsidRPr="00EE0A20">
              <w:rPr>
                <w:rFonts w:ascii="Times New Roman" w:eastAsia="Times New Roman" w:hAnsi="Times New Roman" w:cs="Times New Roman"/>
                <w:sz w:val="18"/>
                <w:szCs w:val="18"/>
                <w:lang w:val="en-US"/>
              </w:rPr>
              <w:t>dding HAIC to sorafenib required extra expenditure about $50,974, which resulted in an ICER of $57,153/LY, and $77,132/QALY compared with sorafenib</w:t>
            </w:r>
            <w:r>
              <w:rPr>
                <w:rFonts w:ascii="Times New Roman" w:eastAsia="Times New Roman" w:hAnsi="Times New Roman" w:cs="Times New Roman"/>
                <w:sz w:val="18"/>
                <w:szCs w:val="18"/>
                <w:lang w:val="en-US"/>
              </w:rPr>
              <w:t>.</w:t>
            </w:r>
          </w:p>
          <w:p w14:paraId="01674DA3" w14:textId="77777777" w:rsidR="006151E5" w:rsidRPr="00EE0A20"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EE0A20">
              <w:rPr>
                <w:rFonts w:ascii="Times New Roman" w:eastAsia="Times New Roman" w:hAnsi="Times New Roman" w:cs="Times New Roman"/>
                <w:sz w:val="18"/>
                <w:szCs w:val="18"/>
                <w:lang w:val="en-US"/>
              </w:rPr>
              <w:t>ICER values were more than the WTP of 3*GDP per capita of China ($30,492/ QALY), even beyond 3*GDP per capita of Beijing, which was the most developed region in China / 1) overall cost ($) soraHAIC: 65,254.07, sorafenib: 14,280.30, incremental: 50,973.77, 2) overall Lys: soraHAIC: 1.68, sorafenib: 0.79, incremental: 0.89, 3) total QALYs soraHAIC: 1.18, sorafenib: 0.52, incremental: 0.66</w:t>
            </w:r>
          </w:p>
        </w:tc>
      </w:tr>
      <w:tr w:rsidR="006151E5" w:rsidRPr="0093087E" w14:paraId="35821E9F"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C57C8D" w14:textId="77777777" w:rsidR="006151E5" w:rsidRPr="00B17F67" w:rsidRDefault="006151E5" w:rsidP="00B878B9">
            <w:pPr>
              <w:spacing w:line="240" w:lineRule="auto"/>
              <w:rPr>
                <w:rFonts w:ascii="Times New Roman" w:eastAsia="Times New Roman" w:hAnsi="Times New Roman" w:cs="Times New Roman"/>
                <w:sz w:val="18"/>
                <w:szCs w:val="18"/>
                <w:lang w:val="es-CO"/>
              </w:rPr>
            </w:pPr>
            <w:r w:rsidRPr="0097002A">
              <w:rPr>
                <w:rFonts w:ascii="Times New Roman" w:eastAsia="Times New Roman" w:hAnsi="Times New Roman" w:cs="Times New Roman"/>
                <w:sz w:val="18"/>
                <w:szCs w:val="18"/>
                <w:lang w:val="es-CO"/>
              </w:rPr>
              <w:lastRenderedPageBreak/>
              <w:t>Parikh (2020)</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{"citationID":"oh5FdeHu","properties":{"formattedCitation":"[27]","plainCitation":"[27]","noteIndex":0},"citationItems":[{"id":17731,"uris":["http://zotero.org/users/981792/items/CPCF45F6"],"itemData":{"id":17731,"type":"article-journal","abstract":"Objective:\nThe value of hepatocellular carcinoma (HCC) surveillance is defined by the balance of benefits, i.e. early tumor detection, and potential harms, related to false positive and indeterminate results. Although physical harms can be observed in 15–20% of patients with cirrhosis undergoing HCC surveillance, prior cost effectiveness analyses have not incorporated costs of harms. We aimed to evaluate the cost-effectiveness of HCC surveillance including both benefits and harms.\n\nDesign:\nWe constructed a Markov model to compare surveillance strategies of ultrasound (US), US and alpha fetoprotein (AFP), and no surveillance in 1 million simulated patients with compensated cirrhosis. Harms included imaging and biopsy in patients undergoing surveillance for HCC. Model inputs were based on literature review and costs were derived from the Medicare fee schedule, with all costs inflated to 2018 dollars. The primary outcome was the incremental cost-effectiveness ratio (ICER) per incremental quality-adjusted life-year (QALY).\n\nResults:\nIn the base case analysis, US and AFP was the dominant strategy over both US alone and no surveillance. In a probabilistic sensitivity analysis, US and AFP was the most cost-effective strategy in 80.1% of simulations at a willingness-to-pay threshold of $100,000 per QALY. In our threshold analyses, an HCC incidence &gt;0.4% per year and surveillance adherence &gt;19.5% bi-annually was necessary for US and AFP to be cost effective compared to no surveillance.\n\nConclusion:\nAccounting for both surveillance-related benefits and harms, US and AFP is more cost-effective for HCC surveillance than US alone or no surveillance in patients with compensated cirrhosis.","container-title":"The American journal of gastroenterology","DOI":"10.14309/ajg.0000000000000715","ISSN":"0002-9270","issue":"10","journalAbbreviation":"Am J Gastroenterol","note":"PMID: 32530829\nPMCID: PMC7541544","page":"1642-1649","source":"PubMed Central","title":"Cost Effectiveness of Hepatocellular Carcinoma Surveillance: An Assessment of Benefits and Harms","title-short":"Cost Effectiveness of Hepatocellular Carcinoma Surveillance","volume":"115","author":[{"family":"Parikh","given":"Neehar D."},{"family":"Singal","given":"Amit G."},{"family":"Hutton","given":"David W."},{"family":"Tapper","given":"Elliot B"}],"issued":{"date-parts":[["2020",10]]}}}],"schema":"https://github.com/citation-style-language/schema/raw/master/csl-citation.json"} </w:instrText>
            </w:r>
            <w:r>
              <w:rPr>
                <w:rFonts w:ascii="Times New Roman" w:eastAsia="Times New Roman" w:hAnsi="Times New Roman" w:cs="Times New Roman"/>
                <w:sz w:val="18"/>
                <w:szCs w:val="18"/>
                <w:lang w:val="es-CO"/>
              </w:rPr>
              <w:fldChar w:fldCharType="separate"/>
            </w:r>
            <w:r>
              <w:rPr>
                <w:rFonts w:ascii="Times New Roman" w:eastAsia="Times New Roman" w:hAnsi="Times New Roman" w:cs="Times New Roman"/>
                <w:noProof/>
                <w:sz w:val="18"/>
                <w:szCs w:val="18"/>
                <w:lang w:val="es-CO"/>
              </w:rPr>
              <w:t>[27]</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7F96D"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Hepatocellular Carcinoma Incidence</w:t>
            </w:r>
            <w:r>
              <w:rPr>
                <w:rFonts w:ascii="Times New Roman" w:eastAsia="Times New Roman" w:hAnsi="Times New Roman" w:cs="Times New Roman"/>
                <w:sz w:val="18"/>
                <w:szCs w:val="18"/>
                <w:lang w:val="en-US"/>
              </w:rPr>
              <w:t>.</w:t>
            </w:r>
          </w:p>
          <w:p w14:paraId="17389A06"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0C747A">
              <w:rPr>
                <w:rFonts w:ascii="Times New Roman" w:eastAsia="Times New Roman" w:hAnsi="Times New Roman" w:cs="Times New Roman"/>
                <w:sz w:val="18"/>
                <w:szCs w:val="18"/>
                <w:lang w:val="en-US"/>
              </w:rPr>
              <w:t>Screening effectiveness and Diagnostics.</w:t>
            </w:r>
          </w:p>
          <w:p w14:paraId="7179A055"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Disease Progression</w:t>
            </w:r>
            <w:r>
              <w:rPr>
                <w:rFonts w:ascii="Times New Roman" w:eastAsia="Times New Roman" w:hAnsi="Times New Roman" w:cs="Times New Roman"/>
                <w:sz w:val="18"/>
                <w:szCs w:val="18"/>
                <w:lang w:val="en-US"/>
              </w:rPr>
              <w:t>.</w:t>
            </w:r>
          </w:p>
          <w:p w14:paraId="6208DA02"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Costs (2018 US dollars</w:t>
            </w:r>
            <w:r w:rsidRPr="000C747A">
              <w:rPr>
                <w:rFonts w:ascii="Times New Roman" w:eastAsia="Times New Roman" w:hAnsi="Times New Roman" w:cs="Times New Roman"/>
                <w:sz w:val="18"/>
                <w:szCs w:val="18"/>
                <w:lang w:val="en-US"/>
              </w:rPr>
              <w:t>)</w:t>
            </w:r>
            <w:r>
              <w:rPr>
                <w:rFonts w:ascii="Times New Roman" w:eastAsia="Times New Roman" w:hAnsi="Times New Roman" w:cs="Times New Roman"/>
                <w:sz w:val="18"/>
                <w:szCs w:val="18"/>
                <w:lang w:val="en-US"/>
              </w:rPr>
              <w:t>.</w:t>
            </w:r>
          </w:p>
          <w:p w14:paraId="08A0659B"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Utilities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66ADD9" w14:textId="77777777" w:rsidR="006151E5" w:rsidRPr="00C4393C"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 xml:space="preserve">Markov model </w:t>
            </w:r>
          </w:p>
          <w:p w14:paraId="5A281CB2"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Probabilistic sensitivity analysis</w:t>
            </w:r>
          </w:p>
          <w:p w14:paraId="4FE1C1B6"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 xml:space="preserve">Monte Carlo simulation. </w:t>
            </w:r>
          </w:p>
          <w:p w14:paraId="22D15649"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 xml:space="preserve">Transition probabilities are modelled as beta, triangular, or tabular distributions. </w:t>
            </w:r>
          </w:p>
          <w:p w14:paraId="53E7E8F6"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Costs were modeled as triangular distributions.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E11949" w14:textId="77777777" w:rsidR="006151E5" w:rsidRPr="00EE0A20"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EE0A20">
              <w:rPr>
                <w:rFonts w:ascii="Times New Roman" w:eastAsia="Times New Roman" w:hAnsi="Times New Roman" w:cs="Times New Roman"/>
                <w:sz w:val="18"/>
                <w:szCs w:val="18"/>
                <w:lang w:val="en-US"/>
              </w:rPr>
              <w:t>Average Overall Cost (USD).</w:t>
            </w:r>
          </w:p>
          <w:p w14:paraId="1093B8EC" w14:textId="77777777" w:rsidR="006151E5" w:rsidRPr="00EE0A20"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EE0A20">
              <w:rPr>
                <w:rFonts w:ascii="Times New Roman" w:eastAsia="Times New Roman" w:hAnsi="Times New Roman" w:cs="Times New Roman"/>
                <w:sz w:val="18"/>
                <w:szCs w:val="18"/>
                <w:lang w:val="en-US"/>
              </w:rPr>
              <w:t>Incremental Cost (USD).</w:t>
            </w:r>
          </w:p>
          <w:p w14:paraId="0E2A0072" w14:textId="77777777" w:rsidR="006151E5" w:rsidRPr="00EE0A20"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EE0A20">
              <w:rPr>
                <w:rFonts w:ascii="Times New Roman" w:eastAsia="Times New Roman" w:hAnsi="Times New Roman" w:cs="Times New Roman"/>
                <w:sz w:val="18"/>
                <w:szCs w:val="18"/>
                <w:lang w:val="en-US"/>
              </w:rPr>
              <w:t>Average Overall QALYs.</w:t>
            </w:r>
          </w:p>
          <w:p w14:paraId="7C5FBD33"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EE0A20">
              <w:rPr>
                <w:rFonts w:ascii="Times New Roman" w:eastAsia="Times New Roman" w:hAnsi="Times New Roman" w:cs="Times New Roman"/>
                <w:sz w:val="18"/>
                <w:szCs w:val="18"/>
                <w:lang w:val="en-US"/>
              </w:rPr>
              <w:t xml:space="preserve">Incremental QALYs. </w:t>
            </w:r>
          </w:p>
          <w:p w14:paraId="7FEA38AC" w14:textId="77777777" w:rsidR="006151E5" w:rsidRPr="00EE0A20"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EE0A20">
              <w:rPr>
                <w:rFonts w:ascii="Times New Roman" w:eastAsia="Times New Roman" w:hAnsi="Times New Roman" w:cs="Times New Roman"/>
                <w:sz w:val="18"/>
                <w:szCs w:val="18"/>
                <w:lang w:val="en-US"/>
              </w:rPr>
              <w:t>Cost per incremental QALY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8D14F2"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6312EF">
              <w:rPr>
                <w:rFonts w:ascii="Times New Roman" w:eastAsia="Times New Roman" w:hAnsi="Times New Roman" w:cs="Times New Roman"/>
                <w:sz w:val="18"/>
                <w:szCs w:val="18"/>
                <w:lang w:val="en-US"/>
              </w:rPr>
              <w:t>Average Overall Cost (USD) - Cost effectiveness of HCC surveillance strategies with base case inputs:</w:t>
            </w:r>
            <w:r w:rsidRPr="006312EF">
              <w:rPr>
                <w:rFonts w:ascii="Times New Roman" w:eastAsia="Times New Roman" w:hAnsi="Times New Roman" w:cs="Times New Roman"/>
                <w:sz w:val="18"/>
                <w:szCs w:val="18"/>
                <w:lang w:val="en-US"/>
              </w:rPr>
              <w:br/>
              <w:t>US with AFP:1,254,173.20; US Alone:1,257,879.04; No surveillance:1,266,358.65</w:t>
            </w:r>
            <w:r>
              <w:rPr>
                <w:rFonts w:ascii="Times New Roman" w:eastAsia="Times New Roman" w:hAnsi="Times New Roman" w:cs="Times New Roman"/>
                <w:sz w:val="18"/>
                <w:szCs w:val="18"/>
                <w:lang w:val="en-US"/>
              </w:rPr>
              <w:t>.</w:t>
            </w:r>
          </w:p>
          <w:p w14:paraId="5A69687F"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6312EF">
              <w:rPr>
                <w:rFonts w:ascii="Times New Roman" w:eastAsia="Times New Roman" w:hAnsi="Times New Roman" w:cs="Times New Roman"/>
                <w:sz w:val="18"/>
                <w:szCs w:val="18"/>
                <w:lang w:val="en-US"/>
              </w:rPr>
              <w:t>Incremental Cost (USD)</w:t>
            </w:r>
            <w:r w:rsidRPr="006312EF">
              <w:rPr>
                <w:rFonts w:ascii="Times New Roman" w:eastAsia="Times New Roman" w:hAnsi="Times New Roman" w:cs="Times New Roman"/>
                <w:sz w:val="18"/>
                <w:szCs w:val="18"/>
                <w:lang w:val="en-US"/>
              </w:rPr>
              <w:br/>
              <w:t>Cost effectiveness of HCC surveillance strategies with base case inputs:</w:t>
            </w:r>
            <w:r w:rsidRPr="006312EF">
              <w:rPr>
                <w:rFonts w:ascii="Times New Roman" w:eastAsia="Times New Roman" w:hAnsi="Times New Roman" w:cs="Times New Roman"/>
                <w:sz w:val="18"/>
                <w:szCs w:val="18"/>
                <w:lang w:val="en-US"/>
              </w:rPr>
              <w:br/>
              <w:t>US with AFP: 0.00; US Alone: 3,705.84; No surveillance: 12,185.45</w:t>
            </w:r>
            <w:r>
              <w:rPr>
                <w:rFonts w:ascii="Times New Roman" w:eastAsia="Times New Roman" w:hAnsi="Times New Roman" w:cs="Times New Roman"/>
                <w:sz w:val="18"/>
                <w:szCs w:val="18"/>
                <w:lang w:val="en-US"/>
              </w:rPr>
              <w:t xml:space="preserve">. </w:t>
            </w:r>
          </w:p>
          <w:p w14:paraId="18DAAF26"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6312EF">
              <w:rPr>
                <w:rFonts w:ascii="Times New Roman" w:eastAsia="Times New Roman" w:hAnsi="Times New Roman" w:cs="Times New Roman"/>
                <w:sz w:val="18"/>
                <w:szCs w:val="18"/>
                <w:lang w:val="en-US"/>
              </w:rPr>
              <w:t>Average Overall QALYs</w:t>
            </w:r>
            <w:r w:rsidRPr="006312EF">
              <w:rPr>
                <w:rFonts w:ascii="Times New Roman" w:eastAsia="Times New Roman" w:hAnsi="Times New Roman" w:cs="Times New Roman"/>
                <w:sz w:val="18"/>
                <w:szCs w:val="18"/>
                <w:lang w:val="en-US"/>
              </w:rPr>
              <w:br/>
              <w:t>Cost effectiveness of HCC surveillance strategies with base case inputs:</w:t>
            </w:r>
            <w:r w:rsidRPr="006312EF">
              <w:rPr>
                <w:rFonts w:ascii="Times New Roman" w:eastAsia="Times New Roman" w:hAnsi="Times New Roman" w:cs="Times New Roman"/>
                <w:sz w:val="18"/>
                <w:szCs w:val="18"/>
                <w:lang w:val="en-US"/>
              </w:rPr>
              <w:br/>
              <w:t>US with AFP:6.02; US Alone:6.00; No surveillance: 5.98</w:t>
            </w:r>
            <w:r>
              <w:rPr>
                <w:rFonts w:ascii="Times New Roman" w:eastAsia="Times New Roman" w:hAnsi="Times New Roman" w:cs="Times New Roman"/>
                <w:sz w:val="18"/>
                <w:szCs w:val="18"/>
                <w:lang w:val="en-US"/>
              </w:rPr>
              <w:t>.</w:t>
            </w:r>
          </w:p>
          <w:p w14:paraId="187E0492" w14:textId="77777777" w:rsidR="006151E5" w:rsidRPr="006312EF"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6312EF">
              <w:rPr>
                <w:rFonts w:ascii="Times New Roman" w:eastAsia="Times New Roman" w:hAnsi="Times New Roman" w:cs="Times New Roman"/>
                <w:sz w:val="18"/>
                <w:szCs w:val="18"/>
                <w:lang w:val="en-US"/>
              </w:rPr>
              <w:t>Incremental QALYs</w:t>
            </w:r>
            <w:r>
              <w:rPr>
                <w:rFonts w:ascii="Times New Roman" w:eastAsia="Times New Roman" w:hAnsi="Times New Roman" w:cs="Times New Roman"/>
                <w:sz w:val="18"/>
                <w:szCs w:val="18"/>
                <w:lang w:val="en-US"/>
              </w:rPr>
              <w:t xml:space="preserve"> </w:t>
            </w:r>
            <w:r w:rsidRPr="006312EF">
              <w:rPr>
                <w:rFonts w:ascii="Times New Roman" w:eastAsia="Times New Roman" w:hAnsi="Times New Roman" w:cs="Times New Roman"/>
                <w:sz w:val="18"/>
                <w:szCs w:val="18"/>
                <w:lang w:val="en-US"/>
              </w:rPr>
              <w:t>Cost effectiveness of HCC surveillance strategies with base case inputs:</w:t>
            </w:r>
            <w:r w:rsidRPr="006312EF">
              <w:rPr>
                <w:rFonts w:ascii="Times New Roman" w:eastAsia="Times New Roman" w:hAnsi="Times New Roman" w:cs="Times New Roman"/>
                <w:sz w:val="18"/>
                <w:szCs w:val="18"/>
                <w:lang w:val="en-US"/>
              </w:rPr>
              <w:br/>
              <w:t xml:space="preserve">US with AFP:0.00; US Alone: −0.02; </w:t>
            </w:r>
            <w:r w:rsidRPr="006312EF">
              <w:rPr>
                <w:rFonts w:ascii="Times New Roman" w:eastAsia="Times New Roman" w:hAnsi="Times New Roman" w:cs="Times New Roman"/>
                <w:sz w:val="18"/>
                <w:szCs w:val="18"/>
                <w:lang w:val="en-US"/>
              </w:rPr>
              <w:lastRenderedPageBreak/>
              <w:t>No surveillance: −0.04</w:t>
            </w:r>
            <w:r w:rsidRPr="006312EF">
              <w:rPr>
                <w:rFonts w:ascii="Times New Roman" w:eastAsia="Times New Roman" w:hAnsi="Times New Roman" w:cs="Times New Roman"/>
                <w:sz w:val="18"/>
                <w:szCs w:val="18"/>
                <w:lang w:val="en-US"/>
              </w:rPr>
              <w:br/>
            </w:r>
          </w:p>
        </w:tc>
      </w:tr>
      <w:tr w:rsidR="006151E5" w:rsidRPr="0093087E" w14:paraId="2491AA2D"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DD7B79" w14:textId="77777777" w:rsidR="006151E5" w:rsidRPr="0093087E" w:rsidRDefault="006151E5" w:rsidP="00B878B9">
            <w:pPr>
              <w:spacing w:line="240" w:lineRule="auto"/>
              <w:rPr>
                <w:rFonts w:ascii="Times New Roman" w:eastAsia="Times New Roman" w:hAnsi="Times New Roman" w:cs="Times New Roman"/>
                <w:sz w:val="18"/>
                <w:szCs w:val="18"/>
                <w:lang w:val="en-US"/>
              </w:rPr>
            </w:pPr>
            <w:r w:rsidRPr="0097002A">
              <w:rPr>
                <w:rFonts w:ascii="Times New Roman" w:eastAsia="Times New Roman" w:hAnsi="Times New Roman" w:cs="Times New Roman"/>
                <w:sz w:val="18"/>
                <w:szCs w:val="18"/>
                <w:lang w:val="es-CO"/>
              </w:rPr>
              <w:lastRenderedPageBreak/>
              <w:t>Patel (2023)</w:t>
            </w:r>
            <w:r>
              <w:rPr>
                <w:rFonts w:ascii="Times New Roman" w:eastAsia="Times New Roman" w:hAnsi="Times New Roman" w:cs="Times New Roman"/>
                <w:sz w:val="18"/>
                <w:szCs w:val="18"/>
                <w:lang w:val="es-CO"/>
              </w:rPr>
              <w:fldChar w:fldCharType="begin"/>
            </w:r>
            <w:r>
              <w:rPr>
                <w:rFonts w:ascii="Times New Roman" w:eastAsia="Times New Roman" w:hAnsi="Times New Roman" w:cs="Times New Roman"/>
                <w:sz w:val="18"/>
                <w:szCs w:val="18"/>
                <w:lang w:val="es-CO"/>
              </w:rPr>
              <w:instrText xml:space="preserve"> ADDIN ZOTERO_ITEM CSL_CITATION {"citationID":"v3wiZZeP","properties":{"formattedCitation":"[28]","plainCitation":"[28]","noteIndex":0},"citationItems":[{"id":17739,"uris":["http://zotero.org/users/981792/items/4AB4DCBU"],"itemData":{"id":17739,"type":"article-journal","abstract":"To assess the cost-effectiveness of transarterial radioembolization (TARE) versus conventional transarterial chemoembolization (cTACE) and drug-eluting beads chemoembolization (DEE-TACE) for patients with unresectable early- to intermediate-stage hepatocellular carcinoma (HCC). A cohort-based Markov model with a five-year time horizon was developed to evaluate the cost-effectiveness of the three embolization treatments. Upon entering the model, patients with HCC received either TARE or one of the two other embolization treatments. Patients remained in a “watch and wait” state for tumor downstaging that allowed them to move to health states such as liver transplant, resection, systemic therapies, or cure. Clinical input parameters were retrieved from the published literature, and where values could not be sourced, assumptions were made and validated by clinical experts. Health benefits were quantified using quality-adjusted life years (QALYs). Cost input parameters were obtained from various sources, including the Medicare Cost Report, IBM® Micromedex RED BOOK, and published literature. At five years, TARE was found to be cost-saving (saving \\15,779 per person compared to cTACE) and produced 0.33 more QALYs per person than cTACE. TARE cost \\13,696 more but produced 0.33 more QALYs than DEE-TACE, with an incremental cost-effectiveness ratio of \\41,474 per QALY gained at five years. After accounting for parameter uncertainty, the likelihood of TARE being cost-effective was at least 90% against all comparators at a cost-effectiveness threshold of \\100,000 per QALY gained. TARE produces more QALYs than cTACE and DEE-TACE, with a high probability of being cost-effective against both comparators. The Barcelona Clinic Liver Cancer guideline recommends the use of transarterial radioembolization (TARE), conventional (cTACE), or drug-eluting bead transarterial chemoembolization (DEE-TACE) for treating hepatocellular carcinoma (HCC). This study evaluated the cost-effectiveness of TARE versus two alternative embolization treatments (cTACE and DEE-TACE) in treating patients with unresectable early- to intermediate-stage HCC. A cohort-based Markov model was developed to analyze the costs and benefits of these treatments from a US healthcare perspective within a 5-year time horizon. A 20-year time horizon was assessed as a scenario. In the model, patients were assigned to receive TARE, cTACE, or DEE-TACE and remained in the “watch and wait” stage for tumor downstaging. Data used in the model was taken from previous studies and in consultation with clinical experts. The benefits of the treatments were measured by considering the impact on the patient’s quality of life. The costs associated with the treatments were obtained from various sources, including reports, publicly available databases, and </w:instrText>
            </w:r>
            <w:r w:rsidRPr="0093087E">
              <w:rPr>
                <w:rFonts w:ascii="Times New Roman" w:eastAsia="Times New Roman" w:hAnsi="Times New Roman" w:cs="Times New Roman"/>
                <w:sz w:val="18"/>
                <w:szCs w:val="18"/>
                <w:lang w:val="en-US"/>
              </w:rPr>
              <w:instrText xml:space="preserve">published literature. The findings show that TARE is not only cost-saving compared to cTACE but also results in a higher number of quality-adjusted life years (QALYs) per person. While TARE was more expensive than DEE-TACE, it produced more QALYs, further indicating more favorable patient outcomes and overall treatment effectiveness. These findings could potentially impact resource allocation and decision-making for the treatment of HCC.","container-title":"Journal of Medical Economics","DOI":"10.1080/13696998.2023.2248840","ISSN":"1369-6998","issue":"1","note":"publisher: Taylor &amp; Francis\n_eprint: https://doi.org/10.1080/13696998.2023.2248840\nPMID: 37632520","page":"1061-1071","source":"Taylor and Francis+NEJM","title":"Transarterial therapies in patients with hepatocellular carcinoma eligible for transarterial embolization: a US cost-effectiveness analysis","title-short":"Transarterial therapies in patients with hepatocellular carcinoma eligible for transarterial embolization","volume":"26","author":[{"family":"Patel","given":"Mikin V."},{"family":"Davies","given":"Heather"},{"family":"Williams","given":"Abimbola O."},{"family":"Bromilow","given":"Tom"},{"family":"Baker","given":"Hannah"},{"family":"Mealing","given":"Stuart"},{"family":"Holmes","given":"Hayden"},{"family":"Anderson","given":"Nicholas"},{"family":"Ahmed","given":"Osman"}],"issued":{"date-parts":[["2023",12,31]]}}}],"schema":"https://github.com/citation-style-language/schema/raw/master/csl-citation.json"} </w:instrText>
            </w:r>
            <w:r>
              <w:rPr>
                <w:rFonts w:ascii="Times New Roman" w:eastAsia="Times New Roman" w:hAnsi="Times New Roman" w:cs="Times New Roman"/>
                <w:sz w:val="18"/>
                <w:szCs w:val="18"/>
                <w:lang w:val="es-CO"/>
              </w:rPr>
              <w:fldChar w:fldCharType="separate"/>
            </w:r>
            <w:r w:rsidRPr="0093087E">
              <w:rPr>
                <w:rFonts w:ascii="Times New Roman" w:eastAsia="Times New Roman" w:hAnsi="Times New Roman" w:cs="Times New Roman"/>
                <w:noProof/>
                <w:sz w:val="18"/>
                <w:szCs w:val="18"/>
                <w:lang w:val="en-US"/>
              </w:rPr>
              <w:t>[28]</w:t>
            </w:r>
            <w:r>
              <w:rPr>
                <w:rFonts w:ascii="Times New Roman" w:eastAsia="Times New Roman" w:hAnsi="Times New Roman" w:cs="Times New Roman"/>
                <w:sz w:val="18"/>
                <w:szCs w:val="18"/>
                <w:lang w:val="es-CO"/>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D6B642"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Procedure costs: cTACE, DEE-TACE, TARE.</w:t>
            </w:r>
          </w:p>
          <w:p w14:paraId="7A1AF1FE"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Health state cycle costs.</w:t>
            </w:r>
          </w:p>
          <w:p w14:paraId="76C28C50"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Health state one-off costs.</w:t>
            </w:r>
          </w:p>
          <w:p w14:paraId="208DE09C"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Other costs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EE8AC6"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 xml:space="preserve">Markov model </w:t>
            </w:r>
          </w:p>
          <w:p w14:paraId="434EC06C"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Probabilistic sensitivity analysis</w:t>
            </w:r>
          </w:p>
          <w:p w14:paraId="3F38B7B1"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 xml:space="preserve">Monte Carlo simulation. </w:t>
            </w:r>
          </w:p>
          <w:p w14:paraId="7DEBCD93"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Utility Beta distribution.</w:t>
            </w:r>
          </w:p>
          <w:p w14:paraId="5A3A7D28"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Transition probabilities dirichlet, gamma, dirichlet, normal.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05202"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Costs</w:t>
            </w:r>
          </w:p>
          <w:p w14:paraId="08B6CE7A"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Quality-adjusted life years (QALYs)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1BD730"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 xml:space="preserve">At five years, TARE was found to be cost-saving (saving$15,779 per person compared to cTACE) and produced 0.33 more QALYs per person than cTACE. </w:t>
            </w:r>
          </w:p>
          <w:p w14:paraId="0F1B4779" w14:textId="77777777" w:rsidR="006151E5" w:rsidRPr="0093087E"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3087E">
              <w:rPr>
                <w:rFonts w:ascii="Times New Roman" w:eastAsia="Times New Roman" w:hAnsi="Times New Roman" w:cs="Times New Roman"/>
                <w:sz w:val="18"/>
                <w:szCs w:val="18"/>
                <w:lang w:val="en-US"/>
              </w:rPr>
              <w:t>TARE cost $13,696 more but produced 0.33 more QALYs than DEE-TACE, with an incremental cost-effectiveness ratio of $41,474 per QALY gained at five years.</w:t>
            </w:r>
          </w:p>
        </w:tc>
      </w:tr>
      <w:tr w:rsidR="006151E5" w:rsidRPr="0093087E" w14:paraId="0C557042" w14:textId="77777777" w:rsidTr="00B878B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3A4330" w14:textId="77777777" w:rsidR="006151E5" w:rsidRPr="00B17F67" w:rsidRDefault="006151E5" w:rsidP="00B878B9">
            <w:pPr>
              <w:spacing w:line="240" w:lineRule="auto"/>
              <w:rPr>
                <w:rFonts w:ascii="Times New Roman" w:eastAsia="Times New Roman" w:hAnsi="Times New Roman" w:cs="Times New Roman"/>
                <w:sz w:val="18"/>
                <w:szCs w:val="18"/>
                <w:lang w:val="es-CO"/>
              </w:rPr>
            </w:pPr>
            <w:r w:rsidRPr="0093087E">
              <w:rPr>
                <w:rFonts w:ascii="Times New Roman" w:eastAsia="Times New Roman" w:hAnsi="Times New Roman" w:cs="Times New Roman"/>
                <w:sz w:val="18"/>
                <w:szCs w:val="18"/>
                <w:lang w:val="en-US"/>
              </w:rPr>
              <w:t>Wu (2023)</w:t>
            </w:r>
            <w:r>
              <w:rPr>
                <w:rFonts w:ascii="Times New Roman" w:eastAsia="Times New Roman" w:hAnsi="Times New Roman" w:cs="Times New Roman"/>
                <w:sz w:val="18"/>
                <w:szCs w:val="18"/>
                <w:lang w:val="en-US"/>
              </w:rPr>
              <w:fldChar w:fldCharType="begin"/>
            </w:r>
            <w:r w:rsidRPr="0093087E">
              <w:rPr>
                <w:rFonts w:ascii="Times New Roman" w:eastAsia="Times New Roman" w:hAnsi="Times New Roman" w:cs="Times New Roman"/>
                <w:sz w:val="18"/>
                <w:szCs w:val="18"/>
                <w:lang w:val="en-US"/>
              </w:rPr>
              <w:instrText xml:space="preserve"> ADDIN ZOTERO_ITEM CSL_CITATION {"citationID":"EpsmTNr7","properties":{"formattedCitation":"[22]","plainCitation":"[22]","noteIndex":0},"citationItems":[{"id":17726,"uris":["http://zotero.org/users/981792/items/EMRW8WVL"],"itemData":{"id":17726,"type":"article-journal","abstract":"Transarterial chemoembolization (TACE) and transarterial radioembolization (TARE) are the 2 most used modalities for patients with HCC while awaiting liver transplant. The purpose of this study is to perform a cost-effectiveness analysis comparing TACE and TARE for downstaging (DS) patients with HCC. A cost-effectiveness analysis was performed comparing TACE and TARE in DS HCC over a 5-year time horizon from a p</w:instrText>
            </w:r>
            <w:r>
              <w:rPr>
                <w:rFonts w:ascii="Times New Roman" w:eastAsia="Times New Roman" w:hAnsi="Times New Roman" w:cs="Times New Roman"/>
                <w:sz w:val="18"/>
                <w:szCs w:val="18"/>
                <w:lang w:val="en-US"/>
              </w:rPr>
              <w:instrText xml:space="preserve">ayer’s perspective. The clinical course, including those who achieved successful DS leading to liver transplant and those who failed DS with possible disease progression, was obtained from the United Network for Organ Sharing. Costs and effectiveness were measured in US dollars and quality-adjusted life years (QALYs). Probabilistic and deterministic sensitivity analyses were performed. TARE achieved a higher effectiveness of 2.51 QALY (TACE: 2.29 QALY) at a higher cost of $172,162 (TACE: $159,706), with the incremental cost-effectiveness ratio of $55,964/QALY, making TARE the more cost-effective strategy. The difference in outcome was equivalent to 104 days (nearly 3.5 months) in compensated cirrhosis state. Probabilistic sensitivity analyses showed that TARE was more cost-effective in 91.69% of 10,000 Monte Carlo simulations. TARE was more effective if greater than 48.2% of patients who received TACE or TARE were successfully downstaged (base case: 74.6% from the pooled analysis of multiple published cohorts). TARE became more cost-effective when the cost of TACE exceeded $4,831 (base case: $12,722) or when the cost of TARE was lower than $43,542 (base case: $30,609). Subgroup analyses identified TARE to be the more cost-effective strategy if the TARE cohort required 1 fewer locoregional therapy than the TACE cohort. TARE is the more cost-effective DS strategy for patients with HCC exceeding Milan criteria compared to TACE.","container-title":"Liver Transplantation","DOI":"10.1097/LVT.0000000000000249","ISSN":"1527-6465","issue":"2","language":"en-US","page":"151","source":"journals.lww.com","title":"Cost-effectiveness analysis of interventional liver-directed therapies for downstaging of HCC before liver transplant","volume":"30","author":[{"family":"Wu","given":"Xiao"},{"family":"Kwong","given":"Allison"},{"family":"Heller","given":"Michael"},{"family":"Lokken","given":"R. Peter"},{"family":"Fidelman","given":"Nicholas"},{"family":"Mehta","given":"Neil"}],"issued":{"date-parts":[["2024",2]]}}}],"schema":"https://github.com/citation-style-language/schema/raw/master/csl-citation.json"} </w:instrText>
            </w:r>
            <w:r>
              <w:rPr>
                <w:rFonts w:ascii="Times New Roman" w:eastAsia="Times New Roman" w:hAnsi="Times New Roman" w:cs="Times New Roman"/>
                <w:sz w:val="18"/>
                <w:szCs w:val="18"/>
                <w:lang w:val="en-US"/>
              </w:rPr>
              <w:fldChar w:fldCharType="separate"/>
            </w:r>
            <w:r>
              <w:rPr>
                <w:rFonts w:ascii="Times New Roman" w:eastAsia="Times New Roman" w:hAnsi="Times New Roman" w:cs="Times New Roman"/>
                <w:noProof/>
                <w:sz w:val="18"/>
                <w:szCs w:val="18"/>
                <w:lang w:val="en-US"/>
              </w:rPr>
              <w:t>[22]</w:t>
            </w:r>
            <w:r>
              <w:rPr>
                <w:rFonts w:ascii="Times New Roman" w:eastAsia="Times New Roman" w:hAnsi="Times New Roman" w:cs="Times New Roman"/>
                <w:sz w:val="18"/>
                <w:szCs w:val="18"/>
                <w:lang w:val="en-US"/>
              </w:rPr>
              <w:fldChar w:fldCharType="end"/>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303CCF" w14:textId="77777777" w:rsidR="006151E5" w:rsidRPr="005851B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851B7">
              <w:rPr>
                <w:rFonts w:ascii="Times New Roman" w:eastAsia="Times New Roman" w:hAnsi="Times New Roman" w:cs="Times New Roman"/>
                <w:sz w:val="18"/>
                <w:szCs w:val="18"/>
                <w:lang w:val="en-US"/>
              </w:rPr>
              <w:t>Sociodemographic and clinical variables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9D021" w14:textId="77777777" w:rsidR="006151E5" w:rsidRPr="002D1C2A"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2D1C2A">
              <w:rPr>
                <w:rFonts w:ascii="Times New Roman" w:eastAsia="Times New Roman" w:hAnsi="Times New Roman" w:cs="Times New Roman"/>
                <w:sz w:val="18"/>
                <w:szCs w:val="18"/>
                <w:lang w:val="en-US"/>
              </w:rPr>
              <w:t>Markov model</w:t>
            </w:r>
            <w:r>
              <w:rPr>
                <w:rFonts w:ascii="Times New Roman" w:eastAsia="Times New Roman" w:hAnsi="Times New Roman" w:cs="Times New Roman"/>
                <w:sz w:val="18"/>
                <w:szCs w:val="18"/>
                <w:lang w:val="en-US"/>
              </w:rPr>
              <w:t>.</w:t>
            </w:r>
          </w:p>
          <w:p w14:paraId="1DD26738"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C4393C">
              <w:rPr>
                <w:rFonts w:ascii="Times New Roman" w:eastAsia="Times New Roman" w:hAnsi="Times New Roman" w:cs="Times New Roman"/>
                <w:sz w:val="18"/>
                <w:szCs w:val="18"/>
                <w:lang w:val="en-US"/>
              </w:rPr>
              <w:t>Probabilistic sensitivity analysis</w:t>
            </w:r>
            <w:r>
              <w:rPr>
                <w:rFonts w:ascii="Times New Roman" w:eastAsia="Times New Roman" w:hAnsi="Times New Roman" w:cs="Times New Roman"/>
                <w:sz w:val="18"/>
                <w:szCs w:val="18"/>
                <w:lang w:val="en-US"/>
              </w:rPr>
              <w:t>.</w:t>
            </w:r>
          </w:p>
          <w:p w14:paraId="2BCE921B" w14:textId="77777777" w:rsidR="006151E5" w:rsidRPr="00B17F67" w:rsidRDefault="006151E5" w:rsidP="00B878B9">
            <w:pPr>
              <w:spacing w:line="240" w:lineRule="auto"/>
              <w:rPr>
                <w:rFonts w:ascii="Times New Roman" w:eastAsia="Times New Roman" w:hAnsi="Times New Roman" w:cs="Times New Roman"/>
                <w:sz w:val="18"/>
                <w:szCs w:val="18"/>
                <w:lang w:val="es-CO"/>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C7E994" w14:textId="77777777" w:rsidR="006151E5" w:rsidRPr="005851B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851B7">
              <w:rPr>
                <w:rFonts w:ascii="Times New Roman" w:eastAsia="Times New Roman" w:hAnsi="Times New Roman" w:cs="Times New Roman"/>
                <w:sz w:val="18"/>
                <w:szCs w:val="18"/>
                <w:lang w:val="en-US"/>
              </w:rPr>
              <w:t>Costs.</w:t>
            </w:r>
          </w:p>
          <w:p w14:paraId="4658AF74"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5851B7">
              <w:rPr>
                <w:rFonts w:ascii="Times New Roman" w:eastAsia="Times New Roman" w:hAnsi="Times New Roman" w:cs="Times New Roman"/>
                <w:sz w:val="18"/>
                <w:szCs w:val="18"/>
                <w:lang w:val="en-US"/>
              </w:rPr>
              <w:t>Quality-adjusted life-years (QALYs).</w:t>
            </w:r>
          </w:p>
          <w:p w14:paraId="534FC311" w14:textId="77777777" w:rsidR="006151E5" w:rsidRPr="00B17F67"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B17F67">
              <w:rPr>
                <w:rFonts w:ascii="Times New Roman" w:eastAsia="Times New Roman" w:hAnsi="Times New Roman" w:cs="Times New Roman"/>
                <w:sz w:val="18"/>
                <w:szCs w:val="18"/>
                <w:lang w:val="en-US"/>
              </w:rPr>
              <w:t>ICER</w:t>
            </w:r>
            <w:r>
              <w:rPr>
                <w:rFonts w:ascii="Times New Roman" w:eastAsia="Times New Roman" w:hAnsi="Times New Roman" w:cs="Times New Roman"/>
                <w:sz w:val="18"/>
                <w:szCs w:val="18"/>
                <w:lang w:val="en-US"/>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FB396B"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C57C2">
              <w:rPr>
                <w:rFonts w:ascii="Times New Roman" w:eastAsia="Times New Roman" w:hAnsi="Times New Roman" w:cs="Times New Roman"/>
                <w:sz w:val="18"/>
                <w:szCs w:val="18"/>
                <w:lang w:val="en-US"/>
              </w:rPr>
              <w:t>QALYs: TARE: 2.51 and TACE: 2.29 QALY</w:t>
            </w:r>
            <w:r>
              <w:rPr>
                <w:rFonts w:ascii="Times New Roman" w:eastAsia="Times New Roman" w:hAnsi="Times New Roman" w:cs="Times New Roman"/>
                <w:sz w:val="18"/>
                <w:szCs w:val="18"/>
                <w:lang w:val="en-US"/>
              </w:rPr>
              <w:t>.</w:t>
            </w:r>
          </w:p>
          <w:p w14:paraId="01D69A56"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C57C2">
              <w:rPr>
                <w:rFonts w:ascii="Times New Roman" w:eastAsia="Times New Roman" w:hAnsi="Times New Roman" w:cs="Times New Roman"/>
                <w:sz w:val="18"/>
                <w:szCs w:val="18"/>
                <w:lang w:val="en-US"/>
              </w:rPr>
              <w:t xml:space="preserve">Costs: TARE: $172,162 and TACE: $159,706. </w:t>
            </w:r>
          </w:p>
          <w:p w14:paraId="20EB8E44" w14:textId="77777777" w:rsidR="006151E5" w:rsidRDefault="006151E5" w:rsidP="006151E5">
            <w:pPr>
              <w:pStyle w:val="Prrafodelista"/>
              <w:numPr>
                <w:ilvl w:val="0"/>
                <w:numId w:val="1"/>
              </w:numPr>
              <w:spacing w:line="240" w:lineRule="auto"/>
              <w:rPr>
                <w:rFonts w:ascii="Times New Roman" w:eastAsia="Times New Roman" w:hAnsi="Times New Roman" w:cs="Times New Roman"/>
                <w:sz w:val="18"/>
                <w:szCs w:val="18"/>
                <w:lang w:val="en-US"/>
              </w:rPr>
            </w:pPr>
            <w:r w:rsidRPr="009C57C2">
              <w:rPr>
                <w:rFonts w:ascii="Times New Roman" w:eastAsia="Times New Roman" w:hAnsi="Times New Roman" w:cs="Times New Roman"/>
                <w:sz w:val="18"/>
                <w:szCs w:val="18"/>
                <w:lang w:val="en-US"/>
              </w:rPr>
              <w:t>ICER: The ICER of TARE was $55,964/QALY, TACE</w:t>
            </w:r>
            <w:r w:rsidRPr="009C57C2">
              <w:rPr>
                <w:rFonts w:ascii="Times New Roman" w:eastAsia="Times New Roman" w:hAnsi="Times New Roman" w:cs="Times New Roman"/>
                <w:sz w:val="18"/>
                <w:szCs w:val="18"/>
                <w:lang w:val="en-US"/>
              </w:rPr>
              <w:br/>
              <w:t xml:space="preserve">$100,000/QALY </w:t>
            </w:r>
          </w:p>
          <w:p w14:paraId="07BD82F4" w14:textId="77777777" w:rsidR="006151E5" w:rsidRPr="00580FE4" w:rsidRDefault="006151E5" w:rsidP="00B878B9">
            <w:pPr>
              <w:rPr>
                <w:rFonts w:ascii="Times New Roman" w:eastAsia="Times New Roman" w:hAnsi="Times New Roman" w:cs="Times New Roman"/>
                <w:sz w:val="18"/>
                <w:szCs w:val="18"/>
                <w:lang w:val="en-US"/>
              </w:rPr>
            </w:pPr>
            <w:r w:rsidRPr="00580FE4">
              <w:rPr>
                <w:rFonts w:ascii="Times New Roman" w:eastAsia="Times New Roman" w:hAnsi="Times New Roman" w:cs="Times New Roman"/>
                <w:sz w:val="18"/>
                <w:szCs w:val="18"/>
                <w:lang w:val="en-US"/>
              </w:rPr>
              <w:t>TARE was</w:t>
            </w:r>
            <w:r>
              <w:rPr>
                <w:rFonts w:ascii="Times New Roman" w:eastAsia="Times New Roman" w:hAnsi="Times New Roman" w:cs="Times New Roman"/>
                <w:sz w:val="18"/>
                <w:szCs w:val="18"/>
                <w:lang w:val="en-US"/>
              </w:rPr>
              <w:t xml:space="preserve"> the most</w:t>
            </w:r>
            <w:r w:rsidRPr="00580FE4">
              <w:rPr>
                <w:rFonts w:ascii="Times New Roman" w:eastAsia="Times New Roman" w:hAnsi="Times New Roman" w:cs="Times New Roman"/>
                <w:sz w:val="18"/>
                <w:szCs w:val="18"/>
                <w:lang w:val="en-US"/>
              </w:rPr>
              <w:t xml:space="preserve"> cost-effective strategy</w:t>
            </w:r>
          </w:p>
        </w:tc>
      </w:tr>
    </w:tbl>
    <w:p w14:paraId="53353ECB" w14:textId="77777777" w:rsidR="001428E0" w:rsidRPr="00C64D7F" w:rsidRDefault="001428E0" w:rsidP="001428E0">
      <w:pPr>
        <w:spacing w:line="240" w:lineRule="auto"/>
        <w:jc w:val="both"/>
        <w:rPr>
          <w:rFonts w:ascii="Times New Roman" w:eastAsia="Times New Roman" w:hAnsi="Times New Roman" w:cs="Times New Roman"/>
          <w:sz w:val="18"/>
          <w:szCs w:val="18"/>
          <w:lang w:val="en-US"/>
        </w:rPr>
      </w:pPr>
      <w:r w:rsidRPr="001F2EE5">
        <w:rPr>
          <w:rFonts w:ascii="Times New Roman" w:eastAsia="Times New Roman" w:hAnsi="Times New Roman" w:cs="Times New Roman"/>
          <w:sz w:val="18"/>
          <w:szCs w:val="18"/>
          <w:lang w:val="en-US"/>
        </w:rPr>
        <w:t xml:space="preserve">TIPS, transjugular intrahepatic portosystemic shunt; reLT, re-liver transplant; BMI, body mass index; anti-HBc, anti-hepatitis B core antibody; MELD, model for end-stage liver disease; HBV, hepatitis B virus; HCV, hepatitis C virus; HCC, hepatocellular carcinoma; HE, heart enlargement; MC, Milan criteria (single HCC ≤ 5 cm or up to 3 HCCs, none exceeding 3 cm, without vascular invasion). Severe complication defined as Clavien-Dindo classification 3a or higher); ICU: intensive care unit; DNH: defined as development of positive HBsAg and/or detectable HBV DNA in a non-HBV recipient; AFP: alpha-fetoprotein; CTP: Child-Turcotte-Pugh; CVD: cardiovascular disease; HTN: arterial hypertension; PUD: peptic ulcer disease; GERD: gastroesophageal reflux disease; RI: resistance to insulin; T2DM: type 2 diabetes mellitus; ARF: acute renal failure; LT: liver transplantation; LR: liver resection; HBIG: hepatitis B immunoglobulin; NA: nucleotide analogue. </w:t>
      </w:r>
      <w:r w:rsidRPr="00C64D7F">
        <w:rPr>
          <w:rFonts w:ascii="Times New Roman" w:eastAsia="Times New Roman" w:hAnsi="Times New Roman" w:cs="Times New Roman"/>
          <w:sz w:val="18"/>
          <w:szCs w:val="18"/>
          <w:lang w:val="en-US"/>
        </w:rPr>
        <w:t>NAFLD: nonalcoholic fatty liver disease; NASH: nonalcoholic steatohepatitis; CC: cirrhosis; DCC: decompensated cirrhosis; labMELD: laboratory values last transmitted to ET before organ offer, Model for End-Stage Liver Disease; matchMELD: the labMELD or standard/non-standard exceptional MELD applied in allocation, Model for End-Stage Liver Disease; US: ultrasonography; MRI: magnetic resonance imaging; soraHAIC: 400 mg sorafenib twice daily for 21 days; FOLFOX: oxaliplatin 85 mg/m², leucovorin 400 mg/m², fluorouracil 400 mg/m²; SIR-Spheres Y-90: SIR-Spheres yttrium-90 resin microspheres; TKIs: tyrosine kinase inhibitors such as sorafenib and Lenvatinib; TARE: transarterial radioembolization; cTACE: conventional transarterial chemoembolization; DEE-TACE: drug-eluting beads chemoembolization GBP: pounds sterling; RMB: Renminbi; R: real; USD: US dollar; UNOS-DS criteria: (1) 1 lesion &gt; 5 cm but ≤ 8 cm, (2) 2 or 3 lesions with at least 1 lesion &gt; 3 cm, each lesion ≤ 5 cm, and total diameter ≤ 8 cm, or (3) 4 or 5 lesions each &lt; 3 cm, total diameter ≤ 8 cm; OR: odds ratio; CCI: Charlson Comorbidity Index; QALY: Quality-Adjusted Life Year; LY: life year: PFS: progression free survival; OS: overall survival.</w:t>
      </w:r>
    </w:p>
    <w:p w14:paraId="4C531FC2" w14:textId="77777777" w:rsidR="00CC2A35" w:rsidRPr="001428E0" w:rsidRDefault="00CC2A35">
      <w:pPr>
        <w:rPr>
          <w:lang w:val="en-US"/>
        </w:rPr>
      </w:pPr>
    </w:p>
    <w:sectPr w:rsidR="00CC2A35" w:rsidRPr="001428E0" w:rsidSect="002915C8">
      <w:pgSz w:w="15840" w:h="12240"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81F30"/>
    <w:multiLevelType w:val="hybridMultilevel"/>
    <w:tmpl w:val="5ED0EF06"/>
    <w:lvl w:ilvl="0" w:tplc="D5C44CD8">
      <w:start w:val="2"/>
      <w:numFmt w:val="bullet"/>
      <w:lvlText w:val="-"/>
      <w:lvlJc w:val="left"/>
      <w:pPr>
        <w:ind w:left="360" w:hanging="360"/>
      </w:pPr>
      <w:rPr>
        <w:rFonts w:ascii="Times New Roman" w:eastAsia="Times New Roman" w:hAnsi="Times New Roman" w:cs="Times New Roman" w:hint="default"/>
      </w:rPr>
    </w:lvl>
    <w:lvl w:ilvl="1" w:tplc="080A0003" w:tentative="1">
      <w:start w:val="1"/>
      <w:numFmt w:val="bullet"/>
      <w:lvlText w:val="o"/>
      <w:lvlJc w:val="left"/>
      <w:pPr>
        <w:ind w:left="1080" w:hanging="360"/>
      </w:pPr>
      <w:rPr>
        <w:rFonts w:ascii="Courier New" w:hAnsi="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hint="default"/>
      </w:rPr>
    </w:lvl>
    <w:lvl w:ilvl="8" w:tplc="080A0005" w:tentative="1">
      <w:start w:val="1"/>
      <w:numFmt w:val="bullet"/>
      <w:lvlText w:val=""/>
      <w:lvlJc w:val="left"/>
      <w:pPr>
        <w:ind w:left="6120" w:hanging="360"/>
      </w:pPr>
      <w:rPr>
        <w:rFonts w:ascii="Wingdings" w:hAnsi="Wingdings" w:hint="default"/>
      </w:rPr>
    </w:lvl>
  </w:abstractNum>
  <w:num w:numId="1" w16cid:durableId="740954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8E0"/>
    <w:rsid w:val="001210BB"/>
    <w:rsid w:val="001428E0"/>
    <w:rsid w:val="002915C8"/>
    <w:rsid w:val="00357891"/>
    <w:rsid w:val="00550681"/>
    <w:rsid w:val="006151E5"/>
    <w:rsid w:val="006B31C7"/>
    <w:rsid w:val="008921F8"/>
    <w:rsid w:val="0093087E"/>
    <w:rsid w:val="009C6954"/>
    <w:rsid w:val="009C7F13"/>
    <w:rsid w:val="00AE623A"/>
    <w:rsid w:val="00CC2A35"/>
    <w:rsid w:val="00D25C5E"/>
    <w:rsid w:val="00E325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8060F01"/>
  <w15:chartTrackingRefBased/>
  <w15:docId w15:val="{494DA8DB-641A-C643-9E1A-7A60FC161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8E0"/>
    <w:pPr>
      <w:spacing w:after="0" w:line="276" w:lineRule="auto"/>
    </w:pPr>
    <w:rPr>
      <w:rFonts w:ascii="Arial" w:eastAsia="Arial" w:hAnsi="Arial" w:cs="Arial"/>
      <w:kern w:val="0"/>
      <w:sz w:val="22"/>
      <w:szCs w:val="22"/>
      <w:lang w:val="es" w:eastAsia="es-MX"/>
      <w14:ligatures w14:val="none"/>
    </w:rPr>
  </w:style>
  <w:style w:type="paragraph" w:styleId="Ttulo1">
    <w:name w:val="heading 1"/>
    <w:basedOn w:val="Normal"/>
    <w:next w:val="Normal"/>
    <w:link w:val="Ttulo1Car"/>
    <w:uiPriority w:val="9"/>
    <w:qFormat/>
    <w:rsid w:val="00142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428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428E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428E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428E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428E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28E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28E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28E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28E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428E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428E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428E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428E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28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28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28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28E0"/>
    <w:rPr>
      <w:rFonts w:eastAsiaTheme="majorEastAsia" w:cstheme="majorBidi"/>
      <w:color w:val="272727" w:themeColor="text1" w:themeTint="D8"/>
    </w:rPr>
  </w:style>
  <w:style w:type="paragraph" w:styleId="Ttulo">
    <w:name w:val="Title"/>
    <w:basedOn w:val="Normal"/>
    <w:next w:val="Normal"/>
    <w:link w:val="TtuloCar"/>
    <w:uiPriority w:val="10"/>
    <w:qFormat/>
    <w:rsid w:val="00142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28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28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28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28E0"/>
    <w:pPr>
      <w:spacing w:before="160"/>
      <w:jc w:val="center"/>
    </w:pPr>
    <w:rPr>
      <w:i/>
      <w:iCs/>
      <w:color w:val="404040" w:themeColor="text1" w:themeTint="BF"/>
    </w:rPr>
  </w:style>
  <w:style w:type="character" w:customStyle="1" w:styleId="CitaCar">
    <w:name w:val="Cita Car"/>
    <w:basedOn w:val="Fuentedeprrafopredeter"/>
    <w:link w:val="Cita"/>
    <w:uiPriority w:val="29"/>
    <w:rsid w:val="001428E0"/>
    <w:rPr>
      <w:i/>
      <w:iCs/>
      <w:color w:val="404040" w:themeColor="text1" w:themeTint="BF"/>
    </w:rPr>
  </w:style>
  <w:style w:type="paragraph" w:styleId="Prrafodelista">
    <w:name w:val="List Paragraph"/>
    <w:basedOn w:val="Normal"/>
    <w:uiPriority w:val="34"/>
    <w:qFormat/>
    <w:rsid w:val="001428E0"/>
    <w:pPr>
      <w:ind w:left="720"/>
      <w:contextualSpacing/>
    </w:pPr>
  </w:style>
  <w:style w:type="character" w:styleId="nfasisintenso">
    <w:name w:val="Intense Emphasis"/>
    <w:basedOn w:val="Fuentedeprrafopredeter"/>
    <w:uiPriority w:val="21"/>
    <w:qFormat/>
    <w:rsid w:val="001428E0"/>
    <w:rPr>
      <w:i/>
      <w:iCs/>
      <w:color w:val="0F4761" w:themeColor="accent1" w:themeShade="BF"/>
    </w:rPr>
  </w:style>
  <w:style w:type="paragraph" w:styleId="Citadestacada">
    <w:name w:val="Intense Quote"/>
    <w:basedOn w:val="Normal"/>
    <w:next w:val="Normal"/>
    <w:link w:val="CitadestacadaCar"/>
    <w:uiPriority w:val="30"/>
    <w:qFormat/>
    <w:rsid w:val="00142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428E0"/>
    <w:rPr>
      <w:i/>
      <w:iCs/>
      <w:color w:val="0F4761" w:themeColor="accent1" w:themeShade="BF"/>
    </w:rPr>
  </w:style>
  <w:style w:type="character" w:styleId="Referenciaintensa">
    <w:name w:val="Intense Reference"/>
    <w:basedOn w:val="Fuentedeprrafopredeter"/>
    <w:uiPriority w:val="32"/>
    <w:qFormat/>
    <w:rsid w:val="001428E0"/>
    <w:rPr>
      <w:b/>
      <w:bCs/>
      <w:smallCaps/>
      <w:color w:val="0F4761" w:themeColor="accent1" w:themeShade="BF"/>
      <w:spacing w:val="5"/>
    </w:rPr>
  </w:style>
  <w:style w:type="character" w:styleId="Refdecomentario">
    <w:name w:val="annotation reference"/>
    <w:basedOn w:val="Fuentedeprrafopredeter"/>
    <w:uiPriority w:val="99"/>
    <w:semiHidden/>
    <w:unhideWhenUsed/>
    <w:rsid w:val="001428E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8581</Words>
  <Characters>51919</Characters>
  <Application>Microsoft Office Word</Application>
  <DocSecurity>0</DocSecurity>
  <Lines>1297</Lines>
  <Paragraphs>560</Paragraphs>
  <ScaleCrop>false</ScaleCrop>
  <Company/>
  <LinksUpToDate>false</LinksUpToDate>
  <CharactersWithSpaces>59940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Uriel Palacios Barahona</dc:creator>
  <cp:keywords/>
  <dc:description/>
  <cp:lastModifiedBy>Uriel Palacios Barahona</cp:lastModifiedBy>
  <cp:revision>7</cp:revision>
  <dcterms:created xsi:type="dcterms:W3CDTF">2025-11-15T22:06:00Z</dcterms:created>
  <dcterms:modified xsi:type="dcterms:W3CDTF">2026-04-29T23:22:00Z</dcterms:modified>
</cp:coreProperties>
</file>