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99D2" w14:textId="5C4B71AF" w:rsidR="00DE7CE7" w:rsidRPr="00681FD5" w:rsidRDefault="008411A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81FD5">
        <w:rPr>
          <w:rFonts w:asciiTheme="majorBidi" w:hAnsiTheme="majorBidi" w:cstheme="majorBidi"/>
          <w:b/>
          <w:bCs/>
          <w:sz w:val="24"/>
          <w:szCs w:val="24"/>
        </w:rPr>
        <w:t>Appendix 1</w:t>
      </w:r>
    </w:p>
    <w:p w14:paraId="6B3057CA" w14:textId="1932D069" w:rsidR="008411A8" w:rsidRPr="00681FD5" w:rsidRDefault="00681FD5" w:rsidP="00681FD5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Figure_S \* ARABIC </w:instrTex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681FD5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:</w: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ab/>
      </w:r>
      <w:r w:rsidR="007844BB"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Model structure</w:t>
      </w:r>
    </w:p>
    <w:p w14:paraId="63C1A437" w14:textId="16C5BFD4" w:rsidR="007844BB" w:rsidRDefault="007844BB">
      <w:pPr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3B5CE66E" wp14:editId="5DFE2495">
            <wp:extent cx="4110355" cy="2562225"/>
            <wp:effectExtent l="19050" t="19050" r="23495" b="28575"/>
            <wp:docPr id="2" name="Picture 4" descr="A diagram of 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A diagram of 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2562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7AD6DC5E" w14:textId="77777777" w:rsidR="00E8449E" w:rsidRDefault="00E8449E">
      <w:pPr>
        <w:rPr>
          <w:rFonts w:asciiTheme="majorBidi" w:hAnsiTheme="majorBidi" w:cstheme="majorBidi"/>
        </w:rPr>
      </w:pPr>
    </w:p>
    <w:p w14:paraId="2FE6CD5C" w14:textId="77777777" w:rsidR="00E8449E" w:rsidRPr="001A4397" w:rsidRDefault="00E8449E">
      <w:pPr>
        <w:rPr>
          <w:rFonts w:asciiTheme="majorBidi" w:hAnsiTheme="majorBidi" w:cstheme="majorBidi"/>
        </w:rPr>
      </w:pPr>
    </w:p>
    <w:p w14:paraId="269C5F96" w14:textId="4D720670" w:rsidR="008411A8" w:rsidRPr="00681FD5" w:rsidRDefault="00681FD5" w:rsidP="00681FD5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Figure S</w: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Figure_S \* ARABIC </w:instrTex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2</w: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:</w:t>
      </w:r>
      <w:r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ab/>
      </w:r>
      <w:r w:rsidR="008411A8"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A comparison of observed and model-predicted PFS for bevacizumab </w:t>
      </w:r>
      <w:r w:rsidR="00C51C1F"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plus</w:t>
      </w:r>
      <w:r w:rsidR="008411A8" w:rsidRPr="00681FD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FOLFIRI and FOLFIRI alone in the first-line setting</w:t>
      </w:r>
    </w:p>
    <w:p w14:paraId="35DD744D" w14:textId="77777777" w:rsidR="008411A8" w:rsidRPr="00AC7454" w:rsidRDefault="008411A8" w:rsidP="008411A8">
      <w:pPr>
        <w:rPr>
          <w:rFonts w:asciiTheme="majorBidi" w:hAnsiTheme="majorBidi" w:cstheme="majorBidi"/>
          <w:sz w:val="24"/>
        </w:rPr>
      </w:pPr>
    </w:p>
    <w:p w14:paraId="0BC39168" w14:textId="74B3CB01" w:rsidR="008411A8" w:rsidRPr="00AC7454" w:rsidRDefault="002C468E" w:rsidP="008411A8">
      <w:pPr>
        <w:rPr>
          <w:rFonts w:asciiTheme="majorBidi" w:hAnsiTheme="majorBidi" w:cstheme="majorBidi"/>
          <w:noProof/>
        </w:rPr>
      </w:pPr>
      <w:r w:rsidRPr="002C468E">
        <w:rPr>
          <w:noProof/>
        </w:rPr>
        <w:drawing>
          <wp:inline distT="0" distB="0" distL="0" distR="0" wp14:anchorId="307FCD71" wp14:editId="31F92711">
            <wp:extent cx="4857143" cy="3523809"/>
            <wp:effectExtent l="0" t="0" r="635" b="635"/>
            <wp:docPr id="1923320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3203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7143" cy="35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11A8" w:rsidRPr="00AC7454">
        <w:rPr>
          <w:rFonts w:asciiTheme="majorBidi" w:hAnsiTheme="majorBidi" w:cstheme="majorBidi"/>
          <w:noProof/>
        </w:rPr>
        <w:t xml:space="preserve"> </w:t>
      </w:r>
    </w:p>
    <w:p w14:paraId="68ADF7AE" w14:textId="2231B166" w:rsidR="008411A8" w:rsidRDefault="008411A8" w:rsidP="008411A8">
      <w:pPr>
        <w:rPr>
          <w:rFonts w:asciiTheme="majorBidi" w:hAnsiTheme="majorBidi" w:cstheme="majorBidi"/>
          <w:sz w:val="18"/>
          <w:szCs w:val="18"/>
        </w:rPr>
      </w:pPr>
      <w:r w:rsidRPr="00AC7454">
        <w:rPr>
          <w:rFonts w:asciiTheme="majorBidi" w:hAnsiTheme="majorBidi" w:cstheme="majorBidi"/>
          <w:sz w:val="18"/>
          <w:szCs w:val="18"/>
        </w:rPr>
        <w:t>Beva: bevacizumab; FOLFIRI: folinic acid plus fluorouracil plus irinotecan; KM: Kaplan-Meier</w:t>
      </w:r>
      <w:r>
        <w:rPr>
          <w:rFonts w:asciiTheme="majorBidi" w:hAnsiTheme="majorBidi" w:cstheme="majorBidi"/>
          <w:sz w:val="18"/>
          <w:szCs w:val="18"/>
        </w:rPr>
        <w:t xml:space="preserve">; </w:t>
      </w:r>
      <w:r w:rsidRPr="00AC7454">
        <w:rPr>
          <w:rFonts w:asciiTheme="majorBidi" w:hAnsiTheme="majorBidi" w:cstheme="majorBidi"/>
          <w:sz w:val="18"/>
          <w:szCs w:val="18"/>
        </w:rPr>
        <w:t>PFS: progression-free survival; Base case – Weibull model (both arms)</w:t>
      </w:r>
      <w:r>
        <w:rPr>
          <w:rFonts w:asciiTheme="majorBidi" w:hAnsiTheme="majorBidi" w:cstheme="majorBidi"/>
          <w:sz w:val="18"/>
          <w:szCs w:val="18"/>
        </w:rPr>
        <w:t>, S</w:t>
      </w:r>
      <w:r w:rsidRPr="00AC7454">
        <w:rPr>
          <w:rFonts w:asciiTheme="majorBidi" w:hAnsiTheme="majorBidi" w:cstheme="majorBidi"/>
          <w:sz w:val="18"/>
          <w:szCs w:val="18"/>
        </w:rPr>
        <w:t>cenario analysis – generalised gamma (both arms)</w:t>
      </w:r>
    </w:p>
    <w:p w14:paraId="7503B130" w14:textId="2A6DDCAB" w:rsidR="008411A8" w:rsidRPr="00681FD5" w:rsidRDefault="002C468E" w:rsidP="00681FD5">
      <w:pPr>
        <w:rPr>
          <w:rFonts w:asciiTheme="majorBidi" w:hAnsiTheme="majorBidi" w:cstheme="majorBidi"/>
          <w:b/>
          <w:bCs/>
          <w:sz w:val="24"/>
        </w:rPr>
      </w:pPr>
      <w:r>
        <w:rPr>
          <w:rFonts w:asciiTheme="majorBidi" w:hAnsiTheme="majorBidi" w:cstheme="majorBidi"/>
          <w:sz w:val="24"/>
        </w:rPr>
        <w:br w:type="page"/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</w:t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fldChar w:fldCharType="begin"/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instrText xml:space="preserve"> SEQ Figure_S \* ARABIC </w:instrText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fldChar w:fldCharType="separate"/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fldChar w:fldCharType="end"/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681FD5" w:rsidRPr="00681FD5">
        <w:rPr>
          <w:rFonts w:asciiTheme="majorBidi" w:hAnsiTheme="majorBidi" w:cstheme="majorBidi"/>
          <w:b/>
          <w:bCs/>
          <w:sz w:val="24"/>
          <w:szCs w:val="24"/>
        </w:rPr>
        <w:tab/>
      </w:r>
      <w:r w:rsidR="008411A8" w:rsidRPr="00681FD5">
        <w:rPr>
          <w:rFonts w:asciiTheme="majorBidi" w:hAnsiTheme="majorBidi" w:cstheme="majorBidi"/>
          <w:b/>
          <w:bCs/>
          <w:sz w:val="24"/>
          <w:szCs w:val="24"/>
        </w:rPr>
        <w:t xml:space="preserve">A comparison of observed and model-predicted OS for bevacizumab </w:t>
      </w:r>
      <w:r w:rsidR="00C51C1F" w:rsidRPr="00681FD5">
        <w:rPr>
          <w:rFonts w:asciiTheme="majorBidi" w:hAnsiTheme="majorBidi" w:cstheme="majorBidi"/>
          <w:b/>
          <w:bCs/>
          <w:sz w:val="24"/>
          <w:szCs w:val="24"/>
        </w:rPr>
        <w:t>plus</w:t>
      </w:r>
      <w:r w:rsidR="008411A8" w:rsidRPr="00681FD5">
        <w:rPr>
          <w:rFonts w:asciiTheme="majorBidi" w:hAnsiTheme="majorBidi" w:cstheme="majorBidi"/>
          <w:b/>
          <w:bCs/>
          <w:sz w:val="24"/>
          <w:szCs w:val="24"/>
        </w:rPr>
        <w:t xml:space="preserve"> FOLFIRI and FOLFIRI alone in the first-line setting  </w:t>
      </w:r>
    </w:p>
    <w:p w14:paraId="450451DE" w14:textId="77777777" w:rsidR="002C468E" w:rsidRPr="00AC7454" w:rsidRDefault="002C468E" w:rsidP="008411A8">
      <w:pPr>
        <w:rPr>
          <w:rFonts w:asciiTheme="majorBidi" w:hAnsiTheme="majorBidi" w:cstheme="majorBidi"/>
          <w:noProof/>
        </w:rPr>
      </w:pPr>
    </w:p>
    <w:p w14:paraId="37CB40E4" w14:textId="5DC03B94" w:rsidR="008411A8" w:rsidRPr="00AC7454" w:rsidRDefault="002C468E" w:rsidP="008411A8">
      <w:pPr>
        <w:rPr>
          <w:rFonts w:asciiTheme="majorBidi" w:hAnsiTheme="majorBidi" w:cstheme="majorBidi"/>
          <w:sz w:val="18"/>
          <w:szCs w:val="18"/>
        </w:rPr>
      </w:pPr>
      <w:r w:rsidRPr="00AC7454">
        <w:rPr>
          <w:rFonts w:asciiTheme="majorBidi" w:hAnsiTheme="majorBidi" w:cstheme="majorBidi"/>
          <w:noProof/>
          <w:sz w:val="18"/>
          <w:szCs w:val="18"/>
        </w:rPr>
        <w:drawing>
          <wp:inline distT="0" distB="0" distL="0" distR="0" wp14:anchorId="32BA757B" wp14:editId="3639CBEC">
            <wp:extent cx="4861384" cy="3525839"/>
            <wp:effectExtent l="0" t="0" r="0" b="0"/>
            <wp:docPr id="5714818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481823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384" cy="352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17C9E" w14:textId="54ADA91B" w:rsidR="008411A8" w:rsidRPr="00AC7454" w:rsidRDefault="008411A8" w:rsidP="008411A8">
      <w:pPr>
        <w:rPr>
          <w:rFonts w:asciiTheme="majorBidi" w:hAnsiTheme="majorBidi" w:cstheme="majorBidi"/>
          <w:sz w:val="24"/>
        </w:rPr>
      </w:pPr>
      <w:r w:rsidRPr="00AC7454">
        <w:rPr>
          <w:rFonts w:asciiTheme="majorBidi" w:hAnsiTheme="majorBidi" w:cstheme="majorBidi"/>
          <w:sz w:val="18"/>
          <w:szCs w:val="18"/>
        </w:rPr>
        <w:t>Beva: bevacizumab</w:t>
      </w:r>
      <w:r>
        <w:rPr>
          <w:rFonts w:asciiTheme="majorBidi" w:hAnsiTheme="majorBidi" w:cstheme="majorBidi"/>
          <w:sz w:val="18"/>
          <w:szCs w:val="18"/>
        </w:rPr>
        <w:t xml:space="preserve">; </w:t>
      </w:r>
      <w:r w:rsidRPr="00AC7454">
        <w:rPr>
          <w:rFonts w:asciiTheme="majorBidi" w:hAnsiTheme="majorBidi" w:cstheme="majorBidi"/>
          <w:sz w:val="18"/>
          <w:szCs w:val="18"/>
        </w:rPr>
        <w:t>FOLFIRI: folinic acid plus fluorouracil plus irinotecan; KM: Kaplan-Meier; OS: overall survival;</w:t>
      </w:r>
      <w:r w:rsidRPr="00AC7454">
        <w:rPr>
          <w:rFonts w:asciiTheme="majorBidi" w:hAnsiTheme="majorBidi" w:cstheme="majorBidi"/>
          <w:sz w:val="18"/>
          <w:szCs w:val="18"/>
        </w:rPr>
        <w:br/>
        <w:t>Base case – Weibull model (both arms)</w:t>
      </w:r>
      <w:r>
        <w:rPr>
          <w:rFonts w:asciiTheme="majorBidi" w:hAnsiTheme="majorBidi" w:cstheme="majorBidi"/>
          <w:sz w:val="18"/>
          <w:szCs w:val="18"/>
        </w:rPr>
        <w:t>, S</w:t>
      </w:r>
      <w:r w:rsidRPr="00AC7454">
        <w:rPr>
          <w:rFonts w:asciiTheme="majorBidi" w:hAnsiTheme="majorBidi" w:cstheme="majorBidi"/>
          <w:sz w:val="18"/>
          <w:szCs w:val="18"/>
        </w:rPr>
        <w:t>cenario analysis – generalised gamma (both arms)</w:t>
      </w:r>
    </w:p>
    <w:p w14:paraId="5085BE2C" w14:textId="77777777" w:rsidR="008411A8" w:rsidRDefault="008411A8"/>
    <w:sectPr w:rsidR="008411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A8"/>
    <w:rsid w:val="001A4397"/>
    <w:rsid w:val="00213068"/>
    <w:rsid w:val="00233FA1"/>
    <w:rsid w:val="002C468E"/>
    <w:rsid w:val="00375DB0"/>
    <w:rsid w:val="003D1AB7"/>
    <w:rsid w:val="00584786"/>
    <w:rsid w:val="00681FD5"/>
    <w:rsid w:val="00684868"/>
    <w:rsid w:val="007844BB"/>
    <w:rsid w:val="008411A8"/>
    <w:rsid w:val="008E5034"/>
    <w:rsid w:val="00C51C1F"/>
    <w:rsid w:val="00DE7CE7"/>
    <w:rsid w:val="00E8449E"/>
    <w:rsid w:val="00F4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4248"/>
  <w15:chartTrackingRefBased/>
  <w15:docId w15:val="{47488562-9334-45CE-97FF-94138B12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1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1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1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1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1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1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1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1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1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1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1A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411A8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F3174-0967-4A85-A857-B214DA82B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Stevenson</dc:creator>
  <cp:keywords/>
  <dc:description/>
  <cp:lastModifiedBy>Mon Mon Yee</cp:lastModifiedBy>
  <cp:revision>13</cp:revision>
  <dcterms:created xsi:type="dcterms:W3CDTF">2026-04-24T08:35:00Z</dcterms:created>
  <dcterms:modified xsi:type="dcterms:W3CDTF">2026-04-29T19:54:00Z</dcterms:modified>
</cp:coreProperties>
</file>